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F2EFC" w14:textId="5751DA6C" w:rsidR="003502CA" w:rsidRPr="003502CA" w:rsidRDefault="00393BF7" w:rsidP="003502CA">
      <w:pPr>
        <w:pStyle w:val="TechnicalBlock"/>
        <w:ind w:left="-1134" w:right="-1134"/>
      </w:pPr>
      <w:bookmarkStart w:id="0" w:name="DW_BM_COVERPAGE"/>
      <w:bookmarkStart w:id="1" w:name="LW_BM_COVERPAGE"/>
      <w:r>
        <w:pict w14:anchorId="5364A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cument Cover Page.&#10;Document Number: 11624/23 ADD 4.&#10;Subject Codes: ENV 826 COMPET 739 SAN 448 MI 600 IND 374 CONSOM 267 ENT 158 FOOD 57 AGRI 383 CODEC 1320.&#10;Heading: COVER NOTE.&#10;Originator: Secretary-General of the European Commission, signed by Ms Martine DEPREZ, Director.&#10;Recipient: Ms Thérèse BLANCHET, Secretary-General of the Council of the European Union.&#10;Subject: COMMISSION STAFF WORKING DOCUMENT  IMPACT ASSESSMENT REPORT Accompanying the document Directive of the European Parliament and of the Council amending Directive 2008/98/EC on waste.&#10;Commission Document Number: SWD(2023) 421 final - part 2/4.&#10;Preceeding Document Number: Not Set.&#10;Location: Brussels.&#10;Date: 7 July 2023.&#10;Interinstitutional Files: 2023/0234(COD).&#10;Institutional Framework: Council of the European Union.&#10;Language: EN.&#10;Distribution Code: PUBLIC.&#10;GUID: 4998513333644179955_0" style="width:568.5pt;height:491.25pt">
            <v:imagedata r:id="rId11" o:title=""/>
          </v:shape>
        </w:pict>
      </w:r>
      <w:bookmarkEnd w:id="0"/>
    </w:p>
    <w:p w14:paraId="06A400EA" w14:textId="7514709D" w:rsidR="003502CA" w:rsidRDefault="003502CA" w:rsidP="003502CA">
      <w:pPr>
        <w:pStyle w:val="EntText"/>
        <w:spacing w:before="480"/>
      </w:pPr>
      <w:r w:rsidRPr="003502CA">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3502CA">
        <w:instrText>SWD(2023) 421 final - part 2/4</w:instrText>
      </w:r>
      <w:r>
        <w:instrText xml:space="preserve">" </w:instrText>
      </w:r>
      <w:r>
        <w:fldChar w:fldCharType="separate"/>
      </w:r>
      <w:r w:rsidRPr="003502CA">
        <w:t>SWD(2023) 421 final - part 2/4</w:t>
      </w:r>
      <w:r>
        <w:fldChar w:fldCharType="end"/>
      </w:r>
      <w:r w:rsidRPr="003502CA">
        <w:t>.</w:t>
      </w:r>
    </w:p>
    <w:p w14:paraId="2675AD4C" w14:textId="77777777" w:rsidR="003502CA" w:rsidRDefault="003502CA" w:rsidP="003502CA">
      <w:pPr>
        <w:pStyle w:val="Lignefinal"/>
      </w:pPr>
    </w:p>
    <w:p w14:paraId="6E775F83" w14:textId="030E4538" w:rsidR="003502CA" w:rsidRDefault="003502CA" w:rsidP="003502CA">
      <w:pPr>
        <w:pStyle w:val="pj"/>
        <w:spacing w:before="120"/>
      </w:pPr>
      <w:r w:rsidRPr="003502CA">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Pr="003502CA">
        <w:instrText>SWD(2023) 421 final - part 2/4</w:instrText>
      </w:r>
      <w:r>
        <w:instrText xml:space="preserve">" </w:instrText>
      </w:r>
      <w:r>
        <w:fldChar w:fldCharType="separate"/>
      </w:r>
      <w:r w:rsidRPr="003502CA">
        <w:t>SWD(2023) 421 final - part 2/4</w:t>
      </w:r>
      <w:r>
        <w:fldChar w:fldCharType="end"/>
      </w:r>
    </w:p>
    <w:p w14:paraId="44571D88" w14:textId="77777777" w:rsidR="003502CA" w:rsidRDefault="003502CA" w:rsidP="003502CA">
      <w:pPr>
        <w:rPr>
          <w:noProof/>
          <w:lang w:val="en-IE"/>
        </w:rPr>
        <w:sectPr w:rsidR="003502CA" w:rsidSect="003502CA">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326"/>
        </w:sectPr>
      </w:pPr>
    </w:p>
    <w:p w14:paraId="7846296F" w14:textId="3531C26B" w:rsidR="00E20E52" w:rsidRPr="00013BDC" w:rsidRDefault="003502CA" w:rsidP="00080AB0">
      <w:pPr>
        <w:pStyle w:val="Pagedecouverture"/>
        <w:rPr>
          <w:noProof/>
          <w:lang w:val="en-IE"/>
        </w:rPr>
      </w:pPr>
      <w:r>
        <w:rPr>
          <w:noProof/>
          <w:lang w:val="en-IE"/>
        </w:rPr>
        <w:lastRenderedPageBreak/>
        <w:drawing>
          <wp:inline distT="0" distB="0" distL="0" distR="0" wp14:anchorId="3CF43EB4" wp14:editId="4B5F8AC8">
            <wp:extent cx="5781675" cy="5400675"/>
            <wp:effectExtent l="0" t="0" r="0" b="9525"/>
            <wp:docPr id="1" name="Picture 1" descr="A9738DF2-EF65-42AD-B9F3-C099E6434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9738DF2-EF65-42AD-B9F3-C099E6434FE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1675" cy="5400675"/>
                    </a:xfrm>
                    <a:prstGeom prst="rect">
                      <a:avLst/>
                    </a:prstGeom>
                    <a:noFill/>
                    <a:ln>
                      <a:noFill/>
                    </a:ln>
                  </pic:spPr>
                </pic:pic>
              </a:graphicData>
            </a:graphic>
          </wp:inline>
        </w:drawing>
      </w:r>
    </w:p>
    <w:bookmarkEnd w:id="1"/>
    <w:p w14:paraId="69FAAE3D" w14:textId="77777777" w:rsidR="00E20E52" w:rsidRPr="00013BDC" w:rsidRDefault="00E20E52" w:rsidP="00E20E52">
      <w:pPr>
        <w:rPr>
          <w:noProof/>
          <w:lang w:val="en-IE"/>
        </w:rPr>
        <w:sectPr w:rsidR="00E20E52" w:rsidRPr="00013BDC" w:rsidSect="00080AB0">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326"/>
        </w:sectPr>
      </w:pPr>
    </w:p>
    <w:p w14:paraId="4D20A5A6" w14:textId="60CB1E9E" w:rsidR="00B878B0" w:rsidRDefault="128DF35F">
      <w:pPr>
        <w:pStyle w:val="TOC1"/>
        <w:rPr>
          <w:rFonts w:asciiTheme="minorHAnsi" w:eastAsiaTheme="minorEastAsia" w:hAnsiTheme="minorHAnsi" w:cstheme="minorBidi"/>
          <w:caps w:val="0"/>
          <w:noProof/>
          <w:sz w:val="22"/>
          <w:szCs w:val="22"/>
          <w:lang w:val="en-IE" w:eastAsia="en-IE"/>
        </w:rPr>
      </w:pPr>
      <w:r w:rsidRPr="00013BDC">
        <w:rPr>
          <w:noProof/>
          <w:sz w:val="22"/>
          <w:szCs w:val="22"/>
          <w:lang w:val="en-IE"/>
        </w:rPr>
        <w:lastRenderedPageBreak/>
        <w:fldChar w:fldCharType="begin"/>
      </w:r>
      <w:r w:rsidRPr="00013BDC">
        <w:rPr>
          <w:noProof/>
          <w:sz w:val="22"/>
          <w:szCs w:val="22"/>
        </w:rPr>
        <w:instrText>TOC \o \z \u \h</w:instrText>
      </w:r>
      <w:r w:rsidRPr="00013BDC">
        <w:rPr>
          <w:noProof/>
          <w:sz w:val="22"/>
          <w:szCs w:val="22"/>
          <w:lang w:val="en-IE"/>
        </w:rPr>
        <w:fldChar w:fldCharType="separate"/>
      </w:r>
      <w:hyperlink w:anchor="_Toc139032927" w:history="1">
        <w:r w:rsidR="00B878B0" w:rsidRPr="00F043D1">
          <w:rPr>
            <w:rStyle w:val="Hyperlink"/>
            <w:noProof/>
            <w:lang w:val="en-IE"/>
          </w:rPr>
          <w:t>Annex 1: Procedural information</w:t>
        </w:r>
        <w:r w:rsidR="00B878B0">
          <w:rPr>
            <w:noProof/>
            <w:webHidden/>
          </w:rPr>
          <w:tab/>
        </w:r>
        <w:r w:rsidR="004C5576">
          <w:rPr>
            <w:noProof/>
            <w:webHidden/>
          </w:rPr>
          <w:t>3</w:t>
        </w:r>
      </w:hyperlink>
    </w:p>
    <w:p w14:paraId="787FBA6D" w14:textId="3E721BE1"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28" w:history="1">
        <w:r w:rsidR="00B878B0" w:rsidRPr="00F043D1">
          <w:rPr>
            <w:rStyle w:val="Hyperlink"/>
            <w:noProof/>
            <w:lang w:val="en-IE"/>
          </w:rPr>
          <w:t>1-</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Lead DG, Decide Planning/CWP references</w:t>
        </w:r>
        <w:r w:rsidR="00B878B0">
          <w:rPr>
            <w:noProof/>
            <w:webHidden/>
          </w:rPr>
          <w:tab/>
        </w:r>
        <w:r w:rsidR="004C5576">
          <w:rPr>
            <w:noProof/>
            <w:webHidden/>
          </w:rPr>
          <w:t>3</w:t>
        </w:r>
      </w:hyperlink>
    </w:p>
    <w:p w14:paraId="571FE1BB" w14:textId="4D2B75AE"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29" w:history="1">
        <w:r w:rsidR="00B878B0" w:rsidRPr="00F043D1">
          <w:rPr>
            <w:rStyle w:val="Hyperlink"/>
            <w:noProof/>
            <w:lang w:val="en-IE"/>
          </w:rPr>
          <w:t>2-</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Organisation and timing</w:t>
        </w:r>
        <w:r w:rsidR="00B878B0">
          <w:rPr>
            <w:noProof/>
            <w:webHidden/>
          </w:rPr>
          <w:tab/>
        </w:r>
        <w:r w:rsidR="004C5576">
          <w:rPr>
            <w:noProof/>
            <w:webHidden/>
          </w:rPr>
          <w:t>3</w:t>
        </w:r>
      </w:hyperlink>
    </w:p>
    <w:p w14:paraId="7D239FC4" w14:textId="398CDB9E"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30" w:history="1">
        <w:r w:rsidR="00B878B0" w:rsidRPr="00F043D1">
          <w:rPr>
            <w:rStyle w:val="Hyperlink"/>
            <w:rFonts w:eastAsia="Calibri"/>
            <w:noProof/>
            <w:lang w:val="en-IE"/>
          </w:rPr>
          <w:t>3-</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Consultation of the Regulatory Scrutiny Board (RSB)</w:t>
        </w:r>
        <w:r w:rsidR="00B878B0">
          <w:rPr>
            <w:noProof/>
            <w:webHidden/>
          </w:rPr>
          <w:tab/>
        </w:r>
        <w:r w:rsidR="004C5576">
          <w:rPr>
            <w:noProof/>
            <w:webHidden/>
          </w:rPr>
          <w:t>4</w:t>
        </w:r>
      </w:hyperlink>
    </w:p>
    <w:p w14:paraId="5AB5246D" w14:textId="72591A1C"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31" w:history="1">
        <w:r w:rsidR="00B878B0" w:rsidRPr="00F043D1">
          <w:rPr>
            <w:rStyle w:val="Hyperlink"/>
            <w:noProof/>
            <w:lang w:val="en-IE"/>
          </w:rPr>
          <w:t>4-</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Evidence, sources and quality</w:t>
        </w:r>
        <w:r w:rsidR="00B878B0">
          <w:rPr>
            <w:noProof/>
            <w:webHidden/>
          </w:rPr>
          <w:tab/>
        </w:r>
        <w:r w:rsidR="004C5576">
          <w:rPr>
            <w:noProof/>
            <w:webHidden/>
          </w:rPr>
          <w:t>13</w:t>
        </w:r>
      </w:hyperlink>
    </w:p>
    <w:p w14:paraId="72435E1C" w14:textId="72B75696" w:rsidR="00B878B0" w:rsidRDefault="00393BF7">
      <w:pPr>
        <w:pStyle w:val="TOC1"/>
        <w:rPr>
          <w:rFonts w:asciiTheme="minorHAnsi" w:eastAsiaTheme="minorEastAsia" w:hAnsiTheme="minorHAnsi" w:cstheme="minorBidi"/>
          <w:caps w:val="0"/>
          <w:noProof/>
          <w:sz w:val="22"/>
          <w:szCs w:val="22"/>
          <w:lang w:val="en-IE" w:eastAsia="en-IE"/>
        </w:rPr>
      </w:pPr>
      <w:hyperlink w:anchor="_Toc139032932" w:history="1">
        <w:r w:rsidR="00B878B0" w:rsidRPr="00F043D1">
          <w:rPr>
            <w:rStyle w:val="Hyperlink"/>
            <w:noProof/>
            <w:lang w:val="en-IE"/>
          </w:rPr>
          <w:t>Annex 2: Stakeholder consultation (Synopsis report)</w:t>
        </w:r>
        <w:r w:rsidR="00B878B0">
          <w:rPr>
            <w:noProof/>
            <w:webHidden/>
          </w:rPr>
          <w:tab/>
        </w:r>
        <w:r w:rsidR="004C5576">
          <w:rPr>
            <w:noProof/>
            <w:webHidden/>
          </w:rPr>
          <w:t>16</w:t>
        </w:r>
      </w:hyperlink>
    </w:p>
    <w:p w14:paraId="1D7E4352" w14:textId="5047059E"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33" w:history="1">
        <w:r w:rsidR="00B878B0" w:rsidRPr="00F043D1">
          <w:rPr>
            <w:rStyle w:val="Hyperlink"/>
            <w:rFonts w:eastAsia="Calibri"/>
            <w:noProof/>
            <w:lang w:val="en-IE"/>
          </w:rPr>
          <w:t>1-</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Introduction</w:t>
        </w:r>
        <w:r w:rsidR="00B878B0">
          <w:rPr>
            <w:noProof/>
            <w:webHidden/>
          </w:rPr>
          <w:tab/>
        </w:r>
        <w:r w:rsidR="004C5576">
          <w:rPr>
            <w:noProof/>
            <w:webHidden/>
          </w:rPr>
          <w:t>16</w:t>
        </w:r>
      </w:hyperlink>
    </w:p>
    <w:p w14:paraId="0FE9710A" w14:textId="1465F302"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34" w:history="1">
        <w:r w:rsidR="00B878B0" w:rsidRPr="00F043D1">
          <w:rPr>
            <w:rStyle w:val="Hyperlink"/>
            <w:noProof/>
            <w:lang w:val="en-IE"/>
          </w:rPr>
          <w:t>2-</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Methods for engagement of stakeholders</w:t>
        </w:r>
        <w:r w:rsidR="00B878B0">
          <w:rPr>
            <w:noProof/>
            <w:webHidden/>
          </w:rPr>
          <w:tab/>
        </w:r>
        <w:r w:rsidR="004C5576">
          <w:rPr>
            <w:noProof/>
            <w:webHidden/>
          </w:rPr>
          <w:t>17</w:t>
        </w:r>
      </w:hyperlink>
    </w:p>
    <w:p w14:paraId="09A254B8" w14:textId="73E414AE" w:rsidR="00B878B0" w:rsidRDefault="00393BF7">
      <w:pPr>
        <w:pStyle w:val="TOC3"/>
        <w:rPr>
          <w:rFonts w:asciiTheme="minorHAnsi" w:eastAsiaTheme="minorEastAsia" w:hAnsiTheme="minorHAnsi"/>
          <w:noProof/>
          <w:color w:val="auto"/>
          <w:sz w:val="22"/>
          <w:lang w:val="en-IE" w:eastAsia="en-IE"/>
        </w:rPr>
      </w:pPr>
      <w:hyperlink w:anchor="_Toc139032935" w:history="1">
        <w:r w:rsidR="00B878B0" w:rsidRPr="00F043D1">
          <w:rPr>
            <w:rStyle w:val="Hyperlink"/>
            <w:noProof/>
            <w:lang w:val="en-IE"/>
          </w:rPr>
          <w:t>Inception impact assessment and call for evidence for an impact assessment</w:t>
        </w:r>
        <w:r w:rsidR="00B878B0">
          <w:rPr>
            <w:noProof/>
            <w:webHidden/>
          </w:rPr>
          <w:tab/>
        </w:r>
        <w:r w:rsidR="004C5576">
          <w:rPr>
            <w:noProof/>
            <w:webHidden/>
          </w:rPr>
          <w:t>17</w:t>
        </w:r>
      </w:hyperlink>
    </w:p>
    <w:p w14:paraId="3398C048" w14:textId="0DF8FD4C" w:rsidR="00B878B0" w:rsidRDefault="00393BF7">
      <w:pPr>
        <w:pStyle w:val="TOC3"/>
        <w:rPr>
          <w:rFonts w:asciiTheme="minorHAnsi" w:eastAsiaTheme="minorEastAsia" w:hAnsiTheme="minorHAnsi"/>
          <w:noProof/>
          <w:color w:val="auto"/>
          <w:sz w:val="22"/>
          <w:lang w:val="en-IE" w:eastAsia="en-IE"/>
        </w:rPr>
      </w:pPr>
      <w:hyperlink w:anchor="_Toc139032936" w:history="1">
        <w:r w:rsidR="00B878B0" w:rsidRPr="00F043D1">
          <w:rPr>
            <w:rStyle w:val="Hyperlink"/>
            <w:noProof/>
            <w:shd w:val="clear" w:color="auto" w:fill="E6E6E6"/>
            <w:lang w:val="en-IE"/>
          </w:rPr>
          <w:t>Public consultation</w:t>
        </w:r>
        <w:r w:rsidR="00B878B0">
          <w:rPr>
            <w:noProof/>
            <w:webHidden/>
          </w:rPr>
          <w:tab/>
        </w:r>
        <w:r w:rsidR="004C5576">
          <w:rPr>
            <w:noProof/>
            <w:webHidden/>
          </w:rPr>
          <w:t>19</w:t>
        </w:r>
      </w:hyperlink>
    </w:p>
    <w:p w14:paraId="06154ECB" w14:textId="16E0A261" w:rsidR="00B878B0" w:rsidRDefault="00393BF7">
      <w:pPr>
        <w:pStyle w:val="TOC3"/>
        <w:rPr>
          <w:rFonts w:asciiTheme="minorHAnsi" w:eastAsiaTheme="minorEastAsia" w:hAnsiTheme="minorHAnsi"/>
          <w:noProof/>
          <w:color w:val="auto"/>
          <w:sz w:val="22"/>
          <w:lang w:val="en-IE" w:eastAsia="en-IE"/>
        </w:rPr>
      </w:pPr>
      <w:hyperlink w:anchor="_Toc139032937" w:history="1">
        <w:r w:rsidR="00B878B0" w:rsidRPr="00F043D1">
          <w:rPr>
            <w:rStyle w:val="Hyperlink"/>
            <w:noProof/>
            <w:lang w:val="en-IE"/>
          </w:rPr>
          <w:t>Targeted consultations</w:t>
        </w:r>
        <w:r w:rsidR="00B878B0">
          <w:rPr>
            <w:noProof/>
            <w:webHidden/>
          </w:rPr>
          <w:tab/>
        </w:r>
        <w:r w:rsidR="004C5576">
          <w:rPr>
            <w:noProof/>
            <w:webHidden/>
          </w:rPr>
          <w:t>26</w:t>
        </w:r>
      </w:hyperlink>
    </w:p>
    <w:p w14:paraId="7A7C83E8" w14:textId="2CC886D1"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38" w:history="1">
        <w:r w:rsidR="00B878B0" w:rsidRPr="00F043D1">
          <w:rPr>
            <w:rStyle w:val="Hyperlink"/>
            <w:rFonts w:eastAsia="Calibri"/>
            <w:noProof/>
            <w:lang w:val="en-IE"/>
          </w:rPr>
          <w:t>3-</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Use of the information gathered</w:t>
        </w:r>
        <w:r w:rsidR="00B878B0">
          <w:rPr>
            <w:noProof/>
            <w:webHidden/>
          </w:rPr>
          <w:tab/>
        </w:r>
        <w:r w:rsidR="004C5576">
          <w:rPr>
            <w:noProof/>
            <w:webHidden/>
          </w:rPr>
          <w:t>31</w:t>
        </w:r>
      </w:hyperlink>
    </w:p>
    <w:p w14:paraId="15DD4409" w14:textId="32BB56A2" w:rsidR="00B878B0" w:rsidRDefault="00393BF7">
      <w:pPr>
        <w:pStyle w:val="TOC1"/>
        <w:rPr>
          <w:rFonts w:asciiTheme="minorHAnsi" w:eastAsiaTheme="minorEastAsia" w:hAnsiTheme="minorHAnsi" w:cstheme="minorBidi"/>
          <w:caps w:val="0"/>
          <w:noProof/>
          <w:sz w:val="22"/>
          <w:szCs w:val="22"/>
          <w:lang w:val="en-IE" w:eastAsia="en-IE"/>
        </w:rPr>
      </w:pPr>
      <w:hyperlink w:anchor="_Toc139032939" w:history="1">
        <w:r w:rsidR="00B878B0" w:rsidRPr="00F043D1">
          <w:rPr>
            <w:rStyle w:val="Hyperlink"/>
            <w:noProof/>
            <w:lang w:val="en-IE"/>
          </w:rPr>
          <w:t>Annex 3: Who is affected and how?</w:t>
        </w:r>
        <w:r w:rsidR="00B878B0">
          <w:rPr>
            <w:noProof/>
            <w:webHidden/>
          </w:rPr>
          <w:tab/>
        </w:r>
        <w:r w:rsidR="004C5576">
          <w:rPr>
            <w:noProof/>
            <w:webHidden/>
          </w:rPr>
          <w:t>32</w:t>
        </w:r>
      </w:hyperlink>
    </w:p>
    <w:p w14:paraId="6487BE58" w14:textId="45047FFC"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40" w:history="1">
        <w:r w:rsidR="00B878B0" w:rsidRPr="00F043D1">
          <w:rPr>
            <w:rStyle w:val="Hyperlink"/>
            <w:noProof/>
            <w:lang w:val="en-IE"/>
          </w:rPr>
          <w:t>1-</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Introduction</w:t>
        </w:r>
        <w:r w:rsidR="00B878B0">
          <w:rPr>
            <w:noProof/>
            <w:webHidden/>
          </w:rPr>
          <w:tab/>
        </w:r>
        <w:r w:rsidR="004C5576">
          <w:rPr>
            <w:noProof/>
            <w:webHidden/>
          </w:rPr>
          <w:t>32</w:t>
        </w:r>
      </w:hyperlink>
    </w:p>
    <w:p w14:paraId="469E3532" w14:textId="4478F7BB"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41" w:history="1">
        <w:r w:rsidR="00B878B0" w:rsidRPr="00F043D1">
          <w:rPr>
            <w:rStyle w:val="Hyperlink"/>
            <w:noProof/>
            <w:lang w:val="en-IE"/>
          </w:rPr>
          <w:t>2-</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Practical implications of the initiative: for textiles and textile waste</w:t>
        </w:r>
        <w:r w:rsidR="00B878B0">
          <w:rPr>
            <w:noProof/>
            <w:webHidden/>
          </w:rPr>
          <w:tab/>
        </w:r>
        <w:r w:rsidR="004C5576">
          <w:rPr>
            <w:noProof/>
            <w:webHidden/>
          </w:rPr>
          <w:t>32</w:t>
        </w:r>
      </w:hyperlink>
    </w:p>
    <w:p w14:paraId="3E6BA956" w14:textId="6327DE79"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42" w:history="1">
        <w:r w:rsidR="00B878B0" w:rsidRPr="00F043D1">
          <w:rPr>
            <w:rStyle w:val="Hyperlink"/>
            <w:noProof/>
            <w:lang w:val="en-IE"/>
          </w:rPr>
          <w:t>3-</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Summary of costs and benefits for textiles and textiles waste</w:t>
        </w:r>
        <w:r w:rsidR="00B878B0">
          <w:rPr>
            <w:noProof/>
            <w:webHidden/>
          </w:rPr>
          <w:tab/>
        </w:r>
        <w:r w:rsidR="004C5576">
          <w:rPr>
            <w:noProof/>
            <w:webHidden/>
          </w:rPr>
          <w:t>35</w:t>
        </w:r>
      </w:hyperlink>
    </w:p>
    <w:p w14:paraId="434C30D8" w14:textId="7BDBCA04"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43" w:history="1">
        <w:r w:rsidR="00B878B0" w:rsidRPr="00F043D1">
          <w:rPr>
            <w:rStyle w:val="Hyperlink"/>
            <w:noProof/>
            <w:lang w:val="en-IE"/>
          </w:rPr>
          <w:t>4-</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Practical implications of the initiative for food waste</w:t>
        </w:r>
        <w:r w:rsidR="00B878B0">
          <w:rPr>
            <w:noProof/>
            <w:webHidden/>
          </w:rPr>
          <w:tab/>
        </w:r>
        <w:r w:rsidR="004C5576">
          <w:rPr>
            <w:noProof/>
            <w:webHidden/>
          </w:rPr>
          <w:t>39</w:t>
        </w:r>
      </w:hyperlink>
    </w:p>
    <w:p w14:paraId="5CFA97D2" w14:textId="2DF8E859"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44" w:history="1">
        <w:r w:rsidR="00B878B0" w:rsidRPr="00F043D1">
          <w:rPr>
            <w:rStyle w:val="Hyperlink"/>
            <w:noProof/>
            <w:lang w:val="en-IE"/>
          </w:rPr>
          <w:t>5-</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Summary of costs and benefits for food waste</w:t>
        </w:r>
        <w:r w:rsidR="00B878B0">
          <w:rPr>
            <w:noProof/>
            <w:webHidden/>
          </w:rPr>
          <w:tab/>
        </w:r>
        <w:r w:rsidR="004C5576">
          <w:rPr>
            <w:noProof/>
            <w:webHidden/>
          </w:rPr>
          <w:t>40</w:t>
        </w:r>
      </w:hyperlink>
    </w:p>
    <w:p w14:paraId="149F4CD3" w14:textId="4875F84A"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45" w:history="1">
        <w:r w:rsidR="00B878B0" w:rsidRPr="00F043D1">
          <w:rPr>
            <w:rStyle w:val="Hyperlink"/>
            <w:noProof/>
            <w:lang w:val="en-IE"/>
          </w:rPr>
          <w:t>6-</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Relevant sustainable development goals</w:t>
        </w:r>
        <w:r w:rsidR="00B878B0">
          <w:rPr>
            <w:noProof/>
            <w:webHidden/>
          </w:rPr>
          <w:tab/>
        </w:r>
        <w:r w:rsidR="004C5576">
          <w:rPr>
            <w:noProof/>
            <w:webHidden/>
          </w:rPr>
          <w:t>42</w:t>
        </w:r>
      </w:hyperlink>
    </w:p>
    <w:p w14:paraId="3E5305F5" w14:textId="03F920FB"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46" w:history="1">
        <w:r w:rsidR="00B878B0" w:rsidRPr="00F043D1">
          <w:rPr>
            <w:rStyle w:val="Hyperlink"/>
            <w:noProof/>
            <w:lang w:val="en-IE"/>
          </w:rPr>
          <w:t>7-</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Summary of overall costs and benefits</w:t>
        </w:r>
        <w:r w:rsidR="00B878B0">
          <w:rPr>
            <w:noProof/>
            <w:webHidden/>
          </w:rPr>
          <w:tab/>
        </w:r>
        <w:r w:rsidR="004C5576">
          <w:rPr>
            <w:noProof/>
            <w:webHidden/>
          </w:rPr>
          <w:t>45</w:t>
        </w:r>
      </w:hyperlink>
    </w:p>
    <w:p w14:paraId="1218508A" w14:textId="5DCCA8FB" w:rsidR="00B878B0" w:rsidRDefault="00393BF7">
      <w:pPr>
        <w:pStyle w:val="TOC1"/>
        <w:rPr>
          <w:rFonts w:asciiTheme="minorHAnsi" w:eastAsiaTheme="minorEastAsia" w:hAnsiTheme="minorHAnsi" w:cstheme="minorBidi"/>
          <w:caps w:val="0"/>
          <w:noProof/>
          <w:sz w:val="22"/>
          <w:szCs w:val="22"/>
          <w:lang w:val="en-IE" w:eastAsia="en-IE"/>
        </w:rPr>
      </w:pPr>
      <w:hyperlink w:anchor="_Toc139032947" w:history="1">
        <w:r w:rsidR="00B878B0" w:rsidRPr="00F043D1">
          <w:rPr>
            <w:rStyle w:val="Hyperlink"/>
            <w:noProof/>
            <w:lang w:val="en-IE"/>
          </w:rPr>
          <w:t>Annex 4: Analytical methods</w:t>
        </w:r>
        <w:r w:rsidR="00B878B0">
          <w:rPr>
            <w:noProof/>
            <w:webHidden/>
          </w:rPr>
          <w:tab/>
        </w:r>
        <w:r w:rsidR="004C5576">
          <w:rPr>
            <w:noProof/>
            <w:webHidden/>
          </w:rPr>
          <w:t>47</w:t>
        </w:r>
      </w:hyperlink>
    </w:p>
    <w:p w14:paraId="49D66B04" w14:textId="12D2B7AE"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48" w:history="1">
        <w:r w:rsidR="00B878B0" w:rsidRPr="00F043D1">
          <w:rPr>
            <w:rStyle w:val="Hyperlink"/>
            <w:noProof/>
            <w:lang w:val="en-IE"/>
          </w:rPr>
          <w:t>1.</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Textiles</w:t>
        </w:r>
        <w:r w:rsidR="00B878B0">
          <w:rPr>
            <w:noProof/>
            <w:webHidden/>
          </w:rPr>
          <w:tab/>
        </w:r>
        <w:r w:rsidR="004C5576">
          <w:rPr>
            <w:noProof/>
            <w:webHidden/>
          </w:rPr>
          <w:t>47</w:t>
        </w:r>
      </w:hyperlink>
    </w:p>
    <w:p w14:paraId="41D44AB9" w14:textId="19DA9DDF" w:rsidR="00B878B0" w:rsidRDefault="00393BF7">
      <w:pPr>
        <w:pStyle w:val="TOC3"/>
        <w:rPr>
          <w:rFonts w:asciiTheme="minorHAnsi" w:eastAsiaTheme="minorEastAsia" w:hAnsiTheme="minorHAnsi"/>
          <w:noProof/>
          <w:color w:val="auto"/>
          <w:sz w:val="22"/>
          <w:lang w:val="en-IE" w:eastAsia="en-IE"/>
        </w:rPr>
      </w:pPr>
      <w:hyperlink w:anchor="_Toc139032949" w:history="1">
        <w:r w:rsidR="00B878B0" w:rsidRPr="00F043D1">
          <w:rPr>
            <w:rStyle w:val="Hyperlink"/>
            <w:noProof/>
            <w:lang w:val="en-IE"/>
          </w:rPr>
          <w:t>Methodology</w:t>
        </w:r>
        <w:r w:rsidR="00B878B0">
          <w:rPr>
            <w:noProof/>
            <w:webHidden/>
          </w:rPr>
          <w:tab/>
        </w:r>
        <w:r w:rsidR="004C5576">
          <w:rPr>
            <w:noProof/>
            <w:webHidden/>
          </w:rPr>
          <w:t>47</w:t>
        </w:r>
      </w:hyperlink>
    </w:p>
    <w:p w14:paraId="084385FC" w14:textId="2CB40C1D" w:rsidR="00B878B0" w:rsidRDefault="00393BF7">
      <w:pPr>
        <w:pStyle w:val="TOC3"/>
        <w:rPr>
          <w:rFonts w:asciiTheme="minorHAnsi" w:eastAsiaTheme="minorEastAsia" w:hAnsiTheme="minorHAnsi"/>
          <w:noProof/>
          <w:color w:val="auto"/>
          <w:sz w:val="22"/>
          <w:lang w:val="en-IE" w:eastAsia="en-IE"/>
        </w:rPr>
      </w:pPr>
      <w:hyperlink w:anchor="_Toc139032950" w:history="1">
        <w:r w:rsidR="00B878B0" w:rsidRPr="00F043D1">
          <w:rPr>
            <w:rStyle w:val="Hyperlink"/>
            <w:noProof/>
            <w:lang w:val="en-IE"/>
          </w:rPr>
          <w:t>Assumptions</w:t>
        </w:r>
        <w:r w:rsidR="00B878B0">
          <w:rPr>
            <w:noProof/>
            <w:webHidden/>
          </w:rPr>
          <w:tab/>
        </w:r>
        <w:r w:rsidR="004C5576">
          <w:rPr>
            <w:noProof/>
            <w:webHidden/>
          </w:rPr>
          <w:t>47</w:t>
        </w:r>
      </w:hyperlink>
    </w:p>
    <w:p w14:paraId="2177C1CE" w14:textId="74F1EDB8" w:rsidR="00B878B0" w:rsidRDefault="00393BF7">
      <w:pPr>
        <w:pStyle w:val="TOC3"/>
        <w:rPr>
          <w:rFonts w:asciiTheme="minorHAnsi" w:eastAsiaTheme="minorEastAsia" w:hAnsiTheme="minorHAnsi"/>
          <w:noProof/>
          <w:color w:val="auto"/>
          <w:sz w:val="22"/>
          <w:lang w:val="en-IE" w:eastAsia="en-IE"/>
        </w:rPr>
      </w:pPr>
      <w:hyperlink w:anchor="_Toc139032951" w:history="1">
        <w:r w:rsidR="00B878B0" w:rsidRPr="00F043D1">
          <w:rPr>
            <w:rStyle w:val="Hyperlink"/>
            <w:noProof/>
            <w:lang w:val="en-IE"/>
          </w:rPr>
          <w:t>Calculations performed in the analysis</w:t>
        </w:r>
        <w:r w:rsidR="00B878B0">
          <w:rPr>
            <w:noProof/>
            <w:webHidden/>
          </w:rPr>
          <w:tab/>
        </w:r>
        <w:r w:rsidR="004C5576">
          <w:rPr>
            <w:noProof/>
            <w:webHidden/>
          </w:rPr>
          <w:t>48</w:t>
        </w:r>
      </w:hyperlink>
    </w:p>
    <w:p w14:paraId="0A52CA97" w14:textId="40BACC66" w:rsidR="00B878B0" w:rsidRDefault="00393BF7">
      <w:pPr>
        <w:pStyle w:val="TOC3"/>
        <w:rPr>
          <w:rFonts w:asciiTheme="minorHAnsi" w:eastAsiaTheme="minorEastAsia" w:hAnsiTheme="minorHAnsi"/>
          <w:noProof/>
          <w:color w:val="auto"/>
          <w:sz w:val="22"/>
          <w:lang w:val="en-IE" w:eastAsia="en-IE"/>
        </w:rPr>
      </w:pPr>
      <w:hyperlink w:anchor="_Toc139032952" w:history="1">
        <w:r w:rsidR="00B878B0" w:rsidRPr="00F043D1">
          <w:rPr>
            <w:rStyle w:val="Hyperlink"/>
            <w:noProof/>
            <w:lang w:val="en-IE"/>
          </w:rPr>
          <w:t>Impacts calculations</w:t>
        </w:r>
        <w:r w:rsidR="00B878B0">
          <w:rPr>
            <w:noProof/>
            <w:webHidden/>
          </w:rPr>
          <w:tab/>
        </w:r>
        <w:r w:rsidR="004C5576">
          <w:rPr>
            <w:noProof/>
            <w:webHidden/>
          </w:rPr>
          <w:t>51</w:t>
        </w:r>
      </w:hyperlink>
    </w:p>
    <w:p w14:paraId="2532B2A9" w14:textId="0F7AA59C" w:rsidR="00B878B0" w:rsidRDefault="00393BF7">
      <w:pPr>
        <w:pStyle w:val="TOC3"/>
        <w:rPr>
          <w:rFonts w:asciiTheme="minorHAnsi" w:eastAsiaTheme="minorEastAsia" w:hAnsiTheme="minorHAnsi"/>
          <w:noProof/>
          <w:color w:val="auto"/>
          <w:sz w:val="22"/>
          <w:lang w:val="en-IE" w:eastAsia="en-IE"/>
        </w:rPr>
      </w:pPr>
      <w:hyperlink w:anchor="_Toc139032953" w:history="1">
        <w:r w:rsidR="00B878B0" w:rsidRPr="00F043D1">
          <w:rPr>
            <w:rStyle w:val="Hyperlink"/>
            <w:noProof/>
            <w:lang w:val="en-IE"/>
          </w:rPr>
          <w:t>Determining economic costs and benefits</w:t>
        </w:r>
        <w:r w:rsidR="00B878B0">
          <w:rPr>
            <w:noProof/>
            <w:webHidden/>
          </w:rPr>
          <w:tab/>
        </w:r>
        <w:r w:rsidR="004C5576">
          <w:rPr>
            <w:noProof/>
            <w:webHidden/>
          </w:rPr>
          <w:t>52</w:t>
        </w:r>
      </w:hyperlink>
    </w:p>
    <w:p w14:paraId="24FCD2E4" w14:textId="1F090293" w:rsidR="00B878B0" w:rsidRDefault="00393BF7">
      <w:pPr>
        <w:pStyle w:val="TOC3"/>
        <w:rPr>
          <w:rFonts w:asciiTheme="minorHAnsi" w:eastAsiaTheme="minorEastAsia" w:hAnsiTheme="minorHAnsi"/>
          <w:noProof/>
          <w:color w:val="auto"/>
          <w:sz w:val="22"/>
          <w:lang w:val="en-IE" w:eastAsia="en-IE"/>
        </w:rPr>
      </w:pPr>
      <w:hyperlink w:anchor="_Toc139032954" w:history="1">
        <w:r w:rsidR="00B878B0" w:rsidRPr="00F043D1">
          <w:rPr>
            <w:rStyle w:val="Hyperlink"/>
            <w:noProof/>
            <w:lang w:val="en-IE"/>
          </w:rPr>
          <w:t xml:space="preserve">Determining </w:t>
        </w:r>
        <w:r w:rsidR="00B878B0" w:rsidRPr="00F043D1">
          <w:rPr>
            <w:rStyle w:val="Hyperlink"/>
            <w:b/>
            <w:noProof/>
            <w:lang w:val="en-IE"/>
          </w:rPr>
          <w:t>social costs and benefits</w:t>
        </w:r>
        <w:r w:rsidR="00B878B0">
          <w:rPr>
            <w:noProof/>
            <w:webHidden/>
          </w:rPr>
          <w:tab/>
        </w:r>
        <w:r w:rsidR="004C5576">
          <w:rPr>
            <w:noProof/>
            <w:webHidden/>
          </w:rPr>
          <w:t>57</w:t>
        </w:r>
      </w:hyperlink>
    </w:p>
    <w:p w14:paraId="123331F9" w14:textId="24F9BF1D" w:rsidR="00B878B0" w:rsidRDefault="00393BF7">
      <w:pPr>
        <w:pStyle w:val="TOC3"/>
        <w:rPr>
          <w:rFonts w:asciiTheme="minorHAnsi" w:eastAsiaTheme="minorEastAsia" w:hAnsiTheme="minorHAnsi"/>
          <w:noProof/>
          <w:color w:val="auto"/>
          <w:sz w:val="22"/>
          <w:lang w:val="en-IE" w:eastAsia="en-IE"/>
        </w:rPr>
      </w:pPr>
      <w:hyperlink w:anchor="_Toc139032955" w:history="1">
        <w:r w:rsidR="00B878B0" w:rsidRPr="00F043D1">
          <w:rPr>
            <w:rStyle w:val="Hyperlink"/>
            <w:noProof/>
            <w:lang w:val="en-IE"/>
          </w:rPr>
          <w:t xml:space="preserve">Determining </w:t>
        </w:r>
        <w:r w:rsidR="00B878B0" w:rsidRPr="00F043D1">
          <w:rPr>
            <w:rStyle w:val="Hyperlink"/>
            <w:b/>
            <w:noProof/>
            <w:lang w:val="en-IE"/>
          </w:rPr>
          <w:t>environmental costs and benefits</w:t>
        </w:r>
        <w:r w:rsidR="00B878B0">
          <w:rPr>
            <w:noProof/>
            <w:webHidden/>
          </w:rPr>
          <w:tab/>
        </w:r>
        <w:r w:rsidR="004C5576">
          <w:rPr>
            <w:noProof/>
            <w:webHidden/>
          </w:rPr>
          <w:t>58</w:t>
        </w:r>
      </w:hyperlink>
    </w:p>
    <w:p w14:paraId="5110D953" w14:textId="662E7495" w:rsidR="00B878B0" w:rsidRDefault="00393BF7">
      <w:pPr>
        <w:pStyle w:val="TOC3"/>
        <w:rPr>
          <w:rFonts w:asciiTheme="minorHAnsi" w:eastAsiaTheme="minorEastAsia" w:hAnsiTheme="minorHAnsi"/>
          <w:noProof/>
          <w:color w:val="auto"/>
          <w:sz w:val="22"/>
          <w:lang w:val="en-IE" w:eastAsia="en-IE"/>
        </w:rPr>
      </w:pPr>
      <w:hyperlink w:anchor="_Toc139032956" w:history="1">
        <w:r w:rsidR="00B878B0" w:rsidRPr="00F043D1">
          <w:rPr>
            <w:rStyle w:val="Hyperlink"/>
            <w:noProof/>
            <w:lang w:val="en-IE"/>
          </w:rPr>
          <w:t>Qualitative Assessment</w:t>
        </w:r>
        <w:r w:rsidR="00B878B0">
          <w:rPr>
            <w:noProof/>
            <w:webHidden/>
          </w:rPr>
          <w:tab/>
        </w:r>
        <w:r w:rsidR="004C5576">
          <w:rPr>
            <w:noProof/>
            <w:webHidden/>
          </w:rPr>
          <w:t>63</w:t>
        </w:r>
      </w:hyperlink>
    </w:p>
    <w:p w14:paraId="0E6E2404" w14:textId="4630F5D0"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57" w:history="1">
        <w:r w:rsidR="00B878B0" w:rsidRPr="00F043D1">
          <w:rPr>
            <w:rStyle w:val="Hyperlink"/>
            <w:noProof/>
            <w:lang w:val="en-IE"/>
          </w:rPr>
          <w:t>2.</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Food Waste</w:t>
        </w:r>
        <w:r w:rsidR="00B878B0">
          <w:rPr>
            <w:noProof/>
            <w:webHidden/>
          </w:rPr>
          <w:tab/>
        </w:r>
        <w:r w:rsidR="004C5576">
          <w:rPr>
            <w:noProof/>
            <w:webHidden/>
          </w:rPr>
          <w:t>64</w:t>
        </w:r>
      </w:hyperlink>
    </w:p>
    <w:p w14:paraId="32685F48" w14:textId="0D3B0556" w:rsidR="00B878B0" w:rsidRDefault="00393BF7">
      <w:pPr>
        <w:pStyle w:val="TOC3"/>
        <w:rPr>
          <w:rFonts w:asciiTheme="minorHAnsi" w:eastAsiaTheme="minorEastAsia" w:hAnsiTheme="minorHAnsi"/>
          <w:noProof/>
          <w:color w:val="auto"/>
          <w:sz w:val="22"/>
          <w:lang w:val="en-IE" w:eastAsia="en-IE"/>
        </w:rPr>
      </w:pPr>
      <w:hyperlink w:anchor="_Toc139032958" w:history="1">
        <w:r w:rsidR="00B878B0" w:rsidRPr="00F043D1">
          <w:rPr>
            <w:rStyle w:val="Hyperlink"/>
            <w:noProof/>
            <w:lang w:val="en-IE"/>
          </w:rPr>
          <w:t>2.1</w:t>
        </w:r>
        <w:r w:rsidR="00B878B0">
          <w:rPr>
            <w:rFonts w:asciiTheme="minorHAnsi" w:eastAsiaTheme="minorEastAsia" w:hAnsiTheme="minorHAnsi"/>
            <w:noProof/>
            <w:color w:val="auto"/>
            <w:sz w:val="22"/>
            <w:lang w:val="en-IE" w:eastAsia="en-IE"/>
          </w:rPr>
          <w:tab/>
        </w:r>
        <w:r w:rsidR="00B878B0" w:rsidRPr="00F043D1">
          <w:rPr>
            <w:rStyle w:val="Hyperlink"/>
            <w:noProof/>
            <w:lang w:val="en-IE"/>
          </w:rPr>
          <w:t>Extended modelling framework for the assessment of food waste reduction targets</w:t>
        </w:r>
        <w:r w:rsidR="00B878B0">
          <w:rPr>
            <w:noProof/>
            <w:webHidden/>
          </w:rPr>
          <w:tab/>
        </w:r>
        <w:r w:rsidR="004C5576">
          <w:rPr>
            <w:noProof/>
            <w:webHidden/>
          </w:rPr>
          <w:t>64</w:t>
        </w:r>
      </w:hyperlink>
    </w:p>
    <w:p w14:paraId="691C1EFA" w14:textId="736BF0BC" w:rsidR="00B878B0" w:rsidRDefault="00393BF7">
      <w:pPr>
        <w:pStyle w:val="TOC3"/>
        <w:rPr>
          <w:rFonts w:asciiTheme="minorHAnsi" w:eastAsiaTheme="minorEastAsia" w:hAnsiTheme="minorHAnsi"/>
          <w:noProof/>
          <w:color w:val="auto"/>
          <w:sz w:val="22"/>
          <w:lang w:val="en-IE" w:eastAsia="en-IE"/>
        </w:rPr>
      </w:pPr>
      <w:hyperlink w:anchor="_Toc139032959" w:history="1">
        <w:r w:rsidR="00B878B0" w:rsidRPr="00F043D1">
          <w:rPr>
            <w:rStyle w:val="Hyperlink"/>
            <w:noProof/>
            <w:lang w:val="en-IE"/>
          </w:rPr>
          <w:t>2.1.1</w:t>
        </w:r>
        <w:r w:rsidR="00B878B0">
          <w:rPr>
            <w:rFonts w:asciiTheme="minorHAnsi" w:eastAsiaTheme="minorEastAsia" w:hAnsiTheme="minorHAnsi"/>
            <w:noProof/>
            <w:color w:val="auto"/>
            <w:sz w:val="22"/>
            <w:lang w:val="en-IE" w:eastAsia="en-IE"/>
          </w:rPr>
          <w:tab/>
        </w:r>
        <w:r w:rsidR="00B878B0" w:rsidRPr="00F043D1">
          <w:rPr>
            <w:rStyle w:val="Hyperlink"/>
            <w:noProof/>
            <w:lang w:val="en-IE"/>
          </w:rPr>
          <w:t>MAGNET model and database</w:t>
        </w:r>
        <w:r w:rsidR="00B878B0">
          <w:rPr>
            <w:noProof/>
            <w:webHidden/>
          </w:rPr>
          <w:tab/>
        </w:r>
        <w:r w:rsidR="004C5576">
          <w:rPr>
            <w:noProof/>
            <w:webHidden/>
          </w:rPr>
          <w:t>64</w:t>
        </w:r>
      </w:hyperlink>
    </w:p>
    <w:p w14:paraId="76DD4425" w14:textId="72399286" w:rsidR="00B878B0" w:rsidRDefault="00393BF7">
      <w:pPr>
        <w:pStyle w:val="TOC3"/>
        <w:rPr>
          <w:rFonts w:asciiTheme="minorHAnsi" w:eastAsiaTheme="minorEastAsia" w:hAnsiTheme="minorHAnsi"/>
          <w:noProof/>
          <w:color w:val="auto"/>
          <w:sz w:val="22"/>
          <w:lang w:val="en-IE" w:eastAsia="en-IE"/>
        </w:rPr>
      </w:pPr>
      <w:hyperlink w:anchor="_Toc139032960" w:history="1">
        <w:r w:rsidR="00B878B0" w:rsidRPr="00F043D1">
          <w:rPr>
            <w:rStyle w:val="Hyperlink"/>
            <w:noProof/>
            <w:lang w:val="en-IE"/>
          </w:rPr>
          <w:t>2.1.2</w:t>
        </w:r>
        <w:r w:rsidR="00B878B0">
          <w:rPr>
            <w:rFonts w:asciiTheme="minorHAnsi" w:eastAsiaTheme="minorEastAsia" w:hAnsiTheme="minorHAnsi"/>
            <w:noProof/>
            <w:color w:val="auto"/>
            <w:sz w:val="22"/>
            <w:lang w:val="en-IE" w:eastAsia="en-IE"/>
          </w:rPr>
          <w:tab/>
        </w:r>
        <w:r w:rsidR="00B878B0" w:rsidRPr="00F043D1">
          <w:rPr>
            <w:rStyle w:val="Hyperlink"/>
            <w:noProof/>
            <w:lang w:val="en-IE"/>
          </w:rPr>
          <w:t>The MAGNET model in policy assessments and science</w:t>
        </w:r>
        <w:r w:rsidR="00B878B0">
          <w:rPr>
            <w:noProof/>
            <w:webHidden/>
          </w:rPr>
          <w:tab/>
        </w:r>
        <w:r w:rsidR="004C5576">
          <w:rPr>
            <w:noProof/>
            <w:webHidden/>
          </w:rPr>
          <w:t>65</w:t>
        </w:r>
      </w:hyperlink>
    </w:p>
    <w:p w14:paraId="218C2BCA" w14:textId="7CF7B81E" w:rsidR="00B878B0" w:rsidRDefault="00393BF7">
      <w:pPr>
        <w:pStyle w:val="TOC3"/>
        <w:rPr>
          <w:rFonts w:asciiTheme="minorHAnsi" w:eastAsiaTheme="minorEastAsia" w:hAnsiTheme="minorHAnsi"/>
          <w:noProof/>
          <w:color w:val="auto"/>
          <w:sz w:val="22"/>
          <w:lang w:val="en-IE" w:eastAsia="en-IE"/>
        </w:rPr>
      </w:pPr>
      <w:hyperlink w:anchor="_Toc139032961" w:history="1">
        <w:r w:rsidR="00B878B0" w:rsidRPr="00F043D1">
          <w:rPr>
            <w:rStyle w:val="Hyperlink"/>
            <w:noProof/>
            <w:lang w:val="en-IE"/>
          </w:rPr>
          <w:t>2.1.3</w:t>
        </w:r>
        <w:r w:rsidR="00B878B0">
          <w:rPr>
            <w:rFonts w:asciiTheme="minorHAnsi" w:eastAsiaTheme="minorEastAsia" w:hAnsiTheme="minorHAnsi"/>
            <w:noProof/>
            <w:color w:val="auto"/>
            <w:sz w:val="22"/>
            <w:lang w:val="en-IE" w:eastAsia="en-IE"/>
          </w:rPr>
          <w:tab/>
        </w:r>
        <w:r w:rsidR="00B878B0" w:rsidRPr="00F043D1">
          <w:rPr>
            <w:rStyle w:val="Hyperlink"/>
            <w:noProof/>
            <w:lang w:val="en-IE"/>
          </w:rPr>
          <w:t>Extension of MAGNET modelling framework</w:t>
        </w:r>
        <w:r w:rsidR="00B878B0">
          <w:rPr>
            <w:noProof/>
            <w:webHidden/>
          </w:rPr>
          <w:tab/>
        </w:r>
        <w:r w:rsidR="004C5576">
          <w:rPr>
            <w:noProof/>
            <w:webHidden/>
          </w:rPr>
          <w:t>66</w:t>
        </w:r>
      </w:hyperlink>
    </w:p>
    <w:p w14:paraId="1978B10A" w14:textId="53A2E67F" w:rsidR="00B878B0" w:rsidRDefault="00393BF7">
      <w:pPr>
        <w:pStyle w:val="TOC3"/>
        <w:rPr>
          <w:rFonts w:asciiTheme="minorHAnsi" w:eastAsiaTheme="minorEastAsia" w:hAnsiTheme="minorHAnsi"/>
          <w:noProof/>
          <w:color w:val="auto"/>
          <w:sz w:val="22"/>
          <w:lang w:val="en-IE" w:eastAsia="en-IE"/>
        </w:rPr>
      </w:pPr>
      <w:hyperlink w:anchor="_Toc139032962" w:history="1">
        <w:r w:rsidR="00B878B0" w:rsidRPr="00F043D1">
          <w:rPr>
            <w:rStyle w:val="Hyperlink"/>
            <w:noProof/>
            <w:lang w:val="en-IE"/>
          </w:rPr>
          <w:t xml:space="preserve">Waste module set up in </w:t>
        </w:r>
        <w:r w:rsidR="00B878B0" w:rsidRPr="00F043D1">
          <w:rPr>
            <w:rStyle w:val="Hyperlink"/>
            <w:iCs/>
            <w:noProof/>
            <w:lang w:val="en-IE"/>
          </w:rPr>
          <w:t>MAGNET</w:t>
        </w:r>
        <w:r w:rsidR="00B878B0">
          <w:rPr>
            <w:noProof/>
            <w:webHidden/>
          </w:rPr>
          <w:tab/>
        </w:r>
        <w:r w:rsidR="004C5576">
          <w:rPr>
            <w:noProof/>
            <w:webHidden/>
          </w:rPr>
          <w:t>67</w:t>
        </w:r>
      </w:hyperlink>
    </w:p>
    <w:p w14:paraId="462C7924" w14:textId="3D319557" w:rsidR="00B878B0" w:rsidRDefault="00393BF7">
      <w:pPr>
        <w:pStyle w:val="TOC3"/>
        <w:rPr>
          <w:rFonts w:asciiTheme="minorHAnsi" w:eastAsiaTheme="minorEastAsia" w:hAnsiTheme="minorHAnsi"/>
          <w:noProof/>
          <w:color w:val="auto"/>
          <w:sz w:val="22"/>
          <w:lang w:val="en-IE" w:eastAsia="en-IE"/>
        </w:rPr>
      </w:pPr>
      <w:hyperlink w:anchor="_Toc139032963" w:history="1">
        <w:r w:rsidR="00B878B0" w:rsidRPr="00F043D1">
          <w:rPr>
            <w:rStyle w:val="Hyperlink"/>
            <w:noProof/>
            <w:lang w:val="en-IE"/>
          </w:rPr>
          <w:t>Extension of the waste module</w:t>
        </w:r>
        <w:r w:rsidR="00B878B0">
          <w:rPr>
            <w:noProof/>
            <w:webHidden/>
          </w:rPr>
          <w:tab/>
        </w:r>
        <w:r w:rsidR="004C5576">
          <w:rPr>
            <w:noProof/>
            <w:webHidden/>
          </w:rPr>
          <w:t>68</w:t>
        </w:r>
      </w:hyperlink>
    </w:p>
    <w:p w14:paraId="33302FDF" w14:textId="1EDE274D" w:rsidR="00B878B0" w:rsidRDefault="00393BF7">
      <w:pPr>
        <w:pStyle w:val="TOC3"/>
        <w:rPr>
          <w:rFonts w:asciiTheme="minorHAnsi" w:eastAsiaTheme="minorEastAsia" w:hAnsiTheme="minorHAnsi"/>
          <w:noProof/>
          <w:color w:val="auto"/>
          <w:sz w:val="22"/>
          <w:lang w:val="en-IE" w:eastAsia="en-IE"/>
        </w:rPr>
      </w:pPr>
      <w:hyperlink w:anchor="_Toc139032964" w:history="1">
        <w:r w:rsidR="00B878B0" w:rsidRPr="00F043D1">
          <w:rPr>
            <w:rStyle w:val="Hyperlink"/>
            <w:noProof/>
            <w:lang w:val="en-IE"/>
          </w:rPr>
          <w:t xml:space="preserve">Modelling changes in waste </w:t>
        </w:r>
        <w:r w:rsidR="00B878B0" w:rsidRPr="00F043D1">
          <w:rPr>
            <w:rStyle w:val="Hyperlink"/>
            <w:iCs/>
            <w:noProof/>
            <w:lang w:val="en-IE"/>
          </w:rPr>
          <w:t>quantities</w:t>
        </w:r>
        <w:r w:rsidR="00B878B0">
          <w:rPr>
            <w:noProof/>
            <w:webHidden/>
          </w:rPr>
          <w:tab/>
        </w:r>
        <w:r w:rsidR="004C5576">
          <w:rPr>
            <w:noProof/>
            <w:webHidden/>
          </w:rPr>
          <w:t>69</w:t>
        </w:r>
      </w:hyperlink>
    </w:p>
    <w:p w14:paraId="5AA95706" w14:textId="675F50D9" w:rsidR="00B878B0" w:rsidRDefault="00393BF7">
      <w:pPr>
        <w:pStyle w:val="TOC3"/>
        <w:rPr>
          <w:rFonts w:asciiTheme="minorHAnsi" w:eastAsiaTheme="minorEastAsia" w:hAnsiTheme="minorHAnsi"/>
          <w:noProof/>
          <w:color w:val="auto"/>
          <w:sz w:val="22"/>
          <w:lang w:val="en-IE" w:eastAsia="en-IE"/>
        </w:rPr>
      </w:pPr>
      <w:hyperlink w:anchor="_Toc139032965" w:history="1">
        <w:r w:rsidR="00B878B0" w:rsidRPr="00F043D1">
          <w:rPr>
            <w:rStyle w:val="Hyperlink"/>
            <w:noProof/>
            <w:lang w:val="en-IE"/>
          </w:rPr>
          <w:t>MAGNET indicator framework</w:t>
        </w:r>
        <w:r w:rsidR="00B878B0">
          <w:rPr>
            <w:noProof/>
            <w:webHidden/>
          </w:rPr>
          <w:tab/>
        </w:r>
        <w:r w:rsidR="004C5576">
          <w:rPr>
            <w:noProof/>
            <w:webHidden/>
          </w:rPr>
          <w:t>69</w:t>
        </w:r>
      </w:hyperlink>
    </w:p>
    <w:p w14:paraId="2D7C794B" w14:textId="71DCC73A" w:rsidR="00B878B0" w:rsidRDefault="00393BF7">
      <w:pPr>
        <w:pStyle w:val="TOC3"/>
        <w:rPr>
          <w:rFonts w:asciiTheme="minorHAnsi" w:eastAsiaTheme="minorEastAsia" w:hAnsiTheme="minorHAnsi"/>
          <w:noProof/>
          <w:color w:val="auto"/>
          <w:sz w:val="22"/>
          <w:lang w:val="en-IE" w:eastAsia="en-IE"/>
        </w:rPr>
      </w:pPr>
      <w:hyperlink w:anchor="_Toc139032966" w:history="1">
        <w:r w:rsidR="00B878B0" w:rsidRPr="00F043D1">
          <w:rPr>
            <w:rStyle w:val="Hyperlink"/>
            <w:noProof/>
            <w:lang w:val="en-IE"/>
          </w:rPr>
          <w:t>2.1.4</w:t>
        </w:r>
        <w:r w:rsidR="00B878B0">
          <w:rPr>
            <w:rFonts w:asciiTheme="minorHAnsi" w:eastAsiaTheme="minorEastAsia" w:hAnsiTheme="minorHAnsi"/>
            <w:noProof/>
            <w:color w:val="auto"/>
            <w:sz w:val="22"/>
            <w:lang w:val="en-IE" w:eastAsia="en-IE"/>
          </w:rPr>
          <w:tab/>
        </w:r>
        <w:r w:rsidR="00B878B0" w:rsidRPr="00F043D1">
          <w:rPr>
            <w:rStyle w:val="Hyperlink"/>
            <w:noProof/>
            <w:lang w:val="en-IE"/>
          </w:rPr>
          <w:t>Database and model aggregation</w:t>
        </w:r>
        <w:r w:rsidR="00B878B0">
          <w:rPr>
            <w:noProof/>
            <w:webHidden/>
          </w:rPr>
          <w:tab/>
        </w:r>
        <w:r w:rsidR="004C5576">
          <w:rPr>
            <w:noProof/>
            <w:webHidden/>
          </w:rPr>
          <w:t>70</w:t>
        </w:r>
      </w:hyperlink>
    </w:p>
    <w:p w14:paraId="1B45EC3E" w14:textId="06851225" w:rsidR="00B878B0" w:rsidRDefault="00393BF7">
      <w:pPr>
        <w:pStyle w:val="TOC3"/>
        <w:rPr>
          <w:rFonts w:asciiTheme="minorHAnsi" w:eastAsiaTheme="minorEastAsia" w:hAnsiTheme="minorHAnsi"/>
          <w:noProof/>
          <w:color w:val="auto"/>
          <w:sz w:val="22"/>
          <w:lang w:val="en-IE" w:eastAsia="en-IE"/>
        </w:rPr>
      </w:pPr>
      <w:hyperlink w:anchor="_Toc139032967" w:history="1">
        <w:r w:rsidR="00B878B0" w:rsidRPr="00F043D1">
          <w:rPr>
            <w:rStyle w:val="Hyperlink"/>
            <w:noProof/>
            <w:lang w:val="en-IE"/>
          </w:rPr>
          <w:t>2.1.5</w:t>
        </w:r>
        <w:r w:rsidR="00B878B0">
          <w:rPr>
            <w:rFonts w:asciiTheme="minorHAnsi" w:eastAsiaTheme="minorEastAsia" w:hAnsiTheme="minorHAnsi"/>
            <w:noProof/>
            <w:color w:val="auto"/>
            <w:sz w:val="22"/>
            <w:lang w:val="en-IE" w:eastAsia="en-IE"/>
          </w:rPr>
          <w:tab/>
        </w:r>
        <w:r w:rsidR="00B878B0" w:rsidRPr="00F043D1">
          <w:rPr>
            <w:rStyle w:val="Hyperlink"/>
            <w:noProof/>
            <w:lang w:val="en-IE"/>
          </w:rPr>
          <w:t>Food waste data in the model</w:t>
        </w:r>
        <w:r w:rsidR="00B878B0">
          <w:rPr>
            <w:noProof/>
            <w:webHidden/>
          </w:rPr>
          <w:tab/>
        </w:r>
        <w:r w:rsidR="004C5576">
          <w:rPr>
            <w:noProof/>
            <w:webHidden/>
          </w:rPr>
          <w:t>72</w:t>
        </w:r>
      </w:hyperlink>
    </w:p>
    <w:p w14:paraId="6484D0A0" w14:textId="72E338DB" w:rsidR="00B878B0" w:rsidRDefault="00393BF7">
      <w:pPr>
        <w:pStyle w:val="TOC3"/>
        <w:rPr>
          <w:rFonts w:asciiTheme="minorHAnsi" w:eastAsiaTheme="minorEastAsia" w:hAnsiTheme="minorHAnsi"/>
          <w:noProof/>
          <w:color w:val="auto"/>
          <w:sz w:val="22"/>
          <w:lang w:val="en-IE" w:eastAsia="en-IE"/>
        </w:rPr>
      </w:pPr>
      <w:hyperlink w:anchor="_Toc139032968" w:history="1">
        <w:r w:rsidR="00B878B0" w:rsidRPr="00F043D1">
          <w:rPr>
            <w:rStyle w:val="Hyperlink"/>
            <w:noProof/>
            <w:lang w:val="en-IE"/>
          </w:rPr>
          <w:t>2.1.6</w:t>
        </w:r>
        <w:r w:rsidR="00B878B0">
          <w:rPr>
            <w:rFonts w:asciiTheme="minorHAnsi" w:eastAsiaTheme="minorEastAsia" w:hAnsiTheme="minorHAnsi"/>
            <w:noProof/>
            <w:color w:val="auto"/>
            <w:sz w:val="22"/>
            <w:lang w:val="en-IE" w:eastAsia="en-IE"/>
          </w:rPr>
          <w:tab/>
        </w:r>
        <w:r w:rsidR="00B878B0" w:rsidRPr="00F043D1">
          <w:rPr>
            <w:rStyle w:val="Hyperlink"/>
            <w:noProof/>
            <w:lang w:val="en-IE"/>
          </w:rPr>
          <w:t>Discussion of the modelling approach</w:t>
        </w:r>
        <w:r w:rsidR="00B878B0">
          <w:rPr>
            <w:noProof/>
            <w:webHidden/>
          </w:rPr>
          <w:tab/>
        </w:r>
        <w:r w:rsidR="004C5576">
          <w:rPr>
            <w:noProof/>
            <w:webHidden/>
          </w:rPr>
          <w:t>74</w:t>
        </w:r>
      </w:hyperlink>
    </w:p>
    <w:p w14:paraId="56447C9D" w14:textId="0401561C" w:rsidR="00B878B0" w:rsidRDefault="00393BF7">
      <w:pPr>
        <w:pStyle w:val="TOC3"/>
        <w:rPr>
          <w:rFonts w:asciiTheme="minorHAnsi" w:eastAsiaTheme="minorEastAsia" w:hAnsiTheme="minorHAnsi"/>
          <w:noProof/>
          <w:color w:val="auto"/>
          <w:sz w:val="22"/>
          <w:lang w:val="en-IE" w:eastAsia="en-IE"/>
        </w:rPr>
      </w:pPr>
      <w:hyperlink w:anchor="_Toc139032969" w:history="1">
        <w:r w:rsidR="00B878B0" w:rsidRPr="00F043D1">
          <w:rPr>
            <w:rStyle w:val="Hyperlink"/>
            <w:noProof/>
            <w:lang w:val="en-IE"/>
          </w:rPr>
          <w:t>2.2</w:t>
        </w:r>
        <w:r w:rsidR="00B878B0">
          <w:rPr>
            <w:rFonts w:asciiTheme="minorHAnsi" w:eastAsiaTheme="minorEastAsia" w:hAnsiTheme="minorHAnsi"/>
            <w:noProof/>
            <w:color w:val="auto"/>
            <w:sz w:val="22"/>
            <w:lang w:val="en-IE" w:eastAsia="en-IE"/>
          </w:rPr>
          <w:tab/>
        </w:r>
        <w:r w:rsidR="00B878B0" w:rsidRPr="00F043D1">
          <w:rPr>
            <w:rStyle w:val="Hyperlink"/>
            <w:noProof/>
            <w:lang w:val="en-IE"/>
          </w:rPr>
          <w:t>Bottom-up Life Cycle-based analysis of food waste reduction targets</w:t>
        </w:r>
        <w:r w:rsidR="00B878B0">
          <w:rPr>
            <w:noProof/>
            <w:webHidden/>
          </w:rPr>
          <w:tab/>
        </w:r>
        <w:r w:rsidR="004C5576">
          <w:rPr>
            <w:noProof/>
            <w:webHidden/>
          </w:rPr>
          <w:t>76</w:t>
        </w:r>
      </w:hyperlink>
    </w:p>
    <w:p w14:paraId="1C6D81DB" w14:textId="40806A11" w:rsidR="00B878B0" w:rsidRDefault="00393BF7">
      <w:pPr>
        <w:pStyle w:val="TOC3"/>
        <w:rPr>
          <w:rFonts w:asciiTheme="minorHAnsi" w:eastAsiaTheme="minorEastAsia" w:hAnsiTheme="minorHAnsi"/>
          <w:noProof/>
          <w:color w:val="auto"/>
          <w:sz w:val="22"/>
          <w:lang w:val="en-IE" w:eastAsia="en-IE"/>
        </w:rPr>
      </w:pPr>
      <w:hyperlink w:anchor="_Toc139032970" w:history="1">
        <w:r w:rsidR="00B878B0" w:rsidRPr="00F043D1">
          <w:rPr>
            <w:rStyle w:val="Hyperlink"/>
            <w:noProof/>
            <w:lang w:val="en-IE"/>
          </w:rPr>
          <w:t>2.2.1 Methodological approach</w:t>
        </w:r>
        <w:r w:rsidR="00B878B0">
          <w:rPr>
            <w:noProof/>
            <w:webHidden/>
          </w:rPr>
          <w:tab/>
        </w:r>
        <w:r w:rsidR="004C5576">
          <w:rPr>
            <w:noProof/>
            <w:webHidden/>
          </w:rPr>
          <w:t>76</w:t>
        </w:r>
      </w:hyperlink>
    </w:p>
    <w:p w14:paraId="301B7AD6" w14:textId="43AD7E4E" w:rsidR="00B878B0" w:rsidRDefault="00393BF7">
      <w:pPr>
        <w:pStyle w:val="TOC3"/>
        <w:rPr>
          <w:rFonts w:asciiTheme="minorHAnsi" w:eastAsiaTheme="minorEastAsia" w:hAnsiTheme="minorHAnsi"/>
          <w:noProof/>
          <w:color w:val="auto"/>
          <w:sz w:val="22"/>
          <w:lang w:val="en-IE" w:eastAsia="en-IE"/>
        </w:rPr>
      </w:pPr>
      <w:hyperlink w:anchor="_Toc139032971" w:history="1">
        <w:r w:rsidR="00B878B0" w:rsidRPr="00F043D1">
          <w:rPr>
            <w:rStyle w:val="Hyperlink"/>
            <w:noProof/>
            <w:lang w:val="en-IE"/>
          </w:rPr>
          <w:t>2.2.2 The Consumption Footprint model in policy assessment</w:t>
        </w:r>
        <w:r w:rsidR="00B878B0">
          <w:rPr>
            <w:noProof/>
            <w:webHidden/>
          </w:rPr>
          <w:tab/>
        </w:r>
        <w:r w:rsidR="004C5576">
          <w:rPr>
            <w:noProof/>
            <w:webHidden/>
          </w:rPr>
          <w:t>78</w:t>
        </w:r>
      </w:hyperlink>
    </w:p>
    <w:p w14:paraId="29443A23" w14:textId="50F45453" w:rsidR="00B878B0" w:rsidRDefault="00393BF7">
      <w:pPr>
        <w:pStyle w:val="TOC1"/>
        <w:rPr>
          <w:rFonts w:asciiTheme="minorHAnsi" w:eastAsiaTheme="minorEastAsia" w:hAnsiTheme="minorHAnsi" w:cstheme="minorBidi"/>
          <w:caps w:val="0"/>
          <w:noProof/>
          <w:sz w:val="22"/>
          <w:szCs w:val="22"/>
          <w:lang w:val="en-IE" w:eastAsia="en-IE"/>
        </w:rPr>
      </w:pPr>
      <w:hyperlink w:anchor="_Toc139032972" w:history="1">
        <w:r w:rsidR="00B878B0" w:rsidRPr="00F043D1">
          <w:rPr>
            <w:rStyle w:val="Hyperlink"/>
            <w:noProof/>
            <w:lang w:val="en-IE"/>
          </w:rPr>
          <w:t>Annex 5: Political and Legal Context</w:t>
        </w:r>
        <w:r w:rsidR="00B878B0">
          <w:rPr>
            <w:noProof/>
            <w:webHidden/>
          </w:rPr>
          <w:tab/>
        </w:r>
        <w:r w:rsidR="004C5576">
          <w:rPr>
            <w:noProof/>
            <w:webHidden/>
          </w:rPr>
          <w:t>79</w:t>
        </w:r>
      </w:hyperlink>
    </w:p>
    <w:p w14:paraId="397714C0" w14:textId="513DA484"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73" w:history="1">
        <w:r w:rsidR="00B878B0" w:rsidRPr="00F043D1">
          <w:rPr>
            <w:rStyle w:val="Hyperlink"/>
            <w:noProof/>
            <w:lang w:val="en-IE"/>
          </w:rPr>
          <w:t>1-</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Textiles</w:t>
        </w:r>
        <w:r w:rsidR="00B878B0">
          <w:rPr>
            <w:noProof/>
            <w:webHidden/>
          </w:rPr>
          <w:tab/>
        </w:r>
        <w:r w:rsidR="004C5576">
          <w:rPr>
            <w:noProof/>
            <w:webHidden/>
          </w:rPr>
          <w:t>84</w:t>
        </w:r>
      </w:hyperlink>
    </w:p>
    <w:p w14:paraId="2863E0E5" w14:textId="7509828E" w:rsidR="00B878B0" w:rsidRDefault="00393BF7">
      <w:pPr>
        <w:pStyle w:val="TOC3"/>
        <w:rPr>
          <w:rFonts w:asciiTheme="minorHAnsi" w:eastAsiaTheme="minorEastAsia" w:hAnsiTheme="minorHAnsi"/>
          <w:noProof/>
          <w:color w:val="auto"/>
          <w:sz w:val="22"/>
          <w:lang w:val="en-IE" w:eastAsia="en-IE"/>
        </w:rPr>
      </w:pPr>
      <w:hyperlink w:anchor="_Toc139032974" w:history="1">
        <w:r w:rsidR="00B878B0" w:rsidRPr="00F043D1">
          <w:rPr>
            <w:rStyle w:val="Hyperlink"/>
            <w:noProof/>
            <w:lang w:val="en-IE"/>
          </w:rPr>
          <w:t>Coherence Analysis</w:t>
        </w:r>
        <w:r w:rsidR="00B878B0">
          <w:rPr>
            <w:noProof/>
            <w:webHidden/>
          </w:rPr>
          <w:tab/>
        </w:r>
        <w:r w:rsidR="004C5576">
          <w:rPr>
            <w:noProof/>
            <w:webHidden/>
          </w:rPr>
          <w:t>86</w:t>
        </w:r>
      </w:hyperlink>
    </w:p>
    <w:p w14:paraId="1AB76E30" w14:textId="714CDA26"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75" w:history="1">
        <w:r w:rsidR="00B878B0" w:rsidRPr="00F043D1">
          <w:rPr>
            <w:rStyle w:val="Hyperlink"/>
            <w:noProof/>
            <w:lang w:val="en-IE"/>
          </w:rPr>
          <w:t>2-</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Food Waste</w:t>
        </w:r>
        <w:r w:rsidR="00B878B0">
          <w:rPr>
            <w:noProof/>
            <w:webHidden/>
          </w:rPr>
          <w:tab/>
        </w:r>
        <w:r w:rsidR="004C5576">
          <w:rPr>
            <w:noProof/>
            <w:webHidden/>
          </w:rPr>
          <w:t>95</w:t>
        </w:r>
      </w:hyperlink>
    </w:p>
    <w:p w14:paraId="0A0AD55F" w14:textId="0E1FE2D3" w:rsidR="00B878B0" w:rsidRDefault="00393BF7">
      <w:pPr>
        <w:pStyle w:val="TOC3"/>
        <w:rPr>
          <w:rFonts w:asciiTheme="minorHAnsi" w:eastAsiaTheme="minorEastAsia" w:hAnsiTheme="minorHAnsi"/>
          <w:noProof/>
          <w:color w:val="auto"/>
          <w:sz w:val="22"/>
          <w:lang w:val="en-IE" w:eastAsia="en-IE"/>
        </w:rPr>
      </w:pPr>
      <w:hyperlink w:anchor="_Toc139032976" w:history="1">
        <w:r w:rsidR="00B878B0" w:rsidRPr="00F043D1">
          <w:rPr>
            <w:rStyle w:val="Hyperlink"/>
            <w:noProof/>
            <w:lang w:val="en-IE"/>
          </w:rPr>
          <w:t>Political context</w:t>
        </w:r>
        <w:r w:rsidR="00B878B0">
          <w:rPr>
            <w:noProof/>
            <w:webHidden/>
          </w:rPr>
          <w:tab/>
        </w:r>
        <w:r w:rsidR="004C5576">
          <w:rPr>
            <w:noProof/>
            <w:webHidden/>
          </w:rPr>
          <w:t>95</w:t>
        </w:r>
      </w:hyperlink>
    </w:p>
    <w:p w14:paraId="5CA85E40" w14:textId="50DA75E3" w:rsidR="00B878B0" w:rsidRDefault="00393BF7">
      <w:pPr>
        <w:pStyle w:val="TOC3"/>
        <w:rPr>
          <w:rFonts w:asciiTheme="minorHAnsi" w:eastAsiaTheme="minorEastAsia" w:hAnsiTheme="minorHAnsi"/>
          <w:noProof/>
          <w:color w:val="auto"/>
          <w:sz w:val="22"/>
          <w:lang w:val="en-IE" w:eastAsia="en-IE"/>
        </w:rPr>
      </w:pPr>
      <w:hyperlink w:anchor="_Toc139032977" w:history="1">
        <w:r w:rsidR="00B878B0" w:rsidRPr="00F043D1">
          <w:rPr>
            <w:rStyle w:val="Hyperlink"/>
            <w:noProof/>
            <w:lang w:val="en-IE"/>
          </w:rPr>
          <w:t>Food waste prevention measures in CEAP 2015</w:t>
        </w:r>
        <w:r w:rsidR="00B878B0">
          <w:rPr>
            <w:noProof/>
            <w:webHidden/>
          </w:rPr>
          <w:tab/>
        </w:r>
        <w:r w:rsidR="004C5576">
          <w:rPr>
            <w:noProof/>
            <w:webHidden/>
          </w:rPr>
          <w:t>95</w:t>
        </w:r>
      </w:hyperlink>
    </w:p>
    <w:p w14:paraId="423494B1" w14:textId="00A9319D" w:rsidR="00B878B0" w:rsidRDefault="00393BF7">
      <w:pPr>
        <w:pStyle w:val="TOC3"/>
        <w:rPr>
          <w:rFonts w:asciiTheme="minorHAnsi" w:eastAsiaTheme="minorEastAsia" w:hAnsiTheme="minorHAnsi"/>
          <w:noProof/>
          <w:color w:val="auto"/>
          <w:sz w:val="22"/>
          <w:lang w:val="en-IE" w:eastAsia="en-IE"/>
        </w:rPr>
      </w:pPr>
      <w:hyperlink w:anchor="_Toc139032978" w:history="1">
        <w:r w:rsidR="00B878B0" w:rsidRPr="00F043D1">
          <w:rPr>
            <w:rStyle w:val="Hyperlink"/>
            <w:noProof/>
            <w:lang w:val="en-IE"/>
          </w:rPr>
          <w:t>Food waste in the WFD</w:t>
        </w:r>
        <w:r w:rsidR="00B878B0">
          <w:rPr>
            <w:noProof/>
            <w:webHidden/>
          </w:rPr>
          <w:tab/>
        </w:r>
        <w:r w:rsidR="004C5576">
          <w:rPr>
            <w:noProof/>
            <w:webHidden/>
          </w:rPr>
          <w:t>96</w:t>
        </w:r>
      </w:hyperlink>
    </w:p>
    <w:p w14:paraId="7639232A" w14:textId="5432068A" w:rsidR="00B878B0" w:rsidRDefault="00393BF7">
      <w:pPr>
        <w:pStyle w:val="TOC3"/>
        <w:rPr>
          <w:rFonts w:asciiTheme="minorHAnsi" w:eastAsiaTheme="minorEastAsia" w:hAnsiTheme="minorHAnsi"/>
          <w:noProof/>
          <w:color w:val="auto"/>
          <w:sz w:val="22"/>
          <w:lang w:val="en-IE" w:eastAsia="en-IE"/>
        </w:rPr>
      </w:pPr>
      <w:hyperlink w:anchor="_Toc139032979" w:history="1">
        <w:r w:rsidR="00B878B0" w:rsidRPr="00F043D1">
          <w:rPr>
            <w:rStyle w:val="Hyperlink"/>
            <w:noProof/>
            <w:lang w:val="en-IE"/>
          </w:rPr>
          <w:t>Downstream management of food waste</w:t>
        </w:r>
        <w:r w:rsidR="00B878B0">
          <w:rPr>
            <w:noProof/>
            <w:webHidden/>
          </w:rPr>
          <w:tab/>
        </w:r>
        <w:r w:rsidR="004C5576">
          <w:rPr>
            <w:noProof/>
            <w:webHidden/>
          </w:rPr>
          <w:t>97</w:t>
        </w:r>
      </w:hyperlink>
    </w:p>
    <w:p w14:paraId="0906EC6F" w14:textId="75105843" w:rsidR="00B878B0" w:rsidRDefault="00393BF7">
      <w:pPr>
        <w:pStyle w:val="TOC1"/>
        <w:rPr>
          <w:rFonts w:asciiTheme="minorHAnsi" w:eastAsiaTheme="minorEastAsia" w:hAnsiTheme="minorHAnsi" w:cstheme="minorBidi"/>
          <w:caps w:val="0"/>
          <w:noProof/>
          <w:sz w:val="22"/>
          <w:szCs w:val="22"/>
          <w:lang w:val="en-IE" w:eastAsia="en-IE"/>
        </w:rPr>
      </w:pPr>
      <w:hyperlink w:anchor="_Toc139032980" w:history="1">
        <w:r w:rsidR="00B878B0" w:rsidRPr="00F043D1">
          <w:rPr>
            <w:rStyle w:val="Hyperlink"/>
            <w:noProof/>
            <w:lang w:val="en-IE"/>
          </w:rPr>
          <w:t>Annex 6: Facts and Figures</w:t>
        </w:r>
        <w:r w:rsidR="00B878B0">
          <w:rPr>
            <w:noProof/>
            <w:webHidden/>
          </w:rPr>
          <w:tab/>
        </w:r>
        <w:r w:rsidR="004C5576">
          <w:rPr>
            <w:noProof/>
            <w:webHidden/>
          </w:rPr>
          <w:t>99</w:t>
        </w:r>
      </w:hyperlink>
    </w:p>
    <w:p w14:paraId="69A920A2" w14:textId="0095A293"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81" w:history="1">
        <w:r w:rsidR="00B878B0" w:rsidRPr="00F043D1">
          <w:rPr>
            <w:rStyle w:val="Hyperlink"/>
            <w:noProof/>
            <w:lang w:val="en-IE"/>
          </w:rPr>
          <w:t>1-</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Textiles</w:t>
        </w:r>
        <w:r w:rsidR="00B878B0">
          <w:rPr>
            <w:noProof/>
            <w:webHidden/>
          </w:rPr>
          <w:tab/>
        </w:r>
        <w:r w:rsidR="004C5576">
          <w:rPr>
            <w:noProof/>
            <w:webHidden/>
          </w:rPr>
          <w:t>99</w:t>
        </w:r>
      </w:hyperlink>
    </w:p>
    <w:p w14:paraId="1855DD8A" w14:textId="6B16A68E" w:rsidR="00B878B0" w:rsidRDefault="00393BF7">
      <w:pPr>
        <w:pStyle w:val="TOC3"/>
        <w:rPr>
          <w:rFonts w:asciiTheme="minorHAnsi" w:eastAsiaTheme="minorEastAsia" w:hAnsiTheme="minorHAnsi"/>
          <w:noProof/>
          <w:color w:val="auto"/>
          <w:sz w:val="22"/>
          <w:lang w:val="en-IE" w:eastAsia="en-IE"/>
        </w:rPr>
      </w:pPr>
      <w:hyperlink w:anchor="_Toc139032982" w:history="1">
        <w:r w:rsidR="00B878B0" w:rsidRPr="00F043D1">
          <w:rPr>
            <w:rStyle w:val="Hyperlink"/>
            <w:noProof/>
            <w:lang w:val="en-IE"/>
          </w:rPr>
          <w:t>Terminology</w:t>
        </w:r>
        <w:r w:rsidR="00B878B0">
          <w:rPr>
            <w:noProof/>
            <w:webHidden/>
          </w:rPr>
          <w:tab/>
        </w:r>
        <w:r w:rsidR="004C5576">
          <w:rPr>
            <w:noProof/>
            <w:webHidden/>
          </w:rPr>
          <w:t>99</w:t>
        </w:r>
      </w:hyperlink>
    </w:p>
    <w:p w14:paraId="3120C62F" w14:textId="322AC2EE" w:rsidR="00B878B0" w:rsidRDefault="00393BF7">
      <w:pPr>
        <w:pStyle w:val="TOC3"/>
        <w:rPr>
          <w:rFonts w:asciiTheme="minorHAnsi" w:eastAsiaTheme="minorEastAsia" w:hAnsiTheme="minorHAnsi"/>
          <w:noProof/>
          <w:color w:val="auto"/>
          <w:sz w:val="22"/>
          <w:lang w:val="en-IE" w:eastAsia="en-IE"/>
        </w:rPr>
      </w:pPr>
      <w:hyperlink w:anchor="_Toc139032983" w:history="1">
        <w:r w:rsidR="00B878B0" w:rsidRPr="00F043D1">
          <w:rPr>
            <w:rStyle w:val="Hyperlink"/>
            <w:noProof/>
            <w:lang w:val="en-IE"/>
          </w:rPr>
          <w:t>The textile market</w:t>
        </w:r>
        <w:r w:rsidR="00B878B0">
          <w:rPr>
            <w:noProof/>
            <w:webHidden/>
          </w:rPr>
          <w:tab/>
        </w:r>
        <w:r w:rsidR="004C5576">
          <w:rPr>
            <w:noProof/>
            <w:webHidden/>
          </w:rPr>
          <w:t>99</w:t>
        </w:r>
      </w:hyperlink>
    </w:p>
    <w:p w14:paraId="515FC4C0" w14:textId="5E7C2B6A" w:rsidR="00B878B0" w:rsidRDefault="00393BF7">
      <w:pPr>
        <w:pStyle w:val="TOC3"/>
        <w:rPr>
          <w:rFonts w:asciiTheme="minorHAnsi" w:eastAsiaTheme="minorEastAsia" w:hAnsiTheme="minorHAnsi"/>
          <w:noProof/>
          <w:color w:val="auto"/>
          <w:sz w:val="22"/>
          <w:lang w:val="en-IE" w:eastAsia="en-IE"/>
        </w:rPr>
      </w:pPr>
      <w:hyperlink w:anchor="_Toc139032984" w:history="1">
        <w:r w:rsidR="00B878B0" w:rsidRPr="00F043D1">
          <w:rPr>
            <w:rStyle w:val="Hyperlink"/>
            <w:noProof/>
            <w:lang w:val="en-IE"/>
          </w:rPr>
          <w:t>Textile reporting</w:t>
        </w:r>
        <w:r w:rsidR="00B878B0">
          <w:rPr>
            <w:noProof/>
            <w:webHidden/>
          </w:rPr>
          <w:tab/>
        </w:r>
        <w:r w:rsidR="004C5576">
          <w:rPr>
            <w:noProof/>
            <w:webHidden/>
          </w:rPr>
          <w:t>105</w:t>
        </w:r>
      </w:hyperlink>
    </w:p>
    <w:p w14:paraId="620BE51F" w14:textId="2CA0299D" w:rsidR="00B878B0" w:rsidRDefault="00393BF7">
      <w:pPr>
        <w:pStyle w:val="TOC3"/>
        <w:rPr>
          <w:rFonts w:asciiTheme="minorHAnsi" w:eastAsiaTheme="minorEastAsia" w:hAnsiTheme="minorHAnsi"/>
          <w:noProof/>
          <w:color w:val="auto"/>
          <w:sz w:val="22"/>
          <w:lang w:val="en-IE" w:eastAsia="en-IE"/>
        </w:rPr>
      </w:pPr>
      <w:hyperlink w:anchor="_Toc139032985" w:history="1">
        <w:r w:rsidR="00B878B0" w:rsidRPr="00F043D1">
          <w:rPr>
            <w:rStyle w:val="Hyperlink"/>
            <w:noProof/>
            <w:lang w:val="en-IE"/>
          </w:rPr>
          <w:t>Textile flows in the EU for the 2019 reference year (baseline)</w:t>
        </w:r>
        <w:r w:rsidR="00B878B0">
          <w:rPr>
            <w:noProof/>
            <w:webHidden/>
          </w:rPr>
          <w:tab/>
        </w:r>
        <w:r w:rsidR="004C5576">
          <w:rPr>
            <w:noProof/>
            <w:webHidden/>
          </w:rPr>
          <w:t>107</w:t>
        </w:r>
      </w:hyperlink>
    </w:p>
    <w:p w14:paraId="7D61BB43" w14:textId="388B8383" w:rsidR="00B878B0" w:rsidRDefault="00393BF7">
      <w:pPr>
        <w:pStyle w:val="TOC3"/>
        <w:rPr>
          <w:rFonts w:asciiTheme="minorHAnsi" w:eastAsiaTheme="minorEastAsia" w:hAnsiTheme="minorHAnsi"/>
          <w:noProof/>
          <w:color w:val="auto"/>
          <w:sz w:val="22"/>
          <w:lang w:val="en-IE" w:eastAsia="en-IE"/>
        </w:rPr>
      </w:pPr>
      <w:hyperlink w:anchor="_Toc139032986" w:history="1">
        <w:r w:rsidR="00B878B0" w:rsidRPr="00F043D1">
          <w:rPr>
            <w:rStyle w:val="Hyperlink"/>
            <w:rFonts w:eastAsia="Calibri"/>
            <w:noProof/>
            <w:lang w:val="en-IE"/>
          </w:rPr>
          <w:t>Separate collection schemes for textiles</w:t>
        </w:r>
        <w:r w:rsidR="00B878B0">
          <w:rPr>
            <w:noProof/>
            <w:webHidden/>
          </w:rPr>
          <w:tab/>
        </w:r>
        <w:r w:rsidR="004C5576">
          <w:rPr>
            <w:noProof/>
            <w:webHidden/>
          </w:rPr>
          <w:t>112</w:t>
        </w:r>
      </w:hyperlink>
    </w:p>
    <w:p w14:paraId="2959F3D9" w14:textId="670B9E8F" w:rsidR="00B878B0" w:rsidRDefault="00393BF7">
      <w:pPr>
        <w:pStyle w:val="TOC3"/>
        <w:rPr>
          <w:rFonts w:asciiTheme="minorHAnsi" w:eastAsiaTheme="minorEastAsia" w:hAnsiTheme="minorHAnsi"/>
          <w:noProof/>
          <w:color w:val="auto"/>
          <w:sz w:val="22"/>
          <w:lang w:val="en-IE" w:eastAsia="en-IE"/>
        </w:rPr>
      </w:pPr>
      <w:hyperlink w:anchor="_Toc139032987" w:history="1">
        <w:r w:rsidR="00B878B0" w:rsidRPr="00F043D1">
          <w:rPr>
            <w:rStyle w:val="Hyperlink"/>
            <w:rFonts w:eastAsia="Calibri"/>
            <w:noProof/>
            <w:lang w:val="en-IE"/>
          </w:rPr>
          <w:t>EU funded projects on sustainable management of textiles</w:t>
        </w:r>
        <w:r w:rsidR="00B878B0">
          <w:rPr>
            <w:noProof/>
            <w:webHidden/>
          </w:rPr>
          <w:tab/>
        </w:r>
        <w:r w:rsidR="004C5576">
          <w:rPr>
            <w:noProof/>
            <w:webHidden/>
          </w:rPr>
          <w:t>137</w:t>
        </w:r>
      </w:hyperlink>
    </w:p>
    <w:p w14:paraId="7AECA511" w14:textId="6CC83AB7" w:rsidR="00B878B0" w:rsidRDefault="00393BF7">
      <w:pPr>
        <w:pStyle w:val="TOC2"/>
        <w:tabs>
          <w:tab w:val="left" w:pos="1077"/>
        </w:tabs>
        <w:rPr>
          <w:rFonts w:asciiTheme="minorHAnsi" w:eastAsiaTheme="minorEastAsia" w:hAnsiTheme="minorHAnsi" w:cstheme="minorBidi"/>
          <w:noProof/>
          <w:sz w:val="22"/>
          <w:szCs w:val="22"/>
          <w:lang w:val="en-IE" w:eastAsia="en-IE"/>
        </w:rPr>
      </w:pPr>
      <w:hyperlink w:anchor="_Toc139032988" w:history="1">
        <w:r w:rsidR="00B878B0" w:rsidRPr="00F043D1">
          <w:rPr>
            <w:rStyle w:val="Hyperlink"/>
            <w:noProof/>
            <w:lang w:val="en-IE"/>
          </w:rPr>
          <w:t>2-</w:t>
        </w:r>
        <w:r w:rsidR="00B878B0">
          <w:rPr>
            <w:rFonts w:asciiTheme="minorHAnsi" w:eastAsiaTheme="minorEastAsia" w:hAnsiTheme="minorHAnsi" w:cstheme="minorBidi"/>
            <w:noProof/>
            <w:sz w:val="22"/>
            <w:szCs w:val="22"/>
            <w:lang w:val="en-IE" w:eastAsia="en-IE"/>
          </w:rPr>
          <w:tab/>
        </w:r>
        <w:r w:rsidR="00B878B0" w:rsidRPr="00F043D1">
          <w:rPr>
            <w:rStyle w:val="Hyperlink"/>
            <w:noProof/>
            <w:lang w:val="en-IE"/>
          </w:rPr>
          <w:t>Food Waste</w:t>
        </w:r>
        <w:r w:rsidR="00B878B0">
          <w:rPr>
            <w:noProof/>
            <w:webHidden/>
          </w:rPr>
          <w:tab/>
        </w:r>
        <w:r w:rsidR="004C5576">
          <w:rPr>
            <w:noProof/>
            <w:webHidden/>
          </w:rPr>
          <w:t>140</w:t>
        </w:r>
      </w:hyperlink>
    </w:p>
    <w:p w14:paraId="63858A30" w14:textId="76AA2226" w:rsidR="00B878B0" w:rsidRDefault="00393BF7">
      <w:pPr>
        <w:pStyle w:val="TOC3"/>
        <w:rPr>
          <w:rFonts w:asciiTheme="minorHAnsi" w:eastAsiaTheme="minorEastAsia" w:hAnsiTheme="minorHAnsi"/>
          <w:noProof/>
          <w:color w:val="auto"/>
          <w:sz w:val="22"/>
          <w:lang w:val="en-IE" w:eastAsia="en-IE"/>
        </w:rPr>
      </w:pPr>
      <w:hyperlink w:anchor="_Toc139032989" w:history="1">
        <w:r w:rsidR="00B878B0" w:rsidRPr="00F043D1">
          <w:rPr>
            <w:rStyle w:val="Hyperlink"/>
            <w:noProof/>
            <w:lang w:val="en-IE"/>
          </w:rPr>
          <w:t>How much food waste is generated by different food groups in the EU?</w:t>
        </w:r>
        <w:r w:rsidR="00B878B0">
          <w:rPr>
            <w:noProof/>
            <w:webHidden/>
          </w:rPr>
          <w:tab/>
        </w:r>
        <w:r w:rsidR="004C5576">
          <w:rPr>
            <w:noProof/>
            <w:webHidden/>
          </w:rPr>
          <w:t>143</w:t>
        </w:r>
      </w:hyperlink>
    </w:p>
    <w:p w14:paraId="15134DF3" w14:textId="5B152481" w:rsidR="00B878B0" w:rsidRDefault="00393BF7">
      <w:pPr>
        <w:pStyle w:val="TOC3"/>
        <w:rPr>
          <w:rFonts w:asciiTheme="minorHAnsi" w:eastAsiaTheme="minorEastAsia" w:hAnsiTheme="minorHAnsi"/>
          <w:noProof/>
          <w:color w:val="auto"/>
          <w:sz w:val="22"/>
          <w:lang w:val="en-IE" w:eastAsia="en-IE"/>
        </w:rPr>
      </w:pPr>
      <w:hyperlink w:anchor="_Toc139032990" w:history="1">
        <w:r w:rsidR="00B878B0" w:rsidRPr="00F043D1">
          <w:rPr>
            <w:rStyle w:val="Hyperlink"/>
            <w:noProof/>
            <w:lang w:val="en-IE"/>
          </w:rPr>
          <w:t>How much food waste is generated in each stage of the food supply chain?</w:t>
        </w:r>
        <w:r w:rsidR="00B878B0">
          <w:rPr>
            <w:noProof/>
            <w:webHidden/>
          </w:rPr>
          <w:tab/>
        </w:r>
        <w:r w:rsidR="004C5576">
          <w:rPr>
            <w:noProof/>
            <w:webHidden/>
          </w:rPr>
          <w:t>145</w:t>
        </w:r>
      </w:hyperlink>
    </w:p>
    <w:p w14:paraId="20A21615" w14:textId="3B719BAE" w:rsidR="00B878B0" w:rsidRDefault="00393BF7">
      <w:pPr>
        <w:pStyle w:val="TOC3"/>
        <w:rPr>
          <w:rFonts w:asciiTheme="minorHAnsi" w:eastAsiaTheme="minorEastAsia" w:hAnsiTheme="minorHAnsi"/>
          <w:noProof/>
          <w:color w:val="auto"/>
          <w:sz w:val="22"/>
          <w:lang w:val="en-IE" w:eastAsia="en-IE"/>
        </w:rPr>
      </w:pPr>
      <w:hyperlink w:anchor="_Toc139032991" w:history="1">
        <w:r w:rsidR="00B878B0" w:rsidRPr="00F043D1">
          <w:rPr>
            <w:rStyle w:val="Hyperlink"/>
            <w:noProof/>
            <w:lang w:val="en-IE"/>
          </w:rPr>
          <w:t>Previous estimations of food waste amounts in EU (FUSIONS project)</w:t>
        </w:r>
        <w:r w:rsidR="00B878B0">
          <w:rPr>
            <w:noProof/>
            <w:webHidden/>
          </w:rPr>
          <w:tab/>
        </w:r>
        <w:r w:rsidR="004C5576">
          <w:rPr>
            <w:noProof/>
            <w:webHidden/>
          </w:rPr>
          <w:t>146</w:t>
        </w:r>
      </w:hyperlink>
    </w:p>
    <w:p w14:paraId="0535DCF4" w14:textId="6DC96A00" w:rsidR="00B878B0" w:rsidRDefault="00393BF7">
      <w:pPr>
        <w:pStyle w:val="TOC3"/>
        <w:rPr>
          <w:rFonts w:asciiTheme="minorHAnsi" w:eastAsiaTheme="minorEastAsia" w:hAnsiTheme="minorHAnsi"/>
          <w:noProof/>
          <w:color w:val="auto"/>
          <w:sz w:val="22"/>
          <w:lang w:val="en-IE" w:eastAsia="en-IE"/>
        </w:rPr>
      </w:pPr>
      <w:hyperlink w:anchor="_Toc139032992" w:history="1">
        <w:r w:rsidR="00B878B0" w:rsidRPr="00F043D1">
          <w:rPr>
            <w:rStyle w:val="Hyperlink"/>
            <w:noProof/>
            <w:lang w:val="en-IE"/>
          </w:rPr>
          <w:t>First reporting of food waste amounts in EU (for 2020)</w:t>
        </w:r>
        <w:r w:rsidR="00B878B0">
          <w:rPr>
            <w:noProof/>
            <w:webHidden/>
          </w:rPr>
          <w:tab/>
        </w:r>
        <w:r w:rsidR="004C5576">
          <w:rPr>
            <w:noProof/>
            <w:webHidden/>
          </w:rPr>
          <w:t>147</w:t>
        </w:r>
      </w:hyperlink>
    </w:p>
    <w:p w14:paraId="7E6A2E64" w14:textId="54EF87C8" w:rsidR="00B878B0" w:rsidRDefault="00393BF7">
      <w:pPr>
        <w:pStyle w:val="TOC3"/>
        <w:rPr>
          <w:rFonts w:asciiTheme="minorHAnsi" w:eastAsiaTheme="minorEastAsia" w:hAnsiTheme="minorHAnsi"/>
          <w:noProof/>
          <w:color w:val="auto"/>
          <w:sz w:val="22"/>
          <w:lang w:val="en-IE" w:eastAsia="en-IE"/>
        </w:rPr>
      </w:pPr>
      <w:hyperlink w:anchor="_Toc139032993" w:history="1">
        <w:r w:rsidR="00B878B0" w:rsidRPr="00F043D1">
          <w:rPr>
            <w:rStyle w:val="Hyperlink"/>
            <w:noProof/>
            <w:lang w:val="en-IE"/>
          </w:rPr>
          <w:t>Comparison of data reported (EUROSTAT 2022) with estimations of FUSIONS (2016)</w:t>
        </w:r>
        <w:r w:rsidR="00B878B0">
          <w:rPr>
            <w:noProof/>
            <w:webHidden/>
          </w:rPr>
          <w:tab/>
        </w:r>
        <w:r w:rsidR="004C5576">
          <w:rPr>
            <w:noProof/>
            <w:webHidden/>
          </w:rPr>
          <w:t>149</w:t>
        </w:r>
      </w:hyperlink>
    </w:p>
    <w:p w14:paraId="4A82A38B" w14:textId="1487C375" w:rsidR="00B878B0" w:rsidRDefault="00393BF7">
      <w:pPr>
        <w:pStyle w:val="TOC3"/>
        <w:rPr>
          <w:rFonts w:asciiTheme="minorHAnsi" w:eastAsiaTheme="minorEastAsia" w:hAnsiTheme="minorHAnsi"/>
          <w:noProof/>
          <w:color w:val="auto"/>
          <w:sz w:val="22"/>
          <w:lang w:val="en-IE" w:eastAsia="en-IE"/>
        </w:rPr>
      </w:pPr>
      <w:hyperlink w:anchor="_Toc139032994" w:history="1">
        <w:r w:rsidR="00B878B0" w:rsidRPr="00F043D1">
          <w:rPr>
            <w:rStyle w:val="Hyperlink"/>
            <w:noProof/>
            <w:lang w:val="en-IE"/>
          </w:rPr>
          <w:t>Estimations of trends on food waste amounts before 2020</w:t>
        </w:r>
        <w:r w:rsidR="00B878B0">
          <w:rPr>
            <w:noProof/>
            <w:webHidden/>
          </w:rPr>
          <w:tab/>
        </w:r>
        <w:r w:rsidR="004C5576">
          <w:rPr>
            <w:noProof/>
            <w:webHidden/>
          </w:rPr>
          <w:t>150</w:t>
        </w:r>
      </w:hyperlink>
    </w:p>
    <w:p w14:paraId="10C8F705" w14:textId="4B843611" w:rsidR="00B878B0" w:rsidRDefault="00393BF7">
      <w:pPr>
        <w:pStyle w:val="TOC1"/>
        <w:rPr>
          <w:rFonts w:asciiTheme="minorHAnsi" w:eastAsiaTheme="minorEastAsia" w:hAnsiTheme="minorHAnsi" w:cstheme="minorBidi"/>
          <w:caps w:val="0"/>
          <w:noProof/>
          <w:sz w:val="22"/>
          <w:szCs w:val="22"/>
          <w:lang w:val="en-IE" w:eastAsia="en-IE"/>
        </w:rPr>
      </w:pPr>
      <w:hyperlink w:anchor="_Toc139032995" w:history="1">
        <w:r w:rsidR="00B878B0" w:rsidRPr="00F043D1">
          <w:rPr>
            <w:rStyle w:val="Hyperlink"/>
            <w:noProof/>
            <w:lang w:val="en-IE"/>
          </w:rPr>
          <w:t>Bibliography for textiles waste</w:t>
        </w:r>
        <w:r w:rsidR="00B878B0">
          <w:rPr>
            <w:noProof/>
            <w:webHidden/>
          </w:rPr>
          <w:tab/>
        </w:r>
        <w:r w:rsidR="004C5576">
          <w:rPr>
            <w:noProof/>
            <w:webHidden/>
          </w:rPr>
          <w:t>155</w:t>
        </w:r>
      </w:hyperlink>
    </w:p>
    <w:p w14:paraId="08B94766" w14:textId="69FCF90B" w:rsidR="00B878B0" w:rsidRDefault="00393BF7">
      <w:pPr>
        <w:pStyle w:val="TOC1"/>
        <w:rPr>
          <w:rFonts w:asciiTheme="minorHAnsi" w:eastAsiaTheme="minorEastAsia" w:hAnsiTheme="minorHAnsi" w:cstheme="minorBidi"/>
          <w:caps w:val="0"/>
          <w:noProof/>
          <w:sz w:val="22"/>
          <w:szCs w:val="22"/>
          <w:lang w:val="en-IE" w:eastAsia="en-IE"/>
        </w:rPr>
      </w:pPr>
      <w:hyperlink w:anchor="_Toc139032996" w:history="1">
        <w:r w:rsidR="00B878B0" w:rsidRPr="00F043D1">
          <w:rPr>
            <w:rStyle w:val="Hyperlink"/>
            <w:noProof/>
            <w:lang w:val="en-IE"/>
          </w:rPr>
          <w:t>Bibliography for food waste</w:t>
        </w:r>
        <w:r w:rsidR="00B878B0">
          <w:rPr>
            <w:noProof/>
            <w:webHidden/>
          </w:rPr>
          <w:tab/>
        </w:r>
        <w:r w:rsidR="004C5576">
          <w:rPr>
            <w:noProof/>
            <w:webHidden/>
          </w:rPr>
          <w:t>160</w:t>
        </w:r>
      </w:hyperlink>
    </w:p>
    <w:p w14:paraId="46F4B998" w14:textId="5E262935" w:rsidR="00B878B0" w:rsidRDefault="00393BF7">
      <w:pPr>
        <w:pStyle w:val="TOC1"/>
        <w:rPr>
          <w:rFonts w:asciiTheme="minorHAnsi" w:eastAsiaTheme="minorEastAsia" w:hAnsiTheme="minorHAnsi" w:cstheme="minorBidi"/>
          <w:caps w:val="0"/>
          <w:noProof/>
          <w:sz w:val="22"/>
          <w:szCs w:val="22"/>
          <w:lang w:val="en-IE" w:eastAsia="en-IE"/>
        </w:rPr>
      </w:pPr>
      <w:hyperlink w:anchor="_Toc139032997" w:history="1">
        <w:r w:rsidR="00B878B0" w:rsidRPr="00F043D1">
          <w:rPr>
            <w:rStyle w:val="Hyperlink"/>
            <w:rFonts w:ascii="EC Square Sans Pro" w:eastAsia="Verdana" w:hAnsi="EC Square Sans Pro" w:cs="Verdana"/>
            <w:b/>
            <w:noProof/>
            <w:lang w:val="en-IE" w:eastAsia="en-GB"/>
          </w:rPr>
          <w:t>List of figures</w:t>
        </w:r>
        <w:r w:rsidR="00B878B0">
          <w:rPr>
            <w:noProof/>
            <w:webHidden/>
          </w:rPr>
          <w:tab/>
        </w:r>
        <w:r w:rsidR="004C5576">
          <w:rPr>
            <w:noProof/>
            <w:webHidden/>
          </w:rPr>
          <w:t>166</w:t>
        </w:r>
      </w:hyperlink>
    </w:p>
    <w:p w14:paraId="0DC95970" w14:textId="3580D622" w:rsidR="005B467E" w:rsidRPr="00013BDC" w:rsidRDefault="128DF35F" w:rsidP="003B19FC">
      <w:pPr>
        <w:rPr>
          <w:noProof/>
          <w:lang w:val="en-IE"/>
        </w:rPr>
        <w:sectPr w:rsidR="005B467E" w:rsidRPr="00013BDC" w:rsidSect="00E20E52">
          <w:headerReference w:type="even" r:id="rId25"/>
          <w:headerReference w:type="default" r:id="rId26"/>
          <w:footerReference w:type="even" r:id="rId27"/>
          <w:footerReference w:type="default" r:id="rId28"/>
          <w:headerReference w:type="first" r:id="rId29"/>
          <w:footerReference w:type="first" r:id="rId30"/>
          <w:pgSz w:w="11906" w:h="16838"/>
          <w:pgMar w:top="1020" w:right="707" w:bottom="1020" w:left="1587" w:header="601" w:footer="1077" w:gutter="0"/>
          <w:cols w:space="720"/>
          <w:titlePg/>
        </w:sectPr>
      </w:pPr>
      <w:r w:rsidRPr="00013BDC">
        <w:rPr>
          <w:noProof/>
          <w:sz w:val="22"/>
          <w:szCs w:val="22"/>
          <w:lang w:val="en-IE"/>
        </w:rPr>
        <w:fldChar w:fldCharType="end"/>
      </w:r>
    </w:p>
    <w:p w14:paraId="154E0F74" w14:textId="200DC8C2" w:rsidR="00D71484" w:rsidRPr="00013BDC" w:rsidRDefault="2D307EEC" w:rsidP="004A0ACC">
      <w:pPr>
        <w:pStyle w:val="AnnexTitle"/>
        <w:rPr>
          <w:noProof/>
          <w:lang w:val="en-IE"/>
        </w:rPr>
      </w:pPr>
      <w:bookmarkStart w:id="3" w:name="_Toc117004503"/>
      <w:bookmarkStart w:id="4" w:name="_Toc118014787"/>
      <w:bookmarkStart w:id="5" w:name="_Toc120782530"/>
      <w:bookmarkStart w:id="6" w:name="_Toc121751357"/>
      <w:bookmarkStart w:id="7" w:name="_Toc124777269"/>
      <w:bookmarkStart w:id="8" w:name="_Toc132761278"/>
      <w:bookmarkStart w:id="9" w:name="_Toc1992563010"/>
      <w:bookmarkStart w:id="10" w:name="_Toc174229776"/>
      <w:bookmarkStart w:id="11" w:name="_Toc838346839"/>
      <w:bookmarkStart w:id="12" w:name="_Toc110118392"/>
      <w:bookmarkStart w:id="13" w:name="_Toc1708459613"/>
      <w:bookmarkStart w:id="14" w:name="_Toc510929247"/>
      <w:bookmarkStart w:id="15" w:name="_Toc1701646725"/>
      <w:bookmarkStart w:id="16" w:name="_Toc139032927"/>
      <w:r w:rsidRPr="00013BDC">
        <w:rPr>
          <w:noProof/>
          <w:lang w:val="en-IE"/>
        </w:rPr>
        <w:t>Annex 1: Procedural information</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79647D5E" w14:textId="582246A3" w:rsidR="00D71484" w:rsidRPr="00013BDC" w:rsidRDefault="00F64258" w:rsidP="00F64258">
      <w:pPr>
        <w:pStyle w:val="Heading2"/>
        <w:rPr>
          <w:noProof/>
          <w:lang w:val="en-IE"/>
        </w:rPr>
      </w:pPr>
      <w:bookmarkStart w:id="17" w:name="_Toc117004504"/>
      <w:bookmarkStart w:id="18" w:name="_Toc118014788"/>
      <w:bookmarkStart w:id="19" w:name="_Toc120782531"/>
      <w:bookmarkStart w:id="20" w:name="_Toc124777270"/>
      <w:bookmarkStart w:id="21" w:name="_Toc132761279"/>
      <w:bookmarkStart w:id="22" w:name="_Toc121773508"/>
      <w:bookmarkStart w:id="23" w:name="_Toc501017961"/>
      <w:bookmarkStart w:id="24" w:name="_Toc2023863552"/>
      <w:bookmarkStart w:id="25" w:name="_Toc496074425"/>
      <w:bookmarkStart w:id="26" w:name="_Toc1541607306"/>
      <w:bookmarkStart w:id="27" w:name="_Toc1894624940"/>
      <w:bookmarkStart w:id="28" w:name="_Toc905606034"/>
      <w:bookmarkStart w:id="29" w:name="_Toc139032928"/>
      <w:r w:rsidRPr="00F64258">
        <w:t>1-</w:t>
      </w:r>
      <w:r w:rsidRPr="00F64258">
        <w:tab/>
      </w:r>
      <w:r w:rsidR="2195AABF" w:rsidRPr="00013BDC">
        <w:rPr>
          <w:noProof/>
          <w:lang w:val="en-IE"/>
        </w:rPr>
        <w:t>Lead DG, Decide Planning/CWP references</w:t>
      </w:r>
      <w:bookmarkEnd w:id="17"/>
      <w:bookmarkEnd w:id="18"/>
      <w:bookmarkEnd w:id="19"/>
      <w:bookmarkEnd w:id="20"/>
      <w:bookmarkEnd w:id="21"/>
      <w:bookmarkEnd w:id="22"/>
      <w:bookmarkEnd w:id="23"/>
      <w:bookmarkEnd w:id="24"/>
      <w:bookmarkEnd w:id="25"/>
      <w:bookmarkEnd w:id="26"/>
      <w:bookmarkEnd w:id="27"/>
      <w:bookmarkEnd w:id="28"/>
      <w:bookmarkEnd w:id="29"/>
    </w:p>
    <w:p w14:paraId="1F2A7CCE" w14:textId="4A350C0D" w:rsidR="00D71484" w:rsidRPr="00013BDC" w:rsidRDefault="2D307EEC" w:rsidP="00BD3026">
      <w:pPr>
        <w:spacing w:after="120"/>
        <w:rPr>
          <w:noProof/>
          <w:lang w:val="en-IE"/>
        </w:rPr>
      </w:pPr>
      <w:r w:rsidRPr="00013BDC">
        <w:rPr>
          <w:noProof/>
          <w:lang w:val="en-IE"/>
        </w:rPr>
        <w:t>The preparation of this file was co-led by Directorate General (DG) Environment (ENV</w:t>
      </w:r>
      <w:r w:rsidR="000B3665" w:rsidRPr="00013BDC">
        <w:rPr>
          <w:noProof/>
          <w:lang w:val="en-IE"/>
        </w:rPr>
        <w:t>.</w:t>
      </w:r>
      <w:r w:rsidR="003C204A" w:rsidRPr="00013BDC">
        <w:rPr>
          <w:noProof/>
          <w:lang w:val="en-IE"/>
        </w:rPr>
        <w:t>B3</w:t>
      </w:r>
      <w:r w:rsidRPr="00013BDC">
        <w:rPr>
          <w:noProof/>
          <w:lang w:val="en-IE"/>
        </w:rPr>
        <w:t xml:space="preserve">) and DG Health and Food Safety (SANTE), with support from DG Joint Research Centre </w:t>
      </w:r>
      <w:r w:rsidR="0030675F" w:rsidRPr="00013BDC">
        <w:rPr>
          <w:noProof/>
          <w:lang w:val="en-IE"/>
        </w:rPr>
        <w:t>Units</w:t>
      </w:r>
      <w:r w:rsidRPr="00013BDC">
        <w:rPr>
          <w:noProof/>
          <w:lang w:val="en-IE"/>
        </w:rPr>
        <w:t xml:space="preserve"> B.5 - Circular Economy &amp; Industrial Leadership and D.3 - The Land Resources Unit. The file comprises a targeted revision of the existing Waste Framework Directive (2008/98/EC). The Waste Framework Directive </w:t>
      </w:r>
      <w:r w:rsidR="001521CA" w:rsidRPr="00013BDC">
        <w:rPr>
          <w:noProof/>
          <w:lang w:val="en-IE"/>
        </w:rPr>
        <w:t>(WFD)</w:t>
      </w:r>
      <w:r w:rsidR="009B74E7" w:rsidRPr="00013BDC">
        <w:rPr>
          <w:rFonts w:eastAsiaTheme="minorEastAsia"/>
          <w:noProof/>
          <w:vertAlign w:val="superscript"/>
          <w:lang w:val="en-IE"/>
        </w:rPr>
        <w:footnoteReference w:id="2"/>
      </w:r>
      <w:r w:rsidRPr="00013BDC">
        <w:rPr>
          <w:noProof/>
          <w:lang w:val="en-IE"/>
        </w:rPr>
        <w:t xml:space="preserve"> sets the basic concepts and definitions related to waste management, including definitions of waste, recycling and recovery. This targeted revision considers two review clauses in the WFD that call on the Commission to consider the setting of preparing for </w:t>
      </w:r>
      <w:r w:rsidR="00D96247" w:rsidRPr="00013BDC">
        <w:rPr>
          <w:noProof/>
          <w:lang w:val="en-IE"/>
        </w:rPr>
        <w:t>reuse</w:t>
      </w:r>
      <w:r w:rsidRPr="00013BDC">
        <w:rPr>
          <w:noProof/>
          <w:lang w:val="en-IE"/>
        </w:rPr>
        <w:t xml:space="preserve"> and recycling targets for textile waste and to</w:t>
      </w:r>
      <w:r w:rsidR="000A23A4" w:rsidRPr="00013BDC">
        <w:rPr>
          <w:noProof/>
          <w:lang w:val="en-IE"/>
        </w:rPr>
        <w:t xml:space="preserve"> examine</w:t>
      </w:r>
      <w:r w:rsidRPr="00013BDC">
        <w:rPr>
          <w:noProof/>
          <w:lang w:val="en-IE"/>
        </w:rPr>
        <w:t xml:space="preserve"> the feasibility of establishing a Union-wide food waste reduction target to be met by 2030. </w:t>
      </w:r>
    </w:p>
    <w:p w14:paraId="3C02B5D7" w14:textId="66A17913" w:rsidR="00D71484" w:rsidRPr="00013BDC" w:rsidRDefault="2D307EEC" w:rsidP="00390875">
      <w:pPr>
        <w:spacing w:after="120"/>
        <w:rPr>
          <w:noProof/>
          <w:lang w:val="en-IE"/>
        </w:rPr>
      </w:pPr>
      <w:r w:rsidRPr="00013BDC">
        <w:rPr>
          <w:noProof/>
          <w:lang w:val="en-IE"/>
        </w:rPr>
        <w:t>This file is the result of two separate items in the DECIDE/Agenda Planning database:</w:t>
      </w:r>
    </w:p>
    <w:p w14:paraId="3C838902" w14:textId="2D5396F3" w:rsidR="00B34CDA" w:rsidRPr="00013BDC" w:rsidRDefault="00B34CDA" w:rsidP="00CF0DFB">
      <w:pPr>
        <w:pStyle w:val="ListParagraph"/>
        <w:numPr>
          <w:ilvl w:val="0"/>
          <w:numId w:val="113"/>
        </w:numPr>
        <w:rPr>
          <w:noProof/>
          <w:lang w:val="en-IE"/>
        </w:rPr>
      </w:pPr>
      <w:r w:rsidRPr="00013BDC">
        <w:rPr>
          <w:noProof/>
          <w:lang w:val="en-IE"/>
        </w:rPr>
        <w:t>Environmental impact of waste management - Revision of EU waste framework (PLAN/2021/12032)</w:t>
      </w:r>
    </w:p>
    <w:p w14:paraId="114E048C" w14:textId="7CDAFF32" w:rsidR="00B34CDA" w:rsidRPr="00013BDC" w:rsidRDefault="00B34CDA" w:rsidP="00CF0DFB">
      <w:pPr>
        <w:pStyle w:val="ListParagraph"/>
        <w:numPr>
          <w:ilvl w:val="0"/>
          <w:numId w:val="113"/>
        </w:numPr>
        <w:rPr>
          <w:noProof/>
          <w:lang w:val="en-IE"/>
        </w:rPr>
      </w:pPr>
      <w:r w:rsidRPr="00013BDC">
        <w:rPr>
          <w:noProof/>
          <w:lang w:val="en-IE"/>
        </w:rPr>
        <w:t>Food waste reduction targets (PLAN/2021/11886)</w:t>
      </w:r>
    </w:p>
    <w:p w14:paraId="1E3BF3D3" w14:textId="5C0F75AD" w:rsidR="00D71484" w:rsidRPr="00013BDC" w:rsidRDefault="00F64258" w:rsidP="00F64258">
      <w:pPr>
        <w:pStyle w:val="Heading2"/>
        <w:rPr>
          <w:noProof/>
          <w:lang w:val="en-IE"/>
        </w:rPr>
      </w:pPr>
      <w:bookmarkStart w:id="30" w:name="_Toc117004505"/>
      <w:bookmarkStart w:id="31" w:name="_Toc118014789"/>
      <w:bookmarkStart w:id="32" w:name="_Toc120782532"/>
      <w:bookmarkStart w:id="33" w:name="_Toc124777271"/>
      <w:bookmarkStart w:id="34" w:name="_Toc563326083"/>
      <w:bookmarkStart w:id="35" w:name="_Toc932641455"/>
      <w:bookmarkStart w:id="36" w:name="_Toc482267208"/>
      <w:bookmarkStart w:id="37" w:name="_Toc348490641"/>
      <w:bookmarkStart w:id="38" w:name="_Toc1899962893"/>
      <w:bookmarkStart w:id="39" w:name="_Toc422943713"/>
      <w:bookmarkStart w:id="40" w:name="_Toc1472038481"/>
      <w:bookmarkStart w:id="41" w:name="_Toc139032929"/>
      <w:r w:rsidRPr="00F64258">
        <w:t>2-</w:t>
      </w:r>
      <w:r w:rsidRPr="00F64258">
        <w:tab/>
      </w:r>
      <w:r w:rsidR="75FCDA2F" w:rsidRPr="00013BDC">
        <w:rPr>
          <w:noProof/>
          <w:lang w:val="en-IE"/>
        </w:rPr>
        <w:t>Organisation and timing</w:t>
      </w:r>
      <w:bookmarkEnd w:id="30"/>
      <w:bookmarkEnd w:id="31"/>
      <w:bookmarkEnd w:id="32"/>
      <w:bookmarkEnd w:id="33"/>
      <w:bookmarkEnd w:id="34"/>
      <w:bookmarkEnd w:id="35"/>
      <w:bookmarkEnd w:id="36"/>
      <w:bookmarkEnd w:id="37"/>
      <w:bookmarkEnd w:id="38"/>
      <w:bookmarkEnd w:id="39"/>
      <w:bookmarkEnd w:id="40"/>
      <w:bookmarkEnd w:id="41"/>
    </w:p>
    <w:p w14:paraId="7D05B140" w14:textId="42846E41" w:rsidR="00D71484" w:rsidRPr="00013BDC" w:rsidRDefault="2D307EEC" w:rsidP="00BB0E04">
      <w:pPr>
        <w:spacing w:after="120"/>
        <w:rPr>
          <w:noProof/>
          <w:lang w:val="en-IE"/>
        </w:rPr>
      </w:pPr>
      <w:r w:rsidRPr="00013BDC">
        <w:rPr>
          <w:noProof/>
          <w:lang w:val="en-IE"/>
        </w:rPr>
        <w:t xml:space="preserve">This initiative is a deliverable under the </w:t>
      </w:r>
      <w:r w:rsidR="00255411" w:rsidRPr="00013BDC">
        <w:rPr>
          <w:noProof/>
          <w:lang w:val="en-IE"/>
        </w:rPr>
        <w:t>European Green Deal (</w:t>
      </w:r>
      <w:r w:rsidRPr="00013BDC">
        <w:rPr>
          <w:noProof/>
          <w:lang w:val="en-IE"/>
        </w:rPr>
        <w:t>EGD</w:t>
      </w:r>
      <w:r w:rsidR="00255411" w:rsidRPr="00013BDC">
        <w:rPr>
          <w:noProof/>
          <w:lang w:val="en-IE"/>
        </w:rPr>
        <w:t>)</w:t>
      </w:r>
      <w:r w:rsidR="001034FB" w:rsidRPr="00013BDC">
        <w:rPr>
          <w:rStyle w:val="FootnoteReference"/>
          <w:noProof/>
          <w:lang w:val="en-IE"/>
        </w:rPr>
        <w:footnoteReference w:id="3"/>
      </w:r>
      <w:r w:rsidRPr="00013BDC">
        <w:rPr>
          <w:noProof/>
          <w:lang w:val="en-IE"/>
        </w:rPr>
        <w:t xml:space="preserve"> and the </w:t>
      </w:r>
      <w:r w:rsidR="00BF7F69" w:rsidRPr="00013BDC">
        <w:rPr>
          <w:noProof/>
          <w:lang w:val="en-IE"/>
        </w:rPr>
        <w:t xml:space="preserve">new </w:t>
      </w:r>
      <w:r w:rsidR="00255411" w:rsidRPr="00013BDC">
        <w:rPr>
          <w:noProof/>
          <w:lang w:val="en-IE"/>
        </w:rPr>
        <w:t>Circular Economy Action Plan (</w:t>
      </w:r>
      <w:r w:rsidRPr="00013BDC">
        <w:rPr>
          <w:noProof/>
          <w:lang w:val="en-IE"/>
        </w:rPr>
        <w:t>CEAP</w:t>
      </w:r>
      <w:r w:rsidR="00255411" w:rsidRPr="00013BDC">
        <w:rPr>
          <w:noProof/>
          <w:lang w:val="en-IE"/>
        </w:rPr>
        <w:t>)</w:t>
      </w:r>
      <w:bookmarkStart w:id="42" w:name="_Ref133594157"/>
      <w:r w:rsidR="004352FC" w:rsidRPr="00013BDC">
        <w:rPr>
          <w:rStyle w:val="FootnoteReference"/>
          <w:noProof/>
          <w:lang w:val="en-IE"/>
        </w:rPr>
        <w:footnoteReference w:id="4"/>
      </w:r>
      <w:bookmarkEnd w:id="42"/>
      <w:r w:rsidRPr="00013BDC">
        <w:rPr>
          <w:noProof/>
          <w:lang w:val="en-IE"/>
        </w:rPr>
        <w:t>.</w:t>
      </w:r>
      <w:r w:rsidR="00E05E26" w:rsidRPr="00013BDC">
        <w:rPr>
          <w:noProof/>
          <w:lang w:val="en-IE"/>
        </w:rPr>
        <w:t xml:space="preserve"> The revision of food waste and textiles aspects of the </w:t>
      </w:r>
      <w:r w:rsidR="00D25C7B" w:rsidRPr="00013BDC">
        <w:rPr>
          <w:noProof/>
          <w:lang w:val="en-IE"/>
        </w:rPr>
        <w:t>WFD</w:t>
      </w:r>
      <w:r w:rsidR="00E05E26" w:rsidRPr="00013BDC">
        <w:rPr>
          <w:noProof/>
          <w:lang w:val="en-IE"/>
        </w:rPr>
        <w:t xml:space="preserve"> is in the European Commission's Work Programme for 2023, in Annex I, under the heading ‘A European Green Deal’.</w:t>
      </w:r>
    </w:p>
    <w:p w14:paraId="3A775594" w14:textId="533FF103" w:rsidR="00D71484" w:rsidRPr="00013BDC" w:rsidRDefault="2D307EEC" w:rsidP="00D34578">
      <w:pPr>
        <w:spacing w:after="120"/>
        <w:rPr>
          <w:noProof/>
          <w:lang w:val="en-IE"/>
        </w:rPr>
      </w:pPr>
      <w:r w:rsidRPr="00013BDC">
        <w:rPr>
          <w:rFonts w:eastAsia="Times New Roman"/>
          <w:noProof/>
          <w:lang w:val="en-IE"/>
        </w:rPr>
        <w:t xml:space="preserve">The </w:t>
      </w:r>
      <w:hyperlink r:id="rId31" w:history="1">
        <w:r w:rsidRPr="00013BDC">
          <w:rPr>
            <w:rStyle w:val="Hyperlink"/>
            <w:rFonts w:eastAsia="Times New Roman"/>
            <w:noProof/>
            <w:lang w:val="en-IE"/>
          </w:rPr>
          <w:t xml:space="preserve">Call for Evidence </w:t>
        </w:r>
        <w:r w:rsidR="00A36A80" w:rsidRPr="00013BDC">
          <w:rPr>
            <w:rStyle w:val="Hyperlink"/>
            <w:rFonts w:eastAsia="Times New Roman"/>
            <w:noProof/>
            <w:lang w:val="en-IE"/>
          </w:rPr>
          <w:t>for textile waste</w:t>
        </w:r>
      </w:hyperlink>
      <w:r w:rsidR="005C711E" w:rsidRPr="00013BDC">
        <w:rPr>
          <w:rStyle w:val="FootnoteReference"/>
          <w:rFonts w:eastAsia="Times New Roman"/>
          <w:noProof/>
          <w:lang w:val="en-IE"/>
        </w:rPr>
        <w:footnoteReference w:id="5"/>
      </w:r>
      <w:r w:rsidR="00A36A80" w:rsidRPr="00013BDC">
        <w:rPr>
          <w:rFonts w:eastAsia="Times New Roman"/>
          <w:noProof/>
          <w:lang w:val="en-IE"/>
        </w:rPr>
        <w:t xml:space="preserve"> </w:t>
      </w:r>
      <w:r w:rsidRPr="00013BDC">
        <w:rPr>
          <w:rFonts w:eastAsia="Times New Roman"/>
          <w:noProof/>
          <w:lang w:val="en-IE"/>
        </w:rPr>
        <w:t>was published on 25 January 2022 with a feedback period until 22 February 2022.</w:t>
      </w:r>
      <w:r w:rsidR="00B37BD9" w:rsidRPr="00013BDC">
        <w:rPr>
          <w:rFonts w:eastAsia="Times New Roman"/>
          <w:noProof/>
          <w:lang w:val="en-IE"/>
        </w:rPr>
        <w:t xml:space="preserve"> </w:t>
      </w:r>
      <w:hyperlink r:id="rId32" w:history="1">
        <w:r w:rsidRPr="00013BDC">
          <w:rPr>
            <w:rStyle w:val="Hyperlink"/>
            <w:rFonts w:eastAsia="Times New Roman"/>
            <w:noProof/>
            <w:lang w:val="en-IE"/>
          </w:rPr>
          <w:t>The Inception Impact Assessment for the food waste reduction targets</w:t>
        </w:r>
      </w:hyperlink>
      <w:r w:rsidR="005C711E" w:rsidRPr="00013BDC">
        <w:rPr>
          <w:rStyle w:val="FootnoteReference"/>
          <w:rFonts w:eastAsia="Times New Roman"/>
          <w:noProof/>
          <w:lang w:val="en-IE"/>
        </w:rPr>
        <w:footnoteReference w:id="6"/>
      </w:r>
      <w:r w:rsidRPr="00013BDC">
        <w:rPr>
          <w:noProof/>
          <w:lang w:val="en-IE"/>
        </w:rPr>
        <w:t xml:space="preserve"> was published on 30 September 2021 with a feedback period until </w:t>
      </w:r>
      <w:r w:rsidRPr="00013BDC">
        <w:rPr>
          <w:rFonts w:eastAsia="Times New Roman"/>
          <w:noProof/>
          <w:lang w:val="en-IE"/>
        </w:rPr>
        <w:t>2</w:t>
      </w:r>
      <w:r w:rsidR="000D1A6E" w:rsidRPr="00013BDC">
        <w:rPr>
          <w:rFonts w:eastAsia="Times New Roman"/>
          <w:noProof/>
          <w:lang w:val="en-IE"/>
        </w:rPr>
        <w:t>9</w:t>
      </w:r>
      <w:r w:rsidRPr="00013BDC">
        <w:rPr>
          <w:noProof/>
          <w:lang w:val="en-IE"/>
        </w:rPr>
        <w:t xml:space="preserve"> October </w:t>
      </w:r>
      <w:r w:rsidRPr="00013BDC">
        <w:rPr>
          <w:rFonts w:eastAsia="Times New Roman"/>
          <w:noProof/>
          <w:lang w:val="en-IE"/>
        </w:rPr>
        <w:t>202</w:t>
      </w:r>
      <w:r w:rsidR="000D1A6E" w:rsidRPr="00013BDC">
        <w:rPr>
          <w:rFonts w:eastAsia="Times New Roman"/>
          <w:noProof/>
          <w:lang w:val="en-IE"/>
        </w:rPr>
        <w:t>1</w:t>
      </w:r>
      <w:r w:rsidRPr="00013BDC">
        <w:rPr>
          <w:noProof/>
          <w:lang w:val="en-IE"/>
        </w:rPr>
        <w:t>.</w:t>
      </w:r>
    </w:p>
    <w:p w14:paraId="0F1AE28A" w14:textId="2FC7DB7A" w:rsidR="00D71484" w:rsidRPr="00013BDC" w:rsidRDefault="2D307EEC" w:rsidP="1981788D">
      <w:pPr>
        <w:spacing w:after="120"/>
        <w:rPr>
          <w:rFonts w:eastAsia="Times New Roman"/>
          <w:noProof/>
          <w:lang w:val="en-IE"/>
        </w:rPr>
      </w:pPr>
      <w:r w:rsidRPr="00013BDC">
        <w:rPr>
          <w:rFonts w:eastAsia="Times New Roman"/>
          <w:noProof/>
          <w:lang w:val="en-IE"/>
        </w:rPr>
        <w:t>One Inter Service Steering Group (ISSG) for the WFD Impact Assessment was set up by DG Environment. It included the following DGs and services: AGRI (Agriculture), CLIMA (Climate Action), COMP (Competition), ECFIN (Economic and Financial Affairs), ENER (Energy), ESTAT (Eurostat), FISMA (Financial Stability, Financial Services and Capital Markets Union), GROW (Internal Market, Industry, Entrepreneurship and SMEs), INTPA (International Partnerships), JRC (Joint Research Centre), JUST (Justice and Consumers), MARE (Maritime Affairs and Fisheries), MOVE (Mobility and Transport), NEAR (European Neighbourhood and Enlargement Negotiations), REGIO (Regional and Urban Policy), RTD (Research and Innovation), SANTE (Health and Food Safety), SG (Secretariat-General, including RECOVER), SJ (Legal Service), TAXUD (Taxation and Customs Union)</w:t>
      </w:r>
      <w:r w:rsidR="00C61B60" w:rsidRPr="00013BDC">
        <w:rPr>
          <w:rFonts w:eastAsia="Times New Roman"/>
          <w:noProof/>
          <w:lang w:val="en-IE"/>
        </w:rPr>
        <w:t xml:space="preserve">, </w:t>
      </w:r>
      <w:r w:rsidRPr="00013BDC">
        <w:rPr>
          <w:rFonts w:eastAsia="Times New Roman"/>
          <w:noProof/>
          <w:lang w:val="en-IE"/>
        </w:rPr>
        <w:t>as well as EUROSTAT (European Statistics), ECHA (European Chemicals Agency) and the EEA (European Environment Agency).</w:t>
      </w:r>
      <w:r w:rsidR="00605AC9" w:rsidRPr="00013BDC">
        <w:rPr>
          <w:rFonts w:eastAsia="Times New Roman"/>
          <w:noProof/>
          <w:lang w:val="en-IE"/>
        </w:rPr>
        <w:t xml:space="preserve"> </w:t>
      </w:r>
      <w:r w:rsidRPr="00013BDC">
        <w:rPr>
          <w:rFonts w:eastAsia="Times New Roman"/>
          <w:noProof/>
          <w:lang w:val="en-IE"/>
        </w:rPr>
        <w:t>Meetings were organised in October 2021 and May 2022.</w:t>
      </w:r>
    </w:p>
    <w:p w14:paraId="15717E75" w14:textId="711D15F5" w:rsidR="00D71484" w:rsidRPr="00013BDC" w:rsidRDefault="2D307EEC" w:rsidP="1981788D">
      <w:pPr>
        <w:spacing w:after="120"/>
        <w:rPr>
          <w:rFonts w:eastAsia="Times New Roman"/>
          <w:noProof/>
          <w:lang w:val="en-IE"/>
        </w:rPr>
      </w:pPr>
      <w:r w:rsidRPr="00013BDC">
        <w:rPr>
          <w:rFonts w:eastAsia="Times New Roman"/>
          <w:noProof/>
          <w:lang w:val="en-IE"/>
        </w:rPr>
        <w:t>Another Inter Service Steering Group (ISSG) was set up by the DG for Health and Food Safety. It consists</w:t>
      </w:r>
      <w:r w:rsidRPr="00013BDC">
        <w:rPr>
          <w:noProof/>
          <w:lang w:val="en-IE"/>
        </w:rPr>
        <w:t xml:space="preserve"> of AGRI (Agriculture), CLIMA (Climate Action), CNECT (Communications Networks, Content and Technology), EAC (Education and Culture), EMPL (Employment), ENER (Energy), ENV (Environment) ESTAT (Eurostat), FISMA (Financial Stability, Financial Services and Capital Markets Union), GROW (Internal Market, Industry, Entrepreneurship and SMEs</w:t>
      </w:r>
      <w:r w:rsidRPr="00013BDC">
        <w:rPr>
          <w:rFonts w:eastAsia="Times New Roman"/>
          <w:noProof/>
          <w:lang w:val="en-IE"/>
        </w:rPr>
        <w:t>)</w:t>
      </w:r>
      <w:r w:rsidR="3C246D40" w:rsidRPr="00013BDC">
        <w:rPr>
          <w:rFonts w:eastAsia="Times New Roman"/>
          <w:noProof/>
          <w:lang w:val="en-IE"/>
        </w:rPr>
        <w:t>.</w:t>
      </w:r>
    </w:p>
    <w:p w14:paraId="3E0D1C6E" w14:textId="158A8BD6" w:rsidR="00D71484" w:rsidRPr="00013BDC" w:rsidRDefault="2D307EEC" w:rsidP="1981788D">
      <w:pPr>
        <w:spacing w:after="120"/>
        <w:rPr>
          <w:rFonts w:eastAsia="Times New Roman"/>
          <w:noProof/>
          <w:lang w:val="en-IE"/>
        </w:rPr>
      </w:pPr>
      <w:r w:rsidRPr="00013BDC">
        <w:rPr>
          <w:rFonts w:eastAsia="Times New Roman"/>
          <w:noProof/>
          <w:lang w:val="en-IE"/>
        </w:rPr>
        <w:t xml:space="preserve">Once it was decided to combine the two initiatives, the WFD ISSG met again </w:t>
      </w:r>
      <w:r w:rsidR="003F715C" w:rsidRPr="00013BDC">
        <w:rPr>
          <w:rFonts w:eastAsia="Times New Roman"/>
          <w:noProof/>
          <w:lang w:val="en-IE"/>
        </w:rPr>
        <w:t>between</w:t>
      </w:r>
      <w:r w:rsidRPr="00013BDC">
        <w:rPr>
          <w:rFonts w:eastAsia="Times New Roman"/>
          <w:noProof/>
          <w:lang w:val="en-IE"/>
        </w:rPr>
        <w:t xml:space="preserve"> October 2022 and January 2023</w:t>
      </w:r>
      <w:r w:rsidR="00206A5E" w:rsidRPr="00013BDC">
        <w:rPr>
          <w:rFonts w:eastAsia="Times New Roman"/>
          <w:noProof/>
          <w:lang w:val="en-IE"/>
        </w:rPr>
        <w:t xml:space="preserve"> </w:t>
      </w:r>
      <w:r w:rsidR="00086C7E" w:rsidRPr="00013BDC">
        <w:rPr>
          <w:rFonts w:eastAsia="Times New Roman"/>
          <w:noProof/>
          <w:lang w:val="en-IE"/>
        </w:rPr>
        <w:t xml:space="preserve">covering both </w:t>
      </w:r>
      <w:r w:rsidR="00370C43" w:rsidRPr="00013BDC">
        <w:rPr>
          <w:rFonts w:eastAsia="Times New Roman"/>
          <w:noProof/>
          <w:lang w:val="en-IE"/>
        </w:rPr>
        <w:t>text</w:t>
      </w:r>
      <w:r w:rsidR="00336C65" w:rsidRPr="00013BDC">
        <w:rPr>
          <w:rFonts w:eastAsia="Times New Roman"/>
          <w:noProof/>
          <w:lang w:val="en-IE"/>
        </w:rPr>
        <w:t>il</w:t>
      </w:r>
      <w:r w:rsidR="00370C43" w:rsidRPr="00013BDC">
        <w:rPr>
          <w:rFonts w:eastAsia="Times New Roman"/>
          <w:noProof/>
          <w:lang w:val="en-IE"/>
        </w:rPr>
        <w:t xml:space="preserve">e and food waste </w:t>
      </w:r>
      <w:r w:rsidR="00206A5E" w:rsidRPr="00013BDC">
        <w:rPr>
          <w:rFonts w:eastAsia="Times New Roman"/>
          <w:noProof/>
          <w:lang w:val="en-IE"/>
        </w:rPr>
        <w:t>with the addition of DG TRADE (Trade) and DG INTPA</w:t>
      </w:r>
      <w:r w:rsidR="00196A0A" w:rsidRPr="00013BDC">
        <w:rPr>
          <w:rFonts w:eastAsia="Times New Roman"/>
          <w:noProof/>
          <w:lang w:val="en-IE"/>
        </w:rPr>
        <w:t xml:space="preserve"> (International Partnerships) that nominate</w:t>
      </w:r>
      <w:r w:rsidR="006932ED" w:rsidRPr="00013BDC">
        <w:rPr>
          <w:rFonts w:eastAsia="Times New Roman"/>
          <w:noProof/>
          <w:lang w:val="en-IE"/>
        </w:rPr>
        <w:t>d</w:t>
      </w:r>
      <w:r w:rsidR="00196A0A" w:rsidRPr="00013BDC">
        <w:rPr>
          <w:rFonts w:eastAsia="Times New Roman"/>
          <w:noProof/>
          <w:lang w:val="en-IE"/>
        </w:rPr>
        <w:t xml:space="preserve"> representatives later in the process.</w:t>
      </w:r>
    </w:p>
    <w:p w14:paraId="18DE6D5B" w14:textId="5C7669E0" w:rsidR="00D71484" w:rsidRPr="00013BDC" w:rsidRDefault="2D307EEC" w:rsidP="1981788D">
      <w:pPr>
        <w:spacing w:after="120"/>
        <w:rPr>
          <w:rFonts w:eastAsia="Times New Roman"/>
          <w:noProof/>
          <w:color w:val="000000" w:themeColor="text1"/>
          <w:lang w:val="en-IE"/>
        </w:rPr>
      </w:pPr>
      <w:r w:rsidRPr="00013BDC">
        <w:rPr>
          <w:rFonts w:eastAsia="Times New Roman"/>
          <w:noProof/>
          <w:lang w:val="en-IE"/>
        </w:rPr>
        <w:t xml:space="preserve">The ISSG meetings have discussed the main milestones of the process: </w:t>
      </w:r>
      <w:r w:rsidRPr="00013BDC">
        <w:rPr>
          <w:rFonts w:eastAsia="Times New Roman"/>
          <w:noProof/>
          <w:color w:val="000000" w:themeColor="text1"/>
          <w:lang w:val="en-IE"/>
        </w:rPr>
        <w:t xml:space="preserve">the impact assessment support study </w:t>
      </w:r>
      <w:r w:rsidR="007824CC" w:rsidRPr="00013BDC">
        <w:rPr>
          <w:rFonts w:eastAsia="Times New Roman"/>
          <w:noProof/>
          <w:color w:val="000000" w:themeColor="text1"/>
          <w:lang w:val="en-IE"/>
        </w:rPr>
        <w:t xml:space="preserve">that also </w:t>
      </w:r>
      <w:r w:rsidR="008335DC" w:rsidRPr="00013BDC">
        <w:rPr>
          <w:rFonts w:eastAsia="Times New Roman"/>
          <w:noProof/>
          <w:color w:val="000000" w:themeColor="text1"/>
          <w:lang w:val="en-IE"/>
        </w:rPr>
        <w:t xml:space="preserve">identified the problems and proposed relevant measures </w:t>
      </w:r>
      <w:r w:rsidR="00304F7F" w:rsidRPr="00013BDC">
        <w:rPr>
          <w:rFonts w:eastAsia="Times New Roman"/>
          <w:noProof/>
          <w:color w:val="000000" w:themeColor="text1"/>
          <w:lang w:val="en-IE"/>
        </w:rPr>
        <w:t xml:space="preserve">for the </w:t>
      </w:r>
      <w:r w:rsidR="001A1D98" w:rsidRPr="00013BDC">
        <w:rPr>
          <w:rFonts w:eastAsia="Times New Roman"/>
          <w:noProof/>
          <w:color w:val="000000" w:themeColor="text1"/>
          <w:lang w:val="en-IE"/>
        </w:rPr>
        <w:t xml:space="preserve">textiles stream and prevention more generally </w:t>
      </w:r>
      <w:r w:rsidRPr="00013BDC">
        <w:rPr>
          <w:rFonts w:eastAsia="Times New Roman"/>
          <w:noProof/>
          <w:color w:val="000000" w:themeColor="text1"/>
          <w:lang w:val="en-IE"/>
        </w:rPr>
        <w:t>(consulting the group on the contract’s terms of reference, and the results of first and second interim reports and the draft final report). The ISSG was also consulted on the scope of the study procured by the Commission to analyse lubricant and industrial oil EPR systems and waste oil collection schemes in Member States.</w:t>
      </w:r>
    </w:p>
    <w:p w14:paraId="2815F515" w14:textId="18A85D76" w:rsidR="00D71484" w:rsidRPr="00013BDC" w:rsidRDefault="2D307EEC" w:rsidP="001B1E6E">
      <w:pPr>
        <w:rPr>
          <w:rFonts w:eastAsia="Times New Roman"/>
          <w:noProof/>
          <w:lang w:val="en-IE"/>
        </w:rPr>
      </w:pPr>
      <w:r w:rsidRPr="00013BDC">
        <w:rPr>
          <w:rFonts w:eastAsia="Times New Roman"/>
          <w:noProof/>
          <w:lang w:val="en-IE"/>
        </w:rPr>
        <w:t>The ISSG was consulted on the draft Impact Assessment report and provided their input prior to its submission to the Regulatory Scrutiny Board.</w:t>
      </w:r>
      <w:r w:rsidR="611642C1" w:rsidRPr="00013BDC">
        <w:rPr>
          <w:rFonts w:eastAsia="Times New Roman"/>
          <w:noProof/>
          <w:lang w:val="en-IE"/>
        </w:rPr>
        <w:t xml:space="preserve"> </w:t>
      </w:r>
      <w:r w:rsidR="2DC00E10" w:rsidRPr="00013BDC">
        <w:rPr>
          <w:rFonts w:eastAsia="Times New Roman"/>
          <w:noProof/>
          <w:lang w:val="en-IE"/>
        </w:rPr>
        <w:t>T</w:t>
      </w:r>
      <w:r w:rsidR="60E2F2DB" w:rsidRPr="00013BDC">
        <w:rPr>
          <w:rFonts w:eastAsia="Times New Roman"/>
          <w:noProof/>
          <w:lang w:val="en-IE"/>
        </w:rPr>
        <w:t xml:space="preserve">he impact assessment </w:t>
      </w:r>
      <w:r w:rsidR="661877CE" w:rsidRPr="00013BDC">
        <w:rPr>
          <w:rFonts w:eastAsia="Times New Roman"/>
          <w:noProof/>
          <w:lang w:val="en-IE"/>
        </w:rPr>
        <w:t xml:space="preserve">was revised </w:t>
      </w:r>
      <w:r w:rsidR="60E2F2DB" w:rsidRPr="00013BDC">
        <w:rPr>
          <w:rFonts w:eastAsia="Times New Roman"/>
          <w:noProof/>
          <w:lang w:val="en-IE"/>
        </w:rPr>
        <w:t xml:space="preserve">addressing the </w:t>
      </w:r>
      <w:r w:rsidR="2732328D" w:rsidRPr="00013BDC">
        <w:rPr>
          <w:rFonts w:eastAsia="Times New Roman"/>
          <w:noProof/>
          <w:lang w:val="en-IE"/>
        </w:rPr>
        <w:t xml:space="preserve">services </w:t>
      </w:r>
      <w:r w:rsidR="60E2F2DB" w:rsidRPr="00013BDC">
        <w:rPr>
          <w:rFonts w:eastAsia="Times New Roman"/>
          <w:noProof/>
          <w:lang w:val="en-IE"/>
        </w:rPr>
        <w:t xml:space="preserve">comments </w:t>
      </w:r>
      <w:r w:rsidR="1496A577" w:rsidRPr="00013BDC">
        <w:rPr>
          <w:rFonts w:eastAsia="Times New Roman"/>
          <w:noProof/>
          <w:lang w:val="en-IE"/>
        </w:rPr>
        <w:t>largely</w:t>
      </w:r>
      <w:r w:rsidR="60E2F2DB" w:rsidRPr="00013BDC">
        <w:rPr>
          <w:rFonts w:eastAsia="Times New Roman"/>
          <w:noProof/>
          <w:lang w:val="en-IE"/>
        </w:rPr>
        <w:t xml:space="preserve"> falling in the following </w:t>
      </w:r>
      <w:r w:rsidR="13A4BF6E" w:rsidRPr="00013BDC">
        <w:rPr>
          <w:rFonts w:eastAsia="Times New Roman"/>
          <w:noProof/>
          <w:lang w:val="en-IE"/>
        </w:rPr>
        <w:t>categories</w:t>
      </w:r>
      <w:r w:rsidR="60E2F2DB" w:rsidRPr="00013BDC">
        <w:rPr>
          <w:rFonts w:eastAsia="Times New Roman"/>
          <w:noProof/>
          <w:lang w:val="en-IE"/>
        </w:rPr>
        <w:t xml:space="preserve">. The </w:t>
      </w:r>
      <w:r w:rsidR="34975EA0" w:rsidRPr="00013BDC">
        <w:rPr>
          <w:rFonts w:eastAsia="Times New Roman"/>
          <w:noProof/>
          <w:lang w:val="en-IE"/>
        </w:rPr>
        <w:t>structure</w:t>
      </w:r>
      <w:r w:rsidR="60E2F2DB" w:rsidRPr="00013BDC">
        <w:rPr>
          <w:rFonts w:eastAsia="Times New Roman"/>
          <w:noProof/>
          <w:lang w:val="en-IE"/>
        </w:rPr>
        <w:t xml:space="preserve"> of the report was revised to better integrate the assessments of food and textile </w:t>
      </w:r>
      <w:r w:rsidR="3F49329E" w:rsidRPr="00013BDC">
        <w:rPr>
          <w:rFonts w:eastAsia="Times New Roman"/>
          <w:noProof/>
          <w:lang w:val="en-IE"/>
        </w:rPr>
        <w:t xml:space="preserve">options and measures, the </w:t>
      </w:r>
      <w:r w:rsidR="0D597E9F" w:rsidRPr="00013BDC">
        <w:rPr>
          <w:rFonts w:eastAsia="Times New Roman"/>
          <w:noProof/>
          <w:lang w:val="en-IE"/>
        </w:rPr>
        <w:t xml:space="preserve">types of </w:t>
      </w:r>
      <w:r w:rsidR="3F49329E" w:rsidRPr="00013BDC">
        <w:rPr>
          <w:rFonts w:eastAsia="Times New Roman"/>
          <w:noProof/>
          <w:lang w:val="en-IE"/>
        </w:rPr>
        <w:t>impact</w:t>
      </w:r>
      <w:r w:rsidR="2BD36F46" w:rsidRPr="00013BDC">
        <w:rPr>
          <w:rFonts w:eastAsia="Times New Roman"/>
          <w:noProof/>
          <w:lang w:val="en-IE"/>
        </w:rPr>
        <w:t>s</w:t>
      </w:r>
      <w:r w:rsidR="3F49329E" w:rsidRPr="00013BDC">
        <w:rPr>
          <w:rFonts w:eastAsia="Times New Roman"/>
          <w:noProof/>
          <w:lang w:val="en-IE"/>
        </w:rPr>
        <w:t xml:space="preserve"> assess</w:t>
      </w:r>
      <w:r w:rsidR="6CD7E726" w:rsidRPr="00013BDC">
        <w:rPr>
          <w:rFonts w:eastAsia="Times New Roman"/>
          <w:noProof/>
          <w:lang w:val="en-IE"/>
        </w:rPr>
        <w:t>ed were</w:t>
      </w:r>
      <w:r w:rsidR="3F49329E" w:rsidRPr="00013BDC">
        <w:rPr>
          <w:rFonts w:eastAsia="Times New Roman"/>
          <w:noProof/>
          <w:lang w:val="en-IE"/>
        </w:rPr>
        <w:t xml:space="preserve"> aligned where possible across the two initiatives, impacts on SMEs and third countries as well as </w:t>
      </w:r>
      <w:r w:rsidR="08F80EF0" w:rsidRPr="00013BDC">
        <w:rPr>
          <w:rFonts w:eastAsia="Times New Roman"/>
          <w:noProof/>
          <w:lang w:val="en-IE"/>
        </w:rPr>
        <w:t>on competitiveness highlighted in the report</w:t>
      </w:r>
      <w:r w:rsidR="46AC68EB" w:rsidRPr="00013BDC">
        <w:rPr>
          <w:rFonts w:eastAsia="Times New Roman"/>
          <w:noProof/>
          <w:lang w:val="en-IE"/>
        </w:rPr>
        <w:t>, links with other init</w:t>
      </w:r>
      <w:r w:rsidR="00A90235" w:rsidRPr="00013BDC">
        <w:rPr>
          <w:rFonts w:eastAsia="Times New Roman"/>
          <w:noProof/>
          <w:lang w:val="en-IE"/>
        </w:rPr>
        <w:t>i</w:t>
      </w:r>
      <w:r w:rsidR="46AC68EB" w:rsidRPr="00013BDC">
        <w:rPr>
          <w:rFonts w:eastAsia="Times New Roman"/>
          <w:noProof/>
          <w:lang w:val="en-IE"/>
        </w:rPr>
        <w:t xml:space="preserve">atives were </w:t>
      </w:r>
      <w:r w:rsidR="00A90235" w:rsidRPr="00013BDC">
        <w:rPr>
          <w:rFonts w:eastAsia="Times New Roman"/>
          <w:noProof/>
          <w:lang w:val="en-IE"/>
        </w:rPr>
        <w:t>clarified</w:t>
      </w:r>
      <w:r w:rsidR="46AC68EB" w:rsidRPr="00013BDC">
        <w:rPr>
          <w:rFonts w:eastAsia="Times New Roman"/>
          <w:noProof/>
          <w:lang w:val="en-IE"/>
        </w:rPr>
        <w:t>, description of measures and options was improved</w:t>
      </w:r>
      <w:r w:rsidR="08F80EF0" w:rsidRPr="00013BDC">
        <w:rPr>
          <w:rFonts w:eastAsia="Times New Roman"/>
          <w:noProof/>
          <w:lang w:val="en-IE"/>
        </w:rPr>
        <w:t xml:space="preserve">. </w:t>
      </w:r>
      <w:r w:rsidR="4537D6B6" w:rsidRPr="00013BDC">
        <w:rPr>
          <w:rFonts w:eastAsia="Times New Roman"/>
          <w:noProof/>
          <w:lang w:val="en-IE"/>
        </w:rPr>
        <w:t>Following the ISSG meeting of 26 January 2023</w:t>
      </w:r>
      <w:r w:rsidR="0DC98634" w:rsidRPr="00013BDC">
        <w:rPr>
          <w:rFonts w:eastAsia="Times New Roman"/>
          <w:noProof/>
          <w:lang w:val="en-IE"/>
        </w:rPr>
        <w:t>,</w:t>
      </w:r>
      <w:r w:rsidR="4537D6B6" w:rsidRPr="00013BDC">
        <w:rPr>
          <w:rFonts w:eastAsia="Times New Roman"/>
          <w:noProof/>
          <w:lang w:val="en-IE"/>
        </w:rPr>
        <w:t xml:space="preserve"> where </w:t>
      </w:r>
      <w:r w:rsidR="394CBBC8" w:rsidRPr="00013BDC">
        <w:rPr>
          <w:rFonts w:eastAsia="Times New Roman"/>
          <w:noProof/>
          <w:lang w:val="en-IE"/>
        </w:rPr>
        <w:t xml:space="preserve">the draft impact assessment was discussed, bilateral </w:t>
      </w:r>
      <w:r w:rsidR="46808033" w:rsidRPr="00013BDC">
        <w:rPr>
          <w:rFonts w:eastAsia="Times New Roman"/>
          <w:noProof/>
          <w:lang w:val="en-IE"/>
        </w:rPr>
        <w:t>meetings</w:t>
      </w:r>
      <w:r w:rsidR="394CBBC8" w:rsidRPr="00013BDC">
        <w:rPr>
          <w:rFonts w:eastAsia="Times New Roman"/>
          <w:noProof/>
          <w:lang w:val="en-IE"/>
        </w:rPr>
        <w:t xml:space="preserve"> were organised with </w:t>
      </w:r>
      <w:r w:rsidR="71E0F40B" w:rsidRPr="00013BDC">
        <w:rPr>
          <w:rFonts w:eastAsia="Times New Roman"/>
          <w:noProof/>
          <w:lang w:val="en-IE"/>
        </w:rPr>
        <w:t>several services</w:t>
      </w:r>
      <w:r w:rsidR="00A90235" w:rsidRPr="00013BDC">
        <w:rPr>
          <w:rFonts w:eastAsia="Times New Roman"/>
          <w:noProof/>
          <w:lang w:val="en-IE"/>
        </w:rPr>
        <w:t xml:space="preserve"> to address their comments</w:t>
      </w:r>
      <w:r w:rsidR="39841C27" w:rsidRPr="00013BDC">
        <w:rPr>
          <w:rFonts w:eastAsia="Times New Roman"/>
          <w:noProof/>
          <w:lang w:val="en-IE"/>
        </w:rPr>
        <w:t xml:space="preserve">. A </w:t>
      </w:r>
      <w:r w:rsidR="468A55A5" w:rsidRPr="00013BDC">
        <w:rPr>
          <w:rFonts w:eastAsia="Times New Roman"/>
          <w:noProof/>
          <w:lang w:val="en-IE"/>
        </w:rPr>
        <w:t>meeting</w:t>
      </w:r>
      <w:r w:rsidR="39841C27" w:rsidRPr="00013BDC">
        <w:rPr>
          <w:rFonts w:eastAsia="Times New Roman"/>
          <w:noProof/>
          <w:lang w:val="en-IE"/>
        </w:rPr>
        <w:t xml:space="preserve"> with</w:t>
      </w:r>
      <w:r w:rsidR="71E0F40B" w:rsidRPr="00013BDC">
        <w:rPr>
          <w:rFonts w:eastAsia="Times New Roman"/>
          <w:noProof/>
          <w:lang w:val="en-IE"/>
        </w:rPr>
        <w:t xml:space="preserve"> AGRI </w:t>
      </w:r>
      <w:r w:rsidR="00A90235" w:rsidRPr="00013BDC">
        <w:rPr>
          <w:rFonts w:eastAsia="Times New Roman"/>
          <w:noProof/>
          <w:lang w:val="en-IE"/>
        </w:rPr>
        <w:t>was held on 2 February</w:t>
      </w:r>
      <w:r w:rsidR="000F4A51" w:rsidRPr="00013BDC">
        <w:rPr>
          <w:rFonts w:eastAsia="Times New Roman"/>
          <w:noProof/>
          <w:lang w:val="en-IE"/>
        </w:rPr>
        <w:t xml:space="preserve"> 2023</w:t>
      </w:r>
      <w:r w:rsidR="00A90235" w:rsidRPr="00013BDC">
        <w:rPr>
          <w:rFonts w:eastAsia="Times New Roman"/>
          <w:noProof/>
          <w:lang w:val="en-IE"/>
        </w:rPr>
        <w:t xml:space="preserve"> </w:t>
      </w:r>
      <w:r w:rsidR="71E0F40B" w:rsidRPr="00013BDC">
        <w:rPr>
          <w:rFonts w:eastAsia="Times New Roman"/>
          <w:noProof/>
          <w:lang w:val="en-IE"/>
        </w:rPr>
        <w:t xml:space="preserve">to </w:t>
      </w:r>
      <w:r w:rsidR="00D7283C" w:rsidRPr="00013BDC">
        <w:rPr>
          <w:rFonts w:eastAsia="Times New Roman"/>
          <w:noProof/>
          <w:lang w:val="en-IE"/>
        </w:rPr>
        <w:t>discuss monitoring of food waste levels in primary production as well as possible impacts of food waste reduction on this sector.</w:t>
      </w:r>
      <w:r w:rsidR="71E0F40B" w:rsidRPr="00013BDC">
        <w:rPr>
          <w:rFonts w:eastAsia="Times New Roman"/>
          <w:noProof/>
          <w:lang w:val="en-IE"/>
        </w:rPr>
        <w:t xml:space="preserve"> </w:t>
      </w:r>
      <w:r w:rsidR="7E88EFE7" w:rsidRPr="00013BDC">
        <w:rPr>
          <w:rFonts w:eastAsia="Times New Roman"/>
          <w:noProof/>
          <w:lang w:val="en-IE"/>
        </w:rPr>
        <w:t>A meeti</w:t>
      </w:r>
      <w:r w:rsidR="5FF4EAD4" w:rsidRPr="00013BDC">
        <w:rPr>
          <w:rFonts w:eastAsia="Times New Roman"/>
          <w:noProof/>
          <w:lang w:val="en-IE"/>
        </w:rPr>
        <w:t>ng</w:t>
      </w:r>
      <w:r w:rsidR="7E88EFE7" w:rsidRPr="00013BDC">
        <w:rPr>
          <w:rFonts w:eastAsia="Times New Roman"/>
          <w:noProof/>
          <w:lang w:val="en-IE"/>
        </w:rPr>
        <w:t xml:space="preserve"> with </w:t>
      </w:r>
      <w:r w:rsidR="71E0F40B" w:rsidRPr="00013BDC">
        <w:rPr>
          <w:rFonts w:eastAsia="Times New Roman"/>
          <w:noProof/>
          <w:lang w:val="en-IE"/>
        </w:rPr>
        <w:t>TRADE, INTPA, NEAR</w:t>
      </w:r>
      <w:r w:rsidR="31B428DD" w:rsidRPr="00013BDC">
        <w:rPr>
          <w:rFonts w:eastAsia="Times New Roman"/>
          <w:noProof/>
          <w:lang w:val="en-IE"/>
        </w:rPr>
        <w:t xml:space="preserve"> and</w:t>
      </w:r>
      <w:r w:rsidR="71E0F40B" w:rsidRPr="00013BDC">
        <w:rPr>
          <w:rFonts w:eastAsia="Times New Roman"/>
          <w:noProof/>
          <w:lang w:val="en-IE"/>
        </w:rPr>
        <w:t xml:space="preserve"> EEA </w:t>
      </w:r>
      <w:r w:rsidR="4D40CA44" w:rsidRPr="00013BDC">
        <w:rPr>
          <w:rFonts w:eastAsia="Times New Roman"/>
          <w:noProof/>
          <w:lang w:val="en-IE"/>
        </w:rPr>
        <w:t xml:space="preserve">was held to discuss how to </w:t>
      </w:r>
      <w:r w:rsidR="41838835" w:rsidRPr="00013BDC">
        <w:rPr>
          <w:rFonts w:eastAsia="Times New Roman"/>
          <w:noProof/>
          <w:lang w:val="en-IE"/>
        </w:rPr>
        <w:t xml:space="preserve">clarify the measures </w:t>
      </w:r>
      <w:r w:rsidR="341C2890" w:rsidRPr="00013BDC">
        <w:rPr>
          <w:rFonts w:eastAsia="Times New Roman"/>
          <w:noProof/>
          <w:lang w:val="en-IE"/>
        </w:rPr>
        <w:t>to identify</w:t>
      </w:r>
      <w:r w:rsidR="41838835" w:rsidRPr="00013BDC">
        <w:rPr>
          <w:rFonts w:eastAsia="Times New Roman"/>
          <w:noProof/>
          <w:lang w:val="en-IE"/>
        </w:rPr>
        <w:t xml:space="preserve"> if they have an impact on third countries and to </w:t>
      </w:r>
      <w:r w:rsidR="4D40CA44" w:rsidRPr="00013BDC">
        <w:rPr>
          <w:rFonts w:eastAsia="Times New Roman"/>
          <w:noProof/>
          <w:lang w:val="en-IE"/>
        </w:rPr>
        <w:t>compete the assessment of the i</w:t>
      </w:r>
      <w:r w:rsidR="05341847" w:rsidRPr="00013BDC">
        <w:rPr>
          <w:rFonts w:eastAsia="Times New Roman"/>
          <w:noProof/>
          <w:lang w:val="en-IE"/>
        </w:rPr>
        <w:t>m</w:t>
      </w:r>
      <w:r w:rsidR="4D40CA44" w:rsidRPr="00013BDC">
        <w:rPr>
          <w:rFonts w:eastAsia="Times New Roman"/>
          <w:noProof/>
          <w:lang w:val="en-IE"/>
        </w:rPr>
        <w:t>pacts on third countries</w:t>
      </w:r>
      <w:r w:rsidR="117AC014" w:rsidRPr="00013BDC">
        <w:rPr>
          <w:rFonts w:eastAsia="Times New Roman"/>
          <w:noProof/>
          <w:lang w:val="en-IE"/>
        </w:rPr>
        <w:t xml:space="preserve"> in relation to the import and export of textiles.</w:t>
      </w:r>
      <w:r w:rsidR="00720454" w:rsidRPr="00013BDC">
        <w:rPr>
          <w:rFonts w:eastAsia="Times New Roman"/>
          <w:noProof/>
          <w:lang w:val="en-IE"/>
        </w:rPr>
        <w:t xml:space="preserve"> Also, bilateral meetings with SG and GROW were held</w:t>
      </w:r>
      <w:r w:rsidR="007A35EF" w:rsidRPr="00013BDC">
        <w:rPr>
          <w:rFonts w:eastAsia="Times New Roman"/>
          <w:noProof/>
          <w:lang w:val="en-IE"/>
        </w:rPr>
        <w:t xml:space="preserve"> to discuss the SME test Annex, mentioning that the SMEs were addressed in impacts and stakeholder comments in every measure and </w:t>
      </w:r>
      <w:r w:rsidR="00CA29D7" w:rsidRPr="00013BDC">
        <w:rPr>
          <w:rFonts w:eastAsia="Times New Roman"/>
          <w:noProof/>
          <w:lang w:val="en-IE"/>
        </w:rPr>
        <w:t>that measures were desig</w:t>
      </w:r>
      <w:r w:rsidR="007A35EF" w:rsidRPr="00013BDC">
        <w:rPr>
          <w:rFonts w:eastAsia="Times New Roman"/>
          <w:noProof/>
          <w:lang w:val="en-IE"/>
        </w:rPr>
        <w:t xml:space="preserve">ned to reduce </w:t>
      </w:r>
      <w:r w:rsidR="009A3E93" w:rsidRPr="00013BDC">
        <w:rPr>
          <w:rFonts w:eastAsia="Times New Roman"/>
          <w:noProof/>
          <w:lang w:val="en-IE"/>
        </w:rPr>
        <w:t xml:space="preserve">the </w:t>
      </w:r>
      <w:r w:rsidR="007A35EF" w:rsidRPr="00013BDC">
        <w:rPr>
          <w:rFonts w:eastAsia="Times New Roman"/>
          <w:noProof/>
          <w:lang w:val="en-IE"/>
        </w:rPr>
        <w:t>impact</w:t>
      </w:r>
      <w:r w:rsidR="009A3E93" w:rsidRPr="00013BDC">
        <w:rPr>
          <w:rFonts w:eastAsia="Times New Roman"/>
          <w:noProof/>
          <w:lang w:val="en-IE"/>
        </w:rPr>
        <w:t xml:space="preserve"> on SMEs</w:t>
      </w:r>
      <w:r w:rsidR="007A35EF" w:rsidRPr="00013BDC">
        <w:rPr>
          <w:rFonts w:eastAsia="Times New Roman"/>
          <w:noProof/>
          <w:lang w:val="en-IE"/>
        </w:rPr>
        <w:t xml:space="preserve"> </w:t>
      </w:r>
      <w:r w:rsidR="009A3E93" w:rsidRPr="00013BDC">
        <w:rPr>
          <w:rFonts w:eastAsia="Times New Roman"/>
          <w:noProof/>
          <w:lang w:val="en-IE"/>
        </w:rPr>
        <w:t>(i.e.</w:t>
      </w:r>
      <w:r w:rsidR="0030245A" w:rsidRPr="00013BDC">
        <w:rPr>
          <w:rFonts w:eastAsia="Times New Roman"/>
          <w:noProof/>
          <w:lang w:val="en-IE"/>
        </w:rPr>
        <w:t>,</w:t>
      </w:r>
      <w:r w:rsidR="007A35EF" w:rsidRPr="00013BDC">
        <w:rPr>
          <w:rFonts w:eastAsia="Times New Roman"/>
          <w:noProof/>
          <w:lang w:val="en-IE"/>
        </w:rPr>
        <w:t xml:space="preserve"> exemption of micro enterprise</w:t>
      </w:r>
      <w:r w:rsidR="009A3E93" w:rsidRPr="00013BDC">
        <w:rPr>
          <w:rFonts w:eastAsia="Times New Roman"/>
          <w:noProof/>
          <w:lang w:val="en-IE"/>
        </w:rPr>
        <w:t>s).</w:t>
      </w:r>
    </w:p>
    <w:p w14:paraId="6D67E2DE" w14:textId="5DAD4A7D" w:rsidR="00D71484" w:rsidRPr="00013BDC" w:rsidRDefault="00F64258" w:rsidP="00F64258">
      <w:pPr>
        <w:pStyle w:val="Heading2"/>
        <w:rPr>
          <w:rFonts w:eastAsia="Calibri"/>
          <w:noProof/>
          <w:lang w:val="en-IE"/>
        </w:rPr>
      </w:pPr>
      <w:bookmarkStart w:id="43" w:name="_Toc117004506"/>
      <w:bookmarkStart w:id="44" w:name="_Toc118014790"/>
      <w:bookmarkStart w:id="45" w:name="_Toc120782533"/>
      <w:bookmarkStart w:id="46" w:name="_Toc124777272"/>
      <w:bookmarkStart w:id="47" w:name="_Toc610411487"/>
      <w:bookmarkStart w:id="48" w:name="_Toc1929967483"/>
      <w:bookmarkStart w:id="49" w:name="_Toc1427993029"/>
      <w:bookmarkStart w:id="50" w:name="_Toc243337532"/>
      <w:bookmarkStart w:id="51" w:name="_Toc2049894605"/>
      <w:bookmarkStart w:id="52" w:name="_Toc891928272"/>
      <w:bookmarkStart w:id="53" w:name="_Toc595449386"/>
      <w:bookmarkStart w:id="54" w:name="_Toc139032930"/>
      <w:r w:rsidRPr="00F64258">
        <w:t>3-</w:t>
      </w:r>
      <w:r w:rsidRPr="00F64258">
        <w:tab/>
      </w:r>
      <w:r w:rsidR="75FCDA2F" w:rsidRPr="00013BDC">
        <w:rPr>
          <w:noProof/>
          <w:lang w:val="en-IE"/>
        </w:rPr>
        <w:t>Consultation of the Regulatory Scrutiny Board (RSB)</w:t>
      </w:r>
      <w:bookmarkEnd w:id="43"/>
      <w:bookmarkEnd w:id="44"/>
      <w:bookmarkEnd w:id="45"/>
      <w:bookmarkEnd w:id="46"/>
      <w:bookmarkEnd w:id="47"/>
      <w:bookmarkEnd w:id="48"/>
      <w:bookmarkEnd w:id="49"/>
      <w:bookmarkEnd w:id="50"/>
      <w:bookmarkEnd w:id="51"/>
      <w:bookmarkEnd w:id="52"/>
      <w:bookmarkEnd w:id="53"/>
      <w:bookmarkEnd w:id="54"/>
    </w:p>
    <w:p w14:paraId="6BC86629" w14:textId="27356386" w:rsidR="00300124" w:rsidRPr="00013BDC" w:rsidRDefault="2D307EEC" w:rsidP="00E760CD">
      <w:pPr>
        <w:spacing w:after="120"/>
        <w:rPr>
          <w:rFonts w:eastAsia="Times New Roman"/>
          <w:noProof/>
          <w:lang w:val="en-IE"/>
        </w:rPr>
      </w:pPr>
      <w:r w:rsidRPr="00013BDC">
        <w:rPr>
          <w:rFonts w:eastAsia="Times New Roman"/>
          <w:noProof/>
          <w:lang w:val="en-IE"/>
        </w:rPr>
        <w:t xml:space="preserve">After final discussion with the ISSG, a draft of the impact assessment was submitted to the RSB on </w:t>
      </w:r>
      <w:r w:rsidR="00F13DA9" w:rsidRPr="00013BDC">
        <w:rPr>
          <w:rFonts w:eastAsia="Times New Roman"/>
          <w:noProof/>
          <w:lang w:val="en-IE"/>
        </w:rPr>
        <w:t>15</w:t>
      </w:r>
      <w:r w:rsidR="248B2C02" w:rsidRPr="00013BDC">
        <w:rPr>
          <w:rFonts w:eastAsia="Times New Roman"/>
          <w:noProof/>
          <w:lang w:val="en-IE"/>
        </w:rPr>
        <w:t xml:space="preserve"> February</w:t>
      </w:r>
      <w:r w:rsidR="5809D789" w:rsidRPr="00013BDC">
        <w:rPr>
          <w:rFonts w:eastAsia="Times New Roman"/>
          <w:noProof/>
          <w:lang w:val="en-IE"/>
        </w:rPr>
        <w:t xml:space="preserve"> 202</w:t>
      </w:r>
      <w:r w:rsidR="2FBFEA34" w:rsidRPr="00013BDC">
        <w:rPr>
          <w:rFonts w:eastAsia="Times New Roman"/>
          <w:noProof/>
          <w:lang w:val="en-IE"/>
        </w:rPr>
        <w:t>3</w:t>
      </w:r>
      <w:r w:rsidRPr="00013BDC">
        <w:rPr>
          <w:rFonts w:eastAsia="Times New Roman"/>
          <w:noProof/>
          <w:lang w:val="en-IE"/>
        </w:rPr>
        <w:t xml:space="preserve"> and discussed at a meeting with the RSB </w:t>
      </w:r>
      <w:r w:rsidR="00825AE7" w:rsidRPr="00013BDC">
        <w:rPr>
          <w:rFonts w:eastAsia="Times New Roman"/>
          <w:noProof/>
          <w:lang w:val="en-IE"/>
        </w:rPr>
        <w:t>on 15</w:t>
      </w:r>
      <w:r w:rsidRPr="00013BDC">
        <w:rPr>
          <w:rFonts w:eastAsia="Times New Roman"/>
          <w:noProof/>
          <w:lang w:val="en-IE"/>
        </w:rPr>
        <w:t xml:space="preserve"> </w:t>
      </w:r>
      <w:r w:rsidR="29EFB8F4" w:rsidRPr="00013BDC">
        <w:rPr>
          <w:rFonts w:eastAsia="Times New Roman"/>
          <w:noProof/>
          <w:lang w:val="en-IE"/>
        </w:rPr>
        <w:t>March</w:t>
      </w:r>
      <w:r w:rsidRPr="00013BDC">
        <w:rPr>
          <w:rFonts w:eastAsia="Times New Roman"/>
          <w:noProof/>
          <w:lang w:val="en-IE"/>
        </w:rPr>
        <w:t xml:space="preserve"> 2023.</w:t>
      </w:r>
      <w:r w:rsidR="000B77BA" w:rsidRPr="00013BDC">
        <w:rPr>
          <w:rFonts w:eastAsia="Times New Roman"/>
          <w:noProof/>
          <w:lang w:val="en-IE"/>
        </w:rPr>
        <w:t xml:space="preserve"> </w:t>
      </w:r>
      <w:r w:rsidR="00E760CD" w:rsidRPr="00013BDC">
        <w:rPr>
          <w:rFonts w:eastAsia="Times New Roman"/>
          <w:noProof/>
          <w:lang w:val="en-IE"/>
        </w:rPr>
        <w:t xml:space="preserve">An informal upstream meeting with the RSB took place on 22 March 2022. </w:t>
      </w:r>
      <w:r w:rsidR="000B77BA" w:rsidRPr="00013BDC">
        <w:rPr>
          <w:rFonts w:eastAsia="Times New Roman"/>
          <w:noProof/>
          <w:lang w:val="en-IE"/>
        </w:rPr>
        <w:t xml:space="preserve">The RSB issued a negative opinion </w:t>
      </w:r>
      <w:r w:rsidR="00AB61E3" w:rsidRPr="00013BDC">
        <w:rPr>
          <w:rFonts w:eastAsia="Times New Roman"/>
          <w:noProof/>
          <w:lang w:val="en-IE"/>
        </w:rPr>
        <w:t xml:space="preserve">on 17 March and provided </w:t>
      </w:r>
      <w:r w:rsidR="00D24D53" w:rsidRPr="00013BDC">
        <w:rPr>
          <w:rFonts w:eastAsia="Times New Roman"/>
          <w:noProof/>
          <w:lang w:val="en-IE"/>
        </w:rPr>
        <w:t>comments that would need to be considered for a re-submission.</w:t>
      </w:r>
      <w:r w:rsidR="004479CC" w:rsidRPr="00013BDC">
        <w:rPr>
          <w:rFonts w:eastAsia="Times New Roman"/>
          <w:noProof/>
          <w:lang w:val="en-IE"/>
        </w:rPr>
        <w:t xml:space="preserve"> Following a draft revised Impact Assessment, the ISG was</w:t>
      </w:r>
      <w:r w:rsidR="007F1942" w:rsidRPr="00013BDC">
        <w:rPr>
          <w:rFonts w:eastAsia="Times New Roman"/>
          <w:noProof/>
          <w:lang w:val="en-IE"/>
        </w:rPr>
        <w:t xml:space="preserve"> consulted through written procedure on </w:t>
      </w:r>
      <w:r w:rsidR="00303C40" w:rsidRPr="00013BDC">
        <w:rPr>
          <w:rFonts w:eastAsia="Times New Roman"/>
          <w:noProof/>
          <w:lang w:val="en-IE"/>
        </w:rPr>
        <w:t>24</w:t>
      </w:r>
      <w:r w:rsidR="007F1942" w:rsidRPr="00013BDC">
        <w:rPr>
          <w:rFonts w:eastAsia="Times New Roman"/>
          <w:noProof/>
          <w:lang w:val="en-IE"/>
        </w:rPr>
        <w:t xml:space="preserve"> April</w:t>
      </w:r>
      <w:r w:rsidR="00307ACF" w:rsidRPr="00013BDC">
        <w:rPr>
          <w:rFonts w:eastAsia="Times New Roman"/>
          <w:noProof/>
          <w:lang w:val="en-IE"/>
        </w:rPr>
        <w:t xml:space="preserve"> 2023</w:t>
      </w:r>
      <w:r w:rsidR="00F72183" w:rsidRPr="00013BDC">
        <w:rPr>
          <w:rFonts w:eastAsia="Times New Roman"/>
          <w:noProof/>
          <w:lang w:val="en-IE"/>
        </w:rPr>
        <w:t>, followed by a re-submission to the RSB</w:t>
      </w:r>
      <w:r w:rsidR="004C7113" w:rsidRPr="00013BDC">
        <w:rPr>
          <w:rFonts w:eastAsia="Times New Roman"/>
          <w:noProof/>
          <w:lang w:val="en-IE"/>
        </w:rPr>
        <w:t xml:space="preserve"> on </w:t>
      </w:r>
      <w:r w:rsidR="005332EE" w:rsidRPr="00013BDC">
        <w:rPr>
          <w:rFonts w:eastAsia="Times New Roman"/>
          <w:noProof/>
          <w:lang w:val="en-IE"/>
        </w:rPr>
        <w:t>3</w:t>
      </w:r>
      <w:r w:rsidR="004D495E" w:rsidRPr="00013BDC">
        <w:rPr>
          <w:rFonts w:eastAsia="Times New Roman"/>
          <w:noProof/>
          <w:lang w:val="en-IE"/>
        </w:rPr>
        <w:t xml:space="preserve"> May</w:t>
      </w:r>
      <w:r w:rsidR="00307ACF" w:rsidRPr="00013BDC">
        <w:rPr>
          <w:rFonts w:eastAsia="Times New Roman"/>
          <w:noProof/>
          <w:lang w:val="en-IE"/>
        </w:rPr>
        <w:t xml:space="preserve"> 2023</w:t>
      </w:r>
      <w:r w:rsidR="00F72183" w:rsidRPr="00013BDC" w:rsidDel="004C7113">
        <w:rPr>
          <w:rFonts w:eastAsia="Times New Roman"/>
          <w:noProof/>
          <w:lang w:val="en-IE"/>
        </w:rPr>
        <w:t>.</w:t>
      </w:r>
      <w:r w:rsidR="00F20985" w:rsidRPr="00013BDC">
        <w:rPr>
          <w:rFonts w:eastAsia="Times New Roman"/>
          <w:noProof/>
          <w:lang w:val="en-IE"/>
        </w:rPr>
        <w:t xml:space="preserve"> The RSB issued a positive opinion with reservations on 26 May 2023</w:t>
      </w:r>
      <w:r w:rsidR="00F72183" w:rsidRPr="00013BDC">
        <w:rPr>
          <w:rFonts w:eastAsia="Times New Roman"/>
          <w:noProof/>
          <w:lang w:val="en-IE"/>
        </w:rPr>
        <w:t>.</w:t>
      </w:r>
    </w:p>
    <w:p w14:paraId="07133B6C" w14:textId="3EA25170" w:rsidR="00C436D0" w:rsidRPr="00013BDC" w:rsidRDefault="002A4748" w:rsidP="1981788D">
      <w:pPr>
        <w:spacing w:before="120"/>
        <w:rPr>
          <w:rFonts w:eastAsia="Times New Roman"/>
          <w:noProof/>
          <w:lang w:val="en-IE"/>
        </w:rPr>
        <w:sectPr w:rsidR="00C436D0" w:rsidRPr="00013BDC" w:rsidSect="006126D3">
          <w:headerReference w:type="even" r:id="rId33"/>
          <w:headerReference w:type="default" r:id="rId34"/>
          <w:footerReference w:type="even" r:id="rId35"/>
          <w:footerReference w:type="default" r:id="rId36"/>
          <w:headerReference w:type="first" r:id="rId37"/>
          <w:footerReference w:type="first" r:id="rId38"/>
          <w:pgSz w:w="11906" w:h="16838"/>
          <w:pgMar w:top="1020" w:right="707" w:bottom="1020" w:left="1587" w:header="601" w:footer="1077" w:gutter="0"/>
          <w:cols w:space="720"/>
          <w:titlePg/>
        </w:sectPr>
      </w:pPr>
      <w:r w:rsidRPr="00013BDC">
        <w:rPr>
          <w:rFonts w:eastAsia="Times New Roman"/>
          <w:noProof/>
          <w:lang w:val="en-IE"/>
        </w:rPr>
        <w:t xml:space="preserve">The following table details the RSB comments received </w:t>
      </w:r>
      <w:r w:rsidR="007D1089" w:rsidRPr="00013BDC">
        <w:rPr>
          <w:rFonts w:eastAsia="Times New Roman"/>
          <w:noProof/>
          <w:lang w:val="en-IE"/>
        </w:rPr>
        <w:t xml:space="preserve">for its first </w:t>
      </w:r>
      <w:r w:rsidR="00FF6837" w:rsidRPr="00013BDC">
        <w:rPr>
          <w:rFonts w:eastAsia="Times New Roman"/>
          <w:noProof/>
          <w:lang w:val="en-IE"/>
        </w:rPr>
        <w:t xml:space="preserve">and </w:t>
      </w:r>
      <w:r w:rsidR="00064EAF" w:rsidRPr="00013BDC">
        <w:rPr>
          <w:rFonts w:eastAsia="Times New Roman"/>
          <w:noProof/>
          <w:lang w:val="en-IE"/>
        </w:rPr>
        <w:t>second</w:t>
      </w:r>
      <w:r w:rsidR="00FF6837" w:rsidRPr="00013BDC">
        <w:rPr>
          <w:rFonts w:eastAsia="Times New Roman"/>
          <w:noProof/>
          <w:lang w:val="en-IE"/>
        </w:rPr>
        <w:t xml:space="preserve"> opinion </w:t>
      </w:r>
      <w:r w:rsidRPr="00013BDC">
        <w:rPr>
          <w:rFonts w:eastAsia="Times New Roman"/>
          <w:noProof/>
          <w:lang w:val="en-IE"/>
        </w:rPr>
        <w:t>and explains how and in which sections that have been addressed.</w:t>
      </w:r>
    </w:p>
    <w:p w14:paraId="7297CACF" w14:textId="38CFE550" w:rsidR="00F015DE" w:rsidRPr="00013BDC" w:rsidRDefault="00FC07C1" w:rsidP="00F015DE">
      <w:pPr>
        <w:pStyle w:val="Caption"/>
        <w:rPr>
          <w:noProof/>
          <w:color w:val="auto"/>
          <w:sz w:val="24"/>
          <w:szCs w:val="24"/>
          <w:lang w:val="en-IE"/>
        </w:rPr>
      </w:pPr>
      <w:bookmarkStart w:id="55" w:name="_Toc139033031"/>
      <w:r w:rsidRPr="00013BDC">
        <w:rPr>
          <w:noProof/>
          <w:color w:val="auto"/>
          <w:sz w:val="24"/>
          <w:szCs w:val="24"/>
          <w:lang w:val="en-IE"/>
        </w:rPr>
        <w:t xml:space="preserve">Table </w:t>
      </w:r>
      <w:r w:rsidR="004C5576">
        <w:rPr>
          <w:noProof/>
          <w:color w:val="auto"/>
          <w:sz w:val="24"/>
          <w:szCs w:val="24"/>
        </w:rPr>
        <w:t>1</w:t>
      </w:r>
      <w:r w:rsidR="00F015DE" w:rsidRPr="00013BDC">
        <w:rPr>
          <w:noProof/>
          <w:color w:val="auto"/>
          <w:sz w:val="24"/>
          <w:szCs w:val="24"/>
          <w:lang w:val="en-IE"/>
        </w:rPr>
        <w:t xml:space="preserve"> - Overview of how the RSB comments are incorporated</w:t>
      </w:r>
      <w:bookmarkEnd w:id="55"/>
    </w:p>
    <w:tbl>
      <w:tblPr>
        <w:tblW w:w="0" w:type="auto"/>
        <w:tblCellMar>
          <w:left w:w="0" w:type="dxa"/>
          <w:right w:w="0" w:type="dxa"/>
        </w:tblCellMar>
        <w:tblLook w:val="04A0" w:firstRow="1" w:lastRow="0" w:firstColumn="1" w:lastColumn="0" w:noHBand="0" w:noVBand="1"/>
      </w:tblPr>
      <w:tblGrid>
        <w:gridCol w:w="787"/>
        <w:gridCol w:w="7034"/>
        <w:gridCol w:w="7095"/>
      </w:tblGrid>
      <w:tr w:rsidR="00E351C4" w:rsidRPr="00013BDC" w14:paraId="4D1773D2" w14:textId="77777777" w:rsidTr="00401635">
        <w:tc>
          <w:tcPr>
            <w:tcW w:w="0" w:type="auto"/>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53BFC14E" w14:textId="0E844015" w:rsidR="00FF6837" w:rsidRPr="00013BDC" w:rsidRDefault="00FF6837" w:rsidP="00FC07C1">
            <w:pPr>
              <w:rPr>
                <w:b/>
                <w:noProof/>
                <w:sz w:val="20"/>
                <w:szCs w:val="20"/>
                <w:lang w:val="en-IE"/>
              </w:rPr>
            </w:pPr>
            <w:r w:rsidRPr="00013BDC">
              <w:rPr>
                <w:b/>
                <w:noProof/>
                <w:sz w:val="20"/>
                <w:szCs w:val="20"/>
                <w:lang w:val="en-IE"/>
              </w:rPr>
              <w:t>Stage of opinion</w:t>
            </w:r>
          </w:p>
        </w:tc>
        <w:tc>
          <w:tcPr>
            <w:tcW w:w="0" w:type="auto"/>
            <w:tcBorders>
              <w:top w:val="single" w:sz="8" w:space="0" w:color="auto"/>
              <w:left w:val="single" w:sz="8" w:space="0" w:color="auto"/>
              <w:bottom w:val="single" w:sz="8" w:space="0" w:color="auto"/>
              <w:right w:val="single" w:sz="8" w:space="0" w:color="auto"/>
            </w:tcBorders>
            <w:shd w:val="clear" w:color="auto" w:fill="D6E3BC" w:themeFill="accent3" w:themeFillTint="66"/>
            <w:tcMar>
              <w:top w:w="0" w:type="dxa"/>
              <w:left w:w="108" w:type="dxa"/>
              <w:bottom w:w="0" w:type="dxa"/>
              <w:right w:w="108" w:type="dxa"/>
            </w:tcMar>
            <w:hideMark/>
          </w:tcPr>
          <w:p w14:paraId="32EEA1A4" w14:textId="6EC697F0" w:rsidR="00FC07C1" w:rsidRPr="00013BDC" w:rsidRDefault="00FC07C1" w:rsidP="00FC07C1">
            <w:pPr>
              <w:rPr>
                <w:b/>
                <w:noProof/>
                <w:sz w:val="20"/>
                <w:szCs w:val="20"/>
                <w:lang w:val="en-IE"/>
              </w:rPr>
            </w:pPr>
            <w:r w:rsidRPr="00013BDC">
              <w:rPr>
                <w:b/>
                <w:noProof/>
                <w:sz w:val="20"/>
                <w:szCs w:val="20"/>
                <w:lang w:val="en-IE"/>
              </w:rPr>
              <w:t>RSB comment</w:t>
            </w:r>
          </w:p>
        </w:tc>
        <w:tc>
          <w:tcPr>
            <w:tcW w:w="0" w:type="auto"/>
            <w:tcBorders>
              <w:top w:val="single" w:sz="8" w:space="0" w:color="auto"/>
              <w:left w:val="nil"/>
              <w:bottom w:val="single" w:sz="8" w:space="0" w:color="auto"/>
              <w:right w:val="single" w:sz="8" w:space="0" w:color="auto"/>
            </w:tcBorders>
            <w:shd w:val="clear" w:color="auto" w:fill="D6E3BC" w:themeFill="accent3" w:themeFillTint="66"/>
            <w:tcMar>
              <w:top w:w="0" w:type="dxa"/>
              <w:left w:w="108" w:type="dxa"/>
              <w:bottom w:w="0" w:type="dxa"/>
              <w:right w:w="108" w:type="dxa"/>
            </w:tcMar>
            <w:hideMark/>
          </w:tcPr>
          <w:p w14:paraId="07BBDCEF" w14:textId="77777777" w:rsidR="00FC07C1" w:rsidRPr="00013BDC" w:rsidRDefault="00FC07C1" w:rsidP="00FC07C1">
            <w:pPr>
              <w:rPr>
                <w:b/>
                <w:noProof/>
                <w:sz w:val="20"/>
                <w:szCs w:val="20"/>
                <w:lang w:val="en-IE"/>
              </w:rPr>
            </w:pPr>
            <w:r w:rsidRPr="00013BDC">
              <w:rPr>
                <w:b/>
                <w:noProof/>
                <w:sz w:val="20"/>
                <w:szCs w:val="20"/>
                <w:lang w:val="en-IE"/>
              </w:rPr>
              <w:t>How to address the comment?</w:t>
            </w:r>
          </w:p>
        </w:tc>
      </w:tr>
      <w:tr w:rsidR="003C52B8" w:rsidRPr="00013BDC" w14:paraId="08B7CEEB" w14:textId="77777777" w:rsidTr="00401635">
        <w:tc>
          <w:tcPr>
            <w:tcW w:w="0" w:type="auto"/>
            <w:vMerge w:val="restart"/>
            <w:tcBorders>
              <w:top w:val="nil"/>
              <w:left w:val="single" w:sz="8" w:space="0" w:color="auto"/>
              <w:right w:val="single" w:sz="8" w:space="0" w:color="auto"/>
            </w:tcBorders>
          </w:tcPr>
          <w:p w14:paraId="28278E3A" w14:textId="4F62E65E" w:rsidR="00B268BC" w:rsidRPr="00013BDC" w:rsidRDefault="00B268BC" w:rsidP="00470FEE">
            <w:pPr>
              <w:rPr>
                <w:noProof/>
                <w:sz w:val="20"/>
                <w:szCs w:val="20"/>
                <w:lang w:val="en-IE"/>
              </w:rPr>
            </w:pPr>
            <w:r w:rsidRPr="00013BDC">
              <w:rPr>
                <w:noProof/>
                <w:sz w:val="20"/>
                <w:szCs w:val="20"/>
                <w:lang w:val="en-IE"/>
              </w:rPr>
              <w:t>Second opinion</w:t>
            </w: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42D2A24" w14:textId="1DCE8170" w:rsidR="00B268BC" w:rsidRPr="00013BDC" w:rsidRDefault="00B268BC" w:rsidP="00C87043">
            <w:pPr>
              <w:rPr>
                <w:noProof/>
                <w:sz w:val="20"/>
                <w:szCs w:val="20"/>
                <w:lang w:val="en-IE"/>
              </w:rPr>
            </w:pPr>
            <w:r w:rsidRPr="00013BDC">
              <w:rPr>
                <w:noProof/>
                <w:sz w:val="20"/>
                <w:szCs w:val="20"/>
                <w:lang w:val="en-IE"/>
              </w:rPr>
              <w:t>The report does not demonstrate the effectiveness of setting the EU level mandatory Member State food waste reduction targets in addressing the identified problems. It does not convincingly explain how the targets should be implemented, nor assess how they are feasible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B60B43" w14:textId="77777777" w:rsidR="00B268BC" w:rsidRPr="00013BDC" w:rsidRDefault="009F6E87" w:rsidP="007C4FE2">
            <w:pPr>
              <w:pStyle w:val="ListParagraph"/>
              <w:numPr>
                <w:ilvl w:val="0"/>
                <w:numId w:val="227"/>
              </w:numPr>
              <w:spacing w:after="0"/>
              <w:jc w:val="left"/>
              <w:rPr>
                <w:b/>
                <w:noProof/>
                <w:sz w:val="20"/>
                <w:szCs w:val="20"/>
                <w:lang w:val="en-IE"/>
              </w:rPr>
            </w:pPr>
            <w:r w:rsidRPr="00013BDC">
              <w:rPr>
                <w:bCs/>
                <w:noProof/>
                <w:sz w:val="20"/>
                <w:szCs w:val="20"/>
                <w:lang w:val="en-IE"/>
              </w:rPr>
              <w:t xml:space="preserve">The report further outlines </w:t>
            </w:r>
            <w:r w:rsidR="009E2F68" w:rsidRPr="00013BDC">
              <w:rPr>
                <w:bCs/>
                <w:noProof/>
                <w:sz w:val="20"/>
                <w:szCs w:val="20"/>
                <w:lang w:val="en-IE"/>
              </w:rPr>
              <w:t>the role of</w:t>
            </w:r>
            <w:r w:rsidRPr="00013BDC">
              <w:rPr>
                <w:bCs/>
                <w:noProof/>
                <w:sz w:val="20"/>
                <w:szCs w:val="20"/>
                <w:lang w:val="en-IE"/>
              </w:rPr>
              <w:t xml:space="preserve"> </w:t>
            </w:r>
            <w:r w:rsidR="000E29D8" w:rsidRPr="00013BDC">
              <w:rPr>
                <w:bCs/>
                <w:noProof/>
                <w:sz w:val="20"/>
                <w:szCs w:val="20"/>
                <w:lang w:val="en-IE"/>
              </w:rPr>
              <w:t xml:space="preserve">EU-level targets </w:t>
            </w:r>
            <w:r w:rsidR="009E2F68" w:rsidRPr="00013BDC">
              <w:rPr>
                <w:bCs/>
                <w:noProof/>
                <w:sz w:val="20"/>
                <w:szCs w:val="20"/>
                <w:lang w:val="en-IE"/>
              </w:rPr>
              <w:t>in catalysing the development and implementation of national food waste prevention strategies of sufficient breadth and scale to adequately address the behavioural and market drivers of food waste.</w:t>
            </w:r>
          </w:p>
          <w:p w14:paraId="13B673E2" w14:textId="042A487D" w:rsidR="00B268BC" w:rsidRPr="00013BDC" w:rsidRDefault="00107915" w:rsidP="00B633E5">
            <w:pPr>
              <w:pStyle w:val="ListParagraph"/>
              <w:numPr>
                <w:ilvl w:val="0"/>
                <w:numId w:val="227"/>
              </w:numPr>
              <w:spacing w:after="0"/>
              <w:jc w:val="left"/>
              <w:rPr>
                <w:b/>
                <w:noProof/>
                <w:sz w:val="20"/>
                <w:szCs w:val="20"/>
                <w:lang w:val="en-IE"/>
              </w:rPr>
            </w:pPr>
            <w:r w:rsidRPr="00013BDC">
              <w:rPr>
                <w:bCs/>
                <w:noProof/>
                <w:sz w:val="20"/>
                <w:szCs w:val="20"/>
                <w:lang w:val="en-IE"/>
              </w:rPr>
              <w:t>The role of EU-level measures in supporting Member States’ actions</w:t>
            </w:r>
            <w:r w:rsidR="00AD5468" w:rsidRPr="00013BDC">
              <w:rPr>
                <w:bCs/>
                <w:noProof/>
                <w:sz w:val="20"/>
                <w:szCs w:val="20"/>
                <w:lang w:val="en-IE"/>
              </w:rPr>
              <w:t xml:space="preserve"> is further explained (sec</w:t>
            </w:r>
            <w:r w:rsidR="008D5788" w:rsidRPr="00013BDC">
              <w:rPr>
                <w:bCs/>
                <w:noProof/>
                <w:sz w:val="20"/>
                <w:szCs w:val="20"/>
                <w:lang w:val="en-IE"/>
              </w:rPr>
              <w:t xml:space="preserve">tion 3.5), with further explanation as to what is required of Member States and </w:t>
            </w:r>
            <w:r w:rsidR="0037779D" w:rsidRPr="00013BDC">
              <w:rPr>
                <w:bCs/>
                <w:noProof/>
                <w:sz w:val="20"/>
                <w:szCs w:val="20"/>
                <w:lang w:val="en-IE"/>
              </w:rPr>
              <w:t>expanded analysis of their technical feasibility (section 3.7).</w:t>
            </w:r>
            <w:r w:rsidR="00AD5468" w:rsidRPr="00013BDC">
              <w:rPr>
                <w:bCs/>
                <w:noProof/>
                <w:sz w:val="20"/>
                <w:szCs w:val="20"/>
                <w:lang w:val="en-IE"/>
              </w:rPr>
              <w:t xml:space="preserve"> </w:t>
            </w:r>
          </w:p>
        </w:tc>
      </w:tr>
      <w:tr w:rsidR="003C52B8" w:rsidRPr="00013BDC" w14:paraId="45211DC1" w14:textId="77777777" w:rsidTr="00401635">
        <w:tc>
          <w:tcPr>
            <w:tcW w:w="0" w:type="auto"/>
            <w:vMerge/>
            <w:tcBorders>
              <w:left w:val="single" w:sz="8" w:space="0" w:color="auto"/>
              <w:right w:val="single" w:sz="8" w:space="0" w:color="auto"/>
            </w:tcBorders>
          </w:tcPr>
          <w:p w14:paraId="3250E46E"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4581292" w14:textId="24509F47" w:rsidR="00B268BC" w:rsidRPr="00013BDC" w:rsidRDefault="00B268BC" w:rsidP="00401246">
            <w:pPr>
              <w:rPr>
                <w:noProof/>
                <w:sz w:val="20"/>
                <w:szCs w:val="20"/>
                <w:lang w:val="en-IE"/>
              </w:rPr>
            </w:pPr>
            <w:r w:rsidRPr="00013BDC">
              <w:rPr>
                <w:noProof/>
                <w:sz w:val="20"/>
                <w:szCs w:val="20"/>
                <w:lang w:val="en-IE"/>
              </w:rPr>
              <w:t>The report does not provide any alternative options for measures on food waste reduction other than mandatory targets.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8F761D9" w14:textId="4FA0963D" w:rsidR="00B268BC" w:rsidRPr="00013BDC" w:rsidRDefault="00F95E5D" w:rsidP="00224311">
            <w:pPr>
              <w:pStyle w:val="ListParagraph"/>
              <w:numPr>
                <w:ilvl w:val="0"/>
                <w:numId w:val="226"/>
              </w:numPr>
              <w:spacing w:after="0"/>
              <w:jc w:val="left"/>
              <w:rPr>
                <w:b/>
                <w:noProof/>
                <w:sz w:val="20"/>
                <w:szCs w:val="20"/>
                <w:lang w:val="en-IE"/>
              </w:rPr>
            </w:pPr>
            <w:r w:rsidRPr="00013BDC">
              <w:rPr>
                <w:bCs/>
                <w:noProof/>
                <w:sz w:val="20"/>
                <w:szCs w:val="20"/>
                <w:lang w:val="en-IE"/>
              </w:rPr>
              <w:t xml:space="preserve">The </w:t>
            </w:r>
            <w:r w:rsidR="00BE43CE" w:rsidRPr="00013BDC">
              <w:rPr>
                <w:bCs/>
                <w:noProof/>
                <w:sz w:val="20"/>
                <w:szCs w:val="20"/>
                <w:lang w:val="en-IE"/>
              </w:rPr>
              <w:t xml:space="preserve"> </w:t>
            </w:r>
            <w:r w:rsidR="0078613E" w:rsidRPr="00013BDC">
              <w:rPr>
                <w:bCs/>
                <w:noProof/>
                <w:sz w:val="20"/>
                <w:szCs w:val="20"/>
                <w:lang w:val="en-IE"/>
              </w:rPr>
              <w:t xml:space="preserve">presentation and </w:t>
            </w:r>
            <w:r w:rsidR="00BE43CE" w:rsidRPr="00013BDC">
              <w:rPr>
                <w:bCs/>
                <w:noProof/>
                <w:sz w:val="20"/>
                <w:szCs w:val="20"/>
                <w:lang w:val="en-IE"/>
              </w:rPr>
              <w:t xml:space="preserve">analysis of </w:t>
            </w:r>
            <w:r w:rsidRPr="00013BDC">
              <w:rPr>
                <w:bCs/>
                <w:noProof/>
                <w:sz w:val="20"/>
                <w:szCs w:val="20"/>
                <w:lang w:val="en-IE"/>
              </w:rPr>
              <w:t>other options considered is expanded in section 3.5</w:t>
            </w:r>
            <w:r w:rsidR="00856F1C" w:rsidRPr="00013BDC">
              <w:rPr>
                <w:bCs/>
                <w:noProof/>
                <w:sz w:val="20"/>
                <w:szCs w:val="20"/>
                <w:lang w:val="en-IE"/>
              </w:rPr>
              <w:t>.</w:t>
            </w:r>
          </w:p>
          <w:p w14:paraId="21CD573D" w14:textId="0C29EDC7" w:rsidR="00856F1C" w:rsidRPr="00013BDC" w:rsidRDefault="00696C28" w:rsidP="00B633E5">
            <w:pPr>
              <w:pStyle w:val="ListParagraph"/>
              <w:numPr>
                <w:ilvl w:val="0"/>
                <w:numId w:val="226"/>
              </w:numPr>
              <w:spacing w:after="0"/>
              <w:jc w:val="left"/>
              <w:rPr>
                <w:b/>
                <w:noProof/>
                <w:sz w:val="20"/>
                <w:szCs w:val="20"/>
                <w:lang w:val="en-IE"/>
              </w:rPr>
            </w:pPr>
            <w:r w:rsidRPr="00013BDC">
              <w:rPr>
                <w:bCs/>
                <w:noProof/>
                <w:sz w:val="20"/>
                <w:szCs w:val="20"/>
                <w:lang w:val="en-IE"/>
              </w:rPr>
              <w:t xml:space="preserve">A new option </w:t>
            </w:r>
            <w:r w:rsidR="0052476C" w:rsidRPr="00013BDC">
              <w:rPr>
                <w:bCs/>
                <w:noProof/>
                <w:sz w:val="20"/>
                <w:szCs w:val="20"/>
                <w:lang w:val="en-IE"/>
              </w:rPr>
              <w:t>related to the setting of voluntary food waste reduction targets has been introduced and assessed.</w:t>
            </w:r>
          </w:p>
        </w:tc>
      </w:tr>
      <w:tr w:rsidR="00995B2A" w:rsidRPr="00013BDC" w14:paraId="014BABCF" w14:textId="77777777" w:rsidTr="00401635">
        <w:tc>
          <w:tcPr>
            <w:tcW w:w="0" w:type="auto"/>
            <w:vMerge/>
            <w:tcBorders>
              <w:left w:val="single" w:sz="8" w:space="0" w:color="auto"/>
              <w:right w:val="single" w:sz="8" w:space="0" w:color="auto"/>
            </w:tcBorders>
          </w:tcPr>
          <w:p w14:paraId="637C6F62"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7C9FCBC" w14:textId="77777777" w:rsidR="00FC1920" w:rsidRPr="00013BDC" w:rsidRDefault="00FC1920" w:rsidP="00FC1920">
            <w:pPr>
              <w:rPr>
                <w:noProof/>
                <w:sz w:val="20"/>
                <w:szCs w:val="20"/>
                <w:lang w:val="en-IE"/>
              </w:rPr>
            </w:pPr>
            <w:r w:rsidRPr="00013BDC">
              <w:rPr>
                <w:noProof/>
                <w:sz w:val="20"/>
                <w:szCs w:val="20"/>
                <w:lang w:val="en-IE"/>
              </w:rPr>
              <w:t>(1) The report should justify with evidence the setting of EU mandatory food waste reduction targets, when the problems and their drivers comprise behavioural issues such as consumer food management and lack of understanding of safety standards, and the cited examples of Member State best practice are largely based on behavioural nudging. It should also explain how Member States would be expected to implement these targets, and whether their implementation is feasible, in particular considering the contrasted situation between Member States.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AF194FB" w14:textId="77777777" w:rsidR="00A41380" w:rsidRPr="00013BDC" w:rsidRDefault="00A41380" w:rsidP="00B633E5">
            <w:pPr>
              <w:pStyle w:val="ListParagraph"/>
              <w:numPr>
                <w:ilvl w:val="0"/>
                <w:numId w:val="191"/>
              </w:numPr>
              <w:spacing w:after="0"/>
              <w:jc w:val="left"/>
              <w:rPr>
                <w:bCs/>
                <w:noProof/>
                <w:sz w:val="20"/>
                <w:szCs w:val="20"/>
                <w:lang w:val="en-IE"/>
              </w:rPr>
            </w:pPr>
            <w:r w:rsidRPr="00013BDC">
              <w:rPr>
                <w:bCs/>
                <w:noProof/>
                <w:sz w:val="20"/>
                <w:szCs w:val="20"/>
                <w:lang w:val="en-IE"/>
              </w:rPr>
              <w:t xml:space="preserve">Section 3.5 has been significantly expanded to better justify the choice of options (targets), including analysis of other EU-level measures </w:t>
            </w:r>
          </w:p>
          <w:p w14:paraId="00ED557A" w14:textId="658E28B8" w:rsidR="00A41380" w:rsidRPr="00013BDC" w:rsidRDefault="00A41380">
            <w:pPr>
              <w:pStyle w:val="ListParagraph"/>
              <w:numPr>
                <w:ilvl w:val="0"/>
                <w:numId w:val="191"/>
              </w:numPr>
              <w:spacing w:after="0"/>
              <w:jc w:val="left"/>
              <w:rPr>
                <w:noProof/>
                <w:sz w:val="20"/>
                <w:szCs w:val="20"/>
                <w:lang w:val="en-IE"/>
              </w:rPr>
            </w:pPr>
            <w:r w:rsidRPr="00013BDC">
              <w:rPr>
                <w:bCs/>
                <w:noProof/>
                <w:sz w:val="20"/>
                <w:szCs w:val="20"/>
                <w:lang w:val="en-IE"/>
              </w:rPr>
              <w:t>It has been further explained, in section 3.5, how EU-level action will support M</w:t>
            </w:r>
            <w:r w:rsidR="007C4FE2" w:rsidRPr="00013BDC">
              <w:rPr>
                <w:bCs/>
                <w:noProof/>
                <w:sz w:val="20"/>
                <w:szCs w:val="20"/>
                <w:lang w:val="en-IE"/>
              </w:rPr>
              <w:t>ember States</w:t>
            </w:r>
            <w:r w:rsidRPr="00013BDC">
              <w:rPr>
                <w:bCs/>
                <w:noProof/>
                <w:sz w:val="20"/>
                <w:szCs w:val="20"/>
                <w:lang w:val="en-IE"/>
              </w:rPr>
              <w:t xml:space="preserve"> in reaching the targets (including possible additional measures, e.g.</w:t>
            </w:r>
            <w:r w:rsidR="00252532" w:rsidRPr="00013BDC">
              <w:rPr>
                <w:bCs/>
                <w:noProof/>
                <w:sz w:val="20"/>
                <w:szCs w:val="20"/>
                <w:lang w:val="en-IE"/>
              </w:rPr>
              <w:t>,</w:t>
            </w:r>
            <w:r w:rsidRPr="00013BDC">
              <w:rPr>
                <w:bCs/>
                <w:noProof/>
                <w:sz w:val="20"/>
                <w:szCs w:val="20"/>
                <w:lang w:val="en-IE"/>
              </w:rPr>
              <w:t xml:space="preserve"> updating of guidance</w:t>
            </w:r>
            <w:r w:rsidR="00491DD1" w:rsidRPr="00013BDC">
              <w:rPr>
                <w:bCs/>
                <w:noProof/>
                <w:sz w:val="20"/>
                <w:szCs w:val="20"/>
                <w:lang w:val="en-IE"/>
              </w:rPr>
              <w:t xml:space="preserve"> and a</w:t>
            </w:r>
            <w:r w:rsidR="007C4FE2" w:rsidRPr="00013BDC">
              <w:rPr>
                <w:bCs/>
                <w:noProof/>
                <w:sz w:val="20"/>
                <w:szCs w:val="20"/>
                <w:lang w:val="en-IE"/>
              </w:rPr>
              <w:t xml:space="preserve"> n</w:t>
            </w:r>
            <w:r w:rsidRPr="00013BDC">
              <w:rPr>
                <w:bCs/>
                <w:noProof/>
                <w:sz w:val="20"/>
                <w:szCs w:val="20"/>
                <w:lang w:val="en-IE"/>
              </w:rPr>
              <w:t>ew text box providing overview of EU measures) and how M</w:t>
            </w:r>
            <w:r w:rsidR="007C4FE2" w:rsidRPr="00013BDC">
              <w:rPr>
                <w:bCs/>
                <w:noProof/>
                <w:sz w:val="20"/>
                <w:szCs w:val="20"/>
                <w:lang w:val="en-IE"/>
              </w:rPr>
              <w:t>ember States</w:t>
            </w:r>
            <w:r w:rsidRPr="00013BDC">
              <w:rPr>
                <w:bCs/>
                <w:noProof/>
                <w:sz w:val="20"/>
                <w:szCs w:val="20"/>
                <w:lang w:val="en-IE"/>
              </w:rPr>
              <w:t xml:space="preserve"> are expected to take action to achieve (</w:t>
            </w:r>
            <w:r w:rsidR="00491DD1" w:rsidRPr="00013BDC">
              <w:rPr>
                <w:bCs/>
                <w:noProof/>
                <w:sz w:val="20"/>
                <w:szCs w:val="20"/>
                <w:lang w:val="en-IE"/>
              </w:rPr>
              <w:t xml:space="preserve">see </w:t>
            </w:r>
            <w:r w:rsidRPr="00013BDC">
              <w:rPr>
                <w:bCs/>
                <w:noProof/>
                <w:sz w:val="20"/>
                <w:szCs w:val="20"/>
                <w:lang w:val="en-IE"/>
              </w:rPr>
              <w:t>section 3.7 – feasibility</w:t>
            </w:r>
            <w:r w:rsidR="00491DD1" w:rsidRPr="00013BDC">
              <w:rPr>
                <w:bCs/>
                <w:noProof/>
                <w:sz w:val="20"/>
                <w:szCs w:val="20"/>
                <w:lang w:val="en-IE"/>
              </w:rPr>
              <w:t xml:space="preserve"> analysis</w:t>
            </w:r>
            <w:r w:rsidRPr="00013BDC">
              <w:rPr>
                <w:bCs/>
                <w:noProof/>
                <w:sz w:val="20"/>
                <w:szCs w:val="20"/>
                <w:lang w:val="en-IE"/>
              </w:rPr>
              <w:t>)</w:t>
            </w:r>
          </w:p>
        </w:tc>
      </w:tr>
      <w:tr w:rsidR="00995B2A" w:rsidRPr="00013BDC" w14:paraId="12779DD3" w14:textId="77777777" w:rsidTr="00401635">
        <w:tc>
          <w:tcPr>
            <w:tcW w:w="0" w:type="auto"/>
            <w:vMerge/>
            <w:tcBorders>
              <w:left w:val="single" w:sz="8" w:space="0" w:color="auto"/>
              <w:right w:val="single" w:sz="8" w:space="0" w:color="auto"/>
            </w:tcBorders>
          </w:tcPr>
          <w:p w14:paraId="1D7C2E77"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00F424E" w14:textId="77777777" w:rsidR="007F11F5" w:rsidRPr="00013BDC" w:rsidRDefault="007F11F5" w:rsidP="007F11F5">
            <w:pPr>
              <w:rPr>
                <w:noProof/>
                <w:sz w:val="20"/>
                <w:szCs w:val="20"/>
                <w:lang w:val="en-IE"/>
              </w:rPr>
            </w:pPr>
            <w:r w:rsidRPr="00013BDC">
              <w:rPr>
                <w:noProof/>
                <w:sz w:val="20"/>
                <w:szCs w:val="20"/>
                <w:lang w:val="en-IE"/>
              </w:rPr>
              <w:t>(2) The report should provide and assess alternative choices to address the problems and their drivers other than only the choice of mandatory targets of differing levels for Member States. The report should explain why concrete measures aiming at addressing the specific problems such as consumer behaviour and inefficiencies in the food chain management have not been considered and assessed. Given the focus on reducing food waste at the point of consumption, it should explain why measures designed to promote behavioural change have not been assessed.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46F7138" w14:textId="19BD0505" w:rsidR="008D3EE8" w:rsidRPr="00013BDC" w:rsidRDefault="008D3EE8" w:rsidP="00B633E5">
            <w:pPr>
              <w:pStyle w:val="ListParagraph"/>
              <w:numPr>
                <w:ilvl w:val="0"/>
                <w:numId w:val="192"/>
              </w:numPr>
              <w:spacing w:after="0"/>
              <w:jc w:val="left"/>
              <w:rPr>
                <w:bCs/>
                <w:noProof/>
                <w:sz w:val="20"/>
                <w:szCs w:val="20"/>
                <w:lang w:val="en-IE"/>
              </w:rPr>
            </w:pPr>
            <w:r w:rsidRPr="00013BDC">
              <w:rPr>
                <w:bCs/>
                <w:noProof/>
                <w:sz w:val="20"/>
                <w:szCs w:val="20"/>
                <w:lang w:val="en-IE"/>
              </w:rPr>
              <w:t>Additional alternative choices are analysed in 3.5.2 including further justification as to why the main problem drivers need to be addressed at M</w:t>
            </w:r>
            <w:r w:rsidR="007C4FE2" w:rsidRPr="00013BDC">
              <w:rPr>
                <w:bCs/>
                <w:noProof/>
                <w:sz w:val="20"/>
                <w:szCs w:val="20"/>
                <w:lang w:val="en-IE"/>
              </w:rPr>
              <w:t>ember State</w:t>
            </w:r>
            <w:r w:rsidRPr="00013BDC">
              <w:rPr>
                <w:bCs/>
                <w:noProof/>
                <w:sz w:val="20"/>
                <w:szCs w:val="20"/>
                <w:lang w:val="en-IE"/>
              </w:rPr>
              <w:t xml:space="preserve"> level (e.g.</w:t>
            </w:r>
            <w:r w:rsidR="00252532" w:rsidRPr="00013BDC">
              <w:rPr>
                <w:bCs/>
                <w:noProof/>
                <w:sz w:val="20"/>
                <w:szCs w:val="20"/>
                <w:lang w:val="en-IE"/>
              </w:rPr>
              <w:t>,</w:t>
            </w:r>
            <w:r w:rsidRPr="00013BDC">
              <w:rPr>
                <w:bCs/>
                <w:noProof/>
                <w:sz w:val="20"/>
                <w:szCs w:val="20"/>
                <w:lang w:val="en-IE"/>
              </w:rPr>
              <w:t xml:space="preserve"> supporting consumer behavioural change).</w:t>
            </w:r>
          </w:p>
          <w:p w14:paraId="625744BD" w14:textId="75A6F24F" w:rsidR="008D3EE8" w:rsidRPr="00013BDC" w:rsidRDefault="008D3EE8">
            <w:pPr>
              <w:pStyle w:val="ListParagraph"/>
              <w:numPr>
                <w:ilvl w:val="0"/>
                <w:numId w:val="192"/>
              </w:numPr>
              <w:spacing w:after="0"/>
              <w:jc w:val="left"/>
              <w:rPr>
                <w:noProof/>
                <w:sz w:val="20"/>
                <w:szCs w:val="20"/>
                <w:lang w:val="en-IE"/>
              </w:rPr>
            </w:pPr>
            <w:r w:rsidRPr="00013BDC">
              <w:rPr>
                <w:bCs/>
                <w:noProof/>
                <w:sz w:val="20"/>
                <w:szCs w:val="20"/>
                <w:lang w:val="en-IE"/>
              </w:rPr>
              <w:t>Additional option of setting voluntary targets</w:t>
            </w:r>
            <w:r w:rsidR="00944E5F" w:rsidRPr="00013BDC">
              <w:rPr>
                <w:bCs/>
                <w:noProof/>
                <w:sz w:val="20"/>
                <w:szCs w:val="20"/>
                <w:lang w:val="en-IE"/>
              </w:rPr>
              <w:t xml:space="preserve"> (Option 4)</w:t>
            </w:r>
            <w:r w:rsidRPr="00013BDC">
              <w:rPr>
                <w:bCs/>
                <w:noProof/>
                <w:sz w:val="20"/>
                <w:szCs w:val="20"/>
                <w:lang w:val="en-IE"/>
              </w:rPr>
              <w:t xml:space="preserve"> </w:t>
            </w:r>
            <w:r w:rsidR="009E4872" w:rsidRPr="00013BDC">
              <w:rPr>
                <w:bCs/>
                <w:noProof/>
                <w:sz w:val="20"/>
                <w:szCs w:val="20"/>
                <w:lang w:val="en-IE"/>
              </w:rPr>
              <w:t xml:space="preserve">has been </w:t>
            </w:r>
            <w:r w:rsidRPr="00013BDC">
              <w:rPr>
                <w:bCs/>
                <w:noProof/>
                <w:sz w:val="20"/>
                <w:szCs w:val="20"/>
                <w:lang w:val="en-IE"/>
              </w:rPr>
              <w:t>considered</w:t>
            </w:r>
            <w:r w:rsidR="009E4872" w:rsidRPr="00013BDC">
              <w:rPr>
                <w:bCs/>
                <w:noProof/>
                <w:sz w:val="20"/>
                <w:szCs w:val="20"/>
                <w:lang w:val="en-IE"/>
              </w:rPr>
              <w:t xml:space="preserve"> (see 3.5.4 and further</w:t>
            </w:r>
            <w:r w:rsidR="005E3752" w:rsidRPr="00013BDC">
              <w:rPr>
                <w:bCs/>
                <w:noProof/>
                <w:sz w:val="20"/>
                <w:szCs w:val="20"/>
                <w:lang w:val="en-IE"/>
              </w:rPr>
              <w:t xml:space="preserve"> sections</w:t>
            </w:r>
            <w:r w:rsidR="00C36E3D" w:rsidRPr="00013BDC">
              <w:rPr>
                <w:bCs/>
                <w:noProof/>
                <w:sz w:val="20"/>
                <w:szCs w:val="20"/>
                <w:lang w:val="en-IE"/>
              </w:rPr>
              <w:t>)</w:t>
            </w:r>
            <w:r w:rsidRPr="00013BDC">
              <w:rPr>
                <w:bCs/>
                <w:noProof/>
                <w:sz w:val="20"/>
                <w:szCs w:val="20"/>
                <w:lang w:val="en-IE"/>
              </w:rPr>
              <w:t>.</w:t>
            </w:r>
          </w:p>
        </w:tc>
      </w:tr>
      <w:tr w:rsidR="00995B2A" w:rsidRPr="00013BDC" w14:paraId="21101645" w14:textId="77777777" w:rsidTr="00401635">
        <w:tc>
          <w:tcPr>
            <w:tcW w:w="0" w:type="auto"/>
            <w:vMerge/>
            <w:tcBorders>
              <w:left w:val="single" w:sz="8" w:space="0" w:color="auto"/>
              <w:right w:val="single" w:sz="8" w:space="0" w:color="auto"/>
            </w:tcBorders>
          </w:tcPr>
          <w:p w14:paraId="5E34DEFC"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D5B4902" w14:textId="77777777" w:rsidR="00604E06" w:rsidRPr="00013BDC" w:rsidRDefault="00604E06" w:rsidP="00604E06">
            <w:pPr>
              <w:rPr>
                <w:noProof/>
                <w:sz w:val="20"/>
                <w:szCs w:val="20"/>
                <w:lang w:val="en-IE"/>
              </w:rPr>
            </w:pPr>
            <w:r w:rsidRPr="00013BDC">
              <w:rPr>
                <w:noProof/>
                <w:sz w:val="20"/>
                <w:szCs w:val="20"/>
                <w:lang w:val="en-IE"/>
              </w:rPr>
              <w:t>(3) The report should better justify the choice of the preferred option. The effectiveness analysis should not simply assume that targets would be reached, but show that the preferred option is the best approach to ensure such outcome. The extent to which Member States have sufficient governance and enforcement capacity for the targets to be implemented should form part of the assessment of the effectiveness of the options. It should also better explain the methodology of the feasibility scoring.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20C94F0" w14:textId="77777777" w:rsidR="009E4872" w:rsidRPr="00013BDC" w:rsidRDefault="009E4872" w:rsidP="00B633E5">
            <w:pPr>
              <w:pStyle w:val="ListParagraph"/>
              <w:numPr>
                <w:ilvl w:val="0"/>
                <w:numId w:val="194"/>
              </w:numPr>
              <w:spacing w:after="0"/>
              <w:jc w:val="left"/>
              <w:rPr>
                <w:noProof/>
                <w:sz w:val="20"/>
                <w:szCs w:val="20"/>
              </w:rPr>
            </w:pPr>
            <w:r w:rsidRPr="00013BDC">
              <w:rPr>
                <w:noProof/>
                <w:sz w:val="20"/>
                <w:szCs w:val="20"/>
              </w:rPr>
              <w:t>Additional option of setting voluntary targets (Option 4) has been considered</w:t>
            </w:r>
            <w:r w:rsidR="00C36E3D" w:rsidRPr="00013BDC">
              <w:rPr>
                <w:noProof/>
                <w:sz w:val="20"/>
                <w:szCs w:val="20"/>
              </w:rPr>
              <w:t xml:space="preserve"> </w:t>
            </w:r>
            <w:r w:rsidR="00C36E3D" w:rsidRPr="00013BDC">
              <w:rPr>
                <w:bCs/>
                <w:noProof/>
                <w:sz w:val="20"/>
                <w:szCs w:val="20"/>
                <w:lang w:val="en-IE"/>
              </w:rPr>
              <w:t>(see 3.5.4 and further).</w:t>
            </w:r>
          </w:p>
          <w:p w14:paraId="57BA9267" w14:textId="0376530F" w:rsidR="009E4872" w:rsidRPr="00013BDC" w:rsidRDefault="009E4872" w:rsidP="00B633E5">
            <w:pPr>
              <w:pStyle w:val="ListParagraph"/>
              <w:numPr>
                <w:ilvl w:val="0"/>
                <w:numId w:val="194"/>
              </w:numPr>
              <w:spacing w:after="0"/>
              <w:jc w:val="left"/>
              <w:rPr>
                <w:noProof/>
                <w:sz w:val="20"/>
                <w:szCs w:val="20"/>
              </w:rPr>
            </w:pPr>
            <w:r w:rsidRPr="00013BDC">
              <w:rPr>
                <w:noProof/>
                <w:sz w:val="20"/>
                <w:szCs w:val="20"/>
              </w:rPr>
              <w:t>Further explanations in section on feasibility regarding what M</w:t>
            </w:r>
            <w:r w:rsidR="00F73609" w:rsidRPr="00013BDC">
              <w:rPr>
                <w:noProof/>
                <w:sz w:val="20"/>
                <w:szCs w:val="20"/>
              </w:rPr>
              <w:t>ember States</w:t>
            </w:r>
            <w:r w:rsidRPr="00013BDC">
              <w:rPr>
                <w:noProof/>
                <w:sz w:val="20"/>
                <w:szCs w:val="20"/>
              </w:rPr>
              <w:t xml:space="preserve"> need to do to achieve the targets (including governance and enforcement capacity, and concept of designating a national competent authority) and link with feasibility scoring (</w:t>
            </w:r>
            <w:r w:rsidR="00C36E3D" w:rsidRPr="00013BDC">
              <w:rPr>
                <w:noProof/>
                <w:sz w:val="20"/>
                <w:szCs w:val="20"/>
              </w:rPr>
              <w:t xml:space="preserve">see </w:t>
            </w:r>
            <w:r w:rsidRPr="00013BDC">
              <w:rPr>
                <w:noProof/>
                <w:sz w:val="20"/>
                <w:szCs w:val="20"/>
              </w:rPr>
              <w:t xml:space="preserve">3.7). </w:t>
            </w:r>
          </w:p>
          <w:p w14:paraId="2B8F63BE" w14:textId="77777777" w:rsidR="009E4872" w:rsidRPr="00013BDC" w:rsidRDefault="009E4872" w:rsidP="00332A4F">
            <w:pPr>
              <w:spacing w:after="0"/>
              <w:ind w:left="57"/>
              <w:jc w:val="left"/>
              <w:rPr>
                <w:b/>
                <w:noProof/>
                <w:sz w:val="20"/>
                <w:szCs w:val="20"/>
              </w:rPr>
            </w:pPr>
          </w:p>
        </w:tc>
      </w:tr>
      <w:tr w:rsidR="00995B2A" w:rsidRPr="00013BDC" w14:paraId="1DCD2D0F" w14:textId="77777777" w:rsidTr="00401635">
        <w:tc>
          <w:tcPr>
            <w:tcW w:w="0" w:type="auto"/>
            <w:vMerge/>
            <w:tcBorders>
              <w:left w:val="single" w:sz="8" w:space="0" w:color="auto"/>
              <w:right w:val="single" w:sz="8" w:space="0" w:color="auto"/>
            </w:tcBorders>
          </w:tcPr>
          <w:p w14:paraId="529E57F8"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FA1B2DE" w14:textId="77777777" w:rsidR="00375F84" w:rsidRPr="00013BDC" w:rsidRDefault="00375F84" w:rsidP="00375F84">
            <w:pPr>
              <w:rPr>
                <w:noProof/>
                <w:sz w:val="20"/>
                <w:szCs w:val="20"/>
                <w:lang w:val="en-IE"/>
              </w:rPr>
            </w:pPr>
            <w:r w:rsidRPr="00013BDC">
              <w:rPr>
                <w:noProof/>
                <w:sz w:val="20"/>
                <w:szCs w:val="20"/>
                <w:lang w:val="en-IE"/>
              </w:rPr>
              <w:t>(4) The report should present the estimates in a clear and comprehensive manner and ensure the consistency of the figures throughout. In particular, it should ensure that quantitative costs and benefits used throughout the report are consistent, should explain further the relationship between farmers’ income, trade and other elements for the calculation of costs, and should include the costs identified in the overview table of benefits and costs.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957A619" w14:textId="753892C9" w:rsidR="005F6A7C" w:rsidRPr="00013BDC" w:rsidRDefault="005F6A7C" w:rsidP="00B633E5">
            <w:pPr>
              <w:pStyle w:val="ListParagraph"/>
              <w:numPr>
                <w:ilvl w:val="0"/>
                <w:numId w:val="196"/>
              </w:numPr>
              <w:spacing w:after="0"/>
              <w:jc w:val="left"/>
              <w:rPr>
                <w:noProof/>
                <w:sz w:val="20"/>
                <w:szCs w:val="20"/>
              </w:rPr>
            </w:pPr>
            <w:r w:rsidRPr="00013BDC">
              <w:rPr>
                <w:noProof/>
                <w:sz w:val="20"/>
                <w:szCs w:val="20"/>
              </w:rPr>
              <w:t xml:space="preserve">Additional explanations have been provided in section 3.6.5 (including regarding adjustment costs) and </w:t>
            </w:r>
            <w:r w:rsidR="00414816" w:rsidRPr="00013BDC">
              <w:rPr>
                <w:noProof/>
                <w:sz w:val="20"/>
                <w:szCs w:val="20"/>
              </w:rPr>
              <w:t xml:space="preserve">extension of table comparing </w:t>
            </w:r>
            <w:r w:rsidR="004528ED" w:rsidRPr="00013BDC">
              <w:rPr>
                <w:noProof/>
                <w:sz w:val="20"/>
                <w:szCs w:val="20"/>
              </w:rPr>
              <w:t xml:space="preserve">benefits and costs </w:t>
            </w:r>
            <w:r w:rsidRPr="00013BDC">
              <w:rPr>
                <w:noProof/>
                <w:sz w:val="20"/>
                <w:szCs w:val="20"/>
              </w:rPr>
              <w:t>table (see 3.8).</w:t>
            </w:r>
          </w:p>
          <w:p w14:paraId="528BD071" w14:textId="77777777" w:rsidR="005F6A7C" w:rsidRPr="00013BDC" w:rsidRDefault="005F6A7C" w:rsidP="00332A4F">
            <w:pPr>
              <w:spacing w:after="0"/>
              <w:ind w:left="57"/>
              <w:jc w:val="left"/>
              <w:rPr>
                <w:b/>
                <w:noProof/>
                <w:sz w:val="20"/>
                <w:szCs w:val="20"/>
                <w:lang w:val="en-IE"/>
              </w:rPr>
            </w:pPr>
          </w:p>
        </w:tc>
      </w:tr>
      <w:tr w:rsidR="00995B2A" w:rsidRPr="00013BDC" w14:paraId="6529CAD4" w14:textId="77777777" w:rsidTr="00401635">
        <w:tc>
          <w:tcPr>
            <w:tcW w:w="0" w:type="auto"/>
            <w:vMerge/>
            <w:tcBorders>
              <w:left w:val="single" w:sz="8" w:space="0" w:color="auto"/>
              <w:right w:val="single" w:sz="8" w:space="0" w:color="auto"/>
            </w:tcBorders>
          </w:tcPr>
          <w:p w14:paraId="4BA8E4D6"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95FC73A" w14:textId="77777777" w:rsidR="0011474E" w:rsidRPr="00013BDC" w:rsidRDefault="0011474E" w:rsidP="0011474E">
            <w:pPr>
              <w:rPr>
                <w:noProof/>
                <w:sz w:val="20"/>
                <w:szCs w:val="20"/>
                <w:lang w:val="en-IE"/>
              </w:rPr>
            </w:pPr>
            <w:r w:rsidRPr="00013BDC">
              <w:rPr>
                <w:noProof/>
                <w:sz w:val="20"/>
                <w:szCs w:val="20"/>
                <w:lang w:val="en-IE"/>
              </w:rPr>
              <w:t>(5) The interpretation of the outcome from the MAGNET modelling should consider some conclusions of the feasibility analysis section, in particular the fact that the target for food waste reduction in primary sector for the most ambitious target is uncertain, based on the experience of countries already performing action plan in food waste reduction.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A6ABB9C" w14:textId="77777777" w:rsidR="00494D50" w:rsidRPr="00013BDC" w:rsidRDefault="00494D50" w:rsidP="00B633E5">
            <w:pPr>
              <w:pStyle w:val="ListParagraph"/>
              <w:numPr>
                <w:ilvl w:val="0"/>
                <w:numId w:val="196"/>
              </w:numPr>
              <w:spacing w:after="0"/>
              <w:jc w:val="left"/>
              <w:rPr>
                <w:noProof/>
                <w:sz w:val="20"/>
                <w:szCs w:val="20"/>
              </w:rPr>
            </w:pPr>
            <w:r w:rsidRPr="00013BDC">
              <w:rPr>
                <w:noProof/>
                <w:sz w:val="20"/>
                <w:szCs w:val="20"/>
              </w:rPr>
              <w:t>Additional explanations ha</w:t>
            </w:r>
            <w:r w:rsidR="00E1012A" w:rsidRPr="00013BDC">
              <w:rPr>
                <w:noProof/>
                <w:sz w:val="20"/>
                <w:szCs w:val="20"/>
              </w:rPr>
              <w:t>ve</w:t>
            </w:r>
            <w:r w:rsidRPr="00013BDC">
              <w:rPr>
                <w:noProof/>
                <w:sz w:val="20"/>
                <w:szCs w:val="20"/>
              </w:rPr>
              <w:t xml:space="preserve"> been added to section 3.6.1</w:t>
            </w:r>
          </w:p>
          <w:p w14:paraId="4BAC2AB6" w14:textId="16642268" w:rsidR="00494D50" w:rsidRPr="00013BDC" w:rsidRDefault="00494D50" w:rsidP="00B633E5">
            <w:pPr>
              <w:pStyle w:val="ListParagraph"/>
              <w:numPr>
                <w:ilvl w:val="0"/>
                <w:numId w:val="196"/>
              </w:numPr>
              <w:spacing w:after="0"/>
              <w:jc w:val="left"/>
              <w:rPr>
                <w:noProof/>
                <w:sz w:val="20"/>
                <w:szCs w:val="20"/>
              </w:rPr>
            </w:pPr>
            <w:r w:rsidRPr="00013BDC">
              <w:rPr>
                <w:noProof/>
                <w:sz w:val="20"/>
                <w:szCs w:val="20"/>
              </w:rPr>
              <w:t>Revised feasibility analysis (section 3.7) also puts into perspective the MAGNET modelling results; further elements ha</w:t>
            </w:r>
            <w:r w:rsidR="00123AB2" w:rsidRPr="00013BDC">
              <w:rPr>
                <w:noProof/>
                <w:sz w:val="20"/>
                <w:szCs w:val="20"/>
              </w:rPr>
              <w:t>ve</w:t>
            </w:r>
            <w:r w:rsidRPr="00013BDC">
              <w:rPr>
                <w:noProof/>
                <w:sz w:val="20"/>
                <w:szCs w:val="20"/>
              </w:rPr>
              <w:t xml:space="preserve"> been added to explain interpretation of Table 8 (overview assessment of the feasibility of different policy options) </w:t>
            </w:r>
          </w:p>
          <w:p w14:paraId="26EF5632" w14:textId="77777777" w:rsidR="00494D50" w:rsidRPr="00013BDC" w:rsidRDefault="00494D50" w:rsidP="00332A4F">
            <w:pPr>
              <w:spacing w:after="0"/>
              <w:ind w:left="57"/>
              <w:jc w:val="left"/>
              <w:rPr>
                <w:b/>
                <w:noProof/>
                <w:sz w:val="20"/>
                <w:szCs w:val="20"/>
              </w:rPr>
            </w:pPr>
          </w:p>
        </w:tc>
      </w:tr>
      <w:tr w:rsidR="00995B2A" w:rsidRPr="00013BDC" w14:paraId="7E62E364" w14:textId="77777777" w:rsidTr="00401635">
        <w:tc>
          <w:tcPr>
            <w:tcW w:w="0" w:type="auto"/>
            <w:vMerge/>
            <w:tcBorders>
              <w:left w:val="single" w:sz="8" w:space="0" w:color="auto"/>
              <w:right w:val="single" w:sz="8" w:space="0" w:color="auto"/>
            </w:tcBorders>
          </w:tcPr>
          <w:p w14:paraId="1A88666D"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DCE3198" w14:textId="77777777" w:rsidR="001112D0" w:rsidRPr="00013BDC" w:rsidRDefault="001112D0" w:rsidP="001112D0">
            <w:pPr>
              <w:rPr>
                <w:noProof/>
                <w:sz w:val="20"/>
                <w:szCs w:val="20"/>
                <w:lang w:val="en-IE"/>
              </w:rPr>
            </w:pPr>
            <w:r w:rsidRPr="00013BDC">
              <w:rPr>
                <w:noProof/>
                <w:sz w:val="20"/>
                <w:szCs w:val="20"/>
                <w:lang w:val="en-IE"/>
              </w:rPr>
              <w:t>(6) The report should more convincingly explain the EU dimension of food waste and better justify how EU-level intervention is consistent with the principle of subsidiarity.</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A5197CA" w14:textId="361599E8" w:rsidR="00E1012A" w:rsidRPr="00013BDC" w:rsidRDefault="00E1012A" w:rsidP="00B633E5">
            <w:pPr>
              <w:pStyle w:val="ListParagraph"/>
              <w:numPr>
                <w:ilvl w:val="0"/>
                <w:numId w:val="197"/>
              </w:numPr>
              <w:spacing w:after="0"/>
              <w:jc w:val="left"/>
              <w:rPr>
                <w:noProof/>
                <w:sz w:val="20"/>
                <w:szCs w:val="20"/>
              </w:rPr>
            </w:pPr>
            <w:r w:rsidRPr="00013BDC">
              <w:rPr>
                <w:noProof/>
                <w:sz w:val="20"/>
                <w:szCs w:val="20"/>
              </w:rPr>
              <w:t xml:space="preserve">Further explanations of </w:t>
            </w:r>
            <w:r w:rsidR="00414B46" w:rsidRPr="00013BDC">
              <w:rPr>
                <w:noProof/>
                <w:sz w:val="20"/>
                <w:szCs w:val="20"/>
              </w:rPr>
              <w:t xml:space="preserve">the </w:t>
            </w:r>
            <w:r w:rsidRPr="00013BDC">
              <w:rPr>
                <w:noProof/>
                <w:sz w:val="20"/>
                <w:szCs w:val="20"/>
              </w:rPr>
              <w:t>EU dimension of food waste and justification of EU intervention have been added to relevant sections (3.3.2 and 3.3.3)</w:t>
            </w:r>
          </w:p>
          <w:p w14:paraId="57391F16" w14:textId="77777777" w:rsidR="00E1012A" w:rsidRPr="00013BDC" w:rsidRDefault="00E1012A" w:rsidP="00332A4F">
            <w:pPr>
              <w:spacing w:after="0"/>
              <w:ind w:left="57"/>
              <w:jc w:val="left"/>
              <w:rPr>
                <w:b/>
                <w:noProof/>
                <w:sz w:val="20"/>
                <w:szCs w:val="20"/>
              </w:rPr>
            </w:pPr>
          </w:p>
        </w:tc>
      </w:tr>
      <w:tr w:rsidR="00995B2A" w:rsidRPr="00013BDC" w14:paraId="76DBFE47" w14:textId="77777777" w:rsidTr="00401635">
        <w:tc>
          <w:tcPr>
            <w:tcW w:w="0" w:type="auto"/>
            <w:vMerge/>
            <w:tcBorders>
              <w:left w:val="single" w:sz="8" w:space="0" w:color="auto"/>
              <w:right w:val="single" w:sz="8" w:space="0" w:color="auto"/>
            </w:tcBorders>
          </w:tcPr>
          <w:p w14:paraId="63C26191"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325DFE7" w14:textId="77777777" w:rsidR="007F0BC6" w:rsidRPr="00013BDC" w:rsidRDefault="007F0BC6" w:rsidP="007F0BC6">
            <w:pPr>
              <w:rPr>
                <w:noProof/>
                <w:sz w:val="20"/>
                <w:szCs w:val="20"/>
                <w:lang w:val="en-IE"/>
              </w:rPr>
            </w:pPr>
            <w:r w:rsidRPr="00013BDC">
              <w:rPr>
                <w:noProof/>
                <w:sz w:val="20"/>
                <w:szCs w:val="20"/>
                <w:lang w:val="en-IE"/>
              </w:rPr>
              <w:t>(7) The report should strengthen the comparison of options on textiles. The analysis should focus on the combination of policy measures with available policy choices and on providing a clear overview vis-à-vis effectiveness/efficiency and coherence. The basic information in the annexes should be summarised and presented better in the main report. The policy measures should be clearly compared in terms of effectiveness,</w:t>
            </w:r>
          </w:p>
          <w:p w14:paraId="4F0B6DCB" w14:textId="77777777" w:rsidR="007F0BC6" w:rsidRPr="00013BDC" w:rsidRDefault="007F0BC6" w:rsidP="007F0BC6">
            <w:pPr>
              <w:rPr>
                <w:noProof/>
                <w:sz w:val="20"/>
                <w:szCs w:val="20"/>
                <w:lang w:val="en-IE"/>
              </w:rPr>
            </w:pPr>
            <w:r w:rsidRPr="00013BDC">
              <w:rPr>
                <w:noProof/>
                <w:sz w:val="20"/>
                <w:szCs w:val="20"/>
                <w:lang w:val="en-IE"/>
              </w:rPr>
              <w:t>efficiency and coherence with sufficient explanations. The comparison of options/measures should also include an overview table on the impacts on consumers, producers, waste management enterprises and public authorities.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47FEC87" w14:textId="77777777" w:rsidR="00B268BC" w:rsidRPr="00013BDC" w:rsidRDefault="000A3359" w:rsidP="007F0BC6">
            <w:pPr>
              <w:pStyle w:val="ListParagraph"/>
              <w:numPr>
                <w:ilvl w:val="0"/>
                <w:numId w:val="185"/>
              </w:numPr>
              <w:spacing w:after="0"/>
              <w:jc w:val="left"/>
              <w:rPr>
                <w:bCs/>
                <w:noProof/>
                <w:sz w:val="20"/>
                <w:szCs w:val="20"/>
                <w:lang w:val="en-IE"/>
              </w:rPr>
            </w:pPr>
            <w:r w:rsidRPr="00013BDC">
              <w:rPr>
                <w:bCs/>
                <w:noProof/>
                <w:sz w:val="20"/>
                <w:szCs w:val="20"/>
                <w:lang w:val="en-IE"/>
              </w:rPr>
              <w:t>Included speci</w:t>
            </w:r>
            <w:r w:rsidR="001C4390" w:rsidRPr="00013BDC">
              <w:rPr>
                <w:bCs/>
                <w:noProof/>
                <w:sz w:val="20"/>
                <w:szCs w:val="20"/>
                <w:lang w:val="en-IE"/>
              </w:rPr>
              <w:t xml:space="preserve">fic information on how options compare into the main document Section 2.7. </w:t>
            </w:r>
          </w:p>
          <w:p w14:paraId="3AA19A1C" w14:textId="77777777" w:rsidR="00171752" w:rsidRPr="00013BDC" w:rsidRDefault="00171752" w:rsidP="007F0BC6">
            <w:pPr>
              <w:pStyle w:val="ListParagraph"/>
              <w:numPr>
                <w:ilvl w:val="0"/>
                <w:numId w:val="185"/>
              </w:numPr>
              <w:spacing w:after="0"/>
              <w:jc w:val="left"/>
              <w:rPr>
                <w:bCs/>
                <w:noProof/>
                <w:sz w:val="20"/>
                <w:szCs w:val="20"/>
                <w:lang w:val="en-IE"/>
              </w:rPr>
            </w:pPr>
            <w:r w:rsidRPr="00013BDC">
              <w:rPr>
                <w:bCs/>
                <w:noProof/>
                <w:sz w:val="20"/>
                <w:szCs w:val="20"/>
                <w:lang w:val="en-IE"/>
              </w:rPr>
              <w:t>This includes a clear overview of the comparison across measures vis-à-vis effectiveness, efficienc</w:t>
            </w:r>
            <w:r w:rsidR="00D23714" w:rsidRPr="00013BDC">
              <w:rPr>
                <w:bCs/>
                <w:noProof/>
                <w:sz w:val="20"/>
                <w:szCs w:val="20"/>
                <w:lang w:val="en-IE"/>
              </w:rPr>
              <w:t>y</w:t>
            </w:r>
            <w:r w:rsidRPr="00013BDC">
              <w:rPr>
                <w:bCs/>
                <w:noProof/>
                <w:sz w:val="20"/>
                <w:szCs w:val="20"/>
                <w:lang w:val="en-IE"/>
              </w:rPr>
              <w:t xml:space="preserve"> and coherence.</w:t>
            </w:r>
            <w:r w:rsidR="00D23714" w:rsidRPr="00013BDC">
              <w:rPr>
                <w:bCs/>
                <w:noProof/>
                <w:sz w:val="20"/>
                <w:szCs w:val="20"/>
                <w:lang w:val="en-IE"/>
              </w:rPr>
              <w:t xml:space="preserve"> This includes additional </w:t>
            </w:r>
            <w:r w:rsidR="00F34ACB" w:rsidRPr="00013BDC">
              <w:rPr>
                <w:bCs/>
                <w:noProof/>
                <w:sz w:val="20"/>
                <w:szCs w:val="20"/>
                <w:lang w:val="en-IE"/>
              </w:rPr>
              <w:t>explanations</w:t>
            </w:r>
            <w:r w:rsidR="00D23714" w:rsidRPr="00013BDC">
              <w:rPr>
                <w:bCs/>
                <w:noProof/>
                <w:sz w:val="20"/>
                <w:szCs w:val="20"/>
                <w:lang w:val="en-IE"/>
              </w:rPr>
              <w:t xml:space="preserve"> </w:t>
            </w:r>
            <w:r w:rsidR="00F34ACB" w:rsidRPr="00013BDC">
              <w:rPr>
                <w:bCs/>
                <w:noProof/>
                <w:sz w:val="20"/>
                <w:szCs w:val="20"/>
                <w:lang w:val="en-IE"/>
              </w:rPr>
              <w:t xml:space="preserve">for the </w:t>
            </w:r>
            <w:r w:rsidR="00330F9D" w:rsidRPr="00013BDC">
              <w:rPr>
                <w:bCs/>
                <w:noProof/>
                <w:sz w:val="20"/>
                <w:szCs w:val="20"/>
                <w:lang w:val="en-IE"/>
              </w:rPr>
              <w:t>comparison across measures.</w:t>
            </w:r>
          </w:p>
          <w:p w14:paraId="64A1FE4F" w14:textId="77777777" w:rsidR="000A3359" w:rsidRPr="00013BDC" w:rsidRDefault="00B86650" w:rsidP="00D41144">
            <w:pPr>
              <w:pStyle w:val="ListParagraph"/>
              <w:numPr>
                <w:ilvl w:val="0"/>
                <w:numId w:val="185"/>
              </w:numPr>
              <w:spacing w:after="0"/>
              <w:jc w:val="left"/>
              <w:rPr>
                <w:noProof/>
                <w:sz w:val="20"/>
                <w:szCs w:val="20"/>
                <w:lang w:val="en-IE"/>
              </w:rPr>
            </w:pPr>
            <w:r w:rsidRPr="00013BDC">
              <w:rPr>
                <w:bCs/>
                <w:noProof/>
                <w:sz w:val="20"/>
                <w:szCs w:val="20"/>
                <w:lang w:val="en-IE"/>
              </w:rPr>
              <w:t>The comparison across measures also includes an overview table on the impacts on consumer, producers, waste management enterprises and public authorities that has been integrated into Table 3 of the main document</w:t>
            </w:r>
          </w:p>
        </w:tc>
      </w:tr>
      <w:tr w:rsidR="00995B2A" w:rsidRPr="00013BDC" w14:paraId="59EA0628" w14:textId="77777777" w:rsidTr="00401635">
        <w:tc>
          <w:tcPr>
            <w:tcW w:w="0" w:type="auto"/>
            <w:vMerge/>
            <w:tcBorders>
              <w:left w:val="single" w:sz="8" w:space="0" w:color="auto"/>
              <w:right w:val="single" w:sz="8" w:space="0" w:color="auto"/>
            </w:tcBorders>
          </w:tcPr>
          <w:p w14:paraId="463EC6EE"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1627080" w14:textId="77777777" w:rsidR="00740353" w:rsidRPr="00013BDC" w:rsidRDefault="00740353" w:rsidP="00740353">
            <w:pPr>
              <w:rPr>
                <w:noProof/>
                <w:sz w:val="20"/>
                <w:szCs w:val="20"/>
                <w:lang w:val="en-IE"/>
              </w:rPr>
            </w:pPr>
            <w:r w:rsidRPr="00013BDC">
              <w:rPr>
                <w:noProof/>
                <w:sz w:val="20"/>
                <w:szCs w:val="20"/>
                <w:lang w:val="en-IE"/>
              </w:rPr>
              <w:t>(8) The report should improve the presentation of the impact on competitiveness of the textile options. The key information from the assessment of individual policy measures addressing various competitiveness aspects currently in the annex should be brought to the main report to substantiate the conclusions.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882C8BF" w14:textId="77777777" w:rsidR="00B268BC" w:rsidRPr="00013BDC" w:rsidRDefault="00740353" w:rsidP="00740353">
            <w:pPr>
              <w:pStyle w:val="ListParagraph"/>
              <w:numPr>
                <w:ilvl w:val="0"/>
                <w:numId w:val="186"/>
              </w:numPr>
              <w:spacing w:after="0"/>
              <w:jc w:val="left"/>
              <w:rPr>
                <w:b/>
                <w:noProof/>
                <w:sz w:val="20"/>
                <w:szCs w:val="20"/>
                <w:lang w:val="en-IE"/>
              </w:rPr>
            </w:pPr>
            <w:r w:rsidRPr="00013BDC">
              <w:rPr>
                <w:bCs/>
                <w:noProof/>
                <w:sz w:val="20"/>
                <w:szCs w:val="20"/>
                <w:lang w:val="en-IE"/>
              </w:rPr>
              <w:t xml:space="preserve">Additional details provided in Table </w:t>
            </w:r>
            <w:r w:rsidR="006D66F8" w:rsidRPr="00013BDC">
              <w:rPr>
                <w:bCs/>
                <w:noProof/>
                <w:sz w:val="20"/>
                <w:szCs w:val="20"/>
                <w:lang w:val="en-IE"/>
              </w:rPr>
              <w:t xml:space="preserve">2 on the impact on competitiveness, summarised from the more detailed analysis that can be found in the </w:t>
            </w:r>
            <w:r w:rsidR="00D26C05" w:rsidRPr="00013BDC">
              <w:rPr>
                <w:bCs/>
                <w:noProof/>
                <w:sz w:val="20"/>
                <w:szCs w:val="20"/>
                <w:lang w:val="en-IE"/>
              </w:rPr>
              <w:t>Annex.</w:t>
            </w:r>
          </w:p>
          <w:p w14:paraId="7C5C371A" w14:textId="77777777" w:rsidR="00740353" w:rsidRPr="00013BDC" w:rsidRDefault="00D26C05" w:rsidP="00D41144">
            <w:pPr>
              <w:pStyle w:val="ListParagraph"/>
              <w:numPr>
                <w:ilvl w:val="0"/>
                <w:numId w:val="186"/>
              </w:numPr>
              <w:spacing w:after="0"/>
              <w:jc w:val="left"/>
              <w:rPr>
                <w:b/>
                <w:noProof/>
                <w:sz w:val="20"/>
                <w:szCs w:val="20"/>
                <w:lang w:val="en-IE"/>
              </w:rPr>
            </w:pPr>
            <w:r w:rsidRPr="00013BDC">
              <w:rPr>
                <w:bCs/>
                <w:noProof/>
                <w:sz w:val="20"/>
                <w:szCs w:val="20"/>
                <w:lang w:val="en-IE"/>
              </w:rPr>
              <w:t>The focus is on price competitiveness, dynamic competitiveness and strategic competitiveness</w:t>
            </w:r>
            <w:r w:rsidR="00043E7E" w:rsidRPr="00013BDC">
              <w:rPr>
                <w:bCs/>
                <w:noProof/>
                <w:sz w:val="20"/>
                <w:szCs w:val="20"/>
                <w:lang w:val="en-IE"/>
              </w:rPr>
              <w:t>.</w:t>
            </w:r>
          </w:p>
        </w:tc>
      </w:tr>
      <w:tr w:rsidR="00995B2A" w:rsidRPr="00013BDC" w14:paraId="0A3CE746" w14:textId="77777777" w:rsidTr="00401635">
        <w:tc>
          <w:tcPr>
            <w:tcW w:w="0" w:type="auto"/>
            <w:vMerge/>
            <w:tcBorders>
              <w:left w:val="single" w:sz="8" w:space="0" w:color="auto"/>
              <w:right w:val="single" w:sz="8" w:space="0" w:color="auto"/>
            </w:tcBorders>
          </w:tcPr>
          <w:p w14:paraId="1F830F76"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1F4F1AC" w14:textId="77777777" w:rsidR="008F1D12" w:rsidRPr="00013BDC" w:rsidRDefault="008F1D12" w:rsidP="008F1D12">
            <w:pPr>
              <w:rPr>
                <w:noProof/>
                <w:sz w:val="20"/>
                <w:szCs w:val="20"/>
                <w:lang w:val="en-IE"/>
              </w:rPr>
            </w:pPr>
            <w:r w:rsidRPr="00013BDC">
              <w:rPr>
                <w:noProof/>
                <w:sz w:val="20"/>
                <w:szCs w:val="20"/>
                <w:lang w:val="en-IE"/>
              </w:rPr>
              <w:t>(9) The report should make it clear if all SMEs are exempted from the Extended Producer responsibility scheme or if the exemption is only for micro enterprises.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CE7F1C2" w14:textId="77777777" w:rsidR="00A4776A" w:rsidRPr="00013BDC" w:rsidRDefault="00A4776A">
            <w:pPr>
              <w:pStyle w:val="ListParagraph"/>
              <w:numPr>
                <w:ilvl w:val="0"/>
                <w:numId w:val="187"/>
              </w:numPr>
              <w:spacing w:after="0"/>
              <w:jc w:val="left"/>
              <w:rPr>
                <w:b/>
                <w:noProof/>
                <w:sz w:val="20"/>
                <w:szCs w:val="20"/>
                <w:lang w:val="en-IE"/>
              </w:rPr>
            </w:pPr>
            <w:r w:rsidRPr="00013BDC">
              <w:rPr>
                <w:bCs/>
                <w:noProof/>
                <w:sz w:val="20"/>
                <w:szCs w:val="20"/>
                <w:lang w:val="en-IE"/>
              </w:rPr>
              <w:t xml:space="preserve">Additional clarifications included Section 2.8 in the main document </w:t>
            </w:r>
            <w:r w:rsidR="008E0225" w:rsidRPr="00013BDC">
              <w:rPr>
                <w:bCs/>
                <w:noProof/>
                <w:sz w:val="20"/>
                <w:szCs w:val="20"/>
                <w:lang w:val="en-IE"/>
              </w:rPr>
              <w:t>explaining that only microenterprises are excluded while other SMEs remain included in the EPR schemes.</w:t>
            </w:r>
          </w:p>
        </w:tc>
      </w:tr>
      <w:tr w:rsidR="00995B2A" w:rsidRPr="00013BDC" w14:paraId="149BFC04" w14:textId="77777777" w:rsidTr="00401635">
        <w:tc>
          <w:tcPr>
            <w:tcW w:w="0" w:type="auto"/>
            <w:vMerge/>
            <w:tcBorders>
              <w:left w:val="single" w:sz="8" w:space="0" w:color="auto"/>
              <w:bottom w:val="single" w:sz="8" w:space="0" w:color="auto"/>
              <w:right w:val="single" w:sz="8" w:space="0" w:color="auto"/>
            </w:tcBorders>
          </w:tcPr>
          <w:p w14:paraId="0BA4C18D" w14:textId="77777777" w:rsidR="00B268BC" w:rsidRPr="00013BDC" w:rsidRDefault="00B268BC" w:rsidP="00470FEE">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AA1EDCD" w14:textId="77777777" w:rsidR="00DD1878" w:rsidRPr="00013BDC" w:rsidRDefault="00DD1878" w:rsidP="00101E45">
            <w:pPr>
              <w:rPr>
                <w:noProof/>
                <w:sz w:val="20"/>
                <w:szCs w:val="20"/>
                <w:lang w:val="en-IE"/>
              </w:rPr>
            </w:pPr>
            <w:r w:rsidRPr="00013BDC">
              <w:rPr>
                <w:noProof/>
                <w:sz w:val="20"/>
                <w:szCs w:val="20"/>
                <w:lang w:val="en-IE"/>
              </w:rPr>
              <w:t>(10) The One In, One Out estimates for the textile area should be presented in the dedicated section in the main report. The section should also explain why certain</w:t>
            </w:r>
            <w:r w:rsidR="00540EF6" w:rsidRPr="00013BDC">
              <w:rPr>
                <w:noProof/>
                <w:sz w:val="20"/>
                <w:szCs w:val="20"/>
                <w:lang w:val="en-IE"/>
              </w:rPr>
              <w:t xml:space="preserve"> </w:t>
            </w:r>
            <w:r w:rsidRPr="00013BDC">
              <w:rPr>
                <w:noProof/>
                <w:sz w:val="20"/>
                <w:szCs w:val="20"/>
                <w:lang w:val="en-IE"/>
              </w:rPr>
              <w:t>elements were not estimated.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12CB86D" w14:textId="77777777" w:rsidR="00B268BC" w:rsidRPr="00013BDC" w:rsidRDefault="00101E45" w:rsidP="00540EF6">
            <w:pPr>
              <w:pStyle w:val="ListParagraph"/>
              <w:numPr>
                <w:ilvl w:val="0"/>
                <w:numId w:val="187"/>
              </w:numPr>
              <w:spacing w:after="0"/>
              <w:jc w:val="left"/>
              <w:rPr>
                <w:b/>
                <w:noProof/>
                <w:sz w:val="20"/>
                <w:szCs w:val="20"/>
                <w:lang w:val="en-IE"/>
              </w:rPr>
            </w:pPr>
            <w:r w:rsidRPr="00013BDC">
              <w:rPr>
                <w:bCs/>
                <w:noProof/>
                <w:sz w:val="20"/>
                <w:szCs w:val="20"/>
                <w:lang w:val="en-IE"/>
              </w:rPr>
              <w:t xml:space="preserve">Additional information included in Section 2.8.3 in the main document on the </w:t>
            </w:r>
            <w:r w:rsidR="008B680E" w:rsidRPr="00013BDC">
              <w:rPr>
                <w:bCs/>
                <w:noProof/>
                <w:sz w:val="20"/>
                <w:szCs w:val="20"/>
                <w:lang w:val="en-IE"/>
              </w:rPr>
              <w:t>one-in-one-out estimates.</w:t>
            </w:r>
          </w:p>
          <w:p w14:paraId="6BABF71A" w14:textId="77777777" w:rsidR="00101E45" w:rsidRPr="00013BDC" w:rsidRDefault="00947E3E" w:rsidP="00D41144">
            <w:pPr>
              <w:pStyle w:val="ListParagraph"/>
              <w:numPr>
                <w:ilvl w:val="0"/>
                <w:numId w:val="187"/>
              </w:numPr>
              <w:spacing w:after="0"/>
              <w:jc w:val="left"/>
              <w:rPr>
                <w:b/>
                <w:noProof/>
                <w:sz w:val="20"/>
                <w:szCs w:val="20"/>
                <w:lang w:val="en-IE"/>
              </w:rPr>
            </w:pPr>
            <w:r w:rsidRPr="00013BDC">
              <w:rPr>
                <w:bCs/>
                <w:noProof/>
                <w:sz w:val="20"/>
                <w:szCs w:val="20"/>
                <w:lang w:val="en-IE"/>
              </w:rPr>
              <w:t>Included a footnote explaining which costs (and benefits) could not be estimated.</w:t>
            </w:r>
          </w:p>
        </w:tc>
      </w:tr>
      <w:tr w:rsidR="00995B2A" w:rsidRPr="00013BDC" w14:paraId="08720417" w14:textId="77777777" w:rsidTr="00401635">
        <w:tc>
          <w:tcPr>
            <w:tcW w:w="0" w:type="auto"/>
            <w:tcBorders>
              <w:top w:val="nil"/>
              <w:left w:val="single" w:sz="8" w:space="0" w:color="auto"/>
              <w:right w:val="single" w:sz="8" w:space="0" w:color="auto"/>
            </w:tcBorders>
          </w:tcPr>
          <w:p w14:paraId="34DD121F" w14:textId="1A88AD26" w:rsidR="00FF6837" w:rsidRPr="00013BDC" w:rsidDel="00072E65" w:rsidRDefault="00072E65" w:rsidP="00470FEE">
            <w:pPr>
              <w:rPr>
                <w:noProof/>
                <w:sz w:val="20"/>
                <w:szCs w:val="20"/>
                <w:lang w:val="en-IE"/>
              </w:rPr>
            </w:pPr>
            <w:r w:rsidRPr="00013BDC">
              <w:rPr>
                <w:noProof/>
                <w:sz w:val="20"/>
                <w:szCs w:val="20"/>
                <w:lang w:val="en-IE"/>
              </w:rPr>
              <w:t>First</w:t>
            </w:r>
            <w:r w:rsidR="00FF6837" w:rsidRPr="00013BDC">
              <w:rPr>
                <w:noProof/>
                <w:sz w:val="20"/>
                <w:szCs w:val="20"/>
                <w:lang w:val="en-IE"/>
              </w:rPr>
              <w:t xml:space="preserve"> opinion</w:t>
            </w: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0D0A87" w14:textId="77777777" w:rsidR="00FC07C1" w:rsidRPr="00013BDC" w:rsidRDefault="00FC07C1" w:rsidP="00FC07C1">
            <w:pPr>
              <w:rPr>
                <w:noProof/>
                <w:sz w:val="20"/>
                <w:szCs w:val="20"/>
                <w:lang w:val="en-IE"/>
              </w:rPr>
            </w:pPr>
            <w:r w:rsidRPr="00013BDC">
              <w:rPr>
                <w:noProof/>
                <w:sz w:val="20"/>
                <w:szCs w:val="20"/>
                <w:lang w:val="en-IE"/>
              </w:rPr>
              <w:t xml:space="preserve">(1) </w:t>
            </w:r>
            <w:r w:rsidR="00470FEE" w:rsidRPr="00013BDC">
              <w:rPr>
                <w:noProof/>
                <w:sz w:val="20"/>
                <w:szCs w:val="20"/>
                <w:lang w:val="en-IE"/>
              </w:rPr>
              <w:t>The report should present a more detailed, clearer, and more coherent</w:t>
            </w:r>
            <w:r w:rsidRPr="00013BDC">
              <w:rPr>
                <w:noProof/>
                <w:sz w:val="20"/>
                <w:szCs w:val="20"/>
                <w:lang w:val="en-IE"/>
              </w:rPr>
              <w:t xml:space="preserve"> intervention logic</w:t>
            </w:r>
            <w:r w:rsidR="00470FEE" w:rsidRPr="00013BDC">
              <w:rPr>
                <w:noProof/>
                <w:sz w:val="20"/>
                <w:szCs w:val="20"/>
                <w:lang w:val="en-IE"/>
              </w:rPr>
              <w:t>. It should better consider the specificities of both food and textile waste sectors and better explain the rationale behind the design of the</w:t>
            </w:r>
            <w:r w:rsidRPr="00013BDC">
              <w:rPr>
                <w:noProof/>
                <w:sz w:val="20"/>
                <w:szCs w:val="20"/>
                <w:lang w:val="en-IE"/>
              </w:rPr>
              <w:t xml:space="preserve"> policy options</w:t>
            </w:r>
            <w:r w:rsidR="00470FEE" w:rsidRPr="00013BDC">
              <w:rPr>
                <w:noProof/>
                <w:sz w:val="20"/>
                <w:szCs w:val="20"/>
                <w:lang w:val="en-IE"/>
              </w:rPr>
              <w:t>. These should refer clearly</w:t>
            </w:r>
            <w:r w:rsidRPr="00013BDC">
              <w:rPr>
                <w:noProof/>
                <w:sz w:val="20"/>
                <w:szCs w:val="20"/>
                <w:lang w:val="en-IE"/>
              </w:rPr>
              <w:t xml:space="preserve"> to the problems, their drivers and </w:t>
            </w:r>
            <w:r w:rsidR="00470FEE" w:rsidRPr="00013BDC">
              <w:rPr>
                <w:noProof/>
                <w:sz w:val="20"/>
                <w:szCs w:val="20"/>
                <w:lang w:val="en-IE"/>
              </w:rPr>
              <w:t xml:space="preserve">relevant </w:t>
            </w:r>
            <w:r w:rsidRPr="00013BDC">
              <w:rPr>
                <w:noProof/>
                <w:sz w:val="20"/>
                <w:szCs w:val="20"/>
                <w:lang w:val="en-IE"/>
              </w:rPr>
              <w:t>specific objectives</w:t>
            </w:r>
            <w:r w:rsidR="00470FEE" w:rsidRPr="00013BDC">
              <w:rPr>
                <w:noProof/>
                <w:sz w:val="20"/>
                <w:szCs w:val="20"/>
                <w:lang w:val="en-IE"/>
              </w:rPr>
              <w:t>. In the area of food, the report should better explain to what extent a sole mandatory target will contribute to address the market and behavioural failures in different Member States with differing baselines.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5999A9" w14:textId="77777777" w:rsidR="00875F05" w:rsidRPr="00013BDC" w:rsidRDefault="00875F05" w:rsidP="00332A4F">
            <w:pPr>
              <w:spacing w:after="0"/>
              <w:ind w:left="57"/>
              <w:jc w:val="left"/>
              <w:rPr>
                <w:b/>
                <w:noProof/>
                <w:sz w:val="20"/>
                <w:szCs w:val="20"/>
                <w:lang w:val="en-IE"/>
              </w:rPr>
            </w:pPr>
            <w:r w:rsidRPr="00013BDC">
              <w:rPr>
                <w:b/>
                <w:noProof/>
                <w:sz w:val="20"/>
                <w:szCs w:val="20"/>
                <w:lang w:val="en-IE"/>
              </w:rPr>
              <w:t>Textile</w:t>
            </w:r>
            <w:r w:rsidR="00E16892" w:rsidRPr="00013BDC">
              <w:rPr>
                <w:b/>
                <w:noProof/>
                <w:sz w:val="20"/>
                <w:szCs w:val="20"/>
                <w:lang w:val="en-IE"/>
              </w:rPr>
              <w:t xml:space="preserve"> waste</w:t>
            </w:r>
          </w:p>
          <w:p w14:paraId="1B68C037" w14:textId="77777777" w:rsidR="00FC07C1" w:rsidRPr="00013BDC" w:rsidRDefault="293AC55D" w:rsidP="00BE315F">
            <w:pPr>
              <w:pStyle w:val="ListParagraph"/>
              <w:numPr>
                <w:ilvl w:val="0"/>
                <w:numId w:val="154"/>
              </w:numPr>
              <w:spacing w:after="0"/>
              <w:ind w:left="227" w:hanging="170"/>
              <w:jc w:val="left"/>
              <w:rPr>
                <w:rFonts w:eastAsia="Times New Roman"/>
                <w:noProof/>
                <w:sz w:val="20"/>
                <w:szCs w:val="20"/>
                <w:lang w:val="en-IE"/>
              </w:rPr>
            </w:pPr>
            <w:r w:rsidRPr="00013BDC">
              <w:rPr>
                <w:noProof/>
                <w:sz w:val="20"/>
                <w:szCs w:val="20"/>
                <w:lang w:val="en-IE"/>
              </w:rPr>
              <w:t xml:space="preserve">Specific </w:t>
            </w:r>
            <w:r w:rsidR="00A13804" w:rsidRPr="00013BDC">
              <w:rPr>
                <w:noProof/>
                <w:sz w:val="20"/>
                <w:szCs w:val="20"/>
                <w:lang w:val="en-IE"/>
              </w:rPr>
              <w:t xml:space="preserve">problem tree and </w:t>
            </w:r>
            <w:r w:rsidRPr="00013BDC">
              <w:rPr>
                <w:noProof/>
                <w:sz w:val="20"/>
                <w:szCs w:val="20"/>
                <w:lang w:val="en-IE"/>
              </w:rPr>
              <w:t xml:space="preserve">intervention logic added in </w:t>
            </w:r>
            <w:r w:rsidR="001C653A" w:rsidRPr="00013BDC">
              <w:rPr>
                <w:noProof/>
                <w:sz w:val="20"/>
                <w:szCs w:val="20"/>
                <w:lang w:val="en-IE"/>
              </w:rPr>
              <w:t xml:space="preserve">Section 2.4 and </w:t>
            </w:r>
            <w:r w:rsidRPr="00013BDC">
              <w:rPr>
                <w:noProof/>
                <w:sz w:val="20"/>
                <w:szCs w:val="20"/>
                <w:lang w:val="en-IE"/>
              </w:rPr>
              <w:t>Annex 7</w:t>
            </w:r>
            <w:r w:rsidR="30124345" w:rsidRPr="00013BDC">
              <w:rPr>
                <w:noProof/>
                <w:sz w:val="20"/>
                <w:szCs w:val="20"/>
                <w:lang w:val="en-IE"/>
              </w:rPr>
              <w:t xml:space="preserve"> </w:t>
            </w:r>
            <w:r w:rsidRPr="00013BDC">
              <w:rPr>
                <w:noProof/>
                <w:sz w:val="20"/>
                <w:szCs w:val="20"/>
                <w:lang w:val="en-IE"/>
              </w:rPr>
              <w:t xml:space="preserve">linking drivers, problems, consequences, </w:t>
            </w:r>
            <w:r w:rsidR="00C96DAC" w:rsidRPr="00013BDC">
              <w:rPr>
                <w:noProof/>
                <w:sz w:val="20"/>
                <w:szCs w:val="20"/>
                <w:lang w:val="en-IE"/>
              </w:rPr>
              <w:t xml:space="preserve">general and specific </w:t>
            </w:r>
            <w:r w:rsidR="00EA0FC6" w:rsidRPr="00013BDC">
              <w:rPr>
                <w:noProof/>
                <w:sz w:val="20"/>
                <w:szCs w:val="20"/>
                <w:lang w:val="en-IE"/>
              </w:rPr>
              <w:t>objectives</w:t>
            </w:r>
            <w:r w:rsidR="00A81DF6" w:rsidRPr="00013BDC">
              <w:rPr>
                <w:noProof/>
                <w:sz w:val="20"/>
                <w:szCs w:val="20"/>
                <w:lang w:val="en-IE"/>
              </w:rPr>
              <w:t xml:space="preserve"> and </w:t>
            </w:r>
            <w:r w:rsidR="007B07AE" w:rsidRPr="00013BDC">
              <w:rPr>
                <w:noProof/>
                <w:sz w:val="20"/>
                <w:szCs w:val="20"/>
                <w:lang w:val="en-IE"/>
              </w:rPr>
              <w:t xml:space="preserve">policy </w:t>
            </w:r>
            <w:r w:rsidRPr="00013BDC">
              <w:rPr>
                <w:noProof/>
                <w:sz w:val="20"/>
                <w:szCs w:val="20"/>
                <w:lang w:val="en-IE"/>
              </w:rPr>
              <w:t>options</w:t>
            </w:r>
            <w:r w:rsidR="64EE48A6" w:rsidRPr="00013BDC">
              <w:rPr>
                <w:noProof/>
                <w:sz w:val="20"/>
                <w:szCs w:val="20"/>
                <w:lang w:val="en-IE"/>
              </w:rPr>
              <w:t>.</w:t>
            </w:r>
          </w:p>
          <w:p w14:paraId="1CA2ACF7" w14:textId="77777777" w:rsidR="00FC07C1" w:rsidRPr="00013BDC" w:rsidRDefault="004C3054" w:rsidP="265B31DB">
            <w:pPr>
              <w:pStyle w:val="ListParagraph"/>
              <w:numPr>
                <w:ilvl w:val="0"/>
                <w:numId w:val="154"/>
              </w:numPr>
              <w:spacing w:after="0"/>
              <w:ind w:left="227" w:hanging="170"/>
              <w:jc w:val="left"/>
              <w:rPr>
                <w:noProof/>
                <w:sz w:val="20"/>
                <w:szCs w:val="20"/>
                <w:lang w:val="en-IE"/>
              </w:rPr>
            </w:pPr>
            <w:r w:rsidRPr="00013BDC">
              <w:rPr>
                <w:noProof/>
                <w:sz w:val="20"/>
                <w:szCs w:val="20"/>
                <w:lang w:val="en-IE"/>
              </w:rPr>
              <w:t>More detailed and improved</w:t>
            </w:r>
            <w:r w:rsidR="64EE48A6" w:rsidRPr="00013BDC">
              <w:rPr>
                <w:noProof/>
                <w:sz w:val="20"/>
                <w:szCs w:val="20"/>
                <w:lang w:val="en-IE"/>
              </w:rPr>
              <w:t xml:space="preserve"> de</w:t>
            </w:r>
            <w:r w:rsidR="379C297A" w:rsidRPr="00013BDC">
              <w:rPr>
                <w:noProof/>
                <w:sz w:val="20"/>
                <w:szCs w:val="20"/>
                <w:lang w:val="en-IE"/>
              </w:rPr>
              <w:t>s</w:t>
            </w:r>
            <w:r w:rsidR="64EE48A6" w:rsidRPr="00013BDC">
              <w:rPr>
                <w:noProof/>
                <w:sz w:val="20"/>
                <w:szCs w:val="20"/>
                <w:lang w:val="en-IE"/>
              </w:rPr>
              <w:t xml:space="preserve">cription of drivers, </w:t>
            </w:r>
            <w:r w:rsidR="04C29142" w:rsidRPr="00013BDC">
              <w:rPr>
                <w:noProof/>
                <w:sz w:val="20"/>
                <w:szCs w:val="20"/>
                <w:lang w:val="en-IE"/>
              </w:rPr>
              <w:t xml:space="preserve">subsidiarity, </w:t>
            </w:r>
            <w:r w:rsidR="64EE48A6" w:rsidRPr="00013BDC">
              <w:rPr>
                <w:noProof/>
                <w:sz w:val="20"/>
                <w:szCs w:val="20"/>
                <w:lang w:val="en-IE"/>
              </w:rPr>
              <w:t>objectives and options in Se</w:t>
            </w:r>
            <w:r w:rsidR="545AC7FB" w:rsidRPr="00013BDC">
              <w:rPr>
                <w:noProof/>
                <w:sz w:val="20"/>
                <w:szCs w:val="20"/>
                <w:lang w:val="en-IE"/>
              </w:rPr>
              <w:t xml:space="preserve">ctions </w:t>
            </w:r>
            <w:r w:rsidR="3AD69139" w:rsidRPr="00013BDC">
              <w:rPr>
                <w:noProof/>
                <w:sz w:val="20"/>
                <w:szCs w:val="20"/>
                <w:lang w:val="en-IE"/>
              </w:rPr>
              <w:t>2.2.2., 2.3., 2.4., 2.5.</w:t>
            </w:r>
            <w:r w:rsidR="5E32F56A" w:rsidRPr="00013BDC">
              <w:rPr>
                <w:noProof/>
                <w:sz w:val="20"/>
                <w:szCs w:val="20"/>
                <w:lang w:val="en-IE"/>
              </w:rPr>
              <w:t xml:space="preserve"> </w:t>
            </w:r>
            <w:r w:rsidR="62FF8830" w:rsidRPr="00013BDC">
              <w:rPr>
                <w:noProof/>
                <w:sz w:val="20"/>
                <w:szCs w:val="20"/>
                <w:lang w:val="en-IE"/>
              </w:rPr>
              <w:t>and Annex</w:t>
            </w:r>
            <w:r w:rsidR="21662918" w:rsidRPr="00013BDC">
              <w:rPr>
                <w:noProof/>
                <w:sz w:val="20"/>
                <w:szCs w:val="20"/>
                <w:lang w:val="en-IE"/>
              </w:rPr>
              <w:t>es</w:t>
            </w:r>
            <w:r w:rsidR="62FF8830" w:rsidRPr="00013BDC">
              <w:rPr>
                <w:noProof/>
                <w:sz w:val="20"/>
                <w:szCs w:val="20"/>
                <w:lang w:val="en-IE"/>
              </w:rPr>
              <w:t xml:space="preserve"> 7</w:t>
            </w:r>
            <w:r w:rsidR="5A8B5270" w:rsidRPr="00013BDC">
              <w:rPr>
                <w:noProof/>
                <w:sz w:val="20"/>
                <w:szCs w:val="20"/>
                <w:lang w:val="en-IE"/>
              </w:rPr>
              <w:t xml:space="preserve"> and 10</w:t>
            </w:r>
            <w:r w:rsidR="62FF8830" w:rsidRPr="00013BDC">
              <w:rPr>
                <w:noProof/>
                <w:sz w:val="20"/>
                <w:szCs w:val="20"/>
                <w:lang w:val="en-IE"/>
              </w:rPr>
              <w:t>.</w:t>
            </w:r>
          </w:p>
          <w:p w14:paraId="27D22EF0" w14:textId="77777777" w:rsidR="00FC07C1" w:rsidRPr="00013BDC" w:rsidRDefault="00AB45D7" w:rsidP="001B7A27">
            <w:pPr>
              <w:pStyle w:val="ListParagraph"/>
              <w:numPr>
                <w:ilvl w:val="0"/>
                <w:numId w:val="154"/>
              </w:numPr>
              <w:spacing w:after="0"/>
              <w:ind w:left="227" w:hanging="170"/>
              <w:jc w:val="left"/>
              <w:rPr>
                <w:noProof/>
                <w:sz w:val="20"/>
                <w:szCs w:val="20"/>
                <w:lang w:val="en-IE"/>
              </w:rPr>
            </w:pPr>
            <w:r w:rsidRPr="00013BDC">
              <w:rPr>
                <w:noProof/>
                <w:sz w:val="20"/>
                <w:szCs w:val="20"/>
                <w:lang w:val="en-IE"/>
              </w:rPr>
              <w:t>Added more elaborated d</w:t>
            </w:r>
            <w:r w:rsidR="3C576456" w:rsidRPr="00013BDC">
              <w:rPr>
                <w:noProof/>
                <w:sz w:val="20"/>
                <w:szCs w:val="20"/>
                <w:lang w:val="en-IE"/>
              </w:rPr>
              <w:t xml:space="preserve">escription of </w:t>
            </w:r>
            <w:r w:rsidR="00CE477F" w:rsidRPr="00013BDC">
              <w:rPr>
                <w:noProof/>
                <w:sz w:val="20"/>
                <w:szCs w:val="20"/>
                <w:lang w:val="en-IE"/>
              </w:rPr>
              <w:t xml:space="preserve">and rationale underlying the design of </w:t>
            </w:r>
            <w:r w:rsidR="3C576456" w:rsidRPr="00013BDC">
              <w:rPr>
                <w:noProof/>
                <w:sz w:val="20"/>
                <w:szCs w:val="20"/>
                <w:lang w:val="en-IE"/>
              </w:rPr>
              <w:t>measures in Annex 10</w:t>
            </w:r>
            <w:r w:rsidRPr="00013BDC">
              <w:rPr>
                <w:noProof/>
                <w:sz w:val="20"/>
                <w:szCs w:val="20"/>
                <w:lang w:val="en-IE"/>
              </w:rPr>
              <w:t>,</w:t>
            </w:r>
            <w:r w:rsidR="3C576456" w:rsidRPr="00013BDC">
              <w:rPr>
                <w:noProof/>
                <w:sz w:val="20"/>
                <w:szCs w:val="20"/>
                <w:lang w:val="en-IE"/>
              </w:rPr>
              <w:t xml:space="preserve"> contain</w:t>
            </w:r>
            <w:r w:rsidRPr="00013BDC">
              <w:rPr>
                <w:noProof/>
                <w:sz w:val="20"/>
                <w:szCs w:val="20"/>
                <w:lang w:val="en-IE"/>
              </w:rPr>
              <w:t>ing</w:t>
            </w:r>
            <w:r w:rsidR="3C576456" w:rsidRPr="00013BDC">
              <w:rPr>
                <w:noProof/>
                <w:sz w:val="20"/>
                <w:szCs w:val="20"/>
                <w:lang w:val="en-IE"/>
              </w:rPr>
              <w:t xml:space="preserve"> references to the </w:t>
            </w:r>
            <w:r w:rsidR="51ADABEE" w:rsidRPr="00013BDC">
              <w:rPr>
                <w:noProof/>
                <w:sz w:val="20"/>
                <w:szCs w:val="20"/>
                <w:lang w:val="en-IE"/>
              </w:rPr>
              <w:t>specific problem drivers</w:t>
            </w:r>
            <w:r w:rsidR="52543423" w:rsidRPr="00013BDC">
              <w:rPr>
                <w:noProof/>
                <w:sz w:val="20"/>
                <w:szCs w:val="20"/>
                <w:lang w:val="en-IE"/>
              </w:rPr>
              <w:t xml:space="preserve"> each of them aims to address</w:t>
            </w:r>
            <w:r w:rsidR="7847796E" w:rsidRPr="00013BDC">
              <w:rPr>
                <w:noProof/>
                <w:sz w:val="20"/>
                <w:szCs w:val="20"/>
                <w:lang w:val="en-IE"/>
              </w:rPr>
              <w:t>.</w:t>
            </w:r>
          </w:p>
          <w:p w14:paraId="455F714C" w14:textId="77777777" w:rsidR="00BE315F" w:rsidRPr="00013BDC" w:rsidRDefault="00BE315F" w:rsidP="00332A4F">
            <w:pPr>
              <w:spacing w:after="0"/>
              <w:ind w:left="57"/>
              <w:jc w:val="left"/>
              <w:rPr>
                <w:b/>
                <w:noProof/>
                <w:sz w:val="20"/>
                <w:szCs w:val="20"/>
                <w:lang w:val="en-IE"/>
              </w:rPr>
            </w:pPr>
            <w:r w:rsidRPr="00013BDC">
              <w:rPr>
                <w:b/>
                <w:noProof/>
                <w:sz w:val="20"/>
                <w:szCs w:val="20"/>
                <w:lang w:val="en-IE"/>
              </w:rPr>
              <w:t>Food waste</w:t>
            </w:r>
          </w:p>
          <w:p w14:paraId="798A4EB7" w14:textId="77777777" w:rsidR="00BE315F" w:rsidRPr="00013BDC" w:rsidRDefault="00F62917" w:rsidP="00BE315F">
            <w:pPr>
              <w:pStyle w:val="ListParagraph"/>
              <w:numPr>
                <w:ilvl w:val="0"/>
                <w:numId w:val="154"/>
              </w:numPr>
              <w:spacing w:after="0"/>
              <w:ind w:left="227" w:hanging="170"/>
              <w:jc w:val="left"/>
              <w:rPr>
                <w:noProof/>
                <w:sz w:val="20"/>
                <w:szCs w:val="20"/>
                <w:lang w:val="en-IE"/>
              </w:rPr>
            </w:pPr>
            <w:r w:rsidRPr="00013BDC">
              <w:rPr>
                <w:noProof/>
                <w:sz w:val="20"/>
                <w:szCs w:val="20"/>
                <w:lang w:val="en-IE"/>
              </w:rPr>
              <w:t xml:space="preserve">Specific problem tree linking drivers, problems and consequences </w:t>
            </w:r>
            <w:r w:rsidR="001A769A" w:rsidRPr="00013BDC">
              <w:rPr>
                <w:noProof/>
                <w:sz w:val="20"/>
                <w:szCs w:val="20"/>
                <w:lang w:val="en-IE"/>
              </w:rPr>
              <w:t>added as well as a s</w:t>
            </w:r>
            <w:r w:rsidR="00064280" w:rsidRPr="00013BDC">
              <w:rPr>
                <w:noProof/>
                <w:sz w:val="20"/>
                <w:szCs w:val="20"/>
                <w:lang w:val="en-IE"/>
              </w:rPr>
              <w:t>pecific intervention logic</w:t>
            </w:r>
            <w:r w:rsidR="009835D8" w:rsidRPr="00013BDC">
              <w:rPr>
                <w:noProof/>
                <w:sz w:val="20"/>
                <w:szCs w:val="20"/>
                <w:lang w:val="en-IE"/>
              </w:rPr>
              <w:t xml:space="preserve"> (see </w:t>
            </w:r>
            <w:r w:rsidR="00513A4A" w:rsidRPr="00013BDC">
              <w:rPr>
                <w:noProof/>
                <w:sz w:val="20"/>
                <w:szCs w:val="20"/>
                <w:lang w:val="en-IE"/>
              </w:rPr>
              <w:t>SWD, section 3.4.2</w:t>
            </w:r>
            <w:r w:rsidR="0004615D" w:rsidRPr="00013BDC">
              <w:rPr>
                <w:noProof/>
                <w:sz w:val="20"/>
                <w:szCs w:val="20"/>
                <w:lang w:val="en-IE"/>
              </w:rPr>
              <w:t xml:space="preserve">, Figure </w:t>
            </w:r>
            <w:r w:rsidR="00251399" w:rsidRPr="00013BDC">
              <w:rPr>
                <w:noProof/>
                <w:sz w:val="20"/>
                <w:szCs w:val="20"/>
                <w:lang w:val="en-IE"/>
              </w:rPr>
              <w:t>7</w:t>
            </w:r>
            <w:r w:rsidR="009835D8" w:rsidRPr="00013BDC">
              <w:rPr>
                <w:noProof/>
                <w:sz w:val="20"/>
                <w:szCs w:val="20"/>
                <w:lang w:val="en-IE"/>
              </w:rPr>
              <w:t xml:space="preserve">) </w:t>
            </w:r>
            <w:r w:rsidR="00221BCF" w:rsidRPr="00013BDC">
              <w:rPr>
                <w:noProof/>
                <w:sz w:val="20"/>
                <w:szCs w:val="20"/>
                <w:lang w:val="en-IE"/>
              </w:rPr>
              <w:t xml:space="preserve">linking drivers, problems, </w:t>
            </w:r>
            <w:r w:rsidR="00517D65" w:rsidRPr="00013BDC">
              <w:rPr>
                <w:noProof/>
                <w:sz w:val="20"/>
                <w:szCs w:val="20"/>
                <w:lang w:val="en-IE"/>
              </w:rPr>
              <w:t>options and measures</w:t>
            </w:r>
            <w:r w:rsidR="005D53C3" w:rsidRPr="00013BDC">
              <w:rPr>
                <w:noProof/>
                <w:sz w:val="20"/>
                <w:szCs w:val="20"/>
                <w:lang w:val="en-IE"/>
              </w:rPr>
              <w:t xml:space="preserve">, with clearer </w:t>
            </w:r>
            <w:r w:rsidR="000548D6" w:rsidRPr="00013BDC">
              <w:rPr>
                <w:noProof/>
                <w:sz w:val="20"/>
                <w:szCs w:val="20"/>
                <w:lang w:val="en-IE"/>
              </w:rPr>
              <w:t>link between proposed measures and underlying drivers of food waste generation</w:t>
            </w:r>
            <w:r w:rsidR="00517D65" w:rsidRPr="00013BDC">
              <w:rPr>
                <w:noProof/>
                <w:sz w:val="20"/>
                <w:szCs w:val="20"/>
                <w:lang w:val="en-IE"/>
              </w:rPr>
              <w:t>.</w:t>
            </w:r>
          </w:p>
          <w:p w14:paraId="49FAC814" w14:textId="77777777" w:rsidR="00FC07C1" w:rsidRPr="00013BDC" w:rsidRDefault="00CD0DF0" w:rsidP="00BE315F">
            <w:pPr>
              <w:pStyle w:val="ListParagraph"/>
              <w:numPr>
                <w:ilvl w:val="0"/>
                <w:numId w:val="154"/>
              </w:numPr>
              <w:spacing w:after="0"/>
              <w:ind w:left="227" w:hanging="170"/>
              <w:jc w:val="left"/>
              <w:rPr>
                <w:noProof/>
                <w:sz w:val="20"/>
                <w:szCs w:val="20"/>
                <w:lang w:val="en-IE"/>
              </w:rPr>
            </w:pPr>
            <w:r w:rsidRPr="00013BDC">
              <w:rPr>
                <w:noProof/>
                <w:sz w:val="20"/>
                <w:szCs w:val="20"/>
                <w:lang w:val="en-IE"/>
              </w:rPr>
              <w:t xml:space="preserve">EU intervention focusses on </w:t>
            </w:r>
            <w:r w:rsidR="00ED6C2F" w:rsidRPr="00013BDC">
              <w:rPr>
                <w:noProof/>
                <w:sz w:val="20"/>
                <w:szCs w:val="20"/>
                <w:lang w:val="en-IE"/>
              </w:rPr>
              <w:t xml:space="preserve">excessive food waste generation </w:t>
            </w:r>
            <w:r w:rsidR="00F4396C" w:rsidRPr="00013BDC">
              <w:rPr>
                <w:noProof/>
                <w:sz w:val="20"/>
                <w:szCs w:val="20"/>
                <w:lang w:val="en-IE"/>
              </w:rPr>
              <w:t>and th</w:t>
            </w:r>
            <w:r w:rsidR="00457546" w:rsidRPr="00013BDC">
              <w:rPr>
                <w:noProof/>
                <w:sz w:val="20"/>
                <w:szCs w:val="20"/>
                <w:lang w:val="en-IE"/>
              </w:rPr>
              <w:t>at the potential for reduction is not sufficiently addressed.</w:t>
            </w:r>
            <w:r w:rsidR="00EB4590" w:rsidRPr="00013BDC">
              <w:rPr>
                <w:noProof/>
                <w:sz w:val="20"/>
                <w:szCs w:val="20"/>
                <w:lang w:val="en-IE"/>
              </w:rPr>
              <w:t xml:space="preserve"> </w:t>
            </w:r>
            <w:r w:rsidR="006448CA" w:rsidRPr="00013BDC">
              <w:rPr>
                <w:noProof/>
                <w:sz w:val="20"/>
                <w:szCs w:val="20"/>
                <w:lang w:val="en-IE"/>
              </w:rPr>
              <w:t xml:space="preserve">Section on problem drivers </w:t>
            </w:r>
            <w:r w:rsidR="007A3CA7" w:rsidRPr="00013BDC">
              <w:rPr>
                <w:noProof/>
                <w:sz w:val="20"/>
                <w:szCs w:val="20"/>
                <w:lang w:val="en-IE"/>
              </w:rPr>
              <w:t>(3.2.2) redrafted</w:t>
            </w:r>
            <w:r w:rsidR="00684A98" w:rsidRPr="00013BDC">
              <w:rPr>
                <w:noProof/>
                <w:sz w:val="20"/>
                <w:szCs w:val="20"/>
                <w:lang w:val="en-IE"/>
              </w:rPr>
              <w:t xml:space="preserve">/expanded showing also actions </w:t>
            </w:r>
            <w:r w:rsidR="0068088E" w:rsidRPr="00013BDC">
              <w:rPr>
                <w:noProof/>
                <w:sz w:val="20"/>
                <w:szCs w:val="20"/>
                <w:lang w:val="en-IE"/>
              </w:rPr>
              <w:t>needed in M</w:t>
            </w:r>
            <w:r w:rsidR="00773C3A" w:rsidRPr="00013BDC">
              <w:rPr>
                <w:noProof/>
                <w:sz w:val="20"/>
                <w:szCs w:val="20"/>
                <w:lang w:val="en-IE"/>
              </w:rPr>
              <w:t xml:space="preserve">ember </w:t>
            </w:r>
            <w:r w:rsidR="0068088E" w:rsidRPr="00013BDC">
              <w:rPr>
                <w:noProof/>
                <w:sz w:val="20"/>
                <w:szCs w:val="20"/>
                <w:lang w:val="en-IE"/>
              </w:rPr>
              <w:t>S</w:t>
            </w:r>
            <w:r w:rsidR="00773C3A" w:rsidRPr="00013BDC">
              <w:rPr>
                <w:noProof/>
                <w:sz w:val="20"/>
                <w:szCs w:val="20"/>
                <w:lang w:val="en-IE"/>
              </w:rPr>
              <w:t>tates</w:t>
            </w:r>
            <w:r w:rsidR="0068088E" w:rsidRPr="00013BDC">
              <w:rPr>
                <w:noProof/>
                <w:sz w:val="20"/>
                <w:szCs w:val="20"/>
                <w:lang w:val="en-IE"/>
              </w:rPr>
              <w:t xml:space="preserve"> (front runner case studies)</w:t>
            </w:r>
            <w:r w:rsidR="0097008D" w:rsidRPr="00013BDC">
              <w:rPr>
                <w:noProof/>
                <w:sz w:val="20"/>
                <w:szCs w:val="20"/>
                <w:lang w:val="en-IE"/>
              </w:rPr>
              <w:t>.</w:t>
            </w:r>
          </w:p>
          <w:p w14:paraId="34DA7C03" w14:textId="77777777" w:rsidR="0068088E" w:rsidRPr="00013BDC" w:rsidRDefault="00193402" w:rsidP="00BE315F">
            <w:pPr>
              <w:pStyle w:val="ListParagraph"/>
              <w:numPr>
                <w:ilvl w:val="0"/>
                <w:numId w:val="154"/>
              </w:numPr>
              <w:spacing w:after="0"/>
              <w:ind w:left="227" w:hanging="170"/>
              <w:jc w:val="left"/>
              <w:rPr>
                <w:noProof/>
                <w:sz w:val="20"/>
                <w:szCs w:val="20"/>
                <w:lang w:val="en-IE"/>
              </w:rPr>
            </w:pPr>
            <w:r w:rsidRPr="00013BDC">
              <w:rPr>
                <w:noProof/>
                <w:sz w:val="20"/>
                <w:szCs w:val="20"/>
                <w:lang w:val="en-IE"/>
              </w:rPr>
              <w:t>Improved description of EU actions taken to date and</w:t>
            </w:r>
            <w:r w:rsidR="00B80416" w:rsidRPr="00013BDC">
              <w:rPr>
                <w:noProof/>
                <w:sz w:val="20"/>
                <w:szCs w:val="20"/>
                <w:lang w:val="en-IE"/>
              </w:rPr>
              <w:t xml:space="preserve"> existing legal obligations</w:t>
            </w:r>
            <w:r w:rsidR="00E52DBA" w:rsidRPr="00013BDC">
              <w:rPr>
                <w:noProof/>
                <w:sz w:val="20"/>
                <w:szCs w:val="20"/>
                <w:lang w:val="en-IE"/>
              </w:rPr>
              <w:t xml:space="preserve"> (3.1.2) </w:t>
            </w:r>
            <w:r w:rsidR="004B09FE" w:rsidRPr="00013BDC">
              <w:rPr>
                <w:noProof/>
                <w:sz w:val="20"/>
                <w:szCs w:val="20"/>
                <w:lang w:val="en-IE"/>
              </w:rPr>
              <w:t>a</w:t>
            </w:r>
            <w:r w:rsidR="006B2EBF" w:rsidRPr="00013BDC">
              <w:rPr>
                <w:noProof/>
                <w:sz w:val="20"/>
                <w:szCs w:val="20"/>
                <w:lang w:val="en-IE"/>
              </w:rPr>
              <w:t>s well as</w:t>
            </w:r>
            <w:r w:rsidR="004B09FE" w:rsidRPr="00013BDC">
              <w:rPr>
                <w:noProof/>
                <w:sz w:val="20"/>
                <w:szCs w:val="20"/>
                <w:lang w:val="en-IE"/>
              </w:rPr>
              <w:t xml:space="preserve"> substantiation of the </w:t>
            </w:r>
            <w:r w:rsidR="009C7389" w:rsidRPr="00013BDC">
              <w:rPr>
                <w:noProof/>
                <w:sz w:val="20"/>
                <w:szCs w:val="20"/>
                <w:lang w:val="en-IE"/>
              </w:rPr>
              <w:t xml:space="preserve">need for </w:t>
            </w:r>
            <w:r w:rsidR="00297265" w:rsidRPr="00013BDC">
              <w:rPr>
                <w:noProof/>
                <w:sz w:val="20"/>
                <w:szCs w:val="20"/>
                <w:lang w:val="en-IE"/>
              </w:rPr>
              <w:t xml:space="preserve">binding </w:t>
            </w:r>
            <w:r w:rsidR="001E25C4" w:rsidRPr="00013BDC">
              <w:rPr>
                <w:noProof/>
                <w:sz w:val="20"/>
                <w:szCs w:val="20"/>
                <w:lang w:val="en-IE"/>
              </w:rPr>
              <w:t>t</w:t>
            </w:r>
            <w:r w:rsidR="000F0108" w:rsidRPr="00013BDC">
              <w:rPr>
                <w:noProof/>
                <w:sz w:val="20"/>
                <w:szCs w:val="20"/>
                <w:lang w:val="en-IE"/>
              </w:rPr>
              <w:t>argets</w:t>
            </w:r>
            <w:r w:rsidR="0013427C" w:rsidRPr="00013BDC">
              <w:rPr>
                <w:noProof/>
                <w:sz w:val="20"/>
                <w:szCs w:val="20"/>
                <w:lang w:val="en-IE"/>
              </w:rPr>
              <w:t xml:space="preserve"> to drive </w:t>
            </w:r>
            <w:r w:rsidR="000F0108" w:rsidRPr="00013BDC">
              <w:rPr>
                <w:noProof/>
                <w:sz w:val="20"/>
                <w:szCs w:val="20"/>
                <w:lang w:val="en-IE"/>
              </w:rPr>
              <w:t xml:space="preserve">action </w:t>
            </w:r>
            <w:r w:rsidR="000B5546" w:rsidRPr="00013BDC">
              <w:rPr>
                <w:noProof/>
                <w:sz w:val="20"/>
                <w:szCs w:val="20"/>
                <w:lang w:val="en-IE"/>
              </w:rPr>
              <w:t>including new section</w:t>
            </w:r>
            <w:r w:rsidR="00EF350F" w:rsidRPr="00013BDC">
              <w:rPr>
                <w:noProof/>
                <w:sz w:val="20"/>
                <w:szCs w:val="20"/>
                <w:lang w:val="en-IE"/>
              </w:rPr>
              <w:t xml:space="preserve"> (3.5.2) describing other policy options considered.</w:t>
            </w:r>
          </w:p>
          <w:p w14:paraId="3CD44346" w14:textId="77777777" w:rsidR="00875F05" w:rsidRPr="00013BDC" w:rsidRDefault="00281A87" w:rsidP="00BE315F">
            <w:pPr>
              <w:pStyle w:val="ListParagraph"/>
              <w:numPr>
                <w:ilvl w:val="0"/>
                <w:numId w:val="154"/>
              </w:numPr>
              <w:spacing w:after="0"/>
              <w:ind w:left="227" w:hanging="170"/>
              <w:jc w:val="left"/>
              <w:rPr>
                <w:noProof/>
                <w:sz w:val="20"/>
                <w:szCs w:val="20"/>
                <w:lang w:val="en-IE"/>
              </w:rPr>
            </w:pPr>
            <w:r w:rsidRPr="00013BDC">
              <w:rPr>
                <w:noProof/>
                <w:sz w:val="20"/>
                <w:szCs w:val="20"/>
                <w:lang w:val="en-IE"/>
              </w:rPr>
              <w:t xml:space="preserve">Expanded </w:t>
            </w:r>
            <w:r w:rsidR="00553F5A" w:rsidRPr="00013BDC">
              <w:rPr>
                <w:noProof/>
                <w:sz w:val="20"/>
                <w:szCs w:val="20"/>
                <w:lang w:val="en-IE"/>
              </w:rPr>
              <w:t>section 3.5.4 to better explain how policy options were developed</w:t>
            </w:r>
            <w:r w:rsidR="00123EBE" w:rsidRPr="00013BDC">
              <w:rPr>
                <w:noProof/>
                <w:sz w:val="20"/>
                <w:szCs w:val="20"/>
                <w:lang w:val="en-IE"/>
              </w:rPr>
              <w:t xml:space="preserve"> and analysed</w:t>
            </w:r>
            <w:r w:rsidR="00187D3F" w:rsidRPr="00013BDC">
              <w:rPr>
                <w:noProof/>
                <w:sz w:val="20"/>
                <w:szCs w:val="20"/>
                <w:lang w:val="en-IE"/>
              </w:rPr>
              <w:t xml:space="preserve">, including how expressing targets as a percentage reduction and </w:t>
            </w:r>
            <w:r w:rsidR="000D6745" w:rsidRPr="00013BDC">
              <w:rPr>
                <w:noProof/>
                <w:sz w:val="20"/>
                <w:szCs w:val="20"/>
                <w:lang w:val="en-IE"/>
              </w:rPr>
              <w:t>consideration of possible earlier baselines</w:t>
            </w:r>
            <w:r w:rsidR="00CF3363" w:rsidRPr="00013BDC">
              <w:rPr>
                <w:noProof/>
                <w:sz w:val="20"/>
                <w:szCs w:val="20"/>
                <w:lang w:val="en-IE"/>
              </w:rPr>
              <w:t xml:space="preserve"> take</w:t>
            </w:r>
            <w:r w:rsidR="00787566" w:rsidRPr="00013BDC">
              <w:rPr>
                <w:noProof/>
                <w:sz w:val="20"/>
                <w:szCs w:val="20"/>
                <w:lang w:val="en-IE"/>
              </w:rPr>
              <w:t>s</w:t>
            </w:r>
            <w:r w:rsidR="00CF3363" w:rsidRPr="00013BDC">
              <w:rPr>
                <w:noProof/>
                <w:sz w:val="20"/>
                <w:szCs w:val="20"/>
                <w:lang w:val="en-IE"/>
              </w:rPr>
              <w:t xml:space="preserve"> into account differen</w:t>
            </w:r>
            <w:r w:rsidR="00F333F5" w:rsidRPr="00013BDC">
              <w:rPr>
                <w:noProof/>
                <w:sz w:val="20"/>
                <w:szCs w:val="20"/>
                <w:lang w:val="en-IE"/>
              </w:rPr>
              <w:t>t situations in M</w:t>
            </w:r>
            <w:r w:rsidR="00773C3A" w:rsidRPr="00013BDC">
              <w:rPr>
                <w:noProof/>
                <w:sz w:val="20"/>
                <w:szCs w:val="20"/>
                <w:lang w:val="en-IE"/>
              </w:rPr>
              <w:t xml:space="preserve">ember </w:t>
            </w:r>
            <w:r w:rsidR="00F333F5" w:rsidRPr="00013BDC">
              <w:rPr>
                <w:noProof/>
                <w:sz w:val="20"/>
                <w:szCs w:val="20"/>
                <w:lang w:val="en-IE"/>
              </w:rPr>
              <w:t>S</w:t>
            </w:r>
            <w:r w:rsidR="00773C3A" w:rsidRPr="00013BDC">
              <w:rPr>
                <w:noProof/>
                <w:sz w:val="20"/>
                <w:szCs w:val="20"/>
                <w:lang w:val="en-IE"/>
              </w:rPr>
              <w:t>tates</w:t>
            </w:r>
            <w:r w:rsidR="00F333F5" w:rsidRPr="00013BDC">
              <w:rPr>
                <w:noProof/>
                <w:sz w:val="20"/>
                <w:szCs w:val="20"/>
                <w:lang w:val="en-IE"/>
              </w:rPr>
              <w:t xml:space="preserve">. </w:t>
            </w:r>
          </w:p>
        </w:tc>
      </w:tr>
      <w:tr w:rsidR="00401635" w:rsidRPr="00013BDC" w14:paraId="68FA3BA4" w14:textId="77777777" w:rsidTr="00401635">
        <w:tc>
          <w:tcPr>
            <w:tcW w:w="0" w:type="auto"/>
            <w:tcBorders>
              <w:left w:val="single" w:sz="8" w:space="0" w:color="auto"/>
              <w:right w:val="single" w:sz="8" w:space="0" w:color="auto"/>
            </w:tcBorders>
          </w:tcPr>
          <w:p w14:paraId="780C6C2E" w14:textId="77777777" w:rsidR="00401635" w:rsidRPr="00013BDC" w:rsidRDefault="00401635" w:rsidP="00401635">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A3C10B" w14:textId="63EF8D4B" w:rsidR="00401635" w:rsidRPr="00013BDC" w:rsidRDefault="00401635" w:rsidP="00401635">
            <w:pPr>
              <w:rPr>
                <w:noProof/>
                <w:sz w:val="20"/>
                <w:szCs w:val="20"/>
                <w:lang w:val="en-IE"/>
              </w:rPr>
            </w:pPr>
            <w:r w:rsidRPr="00013BDC">
              <w:rPr>
                <w:noProof/>
                <w:sz w:val="20"/>
                <w:szCs w:val="20"/>
                <w:lang w:val="en-IE"/>
              </w:rPr>
              <w:t>(2) The report should provide a clear and evidence-based assessment of the EU dimension of intervention in the two sectors. It should better explain the cross-border nature of the textile re-use and waste management value chain following waste collection as well as the transboundary impacts of waste generation and treatment on the environment. It should provide clear evidence on the material/waste trade within the EU. It should explain the EU dimension of food waste and its prevention, and demonstrate how the imposition of equal level, binding, targets for food waste would respect the principle of subsidiarity given the widely differing situation in each Member State. In doing so, the report should be explicit as to why alternative measures, including setting mandatory or voluntary targets by Member States, would not be sufficient, taking into account the best practices of Member States. It should better substantiate the lack of effective and coordinated action by Member States reflecting more specifically the measures already in place, and explain how setting a target would be effective in addressing the identified deficiencies. It should better explain why mandatory EU level target[s] are considered as the only way to make food prevention a long-term political priority given that the cited case studies point to behavioural nudging as key. It should explain why it did not assess other potential concrete measures aiming at improving Member States’ performance and coordination.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2116D3" w14:textId="2F0CDB4C" w:rsidR="00401635" w:rsidRPr="00013BDC" w:rsidRDefault="00401635" w:rsidP="00401635">
            <w:pPr>
              <w:spacing w:after="0"/>
              <w:jc w:val="left"/>
              <w:rPr>
                <w:b/>
                <w:noProof/>
                <w:sz w:val="20"/>
                <w:szCs w:val="20"/>
                <w:lang w:val="en-IE"/>
              </w:rPr>
            </w:pPr>
            <w:r w:rsidRPr="00013BDC">
              <w:rPr>
                <w:b/>
                <w:noProof/>
                <w:sz w:val="20"/>
                <w:szCs w:val="20"/>
                <w:lang w:val="en-IE"/>
              </w:rPr>
              <w:t>Textile waste</w:t>
            </w:r>
          </w:p>
          <w:p w14:paraId="0B3196C5" w14:textId="0A20CFCF" w:rsidR="00401635" w:rsidRPr="00013BDC" w:rsidRDefault="00401635" w:rsidP="00401635">
            <w:pPr>
              <w:pStyle w:val="ListParagraph"/>
              <w:numPr>
                <w:ilvl w:val="0"/>
                <w:numId w:val="154"/>
              </w:numPr>
              <w:spacing w:after="0"/>
              <w:ind w:left="227" w:hanging="170"/>
              <w:jc w:val="left"/>
              <w:rPr>
                <w:i/>
                <w:noProof/>
                <w:sz w:val="20"/>
                <w:szCs w:val="20"/>
                <w:lang w:val="en-IE"/>
              </w:rPr>
            </w:pPr>
            <w:r w:rsidRPr="00013BDC">
              <w:rPr>
                <w:noProof/>
                <w:sz w:val="20"/>
                <w:szCs w:val="20"/>
                <w:lang w:val="en-IE"/>
              </w:rPr>
              <w:t>Additional data added corroborating the cross-border dimension of textile market and textile flows in Section 2.1. and Annex 6, including the following:</w:t>
            </w:r>
          </w:p>
          <w:p w14:paraId="0DF52DC2" w14:textId="05EB2493" w:rsidR="00401635" w:rsidRPr="00013BDC" w:rsidRDefault="00401635" w:rsidP="00401635">
            <w:pPr>
              <w:pStyle w:val="ListParagraph"/>
              <w:numPr>
                <w:ilvl w:val="1"/>
                <w:numId w:val="154"/>
              </w:numPr>
              <w:spacing w:after="0"/>
              <w:ind w:left="594"/>
              <w:jc w:val="left"/>
              <w:rPr>
                <w:i/>
                <w:noProof/>
                <w:sz w:val="20"/>
                <w:szCs w:val="20"/>
                <w:lang w:val="en-IE"/>
              </w:rPr>
            </w:pPr>
            <w:r w:rsidRPr="00013BDC">
              <w:rPr>
                <w:noProof/>
                <w:sz w:val="20"/>
                <w:szCs w:val="20"/>
                <w:lang w:val="en-IE"/>
              </w:rPr>
              <w:t>turnover of EU textile and clothing sector and number of employees in 2019</w:t>
            </w:r>
          </w:p>
          <w:p w14:paraId="11E91B5C" w14:textId="77777777" w:rsidR="00401635" w:rsidRPr="00013BDC" w:rsidRDefault="00401635" w:rsidP="00401635">
            <w:pPr>
              <w:pStyle w:val="ListParagraph"/>
              <w:numPr>
                <w:ilvl w:val="1"/>
                <w:numId w:val="154"/>
              </w:numPr>
              <w:spacing w:after="0"/>
              <w:ind w:left="594"/>
              <w:jc w:val="left"/>
              <w:rPr>
                <w:i/>
                <w:noProof/>
                <w:sz w:val="20"/>
                <w:szCs w:val="20"/>
                <w:lang w:val="en-IE"/>
              </w:rPr>
            </w:pPr>
            <w:r w:rsidRPr="00013BDC">
              <w:rPr>
                <w:noProof/>
                <w:sz w:val="20"/>
                <w:szCs w:val="20"/>
                <w:lang w:val="en-IE"/>
              </w:rPr>
              <w:t>main textile producers MS and manufacturing hubs</w:t>
            </w:r>
          </w:p>
          <w:p w14:paraId="36CB4E85" w14:textId="29A06942" w:rsidR="00401635" w:rsidRPr="00013BDC" w:rsidRDefault="00401635" w:rsidP="00401635">
            <w:pPr>
              <w:pStyle w:val="ListParagraph"/>
              <w:numPr>
                <w:ilvl w:val="1"/>
                <w:numId w:val="154"/>
              </w:numPr>
              <w:spacing w:after="0"/>
              <w:ind w:left="594"/>
              <w:jc w:val="left"/>
              <w:rPr>
                <w:i/>
                <w:noProof/>
                <w:sz w:val="20"/>
                <w:szCs w:val="20"/>
                <w:lang w:val="en-IE"/>
              </w:rPr>
            </w:pPr>
            <w:r w:rsidRPr="00013BDC">
              <w:rPr>
                <w:noProof/>
                <w:sz w:val="20"/>
                <w:szCs w:val="20"/>
                <w:lang w:val="en-IE"/>
              </w:rPr>
              <w:t>transboundary effects of EU textile consumption</w:t>
            </w:r>
            <w:r w:rsidRPr="00013BDC">
              <w:rPr>
                <w:i/>
                <w:noProof/>
                <w:sz w:val="20"/>
                <w:szCs w:val="20"/>
                <w:lang w:val="en-IE"/>
              </w:rPr>
              <w:t xml:space="preserve">, </w:t>
            </w:r>
            <w:r w:rsidRPr="00013BDC">
              <w:rPr>
                <w:noProof/>
                <w:sz w:val="20"/>
                <w:szCs w:val="20"/>
                <w:lang w:val="en-IE"/>
              </w:rPr>
              <w:t>according to EEA (updated to 2020), including number of employees worldwide to produce textiles consumed in EU</w:t>
            </w:r>
          </w:p>
          <w:p w14:paraId="309023B4" w14:textId="77777777" w:rsidR="00401635" w:rsidRPr="00013BDC" w:rsidRDefault="00401635" w:rsidP="00401635">
            <w:pPr>
              <w:pStyle w:val="ListParagraph"/>
              <w:numPr>
                <w:ilvl w:val="1"/>
                <w:numId w:val="154"/>
              </w:numPr>
              <w:spacing w:after="0"/>
              <w:ind w:left="594"/>
              <w:jc w:val="left"/>
              <w:rPr>
                <w:i/>
                <w:noProof/>
                <w:sz w:val="20"/>
                <w:szCs w:val="20"/>
                <w:lang w:val="en-IE"/>
              </w:rPr>
            </w:pPr>
            <w:r w:rsidRPr="00013BDC">
              <w:rPr>
                <w:noProof/>
                <w:sz w:val="20"/>
                <w:szCs w:val="20"/>
                <w:lang w:val="en-IE"/>
              </w:rPr>
              <w:t xml:space="preserve">imports 2019 (according to EEA) and exports 2021 (Euratex) of textile </w:t>
            </w:r>
          </w:p>
          <w:p w14:paraId="05725E31" w14:textId="77777777" w:rsidR="00401635" w:rsidRPr="00013BDC" w:rsidRDefault="00401635" w:rsidP="00401635">
            <w:pPr>
              <w:pStyle w:val="ListParagraph"/>
              <w:numPr>
                <w:ilvl w:val="1"/>
                <w:numId w:val="154"/>
              </w:numPr>
              <w:spacing w:after="0"/>
              <w:ind w:left="594"/>
              <w:jc w:val="left"/>
              <w:rPr>
                <w:i/>
                <w:noProof/>
                <w:sz w:val="20"/>
                <w:szCs w:val="20"/>
                <w:lang w:val="en-IE"/>
              </w:rPr>
            </w:pPr>
            <w:r w:rsidRPr="00013BDC">
              <w:rPr>
                <w:noProof/>
                <w:sz w:val="20"/>
                <w:szCs w:val="20"/>
                <w:lang w:val="en-IE"/>
              </w:rPr>
              <w:t>intra-EU movements of textile goods in 2019 and 2021</w:t>
            </w:r>
          </w:p>
          <w:p w14:paraId="0F944164" w14:textId="77777777" w:rsidR="00401635" w:rsidRPr="00013BDC" w:rsidRDefault="00401635" w:rsidP="00401635">
            <w:pPr>
              <w:pStyle w:val="ListParagraph"/>
              <w:numPr>
                <w:ilvl w:val="1"/>
                <w:numId w:val="154"/>
              </w:numPr>
              <w:spacing w:after="0"/>
              <w:ind w:left="594"/>
              <w:jc w:val="left"/>
              <w:rPr>
                <w:i/>
                <w:noProof/>
                <w:sz w:val="20"/>
                <w:szCs w:val="20"/>
                <w:lang w:val="en-IE"/>
              </w:rPr>
            </w:pPr>
            <w:r w:rsidRPr="00013BDC">
              <w:rPr>
                <w:noProof/>
                <w:sz w:val="20"/>
                <w:szCs w:val="20"/>
                <w:lang w:val="en-IE"/>
              </w:rPr>
              <w:t xml:space="preserve">imports and exports of used textiles from third countries </w:t>
            </w:r>
          </w:p>
          <w:p w14:paraId="459D46A9" w14:textId="4F4C61A8"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Additional details provided highlighting cross-border environmental externalities in market drivers (distorted incentives) and key environmental drivers (Section 2.2.2) and information in pertinent sections of Annex 7.</w:t>
            </w:r>
          </w:p>
          <w:p w14:paraId="3DAC971D" w14:textId="189B0BFA"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 xml:space="preserve">Data added on textile exports and destination countries in Annex 7. </w:t>
            </w:r>
          </w:p>
          <w:p w14:paraId="7D98FAFE" w14:textId="16F167F6"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Additional evidence provided on diverging EPR schemes in Annex 7</w:t>
            </w:r>
            <w:r w:rsidRPr="00013BDC">
              <w:rPr>
                <w:rFonts w:eastAsia="Times New Roman"/>
                <w:i/>
                <w:noProof/>
                <w:sz w:val="20"/>
                <w:szCs w:val="20"/>
                <w:lang w:val="en-IE"/>
              </w:rPr>
              <w:t>.</w:t>
            </w:r>
          </w:p>
          <w:p w14:paraId="70E1E89E" w14:textId="2FBEA13F"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Additional justification and explanation provided on transboundary impacts in production and end-of-life in Annex 7</w:t>
            </w:r>
            <w:r w:rsidRPr="00013BDC">
              <w:rPr>
                <w:rFonts w:eastAsia="Times New Roman"/>
                <w:i/>
                <w:noProof/>
                <w:sz w:val="20"/>
                <w:szCs w:val="20"/>
                <w:lang w:val="en-IE"/>
              </w:rPr>
              <w:t xml:space="preserve"> </w:t>
            </w:r>
            <w:r w:rsidRPr="00013BDC">
              <w:rPr>
                <w:rFonts w:eastAsia="Times New Roman"/>
                <w:noProof/>
                <w:sz w:val="20"/>
                <w:szCs w:val="20"/>
                <w:lang w:val="en-IE"/>
              </w:rPr>
              <w:t>(highlighting the social impact the number of employee worldwide).</w:t>
            </w:r>
          </w:p>
          <w:p w14:paraId="6D2C5D77" w14:textId="03B84AF8"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 xml:space="preserve">Further justifications on the cross-border nature in measures 1.1, 2.5, 2.6, 2.8 and 2.14 in Annex 10 </w:t>
            </w:r>
          </w:p>
          <w:p w14:paraId="5A0A8A33" w14:textId="1F4DA0AB" w:rsidR="00401635" w:rsidRPr="00013BDC" w:rsidRDefault="00401635" w:rsidP="00401635">
            <w:pPr>
              <w:spacing w:after="0"/>
              <w:ind w:left="57"/>
              <w:jc w:val="left"/>
              <w:rPr>
                <w:rFonts w:eastAsia="Times New Roman"/>
                <w:b/>
                <w:noProof/>
                <w:sz w:val="20"/>
                <w:szCs w:val="20"/>
                <w:lang w:val="en-IE"/>
              </w:rPr>
            </w:pPr>
            <w:r w:rsidRPr="00013BDC">
              <w:rPr>
                <w:rFonts w:eastAsia="Times New Roman"/>
                <w:b/>
                <w:noProof/>
                <w:sz w:val="20"/>
                <w:szCs w:val="20"/>
                <w:lang w:val="en-IE"/>
              </w:rPr>
              <w:t>Food waste</w:t>
            </w:r>
          </w:p>
          <w:p w14:paraId="6164BCFD" w14:textId="77777777"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Redrafted section 3.3. focussing on transboundary dimension of food waste and need for EU action in order to more effectively address externalities and consequences of food waste.</w:t>
            </w:r>
          </w:p>
          <w:p w14:paraId="70B3166A" w14:textId="155351BC"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 xml:space="preserve">Subsidiarity: revised explanation on how targets are expected to set the objectives but give full flexibility to </w:t>
            </w:r>
            <w:r w:rsidRPr="00013BDC">
              <w:rPr>
                <w:noProof/>
                <w:sz w:val="20"/>
                <w:szCs w:val="20"/>
                <w:lang w:val="en-IE"/>
              </w:rPr>
              <w:t>Member States</w:t>
            </w:r>
            <w:r w:rsidRPr="00013BDC">
              <w:rPr>
                <w:rFonts w:eastAsia="Times New Roman"/>
                <w:noProof/>
                <w:sz w:val="20"/>
                <w:szCs w:val="20"/>
                <w:lang w:val="en-IE"/>
              </w:rPr>
              <w:t xml:space="preserve"> to define actions needed (section 3.5.3). Explanation related to expression of targets as a percentage reduction and consideration of possible earlier baselines takes into account different situations in </w:t>
            </w:r>
            <w:r w:rsidRPr="00013BDC">
              <w:rPr>
                <w:noProof/>
                <w:sz w:val="20"/>
                <w:szCs w:val="20"/>
                <w:lang w:val="en-IE"/>
              </w:rPr>
              <w:t>Member States</w:t>
            </w:r>
            <w:r w:rsidRPr="00013BDC">
              <w:rPr>
                <w:rFonts w:eastAsia="Times New Roman"/>
                <w:noProof/>
                <w:sz w:val="20"/>
                <w:szCs w:val="20"/>
                <w:lang w:val="en-IE"/>
              </w:rPr>
              <w:t xml:space="preserve"> (3.5.4).</w:t>
            </w:r>
          </w:p>
          <w:p w14:paraId="216FDEEA" w14:textId="3D3218A0"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 xml:space="preserve">Explained need for targets as catalyst for change: political commitments made by </w:t>
            </w:r>
            <w:r w:rsidRPr="00013BDC">
              <w:rPr>
                <w:noProof/>
                <w:sz w:val="20"/>
                <w:szCs w:val="20"/>
                <w:lang w:val="en-IE"/>
              </w:rPr>
              <w:t>Member States</w:t>
            </w:r>
            <w:r w:rsidRPr="00013BDC">
              <w:rPr>
                <w:rFonts w:eastAsia="Times New Roman"/>
                <w:noProof/>
                <w:sz w:val="20"/>
                <w:szCs w:val="20"/>
                <w:lang w:val="en-IE"/>
              </w:rPr>
              <w:t>, existing legal obligations and EU supporting measures have not been sufficient to drive progress (sections 3.2.3, 3.3, 3.5.2).</w:t>
            </w:r>
          </w:p>
          <w:p w14:paraId="5BC77AF7" w14:textId="6DB3D309" w:rsidR="00401635" w:rsidRPr="00013BDC" w:rsidRDefault="00401635" w:rsidP="00401635">
            <w:pPr>
              <w:pStyle w:val="ListParagraph"/>
              <w:numPr>
                <w:ilvl w:val="0"/>
                <w:numId w:val="154"/>
              </w:numPr>
              <w:spacing w:after="0"/>
              <w:ind w:left="227" w:hanging="170"/>
              <w:jc w:val="left"/>
              <w:rPr>
                <w:b/>
                <w:noProof/>
                <w:sz w:val="20"/>
                <w:szCs w:val="20"/>
                <w:lang w:val="en-IE"/>
              </w:rPr>
            </w:pPr>
            <w:r w:rsidRPr="00013BDC">
              <w:rPr>
                <w:noProof/>
                <w:sz w:val="20"/>
                <w:szCs w:val="20"/>
                <w:lang w:val="en-IE"/>
              </w:rPr>
              <w:t>More specific description of gaps in Member States’ implementation of food waste prevention including front runner case studies to illustrate type of action needed/possible (3.2.2 and Annex 7).</w:t>
            </w:r>
          </w:p>
          <w:p w14:paraId="0EC54C45" w14:textId="62F30EBC" w:rsidR="00401635" w:rsidRPr="00013BDC" w:rsidRDefault="00401635" w:rsidP="00401635">
            <w:pPr>
              <w:pStyle w:val="ListParagraph"/>
              <w:numPr>
                <w:ilvl w:val="0"/>
                <w:numId w:val="154"/>
              </w:numPr>
              <w:spacing w:after="0"/>
              <w:ind w:left="227" w:hanging="170"/>
              <w:jc w:val="left"/>
              <w:rPr>
                <w:b/>
                <w:noProof/>
                <w:sz w:val="20"/>
                <w:szCs w:val="20"/>
                <w:lang w:val="en-IE"/>
              </w:rPr>
            </w:pPr>
            <w:r w:rsidRPr="00013BDC">
              <w:rPr>
                <w:rFonts w:eastAsia="Times New Roman"/>
                <w:noProof/>
                <w:sz w:val="20"/>
                <w:szCs w:val="20"/>
                <w:lang w:val="en-IE"/>
              </w:rPr>
              <w:t xml:space="preserve">Expanded section 3.5.4 to better explain how policy options were developed and analysed, including consideration of other possible measures (3.5.2) and possible role of voluntary targets (3.5.4). </w:t>
            </w:r>
          </w:p>
          <w:p w14:paraId="25A5E977" w14:textId="6FC17EDA" w:rsidR="00401635" w:rsidRPr="00013BDC" w:rsidRDefault="00401635" w:rsidP="00401635">
            <w:pPr>
              <w:spacing w:after="0"/>
              <w:ind w:left="57"/>
              <w:jc w:val="left"/>
              <w:rPr>
                <w:rFonts w:eastAsia="Times New Roman"/>
                <w:noProof/>
                <w:sz w:val="20"/>
                <w:szCs w:val="20"/>
                <w:lang w:val="en-IE"/>
              </w:rPr>
            </w:pPr>
          </w:p>
        </w:tc>
      </w:tr>
      <w:tr w:rsidR="00401635" w:rsidRPr="00013BDC" w14:paraId="66DBCE2B" w14:textId="77777777" w:rsidTr="00401635">
        <w:tc>
          <w:tcPr>
            <w:tcW w:w="0" w:type="auto"/>
            <w:tcBorders>
              <w:left w:val="single" w:sz="8" w:space="0" w:color="auto"/>
              <w:right w:val="single" w:sz="8" w:space="0" w:color="auto"/>
            </w:tcBorders>
          </w:tcPr>
          <w:p w14:paraId="583C6FEC" w14:textId="77777777" w:rsidR="00401635" w:rsidRPr="00013BDC" w:rsidRDefault="00401635" w:rsidP="00401635">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EF25F" w14:textId="2BEA57F1" w:rsidR="00401635" w:rsidRPr="00013BDC" w:rsidRDefault="00401635" w:rsidP="00401635">
            <w:pPr>
              <w:rPr>
                <w:noProof/>
                <w:sz w:val="20"/>
                <w:szCs w:val="20"/>
                <w:lang w:val="en-IE"/>
              </w:rPr>
            </w:pPr>
            <w:r w:rsidRPr="00013BDC">
              <w:rPr>
                <w:noProof/>
                <w:sz w:val="20"/>
                <w:szCs w:val="20"/>
                <w:lang w:val="en-IE"/>
              </w:rPr>
              <w:t>(3) The baseline should be improved. It should further elaborate on the likely evolution of the problem given the implementation of existing and upcoming relevant legislation, in particular the upcoming separate collection obligation. The report should better explain why waste generation is expected to increase despite this legislation, efforts at Member State level and the EU commitment to Target 16 of the UN COP15 Global Biodiversity Framework. It should also further explain how the baseline takes into account the likely technological development and consumer trends and any post pandemic / energy crisis effects.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A9BAE7" w14:textId="4375D2B2" w:rsidR="00401635" w:rsidRPr="00013BDC" w:rsidRDefault="00401635" w:rsidP="00401635">
            <w:pPr>
              <w:spacing w:after="0"/>
              <w:jc w:val="left"/>
              <w:rPr>
                <w:rFonts w:eastAsia="Times New Roman"/>
                <w:b/>
                <w:noProof/>
                <w:sz w:val="20"/>
                <w:szCs w:val="20"/>
                <w:lang w:val="en-IE"/>
              </w:rPr>
            </w:pPr>
            <w:r w:rsidRPr="00013BDC">
              <w:rPr>
                <w:rFonts w:eastAsia="Times New Roman"/>
                <w:b/>
                <w:noProof/>
                <w:sz w:val="20"/>
                <w:szCs w:val="20"/>
                <w:lang w:val="en-IE"/>
              </w:rPr>
              <w:t>Textile waste</w:t>
            </w:r>
          </w:p>
          <w:p w14:paraId="383500A7" w14:textId="6439E791"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Inclusion of baseline estimates made based on JRC and McKinsey studies in Section 2.2.3 and Annex 7, including an elaborated discussion on the limitations of such estimates.</w:t>
            </w:r>
          </w:p>
          <w:p w14:paraId="6466CDD9" w14:textId="6A944341"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 xml:space="preserve">Detailing of the baseline impacts shown, including by taking into account the upcoming separate collection obligation, with ranging from estimated separate collection rate of 60-80% by 2035 (according to McKinsey) and under more realistic assumptions between 50-55% by 2035 and at a more conservative view and approach between 41-45% by 2035 (according to JRC). </w:t>
            </w:r>
          </w:p>
          <w:p w14:paraId="3108ED41" w14:textId="1DFB3658"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Such estimates are further benchmarked to the experience with glass due to similarities, which further corroborates that the JRC estimates seem plausible.</w:t>
            </w:r>
          </w:p>
          <w:p w14:paraId="3E82AD9B" w14:textId="77777777" w:rsidR="00401635" w:rsidRPr="00013BDC" w:rsidRDefault="00401635" w:rsidP="00401635">
            <w:pPr>
              <w:spacing w:after="0"/>
              <w:jc w:val="left"/>
              <w:rPr>
                <w:rFonts w:eastAsia="Times New Roman"/>
                <w:b/>
                <w:noProof/>
                <w:sz w:val="20"/>
                <w:szCs w:val="20"/>
                <w:lang w:val="en-IE"/>
              </w:rPr>
            </w:pPr>
            <w:r w:rsidRPr="00013BDC">
              <w:rPr>
                <w:rFonts w:eastAsia="Times New Roman"/>
                <w:b/>
                <w:noProof/>
                <w:sz w:val="20"/>
                <w:szCs w:val="20"/>
                <w:lang w:val="en-IE"/>
              </w:rPr>
              <w:t>Food waste</w:t>
            </w:r>
          </w:p>
          <w:p w14:paraId="364AE8BA" w14:textId="6880F42E"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Improved description of baseline and policies reflected, including separate collection obligation and how/which assumptions are made regarding factors such as economic growth, demography, or energy (section 3.5.1)</w:t>
            </w:r>
          </w:p>
          <w:p w14:paraId="72CF041B" w14:textId="2DD70208"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Described what aspects considered/non considered based on available data (section 3.5.1)</w:t>
            </w:r>
          </w:p>
          <w:p w14:paraId="56F3ED19" w14:textId="3D22A163"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Detailed description of baseline and situation in MS presented in Annex 10</w:t>
            </w:r>
          </w:p>
        </w:tc>
      </w:tr>
      <w:tr w:rsidR="00401635" w:rsidRPr="00013BDC" w14:paraId="79022285" w14:textId="77777777" w:rsidTr="00401635">
        <w:tc>
          <w:tcPr>
            <w:tcW w:w="0" w:type="auto"/>
            <w:tcBorders>
              <w:left w:val="single" w:sz="8" w:space="0" w:color="auto"/>
              <w:right w:val="single" w:sz="8" w:space="0" w:color="auto"/>
            </w:tcBorders>
          </w:tcPr>
          <w:p w14:paraId="7E2B1099" w14:textId="77777777" w:rsidR="00401635" w:rsidRPr="00013BDC" w:rsidRDefault="00401635" w:rsidP="00401635">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12BA7" w14:textId="4D061A48" w:rsidR="00401635" w:rsidRPr="00013BDC" w:rsidRDefault="00401635" w:rsidP="00401635">
            <w:pPr>
              <w:rPr>
                <w:noProof/>
                <w:sz w:val="20"/>
                <w:szCs w:val="20"/>
                <w:lang w:val="en-IE"/>
              </w:rPr>
            </w:pPr>
            <w:r w:rsidRPr="00013BDC">
              <w:rPr>
                <w:noProof/>
                <w:sz w:val="20"/>
                <w:szCs w:val="20"/>
                <w:lang w:val="en-IE"/>
              </w:rPr>
              <w:t>(4) Overall, the proposed targets should be precisely defined in terms of periodicity, numerator, denominator, and statistical base. The extent to which Member States have a sufficient governance structure and enforcement capacity in place for targets to work effectively should be addressed. If such governance and enforcement does not exist, the report should consider the consequences.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D9D31F" w14:textId="7AB70C25" w:rsidR="00401635" w:rsidRPr="00013BDC" w:rsidRDefault="00401635" w:rsidP="00401635">
            <w:pPr>
              <w:spacing w:after="0"/>
              <w:ind w:left="57"/>
              <w:jc w:val="left"/>
              <w:rPr>
                <w:b/>
                <w:noProof/>
                <w:sz w:val="20"/>
                <w:szCs w:val="20"/>
                <w:lang w:val="en-IE"/>
              </w:rPr>
            </w:pPr>
            <w:r w:rsidRPr="00013BDC">
              <w:rPr>
                <w:b/>
                <w:noProof/>
                <w:sz w:val="20"/>
                <w:szCs w:val="20"/>
                <w:lang w:val="en-IE"/>
              </w:rPr>
              <w:t>Textile waste</w:t>
            </w:r>
          </w:p>
          <w:p w14:paraId="0B746BF4" w14:textId="4D5B0EC1"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 xml:space="preserve">Further justification </w:t>
            </w:r>
            <w:r w:rsidR="008B757E" w:rsidRPr="00013BDC">
              <w:rPr>
                <w:noProof/>
                <w:sz w:val="20"/>
                <w:szCs w:val="20"/>
                <w:lang w:val="en-IE"/>
              </w:rPr>
              <w:t>provided</w:t>
            </w:r>
            <w:r w:rsidRPr="00013BDC">
              <w:rPr>
                <w:noProof/>
                <w:sz w:val="20"/>
                <w:szCs w:val="20"/>
                <w:lang w:val="en-IE"/>
              </w:rPr>
              <w:t xml:space="preserve"> on how measure 1.2. (indicators) addresses to problem drivers in Annex 10.</w:t>
            </w:r>
          </w:p>
          <w:p w14:paraId="0C5E31A8" w14:textId="5E2E4D65"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Definition of the target added in Annex 10 for measure 3.6: scope, numerator, denominator</w:t>
            </w:r>
          </w:p>
          <w:p w14:paraId="14A3AE7C" w14:textId="5984C9A9"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Explanations added in Annex 10 measure 3.6. how the feasibility of setting a target is assessed, how it is constructed, why this target is possible if all alternative policy measures are deemed not feasible</w:t>
            </w:r>
          </w:p>
          <w:p w14:paraId="60BC64AA" w14:textId="14D973EF"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Additional evidence on the impacts on competent authorities to enforce the compliance with the collection target added in Annex 3 and 10 (including on the impact on competent authorities, administrative burden assessment and a table for impact on competitiveness).</w:t>
            </w:r>
          </w:p>
          <w:p w14:paraId="3249AA65" w14:textId="77777777" w:rsidR="00401635" w:rsidRPr="00013BDC" w:rsidRDefault="00401635" w:rsidP="00401635">
            <w:pPr>
              <w:spacing w:after="0"/>
              <w:ind w:left="57"/>
              <w:jc w:val="left"/>
              <w:rPr>
                <w:b/>
                <w:noProof/>
                <w:sz w:val="20"/>
                <w:szCs w:val="20"/>
                <w:lang w:val="en-IE"/>
              </w:rPr>
            </w:pPr>
            <w:r w:rsidRPr="00013BDC">
              <w:rPr>
                <w:b/>
                <w:noProof/>
                <w:sz w:val="20"/>
                <w:szCs w:val="20"/>
                <w:lang w:val="en-IE"/>
              </w:rPr>
              <w:t>Food waste</w:t>
            </w:r>
          </w:p>
          <w:p w14:paraId="64E3835B" w14:textId="1F20A2D3"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More precise description of the formulation of targets, including how this varies for different stages of the food supply chain (section 3.5.4)</w:t>
            </w:r>
          </w:p>
          <w:p w14:paraId="66698437" w14:textId="4EEAC3C7"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Detailed description of gaps existing in Member States implementation, including governance required (section 3.2.2), existing EU/international best practice and guidance to support action (sections 3.1.2, 3.5.2) with front runner case studies (3.2.2), other best practice examples (Annex 7, Annex 10) and feasibility analysis (section 3.7).</w:t>
            </w:r>
          </w:p>
        </w:tc>
      </w:tr>
      <w:tr w:rsidR="00401635" w:rsidRPr="00013BDC" w14:paraId="058BA3CA" w14:textId="77777777" w:rsidTr="00401635">
        <w:tc>
          <w:tcPr>
            <w:tcW w:w="0" w:type="auto"/>
            <w:tcBorders>
              <w:left w:val="single" w:sz="8" w:space="0" w:color="auto"/>
              <w:right w:val="single" w:sz="8" w:space="0" w:color="auto"/>
            </w:tcBorders>
          </w:tcPr>
          <w:p w14:paraId="1E0B1E19" w14:textId="77777777" w:rsidR="00401635" w:rsidRPr="00013BDC" w:rsidRDefault="00401635" w:rsidP="00401635">
            <w:pPr>
              <w:spacing w:after="120"/>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B445B47" w14:textId="1DF012BA" w:rsidR="00401635" w:rsidRPr="00013BDC" w:rsidRDefault="00401635" w:rsidP="00401635">
            <w:pPr>
              <w:spacing w:after="120"/>
              <w:rPr>
                <w:noProof/>
                <w:sz w:val="20"/>
                <w:szCs w:val="20"/>
                <w:lang w:val="en-IE"/>
              </w:rPr>
            </w:pPr>
            <w:r w:rsidRPr="00013BDC">
              <w:rPr>
                <w:noProof/>
                <w:sz w:val="20"/>
                <w:szCs w:val="20"/>
                <w:lang w:val="en-IE"/>
              </w:rPr>
              <w:t>(5) In the area of food waste, the report should explain what the additional commitments added to the SDG Target 12.3 are and why no stand-alone SDG Target 12.3 option was considered, reflecting the existing EU and Member States commitments. Given technical feasibility issues for some of the options, the report should also explain why not staged options were considered. The report should explain how setting a binding EU level target would in itself ensure that Member States undertake efficient and effective measures and processes. It should also give a better idea of concrete measures that can be pursued to reduce waste and their effectiveness, for instance based on best practices identified. Alternatives such as voluntary or differentiated targets at Member State level should be considered.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DFF05E6" w14:textId="34800677" w:rsidR="00401635" w:rsidRPr="00013BDC" w:rsidRDefault="00401635" w:rsidP="00401635">
            <w:pPr>
              <w:spacing w:after="0"/>
              <w:ind w:left="57"/>
              <w:jc w:val="left"/>
              <w:rPr>
                <w:b/>
                <w:noProof/>
                <w:sz w:val="20"/>
                <w:szCs w:val="20"/>
                <w:lang w:val="en-IE"/>
              </w:rPr>
            </w:pPr>
            <w:r w:rsidRPr="00013BDC">
              <w:rPr>
                <w:b/>
                <w:noProof/>
                <w:sz w:val="20"/>
                <w:szCs w:val="20"/>
                <w:lang w:val="en-IE"/>
              </w:rPr>
              <w:t>Food waste</w:t>
            </w:r>
          </w:p>
          <w:p w14:paraId="44AB45AF" w14:textId="29CBE438"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Section 3.5.4 outlines how policy options for targets were developed, the rationale for the proposed levels and stages of the food supply chain considered as well as their timeframe and relation to SDG Target 12.3.</w:t>
            </w:r>
          </w:p>
          <w:p w14:paraId="20795FD9" w14:textId="77777777"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Rationale for proposing binding (vs voluntary targets) set out in Sections 3.5.2 (d), 3.5.3 and 3.5.4.</w:t>
            </w:r>
          </w:p>
          <w:p w14:paraId="386E9660" w14:textId="14CFCCC9"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Specific Member States case studies introduced (France, The Netherlands) in section 3.2.2, Annex 7 as well as Annex 10 (section 2.4)</w:t>
            </w:r>
          </w:p>
        </w:tc>
      </w:tr>
      <w:tr w:rsidR="00401635" w:rsidRPr="00013BDC" w14:paraId="49DF5403" w14:textId="77777777" w:rsidTr="00401635">
        <w:tc>
          <w:tcPr>
            <w:tcW w:w="0" w:type="auto"/>
            <w:tcBorders>
              <w:left w:val="single" w:sz="8" w:space="0" w:color="auto"/>
              <w:right w:val="single" w:sz="8" w:space="0" w:color="auto"/>
            </w:tcBorders>
          </w:tcPr>
          <w:p w14:paraId="4462A0A9" w14:textId="77777777" w:rsidR="00401635" w:rsidRPr="00013BDC" w:rsidRDefault="00401635" w:rsidP="00401635">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F341C6" w14:textId="4A268FAC" w:rsidR="00401635" w:rsidRPr="00013BDC" w:rsidRDefault="00401635" w:rsidP="00401635">
            <w:pPr>
              <w:rPr>
                <w:noProof/>
                <w:sz w:val="20"/>
                <w:szCs w:val="20"/>
                <w:lang w:val="en-IE"/>
              </w:rPr>
            </w:pPr>
            <w:r w:rsidRPr="00013BDC">
              <w:rPr>
                <w:noProof/>
                <w:sz w:val="20"/>
                <w:szCs w:val="20"/>
                <w:lang w:val="en-IE"/>
              </w:rPr>
              <w:t>(6) The report should better explain how the Extended Producer Responsibility (EPR) option is intended to work and what will be determined by the Commission (via implementing legislation) and what will be decided by Member States.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CD7E9D" w14:textId="57984C74" w:rsidR="00401635" w:rsidRPr="00013BDC" w:rsidRDefault="00401635" w:rsidP="00401635">
            <w:pPr>
              <w:spacing w:after="0"/>
              <w:jc w:val="left"/>
              <w:rPr>
                <w:rFonts w:eastAsia="Times New Roman"/>
                <w:b/>
                <w:noProof/>
                <w:sz w:val="20"/>
                <w:szCs w:val="20"/>
                <w:lang w:val="en-IE"/>
              </w:rPr>
            </w:pPr>
            <w:r w:rsidRPr="00013BDC">
              <w:rPr>
                <w:rFonts w:eastAsia="Times New Roman"/>
                <w:b/>
                <w:noProof/>
                <w:sz w:val="20"/>
                <w:szCs w:val="20"/>
                <w:lang w:val="en-IE"/>
              </w:rPr>
              <w:t>Textile waste</w:t>
            </w:r>
          </w:p>
          <w:p w14:paraId="4C2F33B4" w14:textId="0A4E3C8B"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A much more detailed description of the EPR measure is provided in Section 2.5.2 in line with the detailed description of the measure and the features of the EPR scheme in Annex 10.</w:t>
            </w:r>
          </w:p>
        </w:tc>
      </w:tr>
      <w:tr w:rsidR="00401635" w:rsidRPr="00013BDC" w14:paraId="56EB15EC" w14:textId="77777777" w:rsidTr="00401635">
        <w:tc>
          <w:tcPr>
            <w:tcW w:w="0" w:type="auto"/>
            <w:tcBorders>
              <w:left w:val="single" w:sz="8" w:space="0" w:color="auto"/>
              <w:right w:val="single" w:sz="8" w:space="0" w:color="auto"/>
            </w:tcBorders>
          </w:tcPr>
          <w:p w14:paraId="15CABA25" w14:textId="77777777" w:rsidR="00401635" w:rsidRPr="00013BDC" w:rsidRDefault="00401635" w:rsidP="00401635">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A6C5D8" w14:textId="4BABB850" w:rsidR="00401635" w:rsidRPr="00013BDC" w:rsidRDefault="00401635" w:rsidP="00401635">
            <w:pPr>
              <w:rPr>
                <w:noProof/>
                <w:sz w:val="20"/>
                <w:szCs w:val="20"/>
                <w:lang w:val="en-IE"/>
              </w:rPr>
            </w:pPr>
            <w:r w:rsidRPr="00013BDC">
              <w:rPr>
                <w:noProof/>
                <w:sz w:val="20"/>
                <w:szCs w:val="20"/>
                <w:lang w:val="en-IE"/>
              </w:rPr>
              <w:t>(7) The assessment of impacts for textiles is not sufficiently developed. The report should assess all relevant significant impacts. This should include the analysis of the changes in textile treatment under each option as well as the impact on prices (and the likely cost pass through to customers) and the competitiveness of producers and waste management operators. The report should be clearer about the additionality of the costs of the EPR option. It should clarify to what extent the expected quantified benefits can be attributed to the measures envisaged.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907411" w14:textId="7FCF656D" w:rsidR="00401635" w:rsidRPr="00013BDC" w:rsidRDefault="00401635" w:rsidP="00401635">
            <w:pPr>
              <w:spacing w:after="0"/>
              <w:jc w:val="left"/>
              <w:rPr>
                <w:rFonts w:eastAsia="Times New Roman"/>
                <w:b/>
                <w:noProof/>
                <w:sz w:val="20"/>
                <w:szCs w:val="20"/>
                <w:lang w:val="en-IE"/>
              </w:rPr>
            </w:pPr>
            <w:r w:rsidRPr="00013BDC">
              <w:rPr>
                <w:rFonts w:eastAsia="Times New Roman"/>
                <w:b/>
                <w:noProof/>
                <w:sz w:val="20"/>
                <w:szCs w:val="20"/>
                <w:lang w:val="en-IE"/>
              </w:rPr>
              <w:t>Textile waste</w:t>
            </w:r>
          </w:p>
          <w:p w14:paraId="5331E418" w14:textId="77777777"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 xml:space="preserve">Additional justification and evidence provided in Annex 4, in particular on how prices and competitiveness impacts been calculated. </w:t>
            </w:r>
          </w:p>
          <w:p w14:paraId="2359DB34" w14:textId="77777777"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 xml:space="preserve">For those measures with a direct impact on prices the impacts are now identified in Annex 11. </w:t>
            </w:r>
          </w:p>
          <w:p w14:paraId="21C739A6" w14:textId="3C083EB1"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Also, those economic and environmental impacts than cannot be quantified as well as a justification for why this is the case has been added in tables.</w:t>
            </w:r>
          </w:p>
          <w:p w14:paraId="1D336D21" w14:textId="77777777"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 xml:space="preserve">In relation to competitiveness, new tables have been added with underlying analyses for each measure addressing four competitiveness aspects (price, dynamic, export and strategic competitiveness) with likely impacts identified in Annex 11. </w:t>
            </w:r>
          </w:p>
          <w:p w14:paraId="72FB4FAC" w14:textId="51D85513"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Competitiveness impacts were quantified, wherever possible. However, it should be noted that a fully-fledged competitiveness analysis would require more granular data (e.g. firm-level, individual/household data) as well as an adequate methodological design to identify causal effects (e.g. instrumental variable, regression discontinuity design). Within the timeline available, this fully-fledged analysis is not feasible since such data is either not available or challenging to obtain (e.g. requiring merging of various survey data sets) and the methodological approaches would require a new analysis that will likely require a significant amount of time to be conducted.</w:t>
            </w:r>
          </w:p>
          <w:p w14:paraId="3232A14D" w14:textId="71DF7708"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 xml:space="preserve">Included an explanation in Annex 11 that unless otherwise stated, the impacts identified in the Annex are directly attributable to the measures themselves (i.e. causal impacts). It should be noted that quantifying such impacts is not possible for all measures and impacts due to data and methodological limitations.  </w:t>
            </w:r>
          </w:p>
          <w:p w14:paraId="74009F45" w14:textId="6A525CDE"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Updates made in particular to the EPR measure 2.9 to better distinguish the additional impacts of EPR beyond the baseline.</w:t>
            </w:r>
          </w:p>
        </w:tc>
      </w:tr>
      <w:tr w:rsidR="00401635" w:rsidRPr="00013BDC" w14:paraId="2CC9CEFF" w14:textId="77777777" w:rsidTr="00401635">
        <w:tc>
          <w:tcPr>
            <w:tcW w:w="0" w:type="auto"/>
            <w:tcBorders>
              <w:left w:val="single" w:sz="8" w:space="0" w:color="auto"/>
              <w:right w:val="single" w:sz="8" w:space="0" w:color="auto"/>
            </w:tcBorders>
          </w:tcPr>
          <w:p w14:paraId="51CA3BA3" w14:textId="77777777" w:rsidR="00401635" w:rsidRPr="00013BDC" w:rsidRDefault="00401635" w:rsidP="00401635">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087C42B" w14:textId="06E31C88" w:rsidR="00401635" w:rsidRPr="00013BDC" w:rsidRDefault="00401635" w:rsidP="00401635">
            <w:pPr>
              <w:rPr>
                <w:noProof/>
                <w:sz w:val="20"/>
                <w:szCs w:val="20"/>
                <w:lang w:val="en-IE"/>
              </w:rPr>
            </w:pPr>
            <w:r w:rsidRPr="00013BDC">
              <w:rPr>
                <w:noProof/>
                <w:sz w:val="20"/>
                <w:szCs w:val="20"/>
                <w:lang w:val="en-IE"/>
              </w:rPr>
              <w:t>(8) The impact analysis for the food waste sector should better explain the key limitations and uncertainties of the modelling approach, in particular as the approach assumes that the targets would be reached. The results of the MAGNET model should be qualified by addressing the assumptions and the key uncertainties of the model related to the parameter choices and the underlying data. The report should further improve the presentation of the distributional impacts. It should be clear about the net benefits or costs for each actor of the agro-food value chain. The trade implications should also be further explained.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D5E6DC7" w14:textId="4475B2FC" w:rsidR="00401635" w:rsidRPr="00013BDC" w:rsidRDefault="00401635" w:rsidP="00401635">
            <w:pPr>
              <w:spacing w:after="0"/>
              <w:ind w:left="57"/>
              <w:jc w:val="left"/>
              <w:rPr>
                <w:b/>
                <w:noProof/>
                <w:sz w:val="20"/>
                <w:szCs w:val="20"/>
                <w:lang w:val="en-IE"/>
              </w:rPr>
            </w:pPr>
            <w:r w:rsidRPr="00013BDC">
              <w:rPr>
                <w:b/>
                <w:noProof/>
                <w:sz w:val="20"/>
                <w:szCs w:val="20"/>
                <w:lang w:val="en-IE"/>
              </w:rPr>
              <w:t>Food waste</w:t>
            </w:r>
          </w:p>
          <w:p w14:paraId="4BAF90E3" w14:textId="75D87DC9"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noProof/>
                <w:sz w:val="20"/>
                <w:szCs w:val="20"/>
                <w:lang w:val="en-IE"/>
              </w:rPr>
              <w:t>Summary of limitations and uncertainties provided in section 3.6.1 and Annex 4 as well as those relating to specific results of the assessment (sections 3.6.4, 3.6.5 and 3.6.6).</w:t>
            </w:r>
          </w:p>
          <w:p w14:paraId="76ABBAA5" w14:textId="72603939"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Presentation of basic assumptions and key uncertainties related to parameter choices and underlying data (3.6.1).</w:t>
            </w:r>
          </w:p>
          <w:p w14:paraId="3C923046" w14:textId="70803976"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Improved presentation of distributional impacts (</w:t>
            </w:r>
            <w:r w:rsidRPr="00013BDC">
              <w:rPr>
                <w:noProof/>
                <w:sz w:val="20"/>
                <w:szCs w:val="20"/>
                <w:lang w:val="en-IE"/>
              </w:rPr>
              <w:t>3.6.5 and 3.6.6</w:t>
            </w:r>
            <w:r w:rsidRPr="00013BDC">
              <w:rPr>
                <w:rFonts w:eastAsia="Times New Roman"/>
                <w:noProof/>
                <w:sz w:val="20"/>
                <w:szCs w:val="20"/>
                <w:lang w:val="en-IE"/>
              </w:rPr>
              <w:t>).</w:t>
            </w:r>
          </w:p>
          <w:p w14:paraId="67ED445E" w14:textId="02296A84"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Clarified net benefits or costs in general (3.6.5, in particular Figure 8) and for each actor of food supply chain where data available i.e. per stage of food supply chain (see Table 6 in 3.6.5).</w:t>
            </w:r>
          </w:p>
          <w:p w14:paraId="737D6648" w14:textId="09E80D2B"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Trade implications further explained (section 3.6.5) .</w:t>
            </w:r>
          </w:p>
        </w:tc>
      </w:tr>
      <w:tr w:rsidR="00401635" w:rsidRPr="00013BDC" w14:paraId="4725E514" w14:textId="77777777" w:rsidTr="00401635">
        <w:tc>
          <w:tcPr>
            <w:tcW w:w="0" w:type="auto"/>
            <w:tcBorders>
              <w:left w:val="single" w:sz="8" w:space="0" w:color="auto"/>
              <w:right w:val="single" w:sz="8" w:space="0" w:color="auto"/>
            </w:tcBorders>
          </w:tcPr>
          <w:p w14:paraId="33D35161" w14:textId="77777777" w:rsidR="00401635" w:rsidRPr="00013BDC" w:rsidRDefault="00401635" w:rsidP="00401635">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4E251" w14:textId="1D3921D3" w:rsidR="00401635" w:rsidRPr="00013BDC" w:rsidRDefault="00401635" w:rsidP="00401635">
            <w:pPr>
              <w:rPr>
                <w:noProof/>
                <w:sz w:val="20"/>
                <w:szCs w:val="20"/>
                <w:lang w:val="en-IE"/>
              </w:rPr>
            </w:pPr>
            <w:r w:rsidRPr="00013BDC">
              <w:rPr>
                <w:noProof/>
                <w:sz w:val="20"/>
                <w:szCs w:val="20"/>
                <w:lang w:val="en-IE"/>
              </w:rPr>
              <w:t>(9) The report should improve the section on the One In, One Out approach to include the total estimates for business and citizens. It should also better explain why certain cost savings were not quantified.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0404CE" w14:textId="228C0344" w:rsidR="00401635" w:rsidRPr="00013BDC" w:rsidRDefault="00401635" w:rsidP="00401635">
            <w:pPr>
              <w:spacing w:after="0"/>
              <w:jc w:val="left"/>
              <w:rPr>
                <w:rFonts w:eastAsia="Times New Roman"/>
                <w:b/>
                <w:noProof/>
                <w:sz w:val="20"/>
                <w:szCs w:val="20"/>
                <w:lang w:val="en-IE"/>
              </w:rPr>
            </w:pPr>
            <w:r w:rsidRPr="00013BDC">
              <w:rPr>
                <w:rFonts w:eastAsia="Times New Roman"/>
                <w:b/>
                <w:noProof/>
                <w:sz w:val="20"/>
                <w:szCs w:val="20"/>
                <w:lang w:val="en-IE"/>
              </w:rPr>
              <w:t>Textile waste</w:t>
            </w:r>
          </w:p>
          <w:p w14:paraId="06DFFFCC" w14:textId="64088F23"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noProof/>
                <w:sz w:val="20"/>
                <w:szCs w:val="20"/>
                <w:lang w:val="en-IE"/>
              </w:rPr>
              <w:t>Additional explanations on the calculations added to Annex 4, in particular on how the expected costs have been estimated.</w:t>
            </w:r>
          </w:p>
          <w:p w14:paraId="72D26539" w14:textId="68A9C742"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Further granularity added distinguishing between the costs borne by businesses and/or citizens in Annexes 3, 12 and 13. While the exact level of incidence cannot be estimated, the financial costs are in a first instance borne by businesses. However, depending on many factors (including the level of market power business have in the market), such increased costs could be passed on to consumers. Therefore, the interval of costs borne by businesses and citizens have been added as explanatory notes (assuming either 100% of the costs being borne by business or consumers).</w:t>
            </w:r>
          </w:p>
          <w:p w14:paraId="3FB0FF2B" w14:textId="00527C72"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 xml:space="preserve">To further clarify the expected impacts on businesses and/or consumers, the estimated costs have been put into the context of how much a typical clothing item is likely to increase in final sales price under </w:t>
            </w:r>
            <w:r w:rsidRPr="00013BDC">
              <w:rPr>
                <w:rFonts w:eastAsia="Times New Roman"/>
                <w:i/>
                <w:noProof/>
                <w:sz w:val="20"/>
                <w:szCs w:val="20"/>
                <w:lang w:val="en-IE"/>
              </w:rPr>
              <w:t xml:space="preserve">ceteris paribus </w:t>
            </w:r>
            <w:r w:rsidRPr="00013BDC">
              <w:rPr>
                <w:rFonts w:eastAsia="Times New Roman"/>
                <w:noProof/>
                <w:sz w:val="20"/>
                <w:szCs w:val="20"/>
                <w:lang w:val="en-IE"/>
              </w:rPr>
              <w:t>assumptions. This demonstrates the relatively low price impacts to be expected from the measures considered in Annex 11.</w:t>
            </w:r>
          </w:p>
          <w:p w14:paraId="38D42E65" w14:textId="77777777" w:rsidR="00401635" w:rsidRPr="00013BDC" w:rsidRDefault="00401635" w:rsidP="00401635">
            <w:pPr>
              <w:spacing w:after="0"/>
              <w:jc w:val="left"/>
              <w:rPr>
                <w:b/>
                <w:noProof/>
                <w:sz w:val="20"/>
                <w:szCs w:val="20"/>
                <w:lang w:val="en-IE"/>
              </w:rPr>
            </w:pPr>
            <w:r w:rsidRPr="00013BDC">
              <w:rPr>
                <w:b/>
                <w:noProof/>
                <w:sz w:val="20"/>
                <w:szCs w:val="20"/>
                <w:lang w:val="en-IE"/>
              </w:rPr>
              <w:t>Food waste</w:t>
            </w:r>
          </w:p>
          <w:p w14:paraId="1D5B0044" w14:textId="3F04B827" w:rsidR="00401635" w:rsidRPr="00013BDC" w:rsidRDefault="00401635" w:rsidP="00401635">
            <w:pPr>
              <w:pStyle w:val="ListParagraph"/>
              <w:numPr>
                <w:ilvl w:val="0"/>
                <w:numId w:val="154"/>
              </w:numPr>
              <w:spacing w:after="0"/>
              <w:ind w:left="227" w:hanging="170"/>
              <w:jc w:val="left"/>
              <w:rPr>
                <w:rFonts w:eastAsia="Times New Roman"/>
                <w:noProof/>
                <w:sz w:val="20"/>
                <w:szCs w:val="20"/>
                <w:lang w:val="en-IE"/>
              </w:rPr>
            </w:pPr>
            <w:r w:rsidRPr="00013BDC">
              <w:rPr>
                <w:rFonts w:eastAsia="Times New Roman"/>
                <w:noProof/>
                <w:sz w:val="20"/>
                <w:szCs w:val="20"/>
                <w:lang w:val="en-IE"/>
              </w:rPr>
              <w:t>Section</w:t>
            </w:r>
            <w:r w:rsidRPr="00013BDC">
              <w:rPr>
                <w:noProof/>
                <w:sz w:val="20"/>
                <w:szCs w:val="20"/>
                <w:lang w:val="en-IE"/>
              </w:rPr>
              <w:t xml:space="preserve"> 3.11 explains non-applicability of requirement as proposal introduces no new measures as such.</w:t>
            </w:r>
          </w:p>
        </w:tc>
      </w:tr>
      <w:tr w:rsidR="00401635" w:rsidRPr="00013BDC" w14:paraId="35AC62EF" w14:textId="77777777" w:rsidTr="00401635">
        <w:tc>
          <w:tcPr>
            <w:tcW w:w="0" w:type="auto"/>
            <w:tcBorders>
              <w:left w:val="single" w:sz="8" w:space="0" w:color="auto"/>
              <w:right w:val="single" w:sz="8" w:space="0" w:color="auto"/>
            </w:tcBorders>
          </w:tcPr>
          <w:p w14:paraId="48276CB5" w14:textId="77777777" w:rsidR="00401635" w:rsidRPr="00013BDC" w:rsidRDefault="00401635" w:rsidP="00401635">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208D5" w14:textId="1643F555" w:rsidR="00401635" w:rsidRPr="00013BDC" w:rsidRDefault="00401635" w:rsidP="00401635">
            <w:pPr>
              <w:rPr>
                <w:noProof/>
                <w:sz w:val="20"/>
                <w:szCs w:val="20"/>
                <w:lang w:val="en-IE"/>
              </w:rPr>
            </w:pPr>
            <w:r w:rsidRPr="00013BDC">
              <w:rPr>
                <w:noProof/>
                <w:sz w:val="20"/>
                <w:szCs w:val="20"/>
                <w:lang w:val="en-IE"/>
              </w:rPr>
              <w:t>(10) The comparison of options should be improved. The options should be assessed against relevant criteria reflecting effectiveness (relevant specific objectives), efficiency and coherence. The comparison of options should be based on a revised intervention logic with clearly specified specific objectives and linked specific problems allowing a more precise effectiveness assessment, including as regards the effectiveness of the envisaged measures towards actually meeting the targets. The technical feasibility aspects should be better brought out, so that the delivery risks associated with more ambitious options become clearer.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D7292ED" w14:textId="38E2AC93" w:rsidR="00401635" w:rsidRPr="00013BDC" w:rsidRDefault="00401635" w:rsidP="00401635">
            <w:pPr>
              <w:spacing w:after="0"/>
              <w:jc w:val="left"/>
              <w:rPr>
                <w:b/>
                <w:noProof/>
                <w:sz w:val="20"/>
                <w:szCs w:val="20"/>
                <w:lang w:val="en-IE"/>
              </w:rPr>
            </w:pPr>
            <w:r w:rsidRPr="00013BDC">
              <w:rPr>
                <w:b/>
                <w:noProof/>
                <w:sz w:val="20"/>
                <w:szCs w:val="20"/>
                <w:lang w:val="en-IE"/>
              </w:rPr>
              <w:t>Textile waste</w:t>
            </w:r>
          </w:p>
          <w:p w14:paraId="09942A2F" w14:textId="2600C049"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Revised and combined the effectiveness and efficiency tables already included with additional considerations added into Annex 5 in relation to coherence.</w:t>
            </w:r>
          </w:p>
          <w:p w14:paraId="21C0AD52" w14:textId="66DE9E48"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A more elaborated coherence analysis also added to Annexes 12 and 13, in particular related to the Sustainable Textiles Strategy.</w:t>
            </w:r>
          </w:p>
          <w:p w14:paraId="5F31505E" w14:textId="77777777" w:rsidR="00401635" w:rsidRPr="00013BDC" w:rsidRDefault="00401635" w:rsidP="00401635">
            <w:pPr>
              <w:spacing w:after="0"/>
              <w:jc w:val="left"/>
              <w:rPr>
                <w:b/>
                <w:noProof/>
                <w:sz w:val="20"/>
                <w:szCs w:val="20"/>
                <w:lang w:val="en-IE"/>
              </w:rPr>
            </w:pPr>
            <w:r w:rsidRPr="00013BDC">
              <w:rPr>
                <w:b/>
                <w:noProof/>
                <w:sz w:val="20"/>
                <w:szCs w:val="20"/>
                <w:lang w:val="en-IE"/>
              </w:rPr>
              <w:t>Food waste</w:t>
            </w:r>
          </w:p>
          <w:p w14:paraId="533A2F59" w14:textId="04B268DA"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Refined comparison of options in the light of (new) specific objectives. In particular, the efficiency analysis was refined and</w:t>
            </w:r>
            <w:r w:rsidRPr="00013BDC" w:rsidDel="00D26EF8">
              <w:rPr>
                <w:noProof/>
                <w:sz w:val="20"/>
                <w:szCs w:val="20"/>
                <w:lang w:val="en-IE"/>
              </w:rPr>
              <w:t xml:space="preserve"> </w:t>
            </w:r>
            <w:r w:rsidRPr="00013BDC">
              <w:rPr>
                <w:noProof/>
                <w:sz w:val="20"/>
                <w:szCs w:val="20"/>
                <w:lang w:val="en-IE"/>
              </w:rPr>
              <w:t>includes an overview of net benefits (table 10).</w:t>
            </w:r>
          </w:p>
          <w:p w14:paraId="7BA9A1AD" w14:textId="270E104B"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Delivery risks associated with more ambitious options more clearly outlined in section 3.9.</w:t>
            </w:r>
          </w:p>
        </w:tc>
      </w:tr>
      <w:tr w:rsidR="00401635" w:rsidRPr="00013BDC" w14:paraId="60CAB297" w14:textId="77777777" w:rsidTr="00401635">
        <w:tc>
          <w:tcPr>
            <w:tcW w:w="0" w:type="auto"/>
            <w:tcBorders>
              <w:left w:val="single" w:sz="8" w:space="0" w:color="auto"/>
              <w:bottom w:val="single" w:sz="8" w:space="0" w:color="auto"/>
              <w:right w:val="single" w:sz="8" w:space="0" w:color="auto"/>
            </w:tcBorders>
          </w:tcPr>
          <w:p w14:paraId="2D0F4E1D" w14:textId="77777777" w:rsidR="00401635" w:rsidRPr="00013BDC" w:rsidRDefault="00401635" w:rsidP="00401635">
            <w:pPr>
              <w:rPr>
                <w:noProof/>
                <w:sz w:val="20"/>
                <w:szCs w:val="20"/>
                <w:lang w:val="en-IE"/>
              </w:rPr>
            </w:pPr>
          </w:p>
        </w:t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5C32AF" w14:textId="75071DCE" w:rsidR="00401635" w:rsidRPr="00013BDC" w:rsidRDefault="00401635" w:rsidP="00401635">
            <w:pPr>
              <w:rPr>
                <w:noProof/>
                <w:sz w:val="20"/>
                <w:szCs w:val="20"/>
                <w:lang w:val="en-IE"/>
              </w:rPr>
            </w:pPr>
            <w:r w:rsidRPr="00013BDC">
              <w:rPr>
                <w:noProof/>
                <w:sz w:val="20"/>
                <w:szCs w:val="20"/>
                <w:lang w:val="en-IE"/>
              </w:rPr>
              <w:t>(11) The current structure of the report is very difficult to read (swapping constantly between textiles and food). The report should consider ways to present the two issues in a clearer, more decision-maker supportive manner. The core report should be self-standing to the extent possible, and annexes should be confined to additional information on specific issues.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83E5BC" w14:textId="6B03622F" w:rsidR="00401635" w:rsidRPr="00013BDC" w:rsidRDefault="00401635" w:rsidP="00401635">
            <w:pPr>
              <w:spacing w:after="0"/>
              <w:jc w:val="left"/>
              <w:rPr>
                <w:b/>
                <w:noProof/>
                <w:sz w:val="20"/>
                <w:szCs w:val="20"/>
                <w:lang w:val="en-IE"/>
              </w:rPr>
            </w:pPr>
            <w:r w:rsidRPr="00013BDC">
              <w:rPr>
                <w:b/>
                <w:noProof/>
                <w:sz w:val="20"/>
                <w:szCs w:val="20"/>
                <w:lang w:val="en-IE"/>
              </w:rPr>
              <w:t>Textile and food waste</w:t>
            </w:r>
          </w:p>
          <w:p w14:paraId="74A2A5AF" w14:textId="50178CDD" w:rsidR="00401635" w:rsidRPr="00013BDC" w:rsidRDefault="00401635" w:rsidP="00401635">
            <w:pPr>
              <w:pStyle w:val="ListParagraph"/>
              <w:numPr>
                <w:ilvl w:val="0"/>
                <w:numId w:val="154"/>
              </w:numPr>
              <w:ind w:left="227" w:hanging="170"/>
              <w:jc w:val="left"/>
              <w:rPr>
                <w:noProof/>
                <w:sz w:val="20"/>
                <w:szCs w:val="20"/>
                <w:lang w:val="en-IE"/>
              </w:rPr>
            </w:pPr>
            <w:r w:rsidRPr="00013BDC">
              <w:rPr>
                <w:noProof/>
                <w:sz w:val="20"/>
                <w:szCs w:val="20"/>
                <w:lang w:val="en-IE"/>
              </w:rPr>
              <w:t>Restructuring of the main document into a common introduction, two separated sections (one on textiles and one on food waste) with a common section on cumulative impacts.</w:t>
            </w:r>
          </w:p>
          <w:p w14:paraId="1178FE21" w14:textId="7BDA9CA8" w:rsidR="00401635" w:rsidRPr="00013BDC" w:rsidRDefault="00401635" w:rsidP="00401635">
            <w:pPr>
              <w:pStyle w:val="ListParagraph"/>
              <w:numPr>
                <w:ilvl w:val="0"/>
                <w:numId w:val="154"/>
              </w:numPr>
              <w:ind w:left="227" w:hanging="170"/>
              <w:jc w:val="left"/>
              <w:rPr>
                <w:noProof/>
                <w:sz w:val="20"/>
                <w:szCs w:val="20"/>
                <w:lang w:val="en-IE"/>
              </w:rPr>
            </w:pPr>
            <w:r w:rsidRPr="00013BDC">
              <w:rPr>
                <w:noProof/>
                <w:sz w:val="20"/>
                <w:szCs w:val="20"/>
                <w:lang w:val="en-IE"/>
              </w:rPr>
              <w:t>Added tables of Figures and Tables.</w:t>
            </w:r>
          </w:p>
          <w:p w14:paraId="4675C759" w14:textId="77777777"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Given the nature and purpose of the document, the structure of the Annexes has remained unchanged.</w:t>
            </w:r>
          </w:p>
          <w:p w14:paraId="1E56E7F9" w14:textId="73740F24" w:rsidR="00401635" w:rsidRPr="00013BDC" w:rsidRDefault="00401635" w:rsidP="00401635">
            <w:pPr>
              <w:spacing w:after="0"/>
              <w:jc w:val="left"/>
              <w:rPr>
                <w:noProof/>
                <w:sz w:val="20"/>
                <w:szCs w:val="20"/>
                <w:lang w:val="en-IE"/>
              </w:rPr>
            </w:pPr>
            <w:r w:rsidRPr="00013BDC">
              <w:rPr>
                <w:b/>
                <w:noProof/>
                <w:sz w:val="20"/>
                <w:szCs w:val="20"/>
                <w:lang w:val="en-IE"/>
              </w:rPr>
              <w:t>Textile waste</w:t>
            </w:r>
          </w:p>
          <w:p w14:paraId="6FA0C07C" w14:textId="77777777"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In Annex 6 added titles to subsections to better clarify.</w:t>
            </w:r>
          </w:p>
          <w:p w14:paraId="7EEB1B4C" w14:textId="4E5A0C90" w:rsidR="00401635" w:rsidRPr="00013BDC" w:rsidRDefault="00401635" w:rsidP="00401635">
            <w:pPr>
              <w:spacing w:after="0"/>
              <w:jc w:val="left"/>
              <w:rPr>
                <w:noProof/>
                <w:sz w:val="20"/>
                <w:szCs w:val="20"/>
                <w:lang w:val="en-IE"/>
              </w:rPr>
            </w:pPr>
            <w:r w:rsidRPr="00013BDC">
              <w:rPr>
                <w:b/>
                <w:noProof/>
                <w:sz w:val="20"/>
                <w:szCs w:val="20"/>
                <w:lang w:val="en-IE"/>
              </w:rPr>
              <w:t>Food waste</w:t>
            </w:r>
          </w:p>
          <w:p w14:paraId="39111E78" w14:textId="77777777" w:rsidR="00401635" w:rsidRPr="00013BDC" w:rsidRDefault="00401635" w:rsidP="00401635">
            <w:pPr>
              <w:pStyle w:val="ListParagraph"/>
              <w:numPr>
                <w:ilvl w:val="0"/>
                <w:numId w:val="154"/>
              </w:numPr>
              <w:spacing w:after="0"/>
              <w:ind w:left="227" w:hanging="170"/>
              <w:jc w:val="left"/>
              <w:rPr>
                <w:noProof/>
                <w:sz w:val="20"/>
                <w:szCs w:val="20"/>
                <w:lang w:val="en-IE"/>
              </w:rPr>
            </w:pPr>
            <w:r w:rsidRPr="00013BDC">
              <w:rPr>
                <w:noProof/>
                <w:sz w:val="20"/>
                <w:szCs w:val="20"/>
                <w:lang w:val="en-IE"/>
              </w:rPr>
              <w:t>In Annexes 7, 10 and 11 added titles to subsections to better present and refer data.</w:t>
            </w:r>
          </w:p>
        </w:tc>
      </w:tr>
    </w:tbl>
    <w:p w14:paraId="4E5585A5" w14:textId="77777777" w:rsidR="00C436D0" w:rsidRPr="00013BDC" w:rsidRDefault="00C436D0" w:rsidP="1981788D">
      <w:pPr>
        <w:spacing w:before="120"/>
        <w:rPr>
          <w:rFonts w:eastAsia="Times New Roman"/>
          <w:noProof/>
          <w:lang w:val="en-IE"/>
        </w:rPr>
        <w:sectPr w:rsidR="00C436D0" w:rsidRPr="00013BDC" w:rsidSect="006126D3">
          <w:headerReference w:type="even" r:id="rId39"/>
          <w:headerReference w:type="default" r:id="rId40"/>
          <w:footerReference w:type="even" r:id="rId41"/>
          <w:footerReference w:type="default" r:id="rId42"/>
          <w:headerReference w:type="first" r:id="rId43"/>
          <w:footerReference w:type="first" r:id="rId44"/>
          <w:pgSz w:w="16838" w:h="11906" w:orient="landscape"/>
          <w:pgMar w:top="1587" w:right="1020" w:bottom="707" w:left="1020" w:header="601" w:footer="1077" w:gutter="0"/>
          <w:cols w:space="720"/>
          <w:titlePg/>
          <w:docGrid w:linePitch="326"/>
        </w:sectPr>
      </w:pPr>
      <w:bookmarkStart w:id="56" w:name="_Toc117004507"/>
      <w:bookmarkStart w:id="57" w:name="_Toc118014791"/>
      <w:bookmarkStart w:id="58" w:name="_Toc124777273"/>
      <w:bookmarkStart w:id="59" w:name="_Toc120782534"/>
      <w:bookmarkStart w:id="60" w:name="_Toc531931676"/>
      <w:bookmarkStart w:id="61" w:name="_Toc665675494"/>
      <w:bookmarkStart w:id="62" w:name="_Toc385069098"/>
      <w:bookmarkStart w:id="63" w:name="_Toc754847858"/>
      <w:bookmarkStart w:id="64" w:name="_Toc1441952640"/>
      <w:bookmarkStart w:id="65" w:name="_Toc2028974493"/>
      <w:bookmarkStart w:id="66" w:name="_Toc459581432"/>
    </w:p>
    <w:p w14:paraId="1EDC9E89" w14:textId="76889E01" w:rsidR="00D71484" w:rsidRPr="00013BDC" w:rsidRDefault="00F64258" w:rsidP="00F64258">
      <w:pPr>
        <w:pStyle w:val="Heading2"/>
        <w:rPr>
          <w:noProof/>
          <w:lang w:val="en-IE"/>
        </w:rPr>
      </w:pPr>
      <w:bookmarkStart w:id="67" w:name="_Toc139032931"/>
      <w:r w:rsidRPr="00F64258">
        <w:t>4-</w:t>
      </w:r>
      <w:r w:rsidRPr="00F64258">
        <w:tab/>
      </w:r>
      <w:r w:rsidR="6CA81E60" w:rsidRPr="00013BDC">
        <w:rPr>
          <w:noProof/>
          <w:lang w:val="en-IE"/>
        </w:rPr>
        <w:t>Evidence, sources and quality</w:t>
      </w:r>
      <w:bookmarkEnd w:id="56"/>
      <w:bookmarkEnd w:id="57"/>
      <w:bookmarkEnd w:id="58"/>
      <w:bookmarkEnd w:id="59"/>
      <w:bookmarkEnd w:id="60"/>
      <w:bookmarkEnd w:id="61"/>
      <w:bookmarkEnd w:id="62"/>
      <w:bookmarkEnd w:id="63"/>
      <w:bookmarkEnd w:id="64"/>
      <w:bookmarkEnd w:id="65"/>
      <w:bookmarkEnd w:id="66"/>
      <w:bookmarkEnd w:id="67"/>
    </w:p>
    <w:p w14:paraId="10BAA871" w14:textId="05F7AB23" w:rsidR="00D71484" w:rsidRPr="00013BDC" w:rsidRDefault="00825AE7" w:rsidP="1981788D">
      <w:pPr>
        <w:spacing w:after="120"/>
        <w:rPr>
          <w:rFonts w:eastAsia="Times New Roman"/>
          <w:noProof/>
          <w:lang w:val="en-IE"/>
        </w:rPr>
      </w:pPr>
      <w:r w:rsidRPr="00013BDC">
        <w:rPr>
          <w:rFonts w:eastAsia="Times New Roman"/>
          <w:noProof/>
          <w:lang w:val="en-IE"/>
        </w:rPr>
        <w:t xml:space="preserve">The Commission </w:t>
      </w:r>
      <w:r w:rsidR="7CFF4DA2" w:rsidRPr="00013BDC">
        <w:rPr>
          <w:rFonts w:eastAsia="Times New Roman"/>
          <w:noProof/>
          <w:lang w:val="en-IE"/>
        </w:rPr>
        <w:t xml:space="preserve">procured a study to support this impact assessment of policy options for a revision of the </w:t>
      </w:r>
      <w:r w:rsidR="007A5B93" w:rsidRPr="00013BDC">
        <w:rPr>
          <w:rFonts w:eastAsia="Times New Roman"/>
          <w:noProof/>
          <w:lang w:val="en-IE"/>
        </w:rPr>
        <w:t>WFD</w:t>
      </w:r>
      <w:r w:rsidR="7CFF4DA2" w:rsidRPr="00013BDC">
        <w:rPr>
          <w:rFonts w:eastAsia="Times New Roman"/>
          <w:noProof/>
          <w:lang w:val="en-IE"/>
        </w:rPr>
        <w:t xml:space="preserve"> in 2023 </w:t>
      </w:r>
      <w:r w:rsidR="004C7113" w:rsidRPr="00013BDC">
        <w:rPr>
          <w:rFonts w:eastAsia="Times New Roman"/>
          <w:noProof/>
          <w:lang w:val="en-IE"/>
        </w:rPr>
        <w:t>–</w:t>
      </w:r>
      <w:r w:rsidR="7CFF4DA2" w:rsidRPr="00013BDC">
        <w:rPr>
          <w:rFonts w:eastAsia="Times New Roman"/>
          <w:noProof/>
          <w:lang w:val="en-IE"/>
        </w:rPr>
        <w:t xml:space="preserve"> Specific Contract n° 090202/2021/861277/ENV.B.3. </w:t>
      </w:r>
      <w:r w:rsidR="00406CDF" w:rsidRPr="00013BDC">
        <w:rPr>
          <w:rFonts w:eastAsia="Times New Roman"/>
          <w:noProof/>
          <w:lang w:val="en-IE"/>
        </w:rPr>
        <w:t xml:space="preserve">It was also </w:t>
      </w:r>
      <w:r w:rsidR="1F547A3C" w:rsidRPr="00013BDC">
        <w:rPr>
          <w:rFonts w:eastAsia="Times New Roman"/>
          <w:noProof/>
          <w:lang w:val="en-IE"/>
        </w:rPr>
        <w:t>supported by several experts and technical assistance studies</w:t>
      </w:r>
      <w:r w:rsidR="00406CDF" w:rsidRPr="00013BDC">
        <w:rPr>
          <w:rFonts w:eastAsia="Times New Roman"/>
          <w:noProof/>
          <w:lang w:val="en-IE"/>
        </w:rPr>
        <w:t xml:space="preserve"> listed below.</w:t>
      </w:r>
      <w:r w:rsidR="1F547A3C" w:rsidRPr="00013BDC">
        <w:rPr>
          <w:rFonts w:eastAsia="Times New Roman"/>
          <w:noProof/>
          <w:lang w:val="en-IE"/>
        </w:rPr>
        <w:t xml:space="preserve"> </w:t>
      </w:r>
    </w:p>
    <w:p w14:paraId="3CB04A25" w14:textId="59C2FC02" w:rsidR="00D71484" w:rsidRPr="00013BDC" w:rsidRDefault="69C5D9A6" w:rsidP="00410D9F">
      <w:pPr>
        <w:pStyle w:val="ListParagraph"/>
        <w:numPr>
          <w:ilvl w:val="0"/>
          <w:numId w:val="22"/>
        </w:numPr>
        <w:spacing w:after="0"/>
        <w:ind w:left="714" w:hanging="357"/>
        <w:rPr>
          <w:noProof/>
          <w:lang w:val="en-IE"/>
        </w:rPr>
      </w:pPr>
      <w:r w:rsidRPr="00013BDC">
        <w:rPr>
          <w:rFonts w:eastAsia="Times New Roman"/>
          <w:noProof/>
          <w:u w:val="single"/>
          <w:lang w:val="en-IE"/>
        </w:rPr>
        <w:t>Ramboll Deutschland GmbH</w:t>
      </w:r>
      <w:r w:rsidRPr="00013BDC">
        <w:rPr>
          <w:rFonts w:eastAsia="Times New Roman"/>
          <w:noProof/>
          <w:lang w:val="en-IE"/>
        </w:rPr>
        <w:t>: “Assistance to the Commission on technical, socio-economic, environmental and cost-benefit assessments related to the implementation and further development of EU waste legislation”</w:t>
      </w:r>
      <w:r w:rsidR="39F84752" w:rsidRPr="00013BDC">
        <w:rPr>
          <w:rFonts w:eastAsia="Times New Roman"/>
          <w:noProof/>
          <w:lang w:val="en-IE"/>
        </w:rPr>
        <w:t xml:space="preserve">. The study provided analysis to support the development of the European Commission’s Impact Assessment (IA) concerning revision to Directive 2008/98/EC on waste. </w:t>
      </w:r>
      <w:r w:rsidR="39F84752" w:rsidRPr="00013BDC">
        <w:rPr>
          <w:noProof/>
          <w:lang w:val="en-IE"/>
        </w:rPr>
        <w:t xml:space="preserve">The study initially covered the </w:t>
      </w:r>
      <w:r w:rsidR="49C3F546" w:rsidRPr="00013BDC">
        <w:rPr>
          <w:noProof/>
          <w:lang w:val="en-IE"/>
        </w:rPr>
        <w:t>wider scope of the initiative and subsequently focussed on textile waste and on integrating the part on food waste led by DG SANTE.</w:t>
      </w:r>
      <w:r w:rsidR="330E6C28" w:rsidRPr="00013BDC">
        <w:rPr>
          <w:noProof/>
          <w:lang w:val="en-IE"/>
        </w:rPr>
        <w:t xml:space="preserve"> </w:t>
      </w:r>
      <w:r w:rsidR="3791CA4D" w:rsidRPr="00013BDC">
        <w:rPr>
          <w:noProof/>
          <w:lang w:val="en-IE"/>
        </w:rPr>
        <w:t>Publication</w:t>
      </w:r>
      <w:r w:rsidR="330E6C28" w:rsidRPr="00013BDC">
        <w:rPr>
          <w:noProof/>
          <w:lang w:val="en-IE"/>
        </w:rPr>
        <w:t xml:space="preserve"> </w:t>
      </w:r>
      <w:r w:rsidR="31AF660B" w:rsidRPr="00013BDC">
        <w:rPr>
          <w:noProof/>
          <w:lang w:val="en-IE"/>
        </w:rPr>
        <w:t xml:space="preserve">envisaged along with the </w:t>
      </w:r>
      <w:r w:rsidR="330E6C28" w:rsidRPr="00013BDC">
        <w:rPr>
          <w:noProof/>
          <w:lang w:val="en-IE"/>
        </w:rPr>
        <w:t>adoption of this initiative.</w:t>
      </w:r>
    </w:p>
    <w:p w14:paraId="0B430F8F" w14:textId="0E149BFA" w:rsidR="00D71484" w:rsidRPr="00013BDC" w:rsidRDefault="2D307EEC" w:rsidP="00410D9F">
      <w:pPr>
        <w:pStyle w:val="ListParagraph"/>
        <w:numPr>
          <w:ilvl w:val="0"/>
          <w:numId w:val="22"/>
        </w:numPr>
        <w:spacing w:after="120"/>
        <w:ind w:left="714" w:hanging="357"/>
        <w:rPr>
          <w:rFonts w:eastAsia="Times New Roman"/>
          <w:noProof/>
          <w:lang w:val="en-IE"/>
        </w:rPr>
      </w:pPr>
      <w:r w:rsidRPr="00013BDC">
        <w:rPr>
          <w:rFonts w:eastAsia="Times New Roman"/>
          <w:noProof/>
          <w:lang w:val="en-IE"/>
        </w:rPr>
        <w:t xml:space="preserve">The </w:t>
      </w:r>
      <w:r w:rsidRPr="00013BDC">
        <w:rPr>
          <w:rFonts w:eastAsia="Times New Roman"/>
          <w:noProof/>
          <w:u w:val="single"/>
          <w:lang w:val="en-IE"/>
        </w:rPr>
        <w:t>EEA</w:t>
      </w:r>
      <w:r w:rsidRPr="00013BDC">
        <w:rPr>
          <w:rFonts w:eastAsia="Times New Roman"/>
          <w:noProof/>
          <w:lang w:val="en-IE"/>
        </w:rPr>
        <w:t xml:space="preserve"> develop</w:t>
      </w:r>
      <w:r w:rsidR="0072629C" w:rsidRPr="00013BDC">
        <w:rPr>
          <w:rFonts w:eastAsia="Times New Roman"/>
          <w:noProof/>
          <w:lang w:val="en-IE"/>
        </w:rPr>
        <w:t>ed</w:t>
      </w:r>
      <w:r w:rsidRPr="00013BDC">
        <w:rPr>
          <w:rFonts w:eastAsia="Times New Roman"/>
          <w:noProof/>
          <w:lang w:val="en-IE"/>
        </w:rPr>
        <w:t xml:space="preserve"> a framework </w:t>
      </w:r>
      <w:r w:rsidR="00D67CBD" w:rsidRPr="00013BDC">
        <w:rPr>
          <w:rFonts w:eastAsia="Times New Roman"/>
          <w:noProof/>
          <w:u w:val="single"/>
          <w:lang w:val="en-IE"/>
        </w:rPr>
        <w:t xml:space="preserve">(publication due Q2 2023) </w:t>
      </w:r>
      <w:r w:rsidRPr="00013BDC">
        <w:rPr>
          <w:rFonts w:eastAsia="Times New Roman"/>
          <w:noProof/>
          <w:lang w:val="en-IE"/>
        </w:rPr>
        <w:t>to assess waste prevention progress in the context of policy measures as reflected in the waste prevention programmes (WPPs). It will be based on carefully selected indicators fit for monitoring waste prevention efforts and progress in Europe and will focus on waste prevention effectiveness and not efficiency (which considers the resources used/needed to implement waste prevention efforts).</w:t>
      </w:r>
    </w:p>
    <w:p w14:paraId="26B89759" w14:textId="71C4C9F0" w:rsidR="00D71484" w:rsidRPr="00013BDC" w:rsidRDefault="2D307EEC" w:rsidP="00410D9F">
      <w:pPr>
        <w:pStyle w:val="ListParagraph"/>
        <w:numPr>
          <w:ilvl w:val="0"/>
          <w:numId w:val="22"/>
        </w:numPr>
        <w:spacing w:after="120"/>
        <w:ind w:left="714" w:hanging="357"/>
        <w:rPr>
          <w:rFonts w:eastAsia="Times New Roman"/>
          <w:noProof/>
          <w:lang w:val="en-IE"/>
        </w:rPr>
      </w:pPr>
      <w:r w:rsidRPr="00013BDC">
        <w:rPr>
          <w:rFonts w:eastAsia="Times New Roman"/>
          <w:noProof/>
          <w:u w:val="single"/>
          <w:lang w:val="en-IE"/>
        </w:rPr>
        <w:t>JRC</w:t>
      </w:r>
      <w:r w:rsidR="7E58D91C" w:rsidRPr="00013BDC">
        <w:rPr>
          <w:rFonts w:eastAsia="Times New Roman"/>
          <w:noProof/>
          <w:u w:val="single"/>
          <w:lang w:val="en-IE"/>
        </w:rPr>
        <w:t xml:space="preserve"> </w:t>
      </w:r>
      <w:r w:rsidR="007B313F" w:rsidRPr="00013BDC">
        <w:rPr>
          <w:rFonts w:eastAsia="Times New Roman"/>
          <w:noProof/>
          <w:u w:val="single"/>
          <w:lang w:val="en-IE"/>
        </w:rPr>
        <w:t xml:space="preserve">technical report </w:t>
      </w:r>
      <w:r w:rsidRPr="00013BDC">
        <w:rPr>
          <w:rFonts w:eastAsia="Times New Roman"/>
          <w:noProof/>
          <w:u w:val="single"/>
          <w:lang w:val="en-IE"/>
        </w:rPr>
        <w:t xml:space="preserve">(publication due </w:t>
      </w:r>
      <w:r w:rsidR="00694888" w:rsidRPr="00013BDC">
        <w:rPr>
          <w:rFonts w:eastAsia="Times New Roman"/>
          <w:noProof/>
          <w:u w:val="single"/>
          <w:lang w:val="en-IE"/>
        </w:rPr>
        <w:t xml:space="preserve">in </w:t>
      </w:r>
      <w:r w:rsidR="549F65AE" w:rsidRPr="00013BDC">
        <w:rPr>
          <w:rFonts w:eastAsia="Times New Roman"/>
          <w:noProof/>
          <w:u w:val="single"/>
          <w:lang w:val="en-IE"/>
        </w:rPr>
        <w:t xml:space="preserve">Q2 </w:t>
      </w:r>
      <w:r w:rsidRPr="00013BDC">
        <w:rPr>
          <w:rFonts w:eastAsia="Times New Roman"/>
          <w:noProof/>
          <w:u w:val="single"/>
          <w:lang w:val="en-IE"/>
        </w:rPr>
        <w:t>2023)</w:t>
      </w:r>
      <w:r w:rsidR="46DDCC7B" w:rsidRPr="00013BDC">
        <w:rPr>
          <w:rFonts w:eastAsia="Times New Roman"/>
          <w:noProof/>
          <w:u w:val="single"/>
          <w:lang w:val="en-IE"/>
        </w:rPr>
        <w:t xml:space="preserve"> </w:t>
      </w:r>
      <w:r w:rsidR="46DDCC7B" w:rsidRPr="00013BDC">
        <w:rPr>
          <w:rFonts w:eastAsia="Times New Roman"/>
          <w:noProof/>
          <w:lang w:val="en-IE"/>
        </w:rPr>
        <w:t>on good practices in separate collection of waste</w:t>
      </w:r>
      <w:r w:rsidRPr="00013BDC">
        <w:rPr>
          <w:rFonts w:eastAsia="Times New Roman"/>
          <w:noProof/>
          <w:lang w:val="en-IE"/>
        </w:rPr>
        <w:t>.</w:t>
      </w:r>
      <w:r w:rsidR="11791C3D" w:rsidRPr="00013BDC">
        <w:rPr>
          <w:rFonts w:eastAsia="Times New Roman"/>
          <w:noProof/>
          <w:lang w:val="en-IE"/>
        </w:rPr>
        <w:t xml:space="preserve"> The objective of the report is to identify and assess, based on an extensive stakeholder engagement</w:t>
      </w:r>
      <w:r w:rsidR="755A0444" w:rsidRPr="00013BDC">
        <w:rPr>
          <w:rFonts w:eastAsia="Times New Roman"/>
          <w:noProof/>
          <w:lang w:val="en-IE"/>
        </w:rPr>
        <w:t xml:space="preserve"> from the local authorities to waste management operators</w:t>
      </w:r>
      <w:r w:rsidR="11791C3D" w:rsidRPr="00013BDC">
        <w:rPr>
          <w:rFonts w:eastAsia="Times New Roman"/>
          <w:noProof/>
          <w:lang w:val="en-IE"/>
        </w:rPr>
        <w:t xml:space="preserve">, </w:t>
      </w:r>
      <w:r w:rsidR="207F7CDE" w:rsidRPr="00013BDC">
        <w:rPr>
          <w:rFonts w:eastAsia="Times New Roman"/>
          <w:noProof/>
          <w:lang w:val="en-IE"/>
        </w:rPr>
        <w:t xml:space="preserve">best practices in separate collection </w:t>
      </w:r>
      <w:r w:rsidR="06D01DF7" w:rsidRPr="00013BDC">
        <w:rPr>
          <w:rFonts w:eastAsia="Times New Roman"/>
          <w:noProof/>
          <w:lang w:val="en-IE"/>
        </w:rPr>
        <w:t xml:space="preserve">and </w:t>
      </w:r>
      <w:r w:rsidR="207F7CDE" w:rsidRPr="00013BDC">
        <w:rPr>
          <w:rFonts w:eastAsia="Times New Roman"/>
          <w:noProof/>
          <w:lang w:val="en-IE"/>
        </w:rPr>
        <w:t xml:space="preserve">based on a qualitative and quantitate assessment of the costs and benefits </w:t>
      </w:r>
      <w:r w:rsidR="67E4AEA5" w:rsidRPr="00013BDC">
        <w:rPr>
          <w:rFonts w:eastAsia="Times New Roman"/>
          <w:noProof/>
          <w:lang w:val="en-IE"/>
        </w:rPr>
        <w:t xml:space="preserve">identify </w:t>
      </w:r>
      <w:r w:rsidR="207F7CDE" w:rsidRPr="00013BDC">
        <w:rPr>
          <w:rFonts w:eastAsia="Times New Roman"/>
          <w:noProof/>
          <w:lang w:val="en-IE"/>
        </w:rPr>
        <w:t>practices</w:t>
      </w:r>
      <w:r w:rsidR="7A5E53DE" w:rsidRPr="00013BDC">
        <w:rPr>
          <w:rFonts w:eastAsia="Times New Roman"/>
          <w:noProof/>
          <w:lang w:val="en-IE"/>
        </w:rPr>
        <w:t xml:space="preserve"> that deliver best environmental outcome</w:t>
      </w:r>
      <w:r w:rsidR="207F7CDE" w:rsidRPr="00013BDC">
        <w:rPr>
          <w:rFonts w:eastAsia="Times New Roman"/>
          <w:noProof/>
          <w:lang w:val="en-IE"/>
        </w:rPr>
        <w:t>.</w:t>
      </w:r>
    </w:p>
    <w:p w14:paraId="07AAC688" w14:textId="51EA6D4D" w:rsidR="0014344F" w:rsidRPr="00013BDC" w:rsidRDefault="0014344F" w:rsidP="00410D9F">
      <w:pPr>
        <w:pStyle w:val="ListParagraph"/>
        <w:numPr>
          <w:ilvl w:val="0"/>
          <w:numId w:val="22"/>
        </w:numPr>
        <w:spacing w:after="120"/>
        <w:rPr>
          <w:rFonts w:eastAsia="Times New Roman"/>
          <w:noProof/>
          <w:lang w:val="en-IE"/>
        </w:rPr>
      </w:pPr>
      <w:r w:rsidRPr="00013BDC">
        <w:rPr>
          <w:rFonts w:eastAsia="Times New Roman"/>
          <w:noProof/>
          <w:u w:val="single"/>
          <w:lang w:val="en-IE"/>
        </w:rPr>
        <w:t>JRC technical report</w:t>
      </w:r>
      <w:r w:rsidRPr="00013BDC">
        <w:rPr>
          <w:rFonts w:eastAsia="Times New Roman"/>
          <w:noProof/>
          <w:lang w:val="en-IE"/>
        </w:rPr>
        <w:t xml:space="preserve"> on “Circular economy perspectives in the EU Textile sector”</w:t>
      </w:r>
      <w:r w:rsidRPr="00013BDC">
        <w:rPr>
          <w:noProof/>
          <w:vertAlign w:val="superscript"/>
          <w:lang w:val="en-IE"/>
        </w:rPr>
        <w:footnoteReference w:id="7"/>
      </w:r>
      <w:r w:rsidRPr="00013BDC">
        <w:rPr>
          <w:rFonts w:eastAsia="Times New Roman"/>
          <w:noProof/>
          <w:lang w:val="en-IE"/>
        </w:rPr>
        <w:t xml:space="preserve"> provided a detailed look at the volumes of post-consumer textiles available for collection, reuse and recycling in EU countries (based on available data) and it detailed existing capacities for the collection and sorting of old textiles, described recycling technologies in order to estimate future sorting and recycling capacities. </w:t>
      </w:r>
    </w:p>
    <w:p w14:paraId="617A0D97" w14:textId="5408F9C4" w:rsidR="0014344F" w:rsidRPr="00013BDC" w:rsidRDefault="0014344F" w:rsidP="00410D9F">
      <w:pPr>
        <w:pStyle w:val="ListParagraph"/>
        <w:numPr>
          <w:ilvl w:val="0"/>
          <w:numId w:val="22"/>
        </w:numPr>
        <w:spacing w:after="120"/>
        <w:ind w:left="714" w:hanging="357"/>
        <w:rPr>
          <w:rFonts w:eastAsia="Times New Roman"/>
          <w:noProof/>
          <w:lang w:val="en-IE"/>
        </w:rPr>
      </w:pPr>
      <w:r w:rsidRPr="00013BDC">
        <w:rPr>
          <w:rFonts w:eastAsia="Times New Roman"/>
          <w:noProof/>
          <w:lang w:val="en-IE"/>
        </w:rPr>
        <w:t>The “Study on the technical, regulatory, economic and environmental effectiveness of textile fibres recycling”</w:t>
      </w:r>
      <w:bookmarkStart w:id="68" w:name="_Ref133615553"/>
      <w:r w:rsidRPr="00013BDC">
        <w:rPr>
          <w:noProof/>
          <w:vertAlign w:val="superscript"/>
          <w:lang w:val="en-IE"/>
        </w:rPr>
        <w:footnoteReference w:id="8"/>
      </w:r>
      <w:bookmarkEnd w:id="68"/>
      <w:r w:rsidRPr="00013BDC">
        <w:rPr>
          <w:rFonts w:eastAsia="Times New Roman"/>
          <w:noProof/>
          <w:lang w:val="en-IE"/>
        </w:rPr>
        <w:t xml:space="preserve"> improved the knowledge of the effectiveness of recycling capabilities of textile waste with an analysis of their economic and environmental effectiveness and a roadmap of the technologies under development</w:t>
      </w:r>
      <w:r w:rsidRPr="00013BDC" w:rsidDel="42FB26FA">
        <w:rPr>
          <w:rFonts w:eastAsia="Times New Roman"/>
          <w:noProof/>
          <w:lang w:val="en-IE"/>
        </w:rPr>
        <w:t xml:space="preserve">. </w:t>
      </w:r>
    </w:p>
    <w:p w14:paraId="5D328039" w14:textId="06C3C5C3" w:rsidR="00AC5ED6" w:rsidRPr="00013BDC" w:rsidRDefault="00AC5ED6" w:rsidP="00AC5ED6">
      <w:pPr>
        <w:pStyle w:val="ListParagraph"/>
        <w:numPr>
          <w:ilvl w:val="0"/>
          <w:numId w:val="22"/>
        </w:numPr>
        <w:rPr>
          <w:rFonts w:eastAsia="Times New Roman"/>
          <w:noProof/>
          <w:lang w:val="en-IE"/>
        </w:rPr>
      </w:pPr>
      <w:r w:rsidRPr="00013BDC">
        <w:rPr>
          <w:rFonts w:eastAsia="Times New Roman"/>
          <w:noProof/>
          <w:u w:val="single"/>
          <w:lang w:val="en-IE"/>
        </w:rPr>
        <w:t>European Commission, Joint Research Centre</w:t>
      </w:r>
      <w:r w:rsidRPr="00013BDC">
        <w:rPr>
          <w:rFonts w:eastAsia="Times New Roman"/>
          <w:noProof/>
          <w:lang w:val="en-IE"/>
        </w:rPr>
        <w:t>. Techno-scientific assessment of the management options for used and waste textiles. 2023 (under development)</w:t>
      </w:r>
    </w:p>
    <w:p w14:paraId="18B75A2A" w14:textId="2BD2CFC4" w:rsidR="00190589" w:rsidRPr="00013BDC" w:rsidRDefault="00190589" w:rsidP="00410D9F">
      <w:pPr>
        <w:pStyle w:val="ListParagraph"/>
        <w:numPr>
          <w:ilvl w:val="0"/>
          <w:numId w:val="22"/>
        </w:numPr>
        <w:spacing w:after="120"/>
        <w:rPr>
          <w:noProof/>
          <w:lang w:val="en-IE"/>
        </w:rPr>
      </w:pPr>
      <w:r w:rsidRPr="00013BDC">
        <w:rPr>
          <w:rFonts w:eastAsia="Times New Roman"/>
          <w:noProof/>
          <w:u w:val="single"/>
          <w:lang w:val="en-IE"/>
        </w:rPr>
        <w:t>Eunomia (2023) Online sales</w:t>
      </w:r>
      <w:r w:rsidR="006C5649" w:rsidRPr="00013BDC">
        <w:rPr>
          <w:rFonts w:eastAsia="Times New Roman"/>
          <w:noProof/>
          <w:lang w:val="en-IE"/>
        </w:rPr>
        <w:t>.</w:t>
      </w:r>
      <w:r w:rsidR="05BB8417" w:rsidRPr="00013BDC">
        <w:rPr>
          <w:rFonts w:eastAsia="Times New Roman"/>
          <w:noProof/>
          <w:lang w:val="en-IE"/>
        </w:rPr>
        <w:t xml:space="preserve"> The study supports this initiative in gathering the evidence base and stakeholder consultation in relation to the regulatory barriers for the enforcement of extended producer responsibility rules in the online sale domain as well as the assessment of the </w:t>
      </w:r>
      <w:r w:rsidR="4B8691A6" w:rsidRPr="00013BDC">
        <w:rPr>
          <w:rFonts w:eastAsia="Times New Roman"/>
          <w:noProof/>
          <w:lang w:val="en-IE"/>
        </w:rPr>
        <w:t xml:space="preserve">past and future </w:t>
      </w:r>
      <w:r w:rsidR="05BB8417" w:rsidRPr="00013BDC">
        <w:rPr>
          <w:rFonts w:eastAsia="Times New Roman"/>
          <w:noProof/>
          <w:lang w:val="en-IE"/>
        </w:rPr>
        <w:t>development of the sec</w:t>
      </w:r>
      <w:r w:rsidR="7C9EB815" w:rsidRPr="00013BDC">
        <w:rPr>
          <w:rFonts w:eastAsia="Times New Roman"/>
          <w:noProof/>
          <w:lang w:val="en-IE"/>
        </w:rPr>
        <w:t xml:space="preserve">tor </w:t>
      </w:r>
      <w:r w:rsidR="6FA0893E" w:rsidRPr="00013BDC">
        <w:rPr>
          <w:rFonts w:eastAsia="Times New Roman"/>
          <w:noProof/>
          <w:lang w:val="en-IE"/>
        </w:rPr>
        <w:t>for the purposes of the impact assessment</w:t>
      </w:r>
      <w:r w:rsidR="7C9EB815" w:rsidRPr="00013BDC">
        <w:rPr>
          <w:rFonts w:eastAsia="Times New Roman"/>
          <w:noProof/>
          <w:lang w:val="en-IE"/>
        </w:rPr>
        <w:t>.</w:t>
      </w:r>
      <w:r w:rsidR="55F265C2" w:rsidRPr="00013BDC">
        <w:rPr>
          <w:rFonts w:eastAsia="Times New Roman"/>
          <w:noProof/>
          <w:lang w:val="en-IE"/>
        </w:rPr>
        <w:t xml:space="preserve"> </w:t>
      </w:r>
      <w:r w:rsidR="3CA50545" w:rsidRPr="00013BDC">
        <w:rPr>
          <w:noProof/>
          <w:lang w:val="en-IE"/>
        </w:rPr>
        <w:t>Publication envisaged along with the adoption of this initiative.</w:t>
      </w:r>
    </w:p>
    <w:p w14:paraId="2A3984B1" w14:textId="3E1A81D1" w:rsidR="00190589" w:rsidRPr="00013BDC" w:rsidRDefault="00190589" w:rsidP="00410D9F">
      <w:pPr>
        <w:pStyle w:val="ListParagraph"/>
        <w:numPr>
          <w:ilvl w:val="0"/>
          <w:numId w:val="22"/>
        </w:numPr>
        <w:spacing w:after="120"/>
        <w:rPr>
          <w:rFonts w:cs="Calibri"/>
          <w:noProof/>
          <w:lang w:val="en-IE"/>
        </w:rPr>
      </w:pPr>
      <w:r w:rsidRPr="00013BDC">
        <w:rPr>
          <w:rFonts w:eastAsia="Times New Roman"/>
          <w:noProof/>
          <w:u w:val="single"/>
          <w:lang w:val="en-IE"/>
        </w:rPr>
        <w:t>Oeko-Institute report (2020)</w:t>
      </w:r>
      <w:r w:rsidR="006F2B14" w:rsidRPr="00013BDC">
        <w:rPr>
          <w:rStyle w:val="FootnoteReference"/>
          <w:rFonts w:eastAsia="Times New Roman"/>
          <w:noProof/>
          <w:u w:val="single"/>
          <w:lang w:val="en-IE"/>
        </w:rPr>
        <w:footnoteReference w:id="9"/>
      </w:r>
      <w:r w:rsidR="000C2FA4" w:rsidRPr="00013BDC">
        <w:rPr>
          <w:rFonts w:eastAsia="Times New Roman"/>
          <w:noProof/>
          <w:lang w:val="en-IE"/>
        </w:rPr>
        <w:t>.</w:t>
      </w:r>
      <w:r w:rsidRPr="00013BDC">
        <w:rPr>
          <w:rFonts w:eastAsia="Times New Roman"/>
          <w:noProof/>
          <w:lang w:val="en-IE"/>
        </w:rPr>
        <w:t xml:space="preserve"> </w:t>
      </w:r>
      <w:r w:rsidRPr="00013BDC">
        <w:rPr>
          <w:rFonts w:cs="Calibri"/>
          <w:noProof/>
          <w:lang w:val="en-IE"/>
        </w:rPr>
        <w:t>Study to support the Commission in gathering structured information and defining of reporting obligations on waste oils and other hazardous waste”. Oeko-Institute (2020). This study provided an analysis on good practices of waste oil collection and management in Member States and contains an overview of EPR systems for lubricating oils in different MS. However, a full survey and analysis of EPR system and collection schemes in place and the functioning of Producer Responsibilities Organisations dealing with waste oils was beyond the scope of that study.</w:t>
      </w:r>
    </w:p>
    <w:p w14:paraId="1293063B" w14:textId="7E61F609" w:rsidR="00D71484" w:rsidRPr="00013BDC" w:rsidRDefault="2D307EEC" w:rsidP="00410D9F">
      <w:pPr>
        <w:pStyle w:val="ListParagraph"/>
        <w:numPr>
          <w:ilvl w:val="0"/>
          <w:numId w:val="22"/>
        </w:numPr>
        <w:spacing w:after="120"/>
        <w:ind w:left="714" w:hanging="357"/>
        <w:rPr>
          <w:rFonts w:eastAsia="Times New Roman"/>
          <w:noProof/>
          <w:lang w:val="en-IE"/>
        </w:rPr>
      </w:pPr>
      <w:r w:rsidRPr="00013BDC">
        <w:rPr>
          <w:rFonts w:eastAsia="Times New Roman"/>
          <w:noProof/>
          <w:u w:val="single"/>
          <w:lang w:val="en-IE"/>
        </w:rPr>
        <w:t>RDC Environment support study (publication due 2023)</w:t>
      </w:r>
      <w:r w:rsidR="000C2FA4" w:rsidRPr="00013BDC">
        <w:rPr>
          <w:rFonts w:eastAsia="Times New Roman"/>
          <w:noProof/>
          <w:lang w:val="en-IE"/>
        </w:rPr>
        <w:t>.</w:t>
      </w:r>
      <w:r w:rsidRPr="00013BDC">
        <w:rPr>
          <w:rFonts w:eastAsia="Times New Roman"/>
          <w:noProof/>
          <w:lang w:val="en-IE"/>
        </w:rPr>
        <w:t xml:space="preserve"> “Study to analyse lubricant and industrial oil EPR systems and waste oil collection schemes in EU Member States to support measures to increase collection rates”. The objective of the study is to provide a detailed analysis of lubricant and industrial oil EPR systems and waste oil collection schemes in EU Member States, analysing best practices and their impact on waste oil collection rates. The study also assesses possible measures and to enhance (mineral) waste oil collection rates and the possibility to propose quantitative collection targets. The study included a questionnaire consultation with Member States, a targeted stakeholder consultation and a dedicated workshop.</w:t>
      </w:r>
    </w:p>
    <w:p w14:paraId="12444A04" w14:textId="265BA291" w:rsidR="00190589" w:rsidRPr="00013BDC" w:rsidRDefault="00190589" w:rsidP="00410D9F">
      <w:pPr>
        <w:pStyle w:val="ListParagraph"/>
        <w:numPr>
          <w:ilvl w:val="0"/>
          <w:numId w:val="22"/>
        </w:numPr>
        <w:spacing w:after="0"/>
        <w:ind w:left="714" w:hanging="357"/>
        <w:rPr>
          <w:rFonts w:eastAsia="Times New Roman"/>
          <w:noProof/>
          <w:lang w:val="en-IE"/>
        </w:rPr>
      </w:pPr>
      <w:r w:rsidRPr="00013BDC">
        <w:rPr>
          <w:rFonts w:eastAsia="Times New Roman"/>
          <w:noProof/>
          <w:u w:val="single"/>
          <w:lang w:val="en-IE"/>
        </w:rPr>
        <w:t>JRC LCA/LCC support study (publication due 2023)</w:t>
      </w:r>
      <w:r w:rsidRPr="00013BDC">
        <w:rPr>
          <w:rFonts w:eastAsia="Times New Roman"/>
          <w:noProof/>
          <w:lang w:val="en-IE"/>
        </w:rPr>
        <w:t xml:space="preserve">. This study had the objective of performing a life-cycle-based comparison between waste oil regeneration and energy recovery for </w:t>
      </w:r>
      <w:r w:rsidR="00CC4F29" w:rsidRPr="00013BDC">
        <w:rPr>
          <w:rFonts w:eastAsia="Times New Roman"/>
          <w:noProof/>
          <w:lang w:val="en-IE"/>
        </w:rPr>
        <w:t>several</w:t>
      </w:r>
      <w:r w:rsidRPr="00013BDC">
        <w:rPr>
          <w:rFonts w:eastAsia="Times New Roman"/>
          <w:noProof/>
          <w:lang w:val="en-IE"/>
        </w:rPr>
        <w:t xml:space="preserve"> scenarios. These comparisons aimed to: a) </w:t>
      </w:r>
      <w:r w:rsidR="00CC4F29" w:rsidRPr="00013BDC">
        <w:rPr>
          <w:rFonts w:eastAsia="Times New Roman"/>
          <w:noProof/>
          <w:lang w:val="en-IE"/>
        </w:rPr>
        <w:t>q</w:t>
      </w:r>
      <w:r w:rsidRPr="00013BDC">
        <w:rPr>
          <w:rFonts w:eastAsia="Times New Roman"/>
          <w:noProof/>
          <w:lang w:val="en-IE"/>
        </w:rPr>
        <w:t xml:space="preserve">uantify the potential environmental impacts and life cycle costs resulting from managing waste oil in the EU via regeneration or energy recovery; b) identify the conditions under which a certain waste oil management options may be the most effective ones, from a life cycle perspective; c) calculate the total uncertainty of the outcome of the study, based on the uncertainty of all the parameters and model choices of the modelled waste management system. The study is due to be published as a JRC “Science for Policy report” following the adoption of the Commission’s proposal. </w:t>
      </w:r>
    </w:p>
    <w:p w14:paraId="70C0C5B3" w14:textId="1B4EE7C1" w:rsidR="00E5249C" w:rsidRPr="00013BDC" w:rsidRDefault="00E5249C" w:rsidP="00410D9F">
      <w:pPr>
        <w:pStyle w:val="ListParagraph"/>
        <w:numPr>
          <w:ilvl w:val="0"/>
          <w:numId w:val="22"/>
        </w:numPr>
        <w:spacing w:after="120"/>
        <w:ind w:left="714" w:hanging="357"/>
        <w:rPr>
          <w:rFonts w:eastAsia="Times New Roman"/>
          <w:noProof/>
          <w:lang w:val="en-IE"/>
        </w:rPr>
      </w:pPr>
      <w:r w:rsidRPr="00013BDC">
        <w:rPr>
          <w:rFonts w:eastAsia="Times New Roman"/>
          <w:noProof/>
          <w:u w:val="single"/>
          <w:lang w:val="en-IE"/>
        </w:rPr>
        <w:t>Eurostat</w:t>
      </w:r>
      <w:r w:rsidRPr="00013BDC">
        <w:rPr>
          <w:rFonts w:eastAsia="Times New Roman"/>
          <w:noProof/>
          <w:lang w:val="en-IE"/>
        </w:rPr>
        <w:t xml:space="preserve"> provided an analysis of the data reported by Members States on waste oils and on textile waste. </w:t>
      </w:r>
      <w:r w:rsidR="1922E94F" w:rsidRPr="00013BDC">
        <w:rPr>
          <w:rFonts w:eastAsia="Times New Roman"/>
          <w:noProof/>
          <w:lang w:val="en-IE"/>
        </w:rPr>
        <w:t>The first reporting on waste oils using the format</w:t>
      </w:r>
      <w:r w:rsidR="7C56850F" w:rsidRPr="00013BDC">
        <w:rPr>
          <w:rFonts w:eastAsia="Times New Roman"/>
          <w:noProof/>
          <w:lang w:val="en-IE"/>
        </w:rPr>
        <w:t xml:space="preserve"> </w:t>
      </w:r>
      <w:r w:rsidR="4F600191" w:rsidRPr="00013BDC">
        <w:rPr>
          <w:rFonts w:eastAsia="Times New Roman"/>
          <w:noProof/>
          <w:lang w:val="en-IE"/>
        </w:rPr>
        <w:t xml:space="preserve">defined in Annex VI of Decision (EU) 1004/2019 was done by Member </w:t>
      </w:r>
      <w:r w:rsidR="00665948" w:rsidRPr="00013BDC">
        <w:rPr>
          <w:rFonts w:eastAsia="Times New Roman"/>
          <w:noProof/>
          <w:lang w:val="en-IE"/>
        </w:rPr>
        <w:t>S</w:t>
      </w:r>
      <w:r w:rsidR="4F600191" w:rsidRPr="00013BDC">
        <w:rPr>
          <w:rFonts w:eastAsia="Times New Roman"/>
          <w:noProof/>
          <w:lang w:val="en-IE"/>
        </w:rPr>
        <w:t xml:space="preserve">tates </w:t>
      </w:r>
      <w:r w:rsidRPr="00013BDC">
        <w:rPr>
          <w:rFonts w:eastAsia="Times New Roman"/>
          <w:noProof/>
          <w:lang w:val="en-IE"/>
        </w:rPr>
        <w:t xml:space="preserve">for the first time in 2022, for the reference year 2020. </w:t>
      </w:r>
      <w:r w:rsidR="5727E2EF" w:rsidRPr="00013BDC">
        <w:rPr>
          <w:rFonts w:eastAsia="Times New Roman"/>
          <w:noProof/>
          <w:lang w:val="en-IE"/>
        </w:rPr>
        <w:t>Information on oils p</w:t>
      </w:r>
      <w:r w:rsidRPr="00013BDC">
        <w:rPr>
          <w:rFonts w:eastAsia="Times New Roman"/>
          <w:noProof/>
          <w:lang w:val="en-IE"/>
        </w:rPr>
        <w:t xml:space="preserve">laced on the market </w:t>
      </w:r>
      <w:r w:rsidR="671DEDF0" w:rsidRPr="00013BDC">
        <w:rPr>
          <w:rFonts w:eastAsia="Times New Roman"/>
          <w:noProof/>
          <w:lang w:val="en-IE"/>
        </w:rPr>
        <w:t>is</w:t>
      </w:r>
      <w:r w:rsidRPr="00013BDC">
        <w:rPr>
          <w:rFonts w:eastAsia="Times New Roman"/>
          <w:noProof/>
          <w:lang w:val="en-IE"/>
        </w:rPr>
        <w:t xml:space="preserve"> the most r</w:t>
      </w:r>
      <w:r w:rsidR="56D5A2A0" w:rsidRPr="00013BDC">
        <w:rPr>
          <w:rFonts w:eastAsia="Times New Roman"/>
          <w:noProof/>
          <w:lang w:val="en-IE"/>
        </w:rPr>
        <w:t>obust</w:t>
      </w:r>
      <w:r w:rsidRPr="00013BDC">
        <w:rPr>
          <w:rFonts w:eastAsia="Times New Roman"/>
          <w:noProof/>
          <w:lang w:val="en-IE"/>
        </w:rPr>
        <w:t xml:space="preserve">, while collection and treatment data </w:t>
      </w:r>
      <w:r w:rsidR="446253C5" w:rsidRPr="00013BDC">
        <w:rPr>
          <w:rFonts w:eastAsia="Times New Roman"/>
          <w:noProof/>
          <w:lang w:val="en-IE"/>
        </w:rPr>
        <w:t>appear to be</w:t>
      </w:r>
      <w:r w:rsidRPr="00013BDC">
        <w:rPr>
          <w:rFonts w:eastAsia="Times New Roman"/>
          <w:noProof/>
          <w:lang w:val="en-IE"/>
        </w:rPr>
        <w:t xml:space="preserve"> less reliable. Separately collected waste oils collection rates seemed either very low or very high, pointing to data collection problems. Treatment of waste oils </w:t>
      </w:r>
      <w:r w:rsidR="61E8F9E5" w:rsidRPr="00013BDC">
        <w:rPr>
          <w:rFonts w:eastAsia="Times New Roman"/>
          <w:noProof/>
          <w:lang w:val="en-IE"/>
        </w:rPr>
        <w:t>seem plausible</w:t>
      </w:r>
      <w:r w:rsidRPr="00013BDC">
        <w:rPr>
          <w:rFonts w:eastAsia="Times New Roman"/>
          <w:noProof/>
          <w:lang w:val="en-IE"/>
        </w:rPr>
        <w:t xml:space="preserve"> at the aggregated level, with inconsistencies in some countries between collection and treatment. Data is less comparable when treatment is broken down: generation and other recycling is not very comparable between countries (regeneration data missing in 9 MSs), and energy recovery shares varies a lot from country to country. Disposal is below 10% in all countries, with very limited exceptions.</w:t>
      </w:r>
    </w:p>
    <w:p w14:paraId="09F4FE2A" w14:textId="096D0043" w:rsidR="00504ABA" w:rsidRPr="00013BDC" w:rsidRDefault="00256185" w:rsidP="00410D9F">
      <w:pPr>
        <w:pStyle w:val="ListParagraph"/>
        <w:numPr>
          <w:ilvl w:val="0"/>
          <w:numId w:val="22"/>
        </w:numPr>
        <w:spacing w:after="120"/>
        <w:ind w:left="714" w:hanging="357"/>
        <w:rPr>
          <w:rFonts w:eastAsia="Times New Roman"/>
          <w:noProof/>
          <w:lang w:val="en-IE"/>
        </w:rPr>
      </w:pPr>
      <w:r w:rsidRPr="00013BDC">
        <w:rPr>
          <w:rFonts w:eastAsia="Times New Roman"/>
          <w:noProof/>
          <w:lang w:val="en-IE"/>
        </w:rPr>
        <w:t xml:space="preserve">On 25 October 2022, </w:t>
      </w:r>
      <w:r w:rsidR="3ADD6EA5" w:rsidRPr="00013BDC">
        <w:rPr>
          <w:rFonts w:eastAsia="Times New Roman"/>
          <w:noProof/>
          <w:lang w:val="en-IE"/>
        </w:rPr>
        <w:t xml:space="preserve">Eurostat </w:t>
      </w:r>
      <w:r w:rsidRPr="00013BDC">
        <w:rPr>
          <w:rFonts w:eastAsia="Times New Roman"/>
          <w:noProof/>
          <w:lang w:val="en-IE"/>
        </w:rPr>
        <w:t xml:space="preserve">published the first dedicated statistical monitoring of the amount of food waste in the European Union </w:t>
      </w:r>
      <w:r w:rsidR="004C7113" w:rsidRPr="00013BDC">
        <w:rPr>
          <w:rFonts w:eastAsia="Times New Roman"/>
          <w:noProof/>
          <w:lang w:val="en-IE"/>
        </w:rPr>
        <w:t>–</w:t>
      </w:r>
      <w:r w:rsidRPr="00013BDC">
        <w:rPr>
          <w:rFonts w:eastAsia="Times New Roman"/>
          <w:noProof/>
          <w:lang w:val="en-IE"/>
        </w:rPr>
        <w:t xml:space="preserve"> </w:t>
      </w:r>
      <w:hyperlink r:id="rId45" w:history="1">
        <w:r w:rsidRPr="00013BDC">
          <w:rPr>
            <w:rStyle w:val="Hyperlink"/>
            <w:rFonts w:eastAsia="Times New Roman"/>
            <w:noProof/>
            <w:lang w:val="en-IE"/>
          </w:rPr>
          <w:t>https://ec.europa.eu/eurostat/statistics-explained/index.php?title=Food_waste_and_food_waste_prevention_-_estimates</w:t>
        </w:r>
      </w:hyperlink>
      <w:r w:rsidRPr="00013BDC">
        <w:rPr>
          <w:rFonts w:eastAsia="Times New Roman"/>
          <w:noProof/>
          <w:lang w:val="en-IE"/>
        </w:rPr>
        <w:t xml:space="preserve"> </w:t>
      </w:r>
    </w:p>
    <w:p w14:paraId="4EFD1BA5" w14:textId="3CBF2B71" w:rsidR="00347742" w:rsidRPr="00013BDC" w:rsidRDefault="403091CC" w:rsidP="00410D9F">
      <w:pPr>
        <w:pStyle w:val="ListParagraph"/>
        <w:numPr>
          <w:ilvl w:val="0"/>
          <w:numId w:val="22"/>
        </w:numPr>
        <w:rPr>
          <w:noProof/>
          <w:lang w:val="en-IE"/>
        </w:rPr>
      </w:pPr>
      <w:r w:rsidRPr="00013BDC">
        <w:rPr>
          <w:rFonts w:eastAsia="Times New Roman"/>
          <w:noProof/>
          <w:u w:val="single"/>
          <w:lang w:val="en-IE"/>
        </w:rPr>
        <w:t xml:space="preserve">JRC </w:t>
      </w:r>
      <w:r w:rsidR="004956F2" w:rsidRPr="00013BDC">
        <w:rPr>
          <w:rFonts w:eastAsia="Times New Roman"/>
          <w:noProof/>
          <w:u w:val="single"/>
          <w:lang w:val="en-IE"/>
        </w:rPr>
        <w:t xml:space="preserve">support study </w:t>
      </w:r>
      <w:r w:rsidRPr="00013BDC">
        <w:rPr>
          <w:rFonts w:eastAsia="Times New Roman"/>
          <w:noProof/>
          <w:u w:val="single"/>
          <w:lang w:val="en-IE"/>
        </w:rPr>
        <w:t>on food waste targets (2023)</w:t>
      </w:r>
      <w:r w:rsidRPr="00013BDC">
        <w:rPr>
          <w:rFonts w:eastAsia="Times New Roman"/>
          <w:noProof/>
          <w:lang w:val="en-IE"/>
        </w:rPr>
        <w:t xml:space="preserve">. </w:t>
      </w:r>
      <w:r w:rsidR="00347742" w:rsidRPr="00013BDC">
        <w:rPr>
          <w:rFonts w:eastAsia="Times New Roman"/>
          <w:noProof/>
          <w:lang w:val="en-IE"/>
        </w:rPr>
        <w:t>JRC has prepared t</w:t>
      </w:r>
      <w:r w:rsidR="00FC68A3" w:rsidRPr="00013BDC">
        <w:rPr>
          <w:rFonts w:eastAsia="Times New Roman"/>
          <w:noProof/>
          <w:lang w:val="en-IE"/>
        </w:rPr>
        <w:t xml:space="preserve">wo </w:t>
      </w:r>
      <w:r w:rsidR="152E3871" w:rsidRPr="00013BDC">
        <w:rPr>
          <w:rFonts w:eastAsia="Times New Roman"/>
          <w:noProof/>
          <w:lang w:val="en-IE"/>
        </w:rPr>
        <w:t>report</w:t>
      </w:r>
      <w:r w:rsidR="00347742" w:rsidRPr="00013BDC">
        <w:rPr>
          <w:rFonts w:eastAsia="Times New Roman"/>
          <w:noProof/>
          <w:lang w:val="en-IE"/>
        </w:rPr>
        <w:t>s</w:t>
      </w:r>
      <w:r w:rsidR="152E3871" w:rsidRPr="00013BDC">
        <w:rPr>
          <w:rFonts w:eastAsia="Times New Roman"/>
          <w:noProof/>
          <w:lang w:val="en-IE"/>
        </w:rPr>
        <w:t xml:space="preserve"> </w:t>
      </w:r>
      <w:r w:rsidR="00E37FC6" w:rsidRPr="00013BDC">
        <w:rPr>
          <w:rFonts w:eastAsia="Times New Roman"/>
          <w:noProof/>
          <w:lang w:val="en-IE"/>
        </w:rPr>
        <w:t xml:space="preserve">providing </w:t>
      </w:r>
      <w:r w:rsidRPr="00013BDC">
        <w:rPr>
          <w:rFonts w:eastAsia="Times New Roman"/>
          <w:noProof/>
          <w:lang w:val="en-IE"/>
        </w:rPr>
        <w:t>analysis to support the development of the European Commission’s Impact Assessment (IA) concerning revision to Directive 2008/98/EC on waste</w:t>
      </w:r>
      <w:r w:rsidR="2F70B7BB" w:rsidRPr="00013BDC">
        <w:rPr>
          <w:rFonts w:eastAsia="Times New Roman"/>
          <w:noProof/>
          <w:lang w:val="en-IE"/>
        </w:rPr>
        <w:t xml:space="preserve"> on the feasibility of setting food waste reduction targets</w:t>
      </w:r>
      <w:r w:rsidR="00347742" w:rsidRPr="00013BDC">
        <w:rPr>
          <w:rFonts w:eastAsia="Times New Roman"/>
          <w:noProof/>
          <w:lang w:val="en-IE"/>
        </w:rPr>
        <w:t>:</w:t>
      </w:r>
    </w:p>
    <w:p w14:paraId="368F0C0B" w14:textId="1F854A47" w:rsidR="00347742" w:rsidRPr="00013BDC" w:rsidRDefault="00347742" w:rsidP="00013BDC">
      <w:pPr>
        <w:pStyle w:val="NormalWeb"/>
        <w:numPr>
          <w:ilvl w:val="1"/>
          <w:numId w:val="22"/>
        </w:numPr>
        <w:rPr>
          <w:noProof/>
          <w:color w:val="000000"/>
        </w:rPr>
      </w:pPr>
      <w:r w:rsidRPr="00013BDC">
        <w:rPr>
          <w:noProof/>
          <w:color w:val="000000"/>
          <w:lang w:val="en-US" w:eastAsia="en-US"/>
        </w:rPr>
        <w:t xml:space="preserve">De Laurentiis, V, Mancini, L, Casonato, C, Boysen-Urban, K, De Jong, B, M’Barek, R, Sanyé Mengual, E, Sala, S. </w:t>
      </w:r>
      <w:r w:rsidRPr="00013BDC">
        <w:rPr>
          <w:i/>
          <w:iCs/>
          <w:noProof/>
          <w:color w:val="000000"/>
          <w:lang w:val="en-US" w:eastAsia="en-US"/>
        </w:rPr>
        <w:t>Setting the scene for an EU initiative on food waste reduction targets</w:t>
      </w:r>
      <w:r w:rsidRPr="00013BDC">
        <w:rPr>
          <w:noProof/>
          <w:color w:val="000000"/>
          <w:lang w:val="en-US" w:eastAsia="en-US"/>
        </w:rPr>
        <w:t>. Publication Office of the European Union, Luxembourg, 2023, doi: 10.2760/13859, JRC133967</w:t>
      </w:r>
    </w:p>
    <w:p w14:paraId="28CDD83E" w14:textId="77777777" w:rsidR="00347742" w:rsidRPr="00013BDC" w:rsidRDefault="00347742" w:rsidP="00013BDC">
      <w:pPr>
        <w:pStyle w:val="NormalWeb"/>
        <w:numPr>
          <w:ilvl w:val="1"/>
          <w:numId w:val="22"/>
        </w:numPr>
        <w:rPr>
          <w:noProof/>
          <w:color w:val="000000"/>
          <w:lang w:val="en-IE"/>
        </w:rPr>
      </w:pPr>
      <w:r w:rsidRPr="00F22C02">
        <w:rPr>
          <w:noProof/>
          <w:color w:val="000000"/>
          <w:lang w:eastAsia="en-US"/>
        </w:rPr>
        <w:t xml:space="preserve">De Jong B, Boysen-Urban K, De Laurentiis V, Philippidis G, Bartelings  H, Mancini L, Biganzoli F, Sanyé Mengual E, Sala S, Lasarte-López J, Rokicki B, M’barek R. </w:t>
      </w:r>
      <w:r w:rsidRPr="00F22C02">
        <w:rPr>
          <w:i/>
          <w:iCs/>
          <w:noProof/>
          <w:color w:val="000000"/>
          <w:lang w:eastAsia="en-US"/>
        </w:rPr>
        <w:t xml:space="preserve">Assessing the economic, social and environmental impacts of food waste reduction targets. </w:t>
      </w:r>
      <w:r w:rsidRPr="00013BDC">
        <w:rPr>
          <w:i/>
          <w:iCs/>
          <w:noProof/>
          <w:color w:val="000000"/>
          <w:lang w:val="en-GB" w:eastAsia="en-US"/>
        </w:rPr>
        <w:t xml:space="preserve">A model-based analysis. </w:t>
      </w:r>
      <w:r w:rsidRPr="00013BDC">
        <w:rPr>
          <w:noProof/>
          <w:color w:val="000000"/>
          <w:lang w:val="en-GB" w:eastAsia="en-US"/>
        </w:rPr>
        <w:t>Publications Office of the European Union, Luxembourg, 2023, doi:10.2760/77251, JRC133971.</w:t>
      </w:r>
    </w:p>
    <w:p w14:paraId="609ED8A7" w14:textId="702B7A7C" w:rsidR="3031558F" w:rsidRPr="00013BDC" w:rsidRDefault="61D21CBD" w:rsidP="00410D9F">
      <w:pPr>
        <w:pStyle w:val="ListParagraph"/>
        <w:numPr>
          <w:ilvl w:val="0"/>
          <w:numId w:val="22"/>
        </w:numPr>
        <w:rPr>
          <w:noProof/>
          <w:lang w:val="en-IE"/>
        </w:rPr>
      </w:pPr>
      <w:r w:rsidRPr="00013BDC">
        <w:rPr>
          <w:rFonts w:eastAsia="Times New Roman"/>
          <w:noProof/>
          <w:lang w:val="en-IE"/>
        </w:rPr>
        <w:t xml:space="preserve"> </w:t>
      </w:r>
    </w:p>
    <w:p w14:paraId="59E79B44" w14:textId="65029D87" w:rsidR="00D71484" w:rsidRPr="00013BDC" w:rsidRDefault="2D307EEC" w:rsidP="001B1E6E">
      <w:pPr>
        <w:rPr>
          <w:rFonts w:eastAsia="Times New Roman"/>
          <w:noProof/>
          <w:lang w:val="en-IE"/>
        </w:rPr>
      </w:pPr>
      <w:r w:rsidRPr="00013BDC">
        <w:rPr>
          <w:rFonts w:eastAsia="Times New Roman"/>
          <w:noProof/>
          <w:lang w:val="en-IE"/>
        </w:rPr>
        <w:t xml:space="preserve">These teams worked in close cooperation with </w:t>
      </w:r>
      <w:r w:rsidR="00CB19CF" w:rsidRPr="00013BDC">
        <w:rPr>
          <w:rFonts w:eastAsia="Times New Roman"/>
          <w:noProof/>
          <w:lang w:val="en-IE"/>
        </w:rPr>
        <w:t xml:space="preserve">the Commission, and partly in consultation with one another throughout the process, </w:t>
      </w:r>
      <w:r w:rsidRPr="00013BDC">
        <w:rPr>
          <w:rFonts w:eastAsia="Times New Roman"/>
          <w:noProof/>
          <w:lang w:val="en-IE"/>
        </w:rPr>
        <w:t>throughout the different phases of the study</w:t>
      </w:r>
      <w:r w:rsidR="00CB19CF" w:rsidRPr="00013BDC">
        <w:rPr>
          <w:rFonts w:eastAsia="Times New Roman"/>
          <w:noProof/>
          <w:lang w:val="en-IE"/>
        </w:rPr>
        <w:t>. C</w:t>
      </w:r>
      <w:r w:rsidRPr="00013BDC">
        <w:rPr>
          <w:rFonts w:eastAsia="Times New Roman"/>
          <w:noProof/>
          <w:lang w:val="en-IE"/>
        </w:rPr>
        <w:t xml:space="preserve">onsistency of data sources and methodological assumptions </w:t>
      </w:r>
      <w:r w:rsidR="00CB19CF" w:rsidRPr="00013BDC">
        <w:rPr>
          <w:rFonts w:eastAsia="Times New Roman"/>
          <w:noProof/>
          <w:lang w:val="en-IE"/>
        </w:rPr>
        <w:t xml:space="preserve">was </w:t>
      </w:r>
      <w:r w:rsidR="00523A25" w:rsidRPr="00013BDC">
        <w:rPr>
          <w:rFonts w:eastAsia="Times New Roman"/>
          <w:noProof/>
          <w:lang w:val="en-IE"/>
        </w:rPr>
        <w:t xml:space="preserve">ensured to </w:t>
      </w:r>
      <w:r w:rsidRPr="00013BDC">
        <w:rPr>
          <w:rFonts w:eastAsia="Times New Roman"/>
          <w:noProof/>
          <w:lang w:val="en-IE"/>
        </w:rPr>
        <w:t>assembl</w:t>
      </w:r>
      <w:r w:rsidR="00523A25" w:rsidRPr="00013BDC">
        <w:rPr>
          <w:rFonts w:eastAsia="Times New Roman"/>
          <w:noProof/>
          <w:lang w:val="en-IE"/>
        </w:rPr>
        <w:t>e</w:t>
      </w:r>
      <w:r w:rsidRPr="00013BDC">
        <w:rPr>
          <w:rFonts w:eastAsia="Times New Roman"/>
          <w:noProof/>
          <w:lang w:val="en-IE"/>
        </w:rPr>
        <w:t xml:space="preserve"> a coherent evidence base</w:t>
      </w:r>
      <w:r w:rsidR="00523A25" w:rsidRPr="00013BDC">
        <w:rPr>
          <w:rFonts w:eastAsia="Times New Roman"/>
          <w:noProof/>
          <w:lang w:val="en-IE"/>
        </w:rPr>
        <w:t xml:space="preserve">, to develop </w:t>
      </w:r>
      <w:r w:rsidR="00533D51" w:rsidRPr="00013BDC">
        <w:rPr>
          <w:rFonts w:eastAsia="Times New Roman"/>
          <w:noProof/>
          <w:lang w:val="en-IE"/>
        </w:rPr>
        <w:t>the baseline</w:t>
      </w:r>
      <w:r w:rsidRPr="00013BDC">
        <w:rPr>
          <w:rFonts w:eastAsia="Times New Roman"/>
          <w:noProof/>
          <w:lang w:val="en-IE"/>
        </w:rPr>
        <w:t xml:space="preserve"> and</w:t>
      </w:r>
      <w:r w:rsidR="00523A25" w:rsidRPr="00013BDC">
        <w:rPr>
          <w:rFonts w:eastAsia="Times New Roman"/>
          <w:noProof/>
          <w:lang w:val="en-IE"/>
        </w:rPr>
        <w:t xml:space="preserve"> to</w:t>
      </w:r>
      <w:r w:rsidRPr="00013BDC">
        <w:rPr>
          <w:rFonts w:eastAsia="Times New Roman"/>
          <w:noProof/>
          <w:lang w:val="en-IE"/>
        </w:rPr>
        <w:t xml:space="preserve"> assess, scree</w:t>
      </w:r>
      <w:r w:rsidR="00523A25" w:rsidRPr="00013BDC">
        <w:rPr>
          <w:rFonts w:eastAsia="Times New Roman"/>
          <w:noProof/>
          <w:lang w:val="en-IE"/>
        </w:rPr>
        <w:t>n</w:t>
      </w:r>
      <w:r w:rsidRPr="00013BDC">
        <w:rPr>
          <w:rFonts w:eastAsia="Times New Roman"/>
          <w:noProof/>
          <w:lang w:val="en-IE"/>
        </w:rPr>
        <w:t xml:space="preserve"> and adjusting policy measures and options.</w:t>
      </w:r>
    </w:p>
    <w:p w14:paraId="253C5CFE" w14:textId="77777777" w:rsidR="00D71484" w:rsidRPr="00013BDC" w:rsidRDefault="00D71484" w:rsidP="001B1E6E">
      <w:pPr>
        <w:rPr>
          <w:rFonts w:eastAsia="Times New Roman"/>
          <w:noProof/>
          <w:szCs w:val="20"/>
          <w:lang w:val="en-IE"/>
        </w:rPr>
      </w:pPr>
      <w:r w:rsidRPr="00013BDC">
        <w:rPr>
          <w:noProof/>
          <w:lang w:val="en-IE"/>
        </w:rPr>
        <w:br w:type="page"/>
      </w:r>
    </w:p>
    <w:p w14:paraId="60CA50B1" w14:textId="200DC8C2" w:rsidR="00EC0263" w:rsidRPr="00013BDC" w:rsidRDefault="0A203B58" w:rsidP="004A0ACC">
      <w:pPr>
        <w:pStyle w:val="AnnexTitle"/>
        <w:rPr>
          <w:noProof/>
          <w:lang w:val="en-IE"/>
        </w:rPr>
      </w:pPr>
      <w:bookmarkStart w:id="69" w:name="_Toc117004508"/>
      <w:bookmarkStart w:id="70" w:name="_Toc118014792"/>
      <w:bookmarkStart w:id="71" w:name="_Toc120782535"/>
      <w:bookmarkStart w:id="72" w:name="_Toc124777274"/>
      <w:bookmarkStart w:id="73" w:name="_Toc132761280"/>
      <w:bookmarkStart w:id="74" w:name="_Toc1828782218"/>
      <w:bookmarkStart w:id="75" w:name="_Toc819664911"/>
      <w:bookmarkStart w:id="76" w:name="_Toc116190086"/>
      <w:bookmarkStart w:id="77" w:name="_Toc1765137574"/>
      <w:bookmarkStart w:id="78" w:name="_Toc505336738"/>
      <w:bookmarkStart w:id="79" w:name="_Toc269972107"/>
      <w:bookmarkStart w:id="80" w:name="_Toc1736009340"/>
      <w:bookmarkStart w:id="81" w:name="_Toc139032932"/>
      <w:r w:rsidRPr="00013BDC">
        <w:rPr>
          <w:noProof/>
          <w:lang w:val="en-IE"/>
        </w:rPr>
        <w:t>Annex 2: Stakeholder consultation (Synopsis report)</w:t>
      </w:r>
      <w:bookmarkEnd w:id="69"/>
      <w:bookmarkEnd w:id="70"/>
      <w:bookmarkEnd w:id="71"/>
      <w:bookmarkEnd w:id="72"/>
      <w:bookmarkEnd w:id="73"/>
      <w:bookmarkEnd w:id="74"/>
      <w:bookmarkEnd w:id="75"/>
      <w:bookmarkEnd w:id="76"/>
      <w:bookmarkEnd w:id="77"/>
      <w:bookmarkEnd w:id="78"/>
      <w:bookmarkEnd w:id="79"/>
      <w:bookmarkEnd w:id="80"/>
      <w:bookmarkEnd w:id="81"/>
    </w:p>
    <w:p w14:paraId="5E59CFB4" w14:textId="04C1E6B7" w:rsidR="00EC7841" w:rsidRPr="00013BDC" w:rsidRDefault="00EC7841" w:rsidP="00EC7841">
      <w:pPr>
        <w:spacing w:after="120"/>
        <w:rPr>
          <w:rFonts w:eastAsia="Calibri"/>
          <w:noProof/>
          <w:lang w:val="en-IE"/>
        </w:rPr>
      </w:pPr>
      <w:r w:rsidRPr="00013BDC">
        <w:rPr>
          <w:rFonts w:eastAsia="Calibri"/>
          <w:noProof/>
          <w:lang w:val="en-IE"/>
        </w:rPr>
        <w:t>This Annex report</w:t>
      </w:r>
      <w:r w:rsidR="003C4F77" w:rsidRPr="00013BDC">
        <w:rPr>
          <w:rFonts w:eastAsia="Calibri"/>
          <w:noProof/>
          <w:lang w:val="en-IE"/>
        </w:rPr>
        <w:t>s on</w:t>
      </w:r>
      <w:r w:rsidRPr="00013BDC">
        <w:rPr>
          <w:rFonts w:eastAsia="Calibri"/>
          <w:noProof/>
          <w:lang w:val="en-IE"/>
        </w:rPr>
        <w:t xml:space="preserve"> </w:t>
      </w:r>
      <w:r w:rsidR="00AE089B" w:rsidRPr="00013BDC">
        <w:rPr>
          <w:rFonts w:eastAsia="Calibri"/>
          <w:noProof/>
          <w:lang w:val="en-IE"/>
        </w:rPr>
        <w:t>all consultation</w:t>
      </w:r>
      <w:r w:rsidRPr="00013BDC">
        <w:rPr>
          <w:rFonts w:eastAsia="Calibri"/>
          <w:noProof/>
          <w:lang w:val="en-IE"/>
        </w:rPr>
        <w:t xml:space="preserve"> activities undertaken as part of the WFD revision. In line with the Better Regulation requirements, </w:t>
      </w:r>
      <w:r w:rsidR="00FF24D2" w:rsidRPr="00013BDC">
        <w:rPr>
          <w:rFonts w:eastAsia="Calibri"/>
          <w:noProof/>
          <w:lang w:val="en-IE"/>
        </w:rPr>
        <w:t>it</w:t>
      </w:r>
      <w:r w:rsidRPr="00013BDC">
        <w:rPr>
          <w:rFonts w:eastAsia="Calibri"/>
          <w:noProof/>
          <w:lang w:val="en-IE"/>
        </w:rPr>
        <w:t xml:space="preserve"> provides an outline of the consultation strategy, describes the consultation activities undertaken, presents the stakeholder groups that participated, and a description of the methodology and tools used to process the data gathered. The results of each consultation activity are briefly presented. </w:t>
      </w:r>
      <w:r w:rsidR="00934DED" w:rsidRPr="00013BDC">
        <w:rPr>
          <w:rFonts w:eastAsia="Calibri"/>
          <w:noProof/>
          <w:lang w:val="en-IE"/>
        </w:rPr>
        <w:t>More</w:t>
      </w:r>
      <w:r w:rsidRPr="00013BDC">
        <w:rPr>
          <w:rFonts w:eastAsia="Calibri"/>
          <w:noProof/>
          <w:lang w:val="en-IE"/>
        </w:rPr>
        <w:t xml:space="preserve"> details are available in the studies</w:t>
      </w:r>
      <w:r w:rsidRPr="00013BDC">
        <w:rPr>
          <w:noProof/>
          <w:lang w:val="en-IE" w:eastAsia="da-DK"/>
        </w:rPr>
        <w:t xml:space="preserve"> listed in Annex 1 when these included stakeholder consultations</w:t>
      </w:r>
      <w:r w:rsidR="00934DED" w:rsidRPr="00013BDC">
        <w:rPr>
          <w:noProof/>
          <w:lang w:val="en-IE" w:eastAsia="da-DK"/>
        </w:rPr>
        <w:t>. S</w:t>
      </w:r>
      <w:r w:rsidRPr="00013BDC">
        <w:rPr>
          <w:noProof/>
          <w:lang w:val="en-IE" w:eastAsia="da-DK"/>
        </w:rPr>
        <w:t>takeholder views are provided as relevant in the sections on the problem definition, the available policy options and the impacts of the policy options.</w:t>
      </w:r>
    </w:p>
    <w:p w14:paraId="368209AD" w14:textId="581586F0" w:rsidR="00EC7841" w:rsidRPr="00013BDC" w:rsidRDefault="00EC7841" w:rsidP="00665D0B">
      <w:pPr>
        <w:rPr>
          <w:rFonts w:eastAsia="Calibri"/>
          <w:noProof/>
          <w:lang w:val="en-IE"/>
        </w:rPr>
      </w:pPr>
      <w:r w:rsidRPr="00013BDC">
        <w:rPr>
          <w:rFonts w:eastAsia="Calibri"/>
          <w:noProof/>
          <w:lang w:val="en-IE"/>
        </w:rPr>
        <w:t>This document should be regarded solely as a summary of the contributions made by stakeholders to the consultation activities that took place in the context of the Impact Assessment on the revision of the Waste Framework Directive and setting EU-level targets for food waste</w:t>
      </w:r>
      <w:r w:rsidR="00451491" w:rsidRPr="00013BDC">
        <w:rPr>
          <w:rFonts w:eastAsia="Calibri"/>
          <w:noProof/>
          <w:lang w:val="en-IE"/>
        </w:rPr>
        <w:t xml:space="preserve">. </w:t>
      </w:r>
      <w:r w:rsidRPr="00013BDC">
        <w:rPr>
          <w:rFonts w:eastAsia="Calibri"/>
          <w:noProof/>
          <w:lang w:val="en-IE"/>
        </w:rPr>
        <w:t>It cannot in any circumstances be regarded as the official position of the Commission or its services. Responses to the consultation activities cannot be considered as a representative sample of the views of the EU population</w:t>
      </w:r>
      <w:r w:rsidR="002E4526" w:rsidRPr="00013BDC">
        <w:rPr>
          <w:rFonts w:eastAsia="Calibri"/>
          <w:noProof/>
          <w:lang w:val="en-IE"/>
        </w:rPr>
        <w:t>.</w:t>
      </w:r>
    </w:p>
    <w:p w14:paraId="74A3A431" w14:textId="55CC99B4" w:rsidR="00EC5050" w:rsidRPr="00013BDC" w:rsidRDefault="00451491" w:rsidP="00665D0B">
      <w:pPr>
        <w:rPr>
          <w:rFonts w:eastAsia="Calibri"/>
          <w:noProof/>
          <w:lang w:val="en-IE"/>
        </w:rPr>
      </w:pPr>
      <w:r w:rsidRPr="00013BDC">
        <w:rPr>
          <w:rFonts w:eastAsia="Calibri"/>
          <w:noProof/>
          <w:lang w:val="en-IE"/>
        </w:rPr>
        <w:t xml:space="preserve">Contributions </w:t>
      </w:r>
      <w:r w:rsidR="001552BE" w:rsidRPr="00013BDC">
        <w:rPr>
          <w:rFonts w:eastAsia="Calibri"/>
          <w:noProof/>
          <w:lang w:val="en-IE"/>
        </w:rPr>
        <w:t xml:space="preserve">have also been </w:t>
      </w:r>
      <w:r w:rsidRPr="00013BDC">
        <w:rPr>
          <w:rFonts w:eastAsia="Calibri"/>
          <w:noProof/>
          <w:lang w:val="en-IE"/>
        </w:rPr>
        <w:t xml:space="preserve">received through </w:t>
      </w:r>
      <w:r w:rsidR="006266AA" w:rsidRPr="00013BDC">
        <w:rPr>
          <w:rFonts w:eastAsia="Calibri"/>
          <w:noProof/>
          <w:lang w:val="en-IE"/>
        </w:rPr>
        <w:t xml:space="preserve">the </w:t>
      </w:r>
      <w:r w:rsidR="00EC5050" w:rsidRPr="00013BDC">
        <w:rPr>
          <w:rFonts w:eastAsia="Calibri"/>
          <w:noProof/>
          <w:lang w:val="en-IE"/>
        </w:rPr>
        <w:t xml:space="preserve">Conference on the </w:t>
      </w:r>
      <w:r w:rsidR="001552BE" w:rsidRPr="00013BDC">
        <w:rPr>
          <w:rFonts w:eastAsia="Calibri"/>
          <w:noProof/>
          <w:lang w:val="en-IE"/>
        </w:rPr>
        <w:t>F</w:t>
      </w:r>
      <w:r w:rsidR="00EC5050" w:rsidRPr="00013BDC">
        <w:rPr>
          <w:rFonts w:eastAsia="Calibri"/>
          <w:noProof/>
          <w:lang w:val="en-IE"/>
        </w:rPr>
        <w:t>uture of Europe</w:t>
      </w:r>
      <w:r w:rsidR="002B5D24" w:rsidRPr="00013BDC">
        <w:rPr>
          <w:rFonts w:eastAsia="Calibri"/>
          <w:noProof/>
          <w:lang w:val="en-IE"/>
        </w:rPr>
        <w:t>, held in April-</w:t>
      </w:r>
      <w:r w:rsidR="00050EDF" w:rsidRPr="00013BDC">
        <w:rPr>
          <w:rFonts w:eastAsia="Calibri"/>
          <w:noProof/>
          <w:lang w:val="en-IE"/>
        </w:rPr>
        <w:t xml:space="preserve"> May 2022</w:t>
      </w:r>
      <w:r w:rsidR="006266AA" w:rsidRPr="00013BDC">
        <w:rPr>
          <w:rFonts w:eastAsia="Calibri"/>
          <w:noProof/>
          <w:lang w:val="en-IE"/>
        </w:rPr>
        <w:t xml:space="preserve"> and the</w:t>
      </w:r>
      <w:r w:rsidR="007A64C4" w:rsidRPr="00013BDC">
        <w:rPr>
          <w:rFonts w:eastAsia="Calibri"/>
          <w:noProof/>
          <w:lang w:val="en-IE"/>
        </w:rPr>
        <w:t xml:space="preserve"> </w:t>
      </w:r>
      <w:r w:rsidR="006266AA" w:rsidRPr="00013BDC">
        <w:rPr>
          <w:rFonts w:eastAsia="Calibri"/>
          <w:noProof/>
          <w:lang w:val="en-IE"/>
        </w:rPr>
        <w:t>citizens’ panel</w:t>
      </w:r>
      <w:r w:rsidR="007A64C4" w:rsidRPr="00013BDC">
        <w:rPr>
          <w:rFonts w:eastAsia="Calibri"/>
          <w:noProof/>
          <w:lang w:val="en-IE"/>
        </w:rPr>
        <w:t xml:space="preserve"> convened by the European Commission</w:t>
      </w:r>
      <w:r w:rsidR="00050EDF" w:rsidRPr="00013BDC">
        <w:rPr>
          <w:rFonts w:eastAsia="Calibri"/>
          <w:noProof/>
          <w:lang w:val="en-IE"/>
        </w:rPr>
        <w:t>, between 16 December 2022 and 12 February 2023,</w:t>
      </w:r>
      <w:r w:rsidR="007A64C4" w:rsidRPr="00013BDC">
        <w:rPr>
          <w:rFonts w:eastAsia="Calibri"/>
          <w:noProof/>
          <w:lang w:val="en-IE"/>
        </w:rPr>
        <w:t xml:space="preserve"> to </w:t>
      </w:r>
      <w:r w:rsidR="003C618B" w:rsidRPr="00013BDC">
        <w:rPr>
          <w:rFonts w:eastAsia="Calibri"/>
          <w:noProof/>
          <w:lang w:val="en-IE"/>
        </w:rPr>
        <w:t>sound the views of citizens on actions needed</w:t>
      </w:r>
      <w:r w:rsidR="00CA2AA2" w:rsidRPr="00013BDC">
        <w:rPr>
          <w:rFonts w:eastAsia="Calibri"/>
          <w:noProof/>
          <w:lang w:val="en-IE"/>
        </w:rPr>
        <w:t xml:space="preserve"> by Member States </w:t>
      </w:r>
      <w:r w:rsidR="0017588D" w:rsidRPr="00013BDC">
        <w:rPr>
          <w:rFonts w:eastAsia="Calibri"/>
          <w:noProof/>
          <w:lang w:val="en-IE"/>
        </w:rPr>
        <w:t xml:space="preserve">and other players </w:t>
      </w:r>
      <w:r w:rsidR="003C618B" w:rsidRPr="00013BDC">
        <w:rPr>
          <w:rFonts w:eastAsia="Calibri"/>
          <w:noProof/>
          <w:lang w:val="en-IE"/>
        </w:rPr>
        <w:t>to step up efforts to reduce food waste</w:t>
      </w:r>
      <w:r w:rsidR="000F6CC5" w:rsidRPr="00013BDC">
        <w:rPr>
          <w:rFonts w:eastAsia="Calibri"/>
          <w:noProof/>
          <w:lang w:val="en-IE"/>
        </w:rPr>
        <w:t xml:space="preserve">. </w:t>
      </w:r>
      <w:r w:rsidR="00D57AE8" w:rsidRPr="00013BDC">
        <w:rPr>
          <w:rFonts w:eastAsia="Calibri"/>
          <w:noProof/>
        </w:rPr>
        <w:t>Citizens’</w:t>
      </w:r>
      <w:r w:rsidR="005E5EF6" w:rsidRPr="00013BDC">
        <w:rPr>
          <w:rFonts w:eastAsia="Calibri"/>
          <w:noProof/>
        </w:rPr>
        <w:t xml:space="preserve"> recommendations complement the impact assessment and the public consultation to support the setting of legally binding food waste reduction targets and they have been considered in the preparation of this initiative. </w:t>
      </w:r>
      <w:r w:rsidR="00224BFA" w:rsidRPr="00013BDC">
        <w:rPr>
          <w:rFonts w:eastAsia="Calibri"/>
          <w:noProof/>
          <w:lang w:val="en-IE"/>
        </w:rPr>
        <w:t xml:space="preserve">Outcomes from the Conference relevant to this initiative </w:t>
      </w:r>
      <w:r w:rsidR="00310E53" w:rsidRPr="00013BDC">
        <w:rPr>
          <w:rFonts w:eastAsia="Calibri"/>
          <w:noProof/>
          <w:lang w:val="en-IE"/>
        </w:rPr>
        <w:t xml:space="preserve">and the citizens’ report including the panel’s recommendations </w:t>
      </w:r>
      <w:r w:rsidR="003C618B" w:rsidRPr="00013BDC">
        <w:rPr>
          <w:rFonts w:eastAsia="Calibri"/>
          <w:noProof/>
          <w:lang w:val="en-IE"/>
        </w:rPr>
        <w:t xml:space="preserve">are presented in Annex 16. </w:t>
      </w:r>
    </w:p>
    <w:p w14:paraId="4589FBA8" w14:textId="200DC8C2" w:rsidR="00BA7D8D" w:rsidRPr="00013BDC" w:rsidRDefault="00964378" w:rsidP="001B7A27">
      <w:pPr>
        <w:pStyle w:val="ListParagraph"/>
        <w:numPr>
          <w:ilvl w:val="0"/>
          <w:numId w:val="148"/>
        </w:numPr>
        <w:rPr>
          <w:rFonts w:eastAsia="Calibri"/>
          <w:b/>
          <w:noProof/>
          <w:lang w:val="en-IE"/>
        </w:rPr>
      </w:pPr>
      <w:bookmarkStart w:id="82" w:name="_Toc316337872"/>
      <w:bookmarkStart w:id="83" w:name="_Toc32953716"/>
      <w:bookmarkStart w:id="84" w:name="_Toc479883984"/>
      <w:bookmarkStart w:id="85" w:name="_Toc1050361709"/>
      <w:bookmarkStart w:id="86" w:name="_Toc451392495"/>
      <w:bookmarkStart w:id="87" w:name="_Toc1871494806"/>
      <w:bookmarkStart w:id="88" w:name="_Toc546376531"/>
      <w:bookmarkStart w:id="89" w:name="_Toc1436185653"/>
      <w:bookmarkStart w:id="90" w:name="_Toc139032933"/>
      <w:r w:rsidRPr="00013BDC">
        <w:rPr>
          <w:rStyle w:val="Heading2Char"/>
          <w:rFonts w:eastAsiaTheme="minorEastAsia"/>
          <w:noProof/>
          <w:lang w:val="en-IE"/>
        </w:rPr>
        <w:t>Introduction</w:t>
      </w:r>
      <w:bookmarkEnd w:id="82"/>
      <w:bookmarkEnd w:id="83"/>
      <w:bookmarkEnd w:id="84"/>
      <w:bookmarkEnd w:id="85"/>
      <w:bookmarkEnd w:id="86"/>
      <w:bookmarkEnd w:id="87"/>
      <w:bookmarkEnd w:id="88"/>
      <w:bookmarkEnd w:id="89"/>
      <w:bookmarkEnd w:id="90"/>
    </w:p>
    <w:p w14:paraId="393E9841" w14:textId="2BF04304" w:rsidR="00964378" w:rsidRPr="00013BDC" w:rsidRDefault="13D34CE8" w:rsidP="00666B87">
      <w:pPr>
        <w:spacing w:after="120"/>
        <w:rPr>
          <w:rFonts w:eastAsia="Segoe UI"/>
          <w:noProof/>
          <w:lang w:val="en-IE"/>
        </w:rPr>
      </w:pPr>
      <w:r w:rsidRPr="00013BDC">
        <w:rPr>
          <w:rFonts w:eastAsia="Segoe UI"/>
          <w:noProof/>
          <w:lang w:val="en-IE"/>
        </w:rPr>
        <w:t xml:space="preserve">The consultation </w:t>
      </w:r>
      <w:r w:rsidR="005C37EF" w:rsidRPr="00013BDC">
        <w:rPr>
          <w:rFonts w:eastAsia="Segoe UI"/>
          <w:noProof/>
          <w:lang w:val="en-IE"/>
        </w:rPr>
        <w:t xml:space="preserve">method </w:t>
      </w:r>
      <w:r w:rsidR="007C6B3C" w:rsidRPr="00013BDC">
        <w:rPr>
          <w:rFonts w:eastAsia="Segoe UI"/>
          <w:noProof/>
          <w:lang w:val="en-IE"/>
        </w:rPr>
        <w:t>and strategy</w:t>
      </w:r>
      <w:r w:rsidR="005C37EF" w:rsidRPr="00013BDC">
        <w:rPr>
          <w:rFonts w:eastAsia="Segoe UI"/>
          <w:noProof/>
          <w:lang w:val="en-IE"/>
        </w:rPr>
        <w:t xml:space="preserve"> </w:t>
      </w:r>
      <w:r w:rsidRPr="00013BDC">
        <w:rPr>
          <w:rFonts w:eastAsia="Segoe UI"/>
          <w:noProof/>
          <w:lang w:val="en-IE"/>
        </w:rPr>
        <w:t>w</w:t>
      </w:r>
      <w:r w:rsidR="00674366" w:rsidRPr="00013BDC">
        <w:rPr>
          <w:rFonts w:eastAsia="Segoe UI"/>
          <w:noProof/>
          <w:lang w:val="en-IE"/>
        </w:rPr>
        <w:t>ere</w:t>
      </w:r>
      <w:r w:rsidRPr="00013BDC">
        <w:rPr>
          <w:rFonts w:eastAsia="Segoe UI"/>
          <w:noProof/>
          <w:lang w:val="en-IE"/>
        </w:rPr>
        <w:t xml:space="preserve"> outlined in the Call for Evidence </w:t>
      </w:r>
      <w:r w:rsidR="007B0B02" w:rsidRPr="00013BDC">
        <w:rPr>
          <w:rFonts w:eastAsia="Segoe UI"/>
          <w:noProof/>
          <w:lang w:val="en-IE"/>
        </w:rPr>
        <w:t>(CfE)</w:t>
      </w:r>
      <w:r w:rsidRPr="00013BDC">
        <w:rPr>
          <w:rFonts w:eastAsia="Segoe UI"/>
          <w:noProof/>
          <w:lang w:val="en-IE"/>
        </w:rPr>
        <w:t xml:space="preserve"> </w:t>
      </w:r>
      <w:r w:rsidRPr="00013BDC">
        <w:rPr>
          <w:rFonts w:eastAsia="Calibri"/>
          <w:noProof/>
          <w:lang w:val="en-IE"/>
        </w:rPr>
        <w:t>for an impact assessment ‘Environmental impact of waste management – revision of EU waste framework</w:t>
      </w:r>
      <w:r w:rsidR="004C7113" w:rsidRPr="00013BDC">
        <w:rPr>
          <w:rFonts w:eastAsia="Calibri"/>
          <w:noProof/>
          <w:lang w:val="en-IE"/>
        </w:rPr>
        <w:t>’</w:t>
      </w:r>
      <w:r w:rsidR="5F1074A5" w:rsidRPr="00013BDC">
        <w:rPr>
          <w:rFonts w:eastAsia="Calibri"/>
          <w:noProof/>
          <w:lang w:val="en-IE"/>
        </w:rPr>
        <w:t xml:space="preserve"> </w:t>
      </w:r>
      <w:r w:rsidR="00964378" w:rsidRPr="00013BDC">
        <w:rPr>
          <w:rFonts w:eastAsia="Calibri"/>
          <w:noProof/>
          <w:vertAlign w:val="superscript"/>
          <w:lang w:val="en-IE"/>
        </w:rPr>
        <w:footnoteReference w:id="10"/>
      </w:r>
      <w:r w:rsidRPr="00013BDC">
        <w:rPr>
          <w:rFonts w:eastAsia="Calibri"/>
          <w:noProof/>
          <w:lang w:val="en-IE"/>
        </w:rPr>
        <w:t xml:space="preserve"> and the Inception Impact Assessment </w:t>
      </w:r>
      <w:r w:rsidR="007B0B02" w:rsidRPr="00013BDC">
        <w:rPr>
          <w:rFonts w:eastAsia="Calibri"/>
          <w:noProof/>
          <w:lang w:val="en-IE"/>
        </w:rPr>
        <w:t>(IIA)</w:t>
      </w:r>
      <w:r w:rsidRPr="00013BDC">
        <w:rPr>
          <w:rFonts w:eastAsia="Calibri"/>
          <w:noProof/>
          <w:lang w:val="en-IE"/>
        </w:rPr>
        <w:t xml:space="preserve"> ‘Proposal for a revision of Directive 2008/98/EC on waste – part on food waste reduction target’</w:t>
      </w:r>
      <w:r w:rsidR="00964378" w:rsidRPr="00013BDC">
        <w:rPr>
          <w:rFonts w:eastAsia="Calibri"/>
          <w:noProof/>
          <w:vertAlign w:val="superscript"/>
          <w:lang w:val="en-IE"/>
        </w:rPr>
        <w:footnoteReference w:id="11"/>
      </w:r>
      <w:r w:rsidR="007C6B3C" w:rsidRPr="00013BDC">
        <w:rPr>
          <w:rFonts w:eastAsia="Calibri"/>
          <w:noProof/>
          <w:lang w:val="en-IE"/>
        </w:rPr>
        <w:t>.</w:t>
      </w:r>
    </w:p>
    <w:p w14:paraId="5990EF8D" w14:textId="0C584A34" w:rsidR="00964378" w:rsidRPr="00013BDC" w:rsidRDefault="00964378" w:rsidP="00666B87">
      <w:pPr>
        <w:spacing w:after="0"/>
        <w:rPr>
          <w:rFonts w:eastAsia="Calibri"/>
          <w:noProof/>
          <w:lang w:val="en-IE"/>
        </w:rPr>
      </w:pPr>
      <w:r w:rsidRPr="00013BDC">
        <w:rPr>
          <w:rFonts w:eastAsia="Calibri"/>
          <w:noProof/>
          <w:lang w:val="en-IE"/>
        </w:rPr>
        <w:t xml:space="preserve">The </w:t>
      </w:r>
      <w:r w:rsidRPr="00013BDC">
        <w:rPr>
          <w:rFonts w:eastAsia="Times New Roman"/>
          <w:b/>
          <w:noProof/>
          <w:lang w:val="en-IE"/>
        </w:rPr>
        <w:t xml:space="preserve">objectives </w:t>
      </w:r>
      <w:r w:rsidRPr="00013BDC">
        <w:rPr>
          <w:rFonts w:eastAsia="Calibri"/>
          <w:noProof/>
          <w:lang w:val="en-IE"/>
        </w:rPr>
        <w:t>of the consultation were</w:t>
      </w:r>
      <w:r w:rsidR="001E2B6B" w:rsidRPr="00013BDC">
        <w:rPr>
          <w:rFonts w:eastAsia="Calibri"/>
          <w:noProof/>
          <w:lang w:val="en-IE"/>
        </w:rPr>
        <w:t xml:space="preserve"> to gather</w:t>
      </w:r>
      <w:r w:rsidRPr="00013BDC">
        <w:rPr>
          <w:rFonts w:eastAsia="Calibri"/>
          <w:noProof/>
          <w:lang w:val="en-IE"/>
        </w:rPr>
        <w:t xml:space="preserve">: </w:t>
      </w:r>
    </w:p>
    <w:p w14:paraId="2842C765" w14:textId="1DF52577" w:rsidR="00964378" w:rsidRPr="00013BDC" w:rsidRDefault="001E2B6B"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V</w:t>
      </w:r>
      <w:r w:rsidR="00964378" w:rsidRPr="00013BDC">
        <w:rPr>
          <w:rFonts w:eastAsia="Calibri"/>
          <w:noProof/>
          <w:lang w:val="en-IE"/>
        </w:rPr>
        <w:t>iews on the scope of the impact assessment process, in particular to ensure that the correct problems were identified</w:t>
      </w:r>
      <w:r w:rsidR="485A8343" w:rsidRPr="00013BDC">
        <w:rPr>
          <w:rFonts w:eastAsia="Calibri"/>
          <w:noProof/>
          <w:lang w:val="en-IE"/>
        </w:rPr>
        <w:t>,</w:t>
      </w:r>
      <w:r w:rsidR="00964378" w:rsidRPr="00013BDC">
        <w:rPr>
          <w:rFonts w:eastAsia="Calibri"/>
          <w:noProof/>
          <w:lang w:val="en-IE"/>
        </w:rPr>
        <w:t xml:space="preserve"> and objectives were being targeted. </w:t>
      </w:r>
    </w:p>
    <w:p w14:paraId="24E838FF" w14:textId="3570BDEC" w:rsidR="00964378" w:rsidRPr="00013BDC" w:rsidRDefault="001E2B6B"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V</w:t>
      </w:r>
      <w:r w:rsidR="00964378" w:rsidRPr="00013BDC">
        <w:rPr>
          <w:rFonts w:eastAsia="Calibri"/>
          <w:noProof/>
          <w:lang w:val="en-IE"/>
        </w:rPr>
        <w:t xml:space="preserve">iews </w:t>
      </w:r>
      <w:r w:rsidRPr="00013BDC">
        <w:rPr>
          <w:rFonts w:eastAsia="Calibri"/>
          <w:noProof/>
          <w:lang w:val="en-IE"/>
        </w:rPr>
        <w:t>about</w:t>
      </w:r>
      <w:r w:rsidR="00964378" w:rsidRPr="00013BDC">
        <w:rPr>
          <w:rFonts w:eastAsia="Calibri"/>
          <w:noProof/>
          <w:lang w:val="en-IE"/>
        </w:rPr>
        <w:t xml:space="preserve"> the options and measures under consideration.</w:t>
      </w:r>
    </w:p>
    <w:p w14:paraId="7BDF572A" w14:textId="57587927" w:rsidR="00964378" w:rsidRPr="00013BDC" w:rsidRDefault="001E2B6B" w:rsidP="00CF0DFB">
      <w:pPr>
        <w:pStyle w:val="ListParagraph"/>
        <w:numPr>
          <w:ilvl w:val="0"/>
          <w:numId w:val="42"/>
        </w:numPr>
        <w:ind w:left="1134" w:hanging="708"/>
        <w:jc w:val="left"/>
        <w:rPr>
          <w:rFonts w:eastAsia="Calibri"/>
          <w:noProof/>
          <w:lang w:val="en-IE"/>
        </w:rPr>
      </w:pPr>
      <w:r w:rsidRPr="00013BDC">
        <w:rPr>
          <w:rFonts w:eastAsia="Calibri"/>
          <w:noProof/>
          <w:lang w:val="en-IE"/>
        </w:rPr>
        <w:t>F</w:t>
      </w:r>
      <w:r w:rsidR="00964378" w:rsidRPr="00013BDC">
        <w:rPr>
          <w:rFonts w:eastAsia="Calibri"/>
          <w:noProof/>
          <w:lang w:val="en-IE"/>
        </w:rPr>
        <w:t>urther evidence to substantiate the analysis of the options and measures.</w:t>
      </w:r>
    </w:p>
    <w:p w14:paraId="0008B53B" w14:textId="5975CE0E" w:rsidR="0EEF3B5D" w:rsidRPr="00013BDC" w:rsidRDefault="0EEF3B5D" w:rsidP="00666B87">
      <w:pPr>
        <w:spacing w:after="0"/>
        <w:rPr>
          <w:rFonts w:eastAsia="Segoe UI"/>
          <w:noProof/>
          <w:lang w:val="en-IE"/>
        </w:rPr>
      </w:pPr>
      <w:r w:rsidRPr="00013BDC">
        <w:rPr>
          <w:rFonts w:eastAsia="Segoe UI"/>
          <w:noProof/>
          <w:lang w:val="en-IE"/>
        </w:rPr>
        <w:t xml:space="preserve">Relevant </w:t>
      </w:r>
      <w:r w:rsidRPr="00013BDC">
        <w:rPr>
          <w:b/>
          <w:noProof/>
          <w:lang w:val="en-IE"/>
        </w:rPr>
        <w:t>stakeholders</w:t>
      </w:r>
      <w:r w:rsidRPr="00013BDC">
        <w:rPr>
          <w:rFonts w:eastAsia="Segoe UI"/>
          <w:noProof/>
          <w:lang w:val="en-IE"/>
        </w:rPr>
        <w:t xml:space="preserve"> to be addressed as part of the impact assessment were identified as:</w:t>
      </w:r>
    </w:p>
    <w:p w14:paraId="04668BC7" w14:textId="0457BF7A" w:rsidR="0EEF3B5D" w:rsidRPr="00013BDC" w:rsidRDefault="0EEF3B5D"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 xml:space="preserve">Member States and their authorities responsible for waste </w:t>
      </w:r>
      <w:r w:rsidR="005A055E" w:rsidRPr="00013BDC">
        <w:rPr>
          <w:rFonts w:eastAsia="Calibri"/>
          <w:noProof/>
          <w:lang w:val="en-IE"/>
        </w:rPr>
        <w:t>prevention and</w:t>
      </w:r>
      <w:r w:rsidRPr="00013BDC">
        <w:rPr>
          <w:rFonts w:eastAsia="Calibri"/>
          <w:noProof/>
          <w:lang w:val="en-IE"/>
        </w:rPr>
        <w:t xml:space="preserve"> management</w:t>
      </w:r>
      <w:r w:rsidR="005D4534" w:rsidRPr="00013BDC">
        <w:rPr>
          <w:rFonts w:eastAsia="Calibri"/>
          <w:noProof/>
          <w:lang w:val="en-IE"/>
        </w:rPr>
        <w:t xml:space="preserve"> including food waste prevention</w:t>
      </w:r>
      <w:r w:rsidRPr="00013BDC">
        <w:rPr>
          <w:rFonts w:eastAsia="Calibri"/>
          <w:noProof/>
          <w:lang w:val="en-IE"/>
        </w:rPr>
        <w:t>;</w:t>
      </w:r>
    </w:p>
    <w:p w14:paraId="1322D4FA" w14:textId="0A680B27" w:rsidR="0EEF3B5D" w:rsidRPr="00013BDC" w:rsidRDefault="0EEF3B5D"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Producers and producer responsibility organisations;</w:t>
      </w:r>
    </w:p>
    <w:p w14:paraId="433BA1AD" w14:textId="3796C4F7" w:rsidR="0EEF3B5D" w:rsidRPr="00013BDC" w:rsidRDefault="0EEF3B5D"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Waste collector</w:t>
      </w:r>
      <w:r w:rsidR="00CD1975" w:rsidRPr="00013BDC">
        <w:rPr>
          <w:rFonts w:eastAsia="Calibri"/>
          <w:noProof/>
          <w:lang w:val="en-IE"/>
        </w:rPr>
        <w:t>s</w:t>
      </w:r>
      <w:r w:rsidR="0097606A" w:rsidRPr="00013BDC">
        <w:rPr>
          <w:rFonts w:eastAsia="Calibri"/>
          <w:noProof/>
          <w:lang w:val="en-IE"/>
        </w:rPr>
        <w:t>, sorters</w:t>
      </w:r>
      <w:r w:rsidRPr="00013BDC">
        <w:rPr>
          <w:rFonts w:eastAsia="Calibri"/>
          <w:noProof/>
          <w:lang w:val="en-IE"/>
        </w:rPr>
        <w:t xml:space="preserve"> and recyclers;</w:t>
      </w:r>
    </w:p>
    <w:p w14:paraId="18B2A13C" w14:textId="2476922D" w:rsidR="0EEF3B5D" w:rsidRPr="00013BDC" w:rsidRDefault="0EEF3B5D"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 xml:space="preserve">Industrial/economic actors, including </w:t>
      </w:r>
      <w:r w:rsidR="00BD3026" w:rsidRPr="00013BDC">
        <w:rPr>
          <w:rFonts w:eastAsia="Calibri"/>
          <w:noProof/>
          <w:lang w:val="en-IE"/>
        </w:rPr>
        <w:t>SMEs</w:t>
      </w:r>
      <w:r w:rsidRPr="00013BDC">
        <w:rPr>
          <w:rFonts w:eastAsia="Calibri"/>
          <w:noProof/>
          <w:lang w:val="en-IE"/>
        </w:rPr>
        <w:t xml:space="preserve">, </w:t>
      </w:r>
      <w:r w:rsidR="001E6AB5" w:rsidRPr="00013BDC">
        <w:rPr>
          <w:rFonts w:eastAsia="Calibri"/>
          <w:noProof/>
          <w:lang w:val="en-IE"/>
        </w:rPr>
        <w:t>of the textiles and food ecosystems</w:t>
      </w:r>
      <w:r w:rsidRPr="00013BDC">
        <w:rPr>
          <w:rFonts w:eastAsia="Calibri"/>
          <w:noProof/>
          <w:lang w:val="en-IE"/>
        </w:rPr>
        <w:t>;</w:t>
      </w:r>
    </w:p>
    <w:p w14:paraId="18509684" w14:textId="06AE8FDE" w:rsidR="0EEF3B5D" w:rsidRPr="00013BDC" w:rsidRDefault="00D36AC6"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E</w:t>
      </w:r>
      <w:r w:rsidR="00F7072D" w:rsidRPr="00013BDC">
        <w:rPr>
          <w:rFonts w:eastAsia="Calibri"/>
          <w:noProof/>
          <w:lang w:val="en-IE"/>
        </w:rPr>
        <w:t>nvironmental</w:t>
      </w:r>
      <w:r w:rsidR="00B2458D" w:rsidRPr="00013BDC">
        <w:rPr>
          <w:rFonts w:eastAsia="Calibri"/>
          <w:noProof/>
          <w:lang w:val="en-IE"/>
        </w:rPr>
        <w:t>, consumer- and other</w:t>
      </w:r>
      <w:r w:rsidR="00F7072D" w:rsidRPr="00013BDC">
        <w:rPr>
          <w:rFonts w:eastAsia="Calibri"/>
          <w:noProof/>
          <w:lang w:val="en-IE"/>
        </w:rPr>
        <w:t xml:space="preserve"> NGOs</w:t>
      </w:r>
      <w:r w:rsidR="0EEF3B5D" w:rsidRPr="00013BDC">
        <w:rPr>
          <w:rFonts w:eastAsia="Calibri"/>
          <w:noProof/>
          <w:lang w:val="en-IE"/>
        </w:rPr>
        <w:t xml:space="preserve"> </w:t>
      </w:r>
      <w:r w:rsidR="00B2458D" w:rsidRPr="00013BDC">
        <w:rPr>
          <w:rFonts w:eastAsia="Calibri"/>
          <w:noProof/>
          <w:lang w:val="en-IE"/>
        </w:rPr>
        <w:t xml:space="preserve">(e.g. food banks) </w:t>
      </w:r>
      <w:r w:rsidR="0EEF3B5D" w:rsidRPr="00013BDC">
        <w:rPr>
          <w:rFonts w:eastAsia="Calibri"/>
          <w:noProof/>
          <w:lang w:val="en-IE"/>
        </w:rPr>
        <w:t xml:space="preserve">and citizens' </w:t>
      </w:r>
      <w:r w:rsidR="00D439FC" w:rsidRPr="00013BDC">
        <w:rPr>
          <w:rFonts w:eastAsia="Calibri"/>
          <w:noProof/>
          <w:lang w:val="en-IE"/>
        </w:rPr>
        <w:t>organisation</w:t>
      </w:r>
      <w:r w:rsidR="00087BF8" w:rsidRPr="00013BDC">
        <w:rPr>
          <w:rFonts w:eastAsia="Calibri"/>
          <w:noProof/>
          <w:lang w:val="en-IE"/>
        </w:rPr>
        <w:t>s</w:t>
      </w:r>
      <w:r w:rsidR="0EEF3B5D" w:rsidRPr="00013BDC">
        <w:rPr>
          <w:rFonts w:eastAsia="Calibri"/>
          <w:noProof/>
          <w:lang w:val="en-IE"/>
        </w:rPr>
        <w:t>;</w:t>
      </w:r>
    </w:p>
    <w:p w14:paraId="26B1D4DD" w14:textId="5ACBF0E3" w:rsidR="0EEF3B5D" w:rsidRPr="00013BDC" w:rsidRDefault="0EEF3B5D"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 xml:space="preserve">Academia, research and innovation organisations and institutes; and </w:t>
      </w:r>
    </w:p>
    <w:p w14:paraId="7234F79C" w14:textId="60F7F522" w:rsidR="0EEF3B5D" w:rsidRPr="00013BDC" w:rsidRDefault="0EEF3B5D"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Citizens.</w:t>
      </w:r>
    </w:p>
    <w:p w14:paraId="114D6B25" w14:textId="26B73413" w:rsidR="00D52E40" w:rsidRPr="00013BDC" w:rsidRDefault="00004B68" w:rsidP="00397900">
      <w:pPr>
        <w:spacing w:after="0"/>
        <w:rPr>
          <w:noProof/>
          <w:lang w:val="en-IE"/>
        </w:rPr>
      </w:pPr>
      <w:r w:rsidRPr="00013BDC">
        <w:rPr>
          <w:noProof/>
          <w:lang w:val="en-IE"/>
        </w:rPr>
        <w:t xml:space="preserve">Some specificities for the </w:t>
      </w:r>
      <w:r w:rsidR="00D52E40" w:rsidRPr="00013BDC">
        <w:rPr>
          <w:noProof/>
          <w:lang w:val="en-IE"/>
        </w:rPr>
        <w:t>c</w:t>
      </w:r>
      <w:r w:rsidR="00850594" w:rsidRPr="00013BDC">
        <w:rPr>
          <w:noProof/>
          <w:lang w:val="en-IE"/>
        </w:rPr>
        <w:t>onsultation on the setting of food waste reduction targets</w:t>
      </w:r>
      <w:r w:rsidR="00D52E40" w:rsidRPr="00013BDC">
        <w:rPr>
          <w:noProof/>
          <w:lang w:val="en-IE"/>
        </w:rPr>
        <w:t xml:space="preserve"> </w:t>
      </w:r>
      <w:r w:rsidR="00014A37" w:rsidRPr="00013BDC">
        <w:rPr>
          <w:noProof/>
          <w:lang w:val="en-IE"/>
        </w:rPr>
        <w:t>are</w:t>
      </w:r>
      <w:r w:rsidR="004855B4" w:rsidRPr="00013BDC">
        <w:rPr>
          <w:noProof/>
          <w:lang w:val="en-IE"/>
        </w:rPr>
        <w:t xml:space="preserve"> </w:t>
      </w:r>
      <w:r w:rsidR="00D52E40" w:rsidRPr="00013BDC">
        <w:rPr>
          <w:noProof/>
          <w:lang w:val="en-IE"/>
        </w:rPr>
        <w:t>as follows:</w:t>
      </w:r>
    </w:p>
    <w:p w14:paraId="7C49ADE4" w14:textId="2AB4B98E" w:rsidR="00B37FB9" w:rsidRPr="00013BDC" w:rsidRDefault="0089438A"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 xml:space="preserve">waste collectors and recyclers were </w:t>
      </w:r>
      <w:r w:rsidRPr="00013BDC">
        <w:rPr>
          <w:noProof/>
          <w:lang w:val="en-IE"/>
        </w:rPr>
        <w:t xml:space="preserve">not </w:t>
      </w:r>
      <w:r w:rsidRPr="00013BDC">
        <w:rPr>
          <w:rFonts w:eastAsia="Calibri"/>
          <w:noProof/>
          <w:lang w:val="en-IE"/>
        </w:rPr>
        <w:t>targeted given the focus on prevention</w:t>
      </w:r>
    </w:p>
    <w:p w14:paraId="5F31AEF8" w14:textId="0C4C75F6" w:rsidR="00E20362" w:rsidRPr="00013BDC" w:rsidRDefault="00E20362" w:rsidP="00CF0DFB">
      <w:pPr>
        <w:pStyle w:val="ListParagraph"/>
        <w:numPr>
          <w:ilvl w:val="0"/>
          <w:numId w:val="42"/>
        </w:numPr>
        <w:spacing w:after="120"/>
        <w:ind w:left="1134" w:hanging="708"/>
        <w:jc w:val="left"/>
        <w:rPr>
          <w:rFonts w:eastAsia="Calibri"/>
          <w:noProof/>
          <w:lang w:val="en-IE"/>
        </w:rPr>
      </w:pPr>
      <w:r w:rsidRPr="00013BDC">
        <w:rPr>
          <w:rFonts w:eastAsia="Calibri"/>
          <w:noProof/>
          <w:lang w:val="en-IE"/>
        </w:rPr>
        <w:t>international organisations were also consulted as part of the EU Platform on Food Losses and Food Waste</w:t>
      </w:r>
      <w:r w:rsidR="00BF23E5" w:rsidRPr="00013BDC">
        <w:rPr>
          <w:rFonts w:eastAsia="Calibri"/>
          <w:noProof/>
          <w:lang w:val="en-IE"/>
        </w:rPr>
        <w:t xml:space="preserve"> (FLW)</w:t>
      </w:r>
      <w:r w:rsidRPr="00013BDC">
        <w:rPr>
          <w:rFonts w:eastAsia="Calibri"/>
          <w:noProof/>
          <w:lang w:val="en-IE"/>
        </w:rPr>
        <w:t>.</w:t>
      </w:r>
    </w:p>
    <w:p w14:paraId="06F1DDD7" w14:textId="4D338836" w:rsidR="00BA7D8D" w:rsidRPr="00013BDC" w:rsidRDefault="004F5F8B" w:rsidP="009F5475">
      <w:pPr>
        <w:jc w:val="left"/>
        <w:rPr>
          <w:rFonts w:eastAsia="Calibri"/>
          <w:noProof/>
          <w:lang w:val="en-IE"/>
        </w:rPr>
      </w:pPr>
      <w:r w:rsidRPr="00013BDC">
        <w:rPr>
          <w:rFonts w:eastAsia="Calibri"/>
          <w:noProof/>
          <w:lang w:val="en-IE"/>
        </w:rPr>
        <w:t>All stakeholders identified in this mapping were reached</w:t>
      </w:r>
      <w:r w:rsidR="00404DCC" w:rsidRPr="00013BDC">
        <w:rPr>
          <w:rFonts w:eastAsia="Calibri"/>
          <w:noProof/>
          <w:lang w:val="en-IE"/>
        </w:rPr>
        <w:t>, including umbrella organisations that represent SMEs</w:t>
      </w:r>
      <w:r w:rsidRPr="00013BDC">
        <w:rPr>
          <w:rFonts w:eastAsia="Calibri"/>
          <w:noProof/>
          <w:lang w:val="en-IE"/>
        </w:rPr>
        <w:t xml:space="preserve">. </w:t>
      </w:r>
    </w:p>
    <w:p w14:paraId="13CD1B05" w14:textId="22AD2B1E" w:rsidR="0EEF3B5D" w:rsidRPr="00013BDC" w:rsidRDefault="00F64258" w:rsidP="00F64258">
      <w:pPr>
        <w:pStyle w:val="Heading2"/>
        <w:rPr>
          <w:noProof/>
          <w:lang w:val="en-IE"/>
        </w:rPr>
      </w:pPr>
      <w:bookmarkStart w:id="91" w:name="_Toc124777276"/>
      <w:bookmarkStart w:id="92" w:name="_Toc480242851"/>
      <w:bookmarkStart w:id="93" w:name="_Toc315876671"/>
      <w:bookmarkStart w:id="94" w:name="_Toc652520865"/>
      <w:bookmarkStart w:id="95" w:name="_Toc269971820"/>
      <w:bookmarkStart w:id="96" w:name="_Toc2112847289"/>
      <w:bookmarkStart w:id="97" w:name="_Toc1224465881"/>
      <w:bookmarkStart w:id="98" w:name="_Toc629248696"/>
      <w:bookmarkStart w:id="99" w:name="_Toc139032934"/>
      <w:r w:rsidRPr="00F64258">
        <w:t>2-</w:t>
      </w:r>
      <w:r w:rsidRPr="00F64258">
        <w:tab/>
      </w:r>
      <w:r w:rsidR="3496C203" w:rsidRPr="00013BDC">
        <w:rPr>
          <w:noProof/>
          <w:lang w:val="en-IE"/>
        </w:rPr>
        <w:t>Methods for engagement of stakeholders</w:t>
      </w:r>
      <w:bookmarkEnd w:id="91"/>
      <w:bookmarkEnd w:id="92"/>
      <w:bookmarkEnd w:id="93"/>
      <w:bookmarkEnd w:id="94"/>
      <w:bookmarkEnd w:id="95"/>
      <w:bookmarkEnd w:id="96"/>
      <w:bookmarkEnd w:id="97"/>
      <w:bookmarkEnd w:id="98"/>
      <w:bookmarkEnd w:id="99"/>
    </w:p>
    <w:p w14:paraId="5227930E" w14:textId="33D5F3F5" w:rsidR="0EEF3B5D" w:rsidRPr="00013BDC" w:rsidRDefault="0EEF3B5D" w:rsidP="00850231">
      <w:pPr>
        <w:spacing w:after="120"/>
        <w:jc w:val="left"/>
        <w:rPr>
          <w:rFonts w:eastAsia="Segoe UI"/>
          <w:noProof/>
          <w:lang w:val="en-IE"/>
        </w:rPr>
      </w:pPr>
      <w:r w:rsidRPr="00013BDC">
        <w:rPr>
          <w:rFonts w:eastAsia="Segoe UI"/>
          <w:noProof/>
          <w:lang w:val="en-IE"/>
        </w:rPr>
        <w:t xml:space="preserve">The </w:t>
      </w:r>
      <w:r w:rsidR="00941194" w:rsidRPr="00013BDC">
        <w:rPr>
          <w:rFonts w:eastAsia="Segoe UI"/>
          <w:noProof/>
          <w:lang w:val="en-IE"/>
        </w:rPr>
        <w:t xml:space="preserve">following </w:t>
      </w:r>
      <w:r w:rsidRPr="00013BDC">
        <w:rPr>
          <w:rFonts w:eastAsia="Segoe UI"/>
          <w:noProof/>
          <w:lang w:val="en-IE"/>
        </w:rPr>
        <w:t xml:space="preserve">methods </w:t>
      </w:r>
      <w:r w:rsidR="00941194" w:rsidRPr="00013BDC">
        <w:rPr>
          <w:rFonts w:eastAsia="Segoe UI"/>
          <w:noProof/>
          <w:lang w:val="en-IE"/>
        </w:rPr>
        <w:t xml:space="preserve">were used </w:t>
      </w:r>
      <w:r w:rsidRPr="00013BDC">
        <w:rPr>
          <w:rFonts w:eastAsia="Segoe UI"/>
          <w:noProof/>
          <w:lang w:val="en-IE"/>
        </w:rPr>
        <w:t xml:space="preserve">to </w:t>
      </w:r>
      <w:r w:rsidR="00941194" w:rsidRPr="00013BDC">
        <w:rPr>
          <w:rFonts w:eastAsia="Segoe UI"/>
          <w:noProof/>
          <w:lang w:val="en-IE"/>
        </w:rPr>
        <w:t>engage stakeholders</w:t>
      </w:r>
      <w:r w:rsidR="6CDB951B" w:rsidRPr="00013BDC">
        <w:rPr>
          <w:rFonts w:eastAsia="Segoe UI"/>
          <w:noProof/>
          <w:lang w:val="en-IE"/>
        </w:rPr>
        <w:t>.</w:t>
      </w:r>
    </w:p>
    <w:p w14:paraId="7F7CDF3C" w14:textId="7257F472" w:rsidR="00135FFB" w:rsidRPr="00013BDC" w:rsidRDefault="5CDB93C7"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I</w:t>
      </w:r>
      <w:r w:rsidR="47A5E5D2" w:rsidRPr="00013BDC">
        <w:rPr>
          <w:rFonts w:eastAsia="Calibri"/>
          <w:noProof/>
          <w:lang w:val="en-IE"/>
        </w:rPr>
        <w:t xml:space="preserve">IA </w:t>
      </w:r>
      <w:r w:rsidR="4C3AE341" w:rsidRPr="00013BDC">
        <w:rPr>
          <w:rFonts w:eastAsia="Calibri"/>
          <w:noProof/>
          <w:lang w:val="en-IE"/>
        </w:rPr>
        <w:t>on food waste</w:t>
      </w:r>
      <w:r w:rsidR="384B0169" w:rsidRPr="00013BDC">
        <w:rPr>
          <w:rFonts w:eastAsia="Calibri"/>
          <w:noProof/>
          <w:lang w:val="en-IE"/>
        </w:rPr>
        <w:t xml:space="preserve"> and </w:t>
      </w:r>
      <w:r w:rsidR="47A5E5D2" w:rsidRPr="00013BDC">
        <w:rPr>
          <w:rFonts w:eastAsia="Calibri"/>
          <w:noProof/>
          <w:lang w:val="en-IE"/>
        </w:rPr>
        <w:t xml:space="preserve">CfE </w:t>
      </w:r>
      <w:r w:rsidR="384B0169" w:rsidRPr="00013BDC">
        <w:rPr>
          <w:rFonts w:eastAsia="Calibri"/>
          <w:noProof/>
          <w:lang w:val="en-IE"/>
        </w:rPr>
        <w:t>for other waste streams</w:t>
      </w:r>
      <w:r w:rsidR="4C3AE341" w:rsidRPr="00013BDC">
        <w:rPr>
          <w:rFonts w:eastAsia="Calibri"/>
          <w:noProof/>
          <w:lang w:val="en-IE"/>
        </w:rPr>
        <w:t>.</w:t>
      </w:r>
    </w:p>
    <w:p w14:paraId="6ADFE97D" w14:textId="393CA96A" w:rsidR="00964378" w:rsidRPr="00013BDC" w:rsidRDefault="0C415C51"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 xml:space="preserve">Public consultation </w:t>
      </w:r>
      <w:r w:rsidR="00003384" w:rsidRPr="00013BDC">
        <w:rPr>
          <w:rFonts w:eastAsia="Calibri"/>
          <w:noProof/>
          <w:lang w:val="en-IE"/>
        </w:rPr>
        <w:t>(PC)</w:t>
      </w:r>
      <w:r w:rsidRPr="00013BDC">
        <w:rPr>
          <w:rFonts w:eastAsia="Calibri"/>
          <w:noProof/>
          <w:lang w:val="en-IE"/>
        </w:rPr>
        <w:t xml:space="preserve"> through an online questionnaire, including expert consultation as part of the same exercise, using the Commission consultation’s website</w:t>
      </w:r>
      <w:r w:rsidR="4E7D43E6" w:rsidRPr="00013BDC">
        <w:rPr>
          <w:rFonts w:eastAsia="Calibri"/>
          <w:noProof/>
          <w:lang w:val="en-IE"/>
        </w:rPr>
        <w:t>.</w:t>
      </w:r>
    </w:p>
    <w:p w14:paraId="2B0D5DB1" w14:textId="0F529345" w:rsidR="00964378" w:rsidRPr="00013BDC" w:rsidRDefault="0C415C51" w:rsidP="00CF0DFB">
      <w:pPr>
        <w:pStyle w:val="ListParagraph"/>
        <w:numPr>
          <w:ilvl w:val="0"/>
          <w:numId w:val="42"/>
        </w:numPr>
        <w:spacing w:after="160"/>
        <w:ind w:left="1134" w:hanging="708"/>
        <w:jc w:val="left"/>
        <w:rPr>
          <w:rFonts w:eastAsia="Calibri"/>
          <w:noProof/>
          <w:lang w:val="en-IE"/>
        </w:rPr>
      </w:pPr>
      <w:r w:rsidRPr="00013BDC">
        <w:rPr>
          <w:rFonts w:eastAsia="Calibri"/>
          <w:noProof/>
          <w:lang w:val="en-IE"/>
        </w:rPr>
        <w:t>Targeted consultations including</w:t>
      </w:r>
      <w:r w:rsidR="00FF4E4D" w:rsidRPr="00013BDC">
        <w:rPr>
          <w:rFonts w:eastAsia="Calibri"/>
          <w:noProof/>
          <w:lang w:val="en-IE"/>
        </w:rPr>
        <w:t xml:space="preserve"> stakeholder wor</w:t>
      </w:r>
      <w:r w:rsidR="00397900" w:rsidRPr="00013BDC">
        <w:rPr>
          <w:rFonts w:eastAsia="Calibri"/>
          <w:noProof/>
          <w:lang w:val="en-IE"/>
        </w:rPr>
        <w:t>k</w:t>
      </w:r>
      <w:r w:rsidR="00FF4E4D" w:rsidRPr="00013BDC">
        <w:rPr>
          <w:rFonts w:eastAsia="Calibri"/>
          <w:noProof/>
          <w:lang w:val="en-IE"/>
        </w:rPr>
        <w:t>shops, interviews, surveys on food waste prevention initiatives for Member States and stakeholders, a meeting of Member State representatives via the WFD Expert Group</w:t>
      </w:r>
      <w:r w:rsidR="001036D9" w:rsidRPr="00013BDC">
        <w:rPr>
          <w:rFonts w:eastAsia="Calibri"/>
          <w:noProof/>
          <w:lang w:val="en-IE"/>
        </w:rPr>
        <w:t>, a meeting of the Member State</w:t>
      </w:r>
      <w:r w:rsidR="00B4094C" w:rsidRPr="00013BDC">
        <w:rPr>
          <w:rFonts w:eastAsia="Calibri"/>
          <w:noProof/>
          <w:lang w:val="en-IE"/>
        </w:rPr>
        <w:t>s Expert Group on Food</w:t>
      </w:r>
      <w:r w:rsidR="00FF4E4D" w:rsidRPr="00013BDC">
        <w:rPr>
          <w:rFonts w:eastAsia="Calibri"/>
          <w:noProof/>
          <w:lang w:val="en-IE"/>
        </w:rPr>
        <w:t xml:space="preserve"> </w:t>
      </w:r>
      <w:r w:rsidR="000935D7" w:rsidRPr="00013BDC">
        <w:rPr>
          <w:rFonts w:eastAsia="Calibri"/>
          <w:noProof/>
          <w:lang w:val="en-IE"/>
        </w:rPr>
        <w:t>Losses and Food Waste</w:t>
      </w:r>
      <w:r w:rsidR="00FF4E4D" w:rsidRPr="00013BDC">
        <w:rPr>
          <w:rFonts w:eastAsia="Calibri"/>
          <w:noProof/>
          <w:lang w:val="en-IE"/>
        </w:rPr>
        <w:t xml:space="preserve"> and f</w:t>
      </w:r>
      <w:r w:rsidR="000935D7" w:rsidRPr="00013BDC">
        <w:rPr>
          <w:rFonts w:eastAsia="Calibri"/>
          <w:noProof/>
          <w:lang w:val="en-IE"/>
        </w:rPr>
        <w:t>ive</w:t>
      </w:r>
      <w:r w:rsidR="00FF4E4D" w:rsidRPr="00013BDC">
        <w:rPr>
          <w:rFonts w:eastAsia="Calibri"/>
          <w:noProof/>
          <w:lang w:val="en-IE"/>
        </w:rPr>
        <w:t xml:space="preserve"> meetings </w:t>
      </w:r>
      <w:r w:rsidR="00E75D0B" w:rsidRPr="00013BDC">
        <w:rPr>
          <w:rFonts w:eastAsia="Calibri"/>
          <w:noProof/>
          <w:lang w:val="en-IE"/>
        </w:rPr>
        <w:t>of the EU</w:t>
      </w:r>
      <w:r w:rsidR="00B76CF7" w:rsidRPr="00013BDC">
        <w:rPr>
          <w:rFonts w:eastAsia="Calibri"/>
          <w:noProof/>
          <w:lang w:val="en-IE"/>
        </w:rPr>
        <w:t xml:space="preserve"> Platform on FLW</w:t>
      </w:r>
      <w:r w:rsidR="000935D7" w:rsidRPr="00013BDC">
        <w:rPr>
          <w:rFonts w:eastAsia="Calibri"/>
          <w:noProof/>
          <w:lang w:val="en-IE"/>
        </w:rPr>
        <w:t xml:space="preserve"> (one jointly with the Advisory Group on </w:t>
      </w:r>
      <w:r w:rsidR="00D50547" w:rsidRPr="00013BDC">
        <w:rPr>
          <w:rFonts w:eastAsia="Calibri"/>
          <w:noProof/>
          <w:lang w:val="en-IE"/>
        </w:rPr>
        <w:t>Sustainability of Food Systems</w:t>
      </w:r>
      <w:r w:rsidR="00BF2FAA" w:rsidRPr="00013BDC">
        <w:rPr>
          <w:rFonts w:eastAsia="Calibri"/>
          <w:noProof/>
          <w:lang w:val="en-IE"/>
        </w:rPr>
        <w:t>).</w:t>
      </w:r>
    </w:p>
    <w:p w14:paraId="033C8D8E" w14:textId="200DC8C2" w:rsidR="00135FFB" w:rsidRPr="00013BDC" w:rsidRDefault="00135FFB" w:rsidP="005C37EF">
      <w:pPr>
        <w:pStyle w:val="Heading3"/>
        <w:spacing w:after="120"/>
        <w:rPr>
          <w:noProof/>
          <w:u w:val="single"/>
          <w:lang w:val="en-IE"/>
        </w:rPr>
      </w:pPr>
      <w:bookmarkStart w:id="100" w:name="_Toc124777277"/>
      <w:bookmarkStart w:id="101" w:name="_Toc517869181"/>
      <w:bookmarkStart w:id="102" w:name="_Toc1684917566"/>
      <w:bookmarkStart w:id="103" w:name="_Toc245082626"/>
      <w:bookmarkStart w:id="104" w:name="_Toc262173181"/>
      <w:bookmarkStart w:id="105" w:name="_Toc1532194593"/>
      <w:bookmarkStart w:id="106" w:name="_Toc73870957"/>
      <w:bookmarkStart w:id="107" w:name="_Toc961594740"/>
      <w:bookmarkStart w:id="108" w:name="_Toc139032935"/>
      <w:r w:rsidRPr="00013BDC">
        <w:rPr>
          <w:noProof/>
          <w:u w:val="single"/>
          <w:lang w:val="en-IE"/>
        </w:rPr>
        <w:t>Inception impact assessment and call for evidence for an impact assessment</w:t>
      </w:r>
      <w:bookmarkEnd w:id="100"/>
      <w:bookmarkEnd w:id="101"/>
      <w:bookmarkEnd w:id="102"/>
      <w:bookmarkEnd w:id="103"/>
      <w:bookmarkEnd w:id="104"/>
      <w:bookmarkEnd w:id="105"/>
      <w:bookmarkEnd w:id="106"/>
      <w:bookmarkEnd w:id="107"/>
      <w:bookmarkEnd w:id="108"/>
    </w:p>
    <w:p w14:paraId="4C18AEA5" w14:textId="4950BD14" w:rsidR="007B0B02" w:rsidRPr="00013BDC" w:rsidRDefault="16F3FABF" w:rsidP="00EE253F">
      <w:pPr>
        <w:spacing w:after="120"/>
        <w:rPr>
          <w:rFonts w:eastAsia="Calibri"/>
          <w:noProof/>
          <w:lang w:val="en-IE"/>
        </w:rPr>
      </w:pPr>
      <w:r w:rsidRPr="00013BDC">
        <w:rPr>
          <w:rFonts w:eastAsia="Calibri"/>
          <w:b/>
          <w:noProof/>
          <w:lang w:val="en-IE"/>
        </w:rPr>
        <w:t xml:space="preserve">The </w:t>
      </w:r>
      <w:r w:rsidR="0B7E468A" w:rsidRPr="00013BDC">
        <w:rPr>
          <w:rFonts w:eastAsia="Calibri"/>
          <w:b/>
          <w:noProof/>
          <w:lang w:val="en-IE"/>
        </w:rPr>
        <w:t>CfE</w:t>
      </w:r>
      <w:r w:rsidRPr="00013BDC">
        <w:rPr>
          <w:rFonts w:eastAsia="Calibri"/>
          <w:b/>
          <w:noProof/>
          <w:lang w:val="en-IE"/>
        </w:rPr>
        <w:t xml:space="preserve"> </w:t>
      </w:r>
      <w:r w:rsidR="32A2BA4E" w:rsidRPr="00013BDC">
        <w:rPr>
          <w:rFonts w:eastAsia="Calibri"/>
          <w:b/>
          <w:noProof/>
          <w:lang w:val="en-IE"/>
        </w:rPr>
        <w:t>on the revision of EU waste framework</w:t>
      </w:r>
      <w:r w:rsidRPr="00013BDC">
        <w:rPr>
          <w:rFonts w:eastAsia="Calibri"/>
          <w:noProof/>
          <w:lang w:val="en-IE"/>
        </w:rPr>
        <w:t xml:space="preserve"> </w:t>
      </w:r>
      <w:r w:rsidR="701A995C" w:rsidRPr="00013BDC">
        <w:rPr>
          <w:rFonts w:eastAsia="Calibri"/>
          <w:noProof/>
          <w:lang w:val="en-IE"/>
        </w:rPr>
        <w:t>included a description of</w:t>
      </w:r>
      <w:r w:rsidRPr="00013BDC">
        <w:rPr>
          <w:rFonts w:eastAsia="Calibri"/>
          <w:noProof/>
          <w:lang w:val="en-IE"/>
        </w:rPr>
        <w:t xml:space="preserve"> the political context, the </w:t>
      </w:r>
      <w:r w:rsidR="7FAE2A8A" w:rsidRPr="00013BDC">
        <w:rPr>
          <w:rFonts w:eastAsia="Calibri"/>
          <w:noProof/>
          <w:lang w:val="en-IE"/>
        </w:rPr>
        <w:t xml:space="preserve">preliminary </w:t>
      </w:r>
      <w:r w:rsidRPr="00013BDC">
        <w:rPr>
          <w:rFonts w:eastAsia="Calibri"/>
          <w:noProof/>
          <w:lang w:val="en-IE"/>
        </w:rPr>
        <w:t xml:space="preserve">problems </w:t>
      </w:r>
      <w:r w:rsidR="7FAE2A8A" w:rsidRPr="00013BDC">
        <w:rPr>
          <w:rFonts w:eastAsia="Calibri"/>
          <w:noProof/>
          <w:lang w:val="en-IE"/>
        </w:rPr>
        <w:t>identified</w:t>
      </w:r>
      <w:r w:rsidR="2DCB2656" w:rsidRPr="00013BDC">
        <w:rPr>
          <w:rFonts w:eastAsia="Calibri"/>
          <w:noProof/>
          <w:lang w:val="en-IE"/>
        </w:rPr>
        <w:t xml:space="preserve"> in the areas of </w:t>
      </w:r>
      <w:r w:rsidRPr="00013BDC">
        <w:rPr>
          <w:rFonts w:eastAsia="Calibri"/>
          <w:noProof/>
          <w:lang w:val="en-IE"/>
        </w:rPr>
        <w:t>waste prevention, recycling and reuse</w:t>
      </w:r>
      <w:r w:rsidR="2DCB2656" w:rsidRPr="00013BDC">
        <w:rPr>
          <w:rFonts w:eastAsia="Calibri"/>
          <w:noProof/>
          <w:lang w:val="en-IE"/>
        </w:rPr>
        <w:t>,</w:t>
      </w:r>
      <w:r w:rsidRPr="00013BDC">
        <w:rPr>
          <w:rFonts w:eastAsia="Calibri"/>
          <w:noProof/>
          <w:lang w:val="en-IE"/>
        </w:rPr>
        <w:t xml:space="preserve"> and waste oils</w:t>
      </w:r>
      <w:r w:rsidR="2DCB2656" w:rsidRPr="00013BDC">
        <w:rPr>
          <w:rFonts w:eastAsia="Calibri"/>
          <w:noProof/>
          <w:lang w:val="en-IE"/>
        </w:rPr>
        <w:t xml:space="preserve">. </w:t>
      </w:r>
      <w:r w:rsidR="56F95DA8" w:rsidRPr="00013BDC">
        <w:rPr>
          <w:rFonts w:eastAsia="Calibri"/>
          <w:noProof/>
          <w:lang w:val="en-IE"/>
        </w:rPr>
        <w:t xml:space="preserve">The </w:t>
      </w:r>
      <w:r w:rsidRPr="00013BDC">
        <w:rPr>
          <w:rFonts w:eastAsia="Calibri"/>
          <w:noProof/>
          <w:lang w:val="en-IE"/>
        </w:rPr>
        <w:t>legal basis and practical need for EU action</w:t>
      </w:r>
      <w:r w:rsidR="56F95DA8" w:rsidRPr="00013BDC">
        <w:rPr>
          <w:rFonts w:eastAsia="Calibri"/>
          <w:noProof/>
          <w:lang w:val="en-IE"/>
        </w:rPr>
        <w:t xml:space="preserve"> were provided</w:t>
      </w:r>
      <w:r w:rsidRPr="00013BDC">
        <w:rPr>
          <w:rFonts w:eastAsia="Calibri"/>
          <w:noProof/>
          <w:lang w:val="en-IE"/>
        </w:rPr>
        <w:t xml:space="preserve">. </w:t>
      </w:r>
      <w:r w:rsidR="4448B1C3" w:rsidRPr="00013BDC">
        <w:rPr>
          <w:rFonts w:eastAsia="Calibri"/>
          <w:noProof/>
          <w:lang w:val="en-IE"/>
        </w:rPr>
        <w:t xml:space="preserve">The CfE outlined the </w:t>
      </w:r>
      <w:r w:rsidRPr="00013BDC">
        <w:rPr>
          <w:rFonts w:eastAsia="Calibri"/>
          <w:noProof/>
          <w:lang w:val="en-IE"/>
        </w:rPr>
        <w:t xml:space="preserve">objectives and </w:t>
      </w:r>
      <w:r w:rsidR="0B7E468A" w:rsidRPr="00013BDC">
        <w:rPr>
          <w:rFonts w:eastAsia="Calibri"/>
          <w:noProof/>
          <w:lang w:val="en-IE"/>
        </w:rPr>
        <w:t>possible</w:t>
      </w:r>
      <w:r w:rsidRPr="00013BDC">
        <w:rPr>
          <w:rFonts w:eastAsia="Calibri"/>
          <w:noProof/>
          <w:lang w:val="en-IE"/>
        </w:rPr>
        <w:t xml:space="preserve"> policy options and </w:t>
      </w:r>
      <w:r w:rsidR="7FA9EA5B" w:rsidRPr="00013BDC">
        <w:rPr>
          <w:rFonts w:eastAsia="Calibri"/>
          <w:noProof/>
          <w:lang w:val="en-IE"/>
        </w:rPr>
        <w:t xml:space="preserve">identified </w:t>
      </w:r>
      <w:r w:rsidRPr="00013BDC">
        <w:rPr>
          <w:rFonts w:eastAsia="Calibri"/>
          <w:noProof/>
          <w:lang w:val="en-IE"/>
        </w:rPr>
        <w:t>the likely impacts. Finally</w:t>
      </w:r>
      <w:r w:rsidR="0B7E468A" w:rsidRPr="00013BDC">
        <w:rPr>
          <w:rFonts w:eastAsia="Calibri"/>
          <w:noProof/>
          <w:lang w:val="en-IE"/>
        </w:rPr>
        <w:t>,</w:t>
      </w:r>
      <w:r w:rsidRPr="00013BDC">
        <w:rPr>
          <w:rFonts w:eastAsia="Calibri"/>
          <w:noProof/>
          <w:lang w:val="en-IE"/>
        </w:rPr>
        <w:t xml:space="preserve"> </w:t>
      </w:r>
      <w:r w:rsidR="7FA9EA5B" w:rsidRPr="00013BDC">
        <w:rPr>
          <w:rFonts w:eastAsia="Calibri"/>
          <w:noProof/>
          <w:lang w:val="en-IE"/>
        </w:rPr>
        <w:t xml:space="preserve">it described the relevant </w:t>
      </w:r>
      <w:r w:rsidRPr="00013BDC">
        <w:rPr>
          <w:rFonts w:eastAsia="Calibri"/>
          <w:noProof/>
          <w:lang w:val="en-IE"/>
        </w:rPr>
        <w:t>better regulation instruments.</w:t>
      </w:r>
      <w:r w:rsidR="0866DA8A" w:rsidRPr="00013BDC">
        <w:rPr>
          <w:rFonts w:eastAsia="Calibri"/>
          <w:noProof/>
          <w:lang w:val="en-IE"/>
        </w:rPr>
        <w:t xml:space="preserve"> </w:t>
      </w:r>
      <w:r w:rsidRPr="00013BDC">
        <w:rPr>
          <w:rFonts w:eastAsia="Calibri"/>
          <w:noProof/>
          <w:lang w:val="en-IE"/>
        </w:rPr>
        <w:t>The Commission received 197</w:t>
      </w:r>
      <w:r w:rsidR="00421F74" w:rsidRPr="00013BDC">
        <w:rPr>
          <w:rStyle w:val="FootnoteReference"/>
          <w:rFonts w:eastAsia="Calibri"/>
          <w:noProof/>
          <w:lang w:val="en-IE"/>
        </w:rPr>
        <w:footnoteReference w:id="12"/>
      </w:r>
      <w:r w:rsidRPr="00013BDC">
        <w:rPr>
          <w:rFonts w:eastAsia="Calibri"/>
          <w:noProof/>
          <w:lang w:val="en-IE"/>
        </w:rPr>
        <w:t xml:space="preserve"> separate responses to the </w:t>
      </w:r>
      <w:r w:rsidR="0B7E468A" w:rsidRPr="00013BDC">
        <w:rPr>
          <w:rFonts w:eastAsia="Calibri"/>
          <w:noProof/>
          <w:lang w:val="en-IE"/>
        </w:rPr>
        <w:t>CfE</w:t>
      </w:r>
      <w:r w:rsidRPr="00013BDC">
        <w:rPr>
          <w:rFonts w:eastAsia="Calibri"/>
          <w:noProof/>
          <w:lang w:val="en-IE"/>
        </w:rPr>
        <w:t>.</w:t>
      </w:r>
      <w:r w:rsidR="0B7E468A" w:rsidRPr="00013BDC">
        <w:rPr>
          <w:rFonts w:eastAsia="Calibri"/>
          <w:noProof/>
          <w:lang w:val="en-IE"/>
        </w:rPr>
        <w:t xml:space="preserve"> </w:t>
      </w:r>
      <w:r w:rsidRPr="00013BDC">
        <w:rPr>
          <w:rFonts w:eastAsia="Calibri"/>
          <w:noProof/>
          <w:lang w:val="en-IE"/>
        </w:rPr>
        <w:t xml:space="preserve">Respondents </w:t>
      </w:r>
      <w:r w:rsidR="22CE8C96" w:rsidRPr="00013BDC">
        <w:rPr>
          <w:rFonts w:eastAsia="Calibri"/>
          <w:noProof/>
          <w:lang w:val="en-IE"/>
        </w:rPr>
        <w:t>are</w:t>
      </w:r>
      <w:r w:rsidRPr="00013BDC">
        <w:rPr>
          <w:rFonts w:eastAsia="Calibri"/>
          <w:noProof/>
          <w:lang w:val="en-IE"/>
        </w:rPr>
        <w:t xml:space="preserve"> based in 25 different countries including four non-EU countries</w:t>
      </w:r>
      <w:r w:rsidR="22CE8C96" w:rsidRPr="00013BDC">
        <w:rPr>
          <w:rFonts w:eastAsia="Calibri"/>
          <w:noProof/>
          <w:lang w:val="en-IE"/>
        </w:rPr>
        <w:t>:</w:t>
      </w:r>
      <w:r w:rsidRPr="00013BDC">
        <w:rPr>
          <w:rFonts w:eastAsia="Calibri"/>
          <w:noProof/>
          <w:lang w:val="en-IE"/>
        </w:rPr>
        <w:t xml:space="preserve"> </w:t>
      </w:r>
      <w:r w:rsidR="0B7E468A" w:rsidRPr="00013BDC">
        <w:rPr>
          <w:rFonts w:eastAsia="Calibri"/>
          <w:noProof/>
          <w:lang w:val="en-IE"/>
        </w:rPr>
        <w:t>65</w:t>
      </w:r>
      <w:r w:rsidRPr="00013BDC">
        <w:rPr>
          <w:rFonts w:eastAsia="Calibri"/>
          <w:noProof/>
          <w:lang w:val="en-IE"/>
        </w:rPr>
        <w:t xml:space="preserve"> in Belgium reflecting the number of industry trade associations and NGOs in that country</w:t>
      </w:r>
      <w:r w:rsidR="22CE8C96" w:rsidRPr="00013BDC">
        <w:rPr>
          <w:rFonts w:eastAsia="Calibri"/>
          <w:noProof/>
          <w:lang w:val="en-IE"/>
        </w:rPr>
        <w:t xml:space="preserve">, </w:t>
      </w:r>
      <w:r w:rsidR="3E2AF9F3" w:rsidRPr="00013BDC">
        <w:rPr>
          <w:rFonts w:eastAsia="Calibri"/>
          <w:noProof/>
          <w:lang w:val="en-IE"/>
        </w:rPr>
        <w:t>23 in Germany, 16 in France, 14 in the Netherlands and 12 in Italy</w:t>
      </w:r>
      <w:r w:rsidRPr="00013BDC">
        <w:rPr>
          <w:rFonts w:eastAsia="Calibri"/>
          <w:noProof/>
          <w:lang w:val="en-IE"/>
        </w:rPr>
        <w:t>.</w:t>
      </w:r>
    </w:p>
    <w:p w14:paraId="114ADAD2" w14:textId="599AC561" w:rsidR="00135FFB" w:rsidRPr="00013BDC" w:rsidRDefault="37DED54A" w:rsidP="53CAD945">
      <w:pPr>
        <w:spacing w:after="120"/>
        <w:rPr>
          <w:rFonts w:eastAsia="Calibri"/>
          <w:noProof/>
          <w:lang w:val="en-IE"/>
        </w:rPr>
      </w:pPr>
      <w:r w:rsidRPr="00013BDC">
        <w:rPr>
          <w:rFonts w:eastAsia="Calibri"/>
          <w:noProof/>
          <w:lang w:val="en-IE"/>
        </w:rPr>
        <w:t xml:space="preserve">A total of </w:t>
      </w:r>
      <w:r w:rsidR="16F3FABF" w:rsidRPr="00013BDC">
        <w:rPr>
          <w:rFonts w:eastAsia="Calibri"/>
          <w:noProof/>
          <w:lang w:val="en-IE"/>
        </w:rPr>
        <w:t xml:space="preserve">118 documents were </w:t>
      </w:r>
      <w:r w:rsidR="47D21979" w:rsidRPr="00013BDC">
        <w:rPr>
          <w:rFonts w:eastAsia="Calibri"/>
          <w:noProof/>
          <w:lang w:val="en-IE"/>
        </w:rPr>
        <w:t>uploaded</w:t>
      </w:r>
      <w:r w:rsidR="16F3FABF" w:rsidRPr="00013BDC">
        <w:rPr>
          <w:rFonts w:eastAsia="Calibri"/>
          <w:noProof/>
          <w:lang w:val="en-IE"/>
        </w:rPr>
        <w:t xml:space="preserve">, </w:t>
      </w:r>
      <w:r w:rsidR="1BA399F4" w:rsidRPr="00013BDC">
        <w:rPr>
          <w:rFonts w:eastAsia="Calibri"/>
          <w:noProof/>
          <w:lang w:val="en-IE"/>
        </w:rPr>
        <w:t>mainly</w:t>
      </w:r>
      <w:r w:rsidR="16F3FABF" w:rsidRPr="00013BDC">
        <w:rPr>
          <w:rFonts w:eastAsia="Calibri"/>
          <w:noProof/>
          <w:lang w:val="en-IE"/>
        </w:rPr>
        <w:t xml:space="preserve"> expanding on </w:t>
      </w:r>
      <w:r w:rsidR="2F718DED" w:rsidRPr="00013BDC">
        <w:rPr>
          <w:rFonts w:eastAsia="Calibri"/>
          <w:noProof/>
          <w:lang w:val="en-IE"/>
        </w:rPr>
        <w:t xml:space="preserve">stakeholders’ </w:t>
      </w:r>
      <w:r w:rsidR="731C8BCF" w:rsidRPr="00013BDC">
        <w:rPr>
          <w:rFonts w:eastAsia="Calibri"/>
          <w:noProof/>
          <w:lang w:val="en-IE"/>
        </w:rPr>
        <w:t>re</w:t>
      </w:r>
      <w:r w:rsidR="2C5A6C64" w:rsidRPr="00013BDC">
        <w:rPr>
          <w:rFonts w:eastAsia="Calibri"/>
          <w:noProof/>
          <w:lang w:val="en-IE"/>
        </w:rPr>
        <w:t>s</w:t>
      </w:r>
      <w:r w:rsidR="731C8BCF" w:rsidRPr="00013BDC">
        <w:rPr>
          <w:rFonts w:eastAsia="Calibri"/>
          <w:noProof/>
          <w:lang w:val="en-IE"/>
        </w:rPr>
        <w:t>ponse</w:t>
      </w:r>
      <w:r w:rsidR="2F718DED" w:rsidRPr="00013BDC">
        <w:rPr>
          <w:rFonts w:eastAsia="Calibri"/>
          <w:noProof/>
          <w:lang w:val="en-IE"/>
        </w:rPr>
        <w:t>s</w:t>
      </w:r>
      <w:r w:rsidR="16F3FABF" w:rsidRPr="00013BDC">
        <w:rPr>
          <w:rFonts w:eastAsia="Calibri"/>
          <w:noProof/>
          <w:lang w:val="en-IE"/>
        </w:rPr>
        <w:t xml:space="preserve">. Respondents provided </w:t>
      </w:r>
      <w:r w:rsidR="580736CE" w:rsidRPr="00013BDC">
        <w:rPr>
          <w:rFonts w:eastAsia="Calibri"/>
          <w:noProof/>
          <w:lang w:val="en-IE"/>
        </w:rPr>
        <w:t>several</w:t>
      </w:r>
      <w:r w:rsidR="16F3FABF" w:rsidRPr="00013BDC">
        <w:rPr>
          <w:rFonts w:eastAsia="Calibri"/>
          <w:noProof/>
          <w:lang w:val="en-IE"/>
        </w:rPr>
        <w:t xml:space="preserve"> examples where the management of waste was perceived to be inconsistent but limited </w:t>
      </w:r>
      <w:bookmarkStart w:id="109" w:name="_Int_KTsyBipl"/>
      <w:r w:rsidR="580736CE" w:rsidRPr="00013BDC">
        <w:rPr>
          <w:rFonts w:eastAsia="Calibri"/>
          <w:noProof/>
          <w:lang w:val="en-IE"/>
        </w:rPr>
        <w:t xml:space="preserve">factual </w:t>
      </w:r>
      <w:r w:rsidR="16F3FABF" w:rsidRPr="00013BDC">
        <w:rPr>
          <w:rFonts w:eastAsia="Calibri"/>
          <w:noProof/>
          <w:lang w:val="en-IE"/>
        </w:rPr>
        <w:t>information</w:t>
      </w:r>
      <w:bookmarkEnd w:id="109"/>
      <w:r w:rsidR="580736CE" w:rsidRPr="00013BDC">
        <w:rPr>
          <w:rFonts w:eastAsia="Calibri"/>
          <w:noProof/>
          <w:lang w:val="en-IE"/>
        </w:rPr>
        <w:t xml:space="preserve"> </w:t>
      </w:r>
      <w:r w:rsidR="16F3FABF" w:rsidRPr="00013BDC">
        <w:rPr>
          <w:rFonts w:eastAsia="Calibri"/>
          <w:noProof/>
          <w:lang w:val="en-IE"/>
        </w:rPr>
        <w:t xml:space="preserve">was provided </w:t>
      </w:r>
      <w:r w:rsidR="0B7AE11E" w:rsidRPr="00013BDC">
        <w:rPr>
          <w:rFonts w:eastAsia="Calibri"/>
          <w:noProof/>
          <w:lang w:val="en-IE"/>
        </w:rPr>
        <w:t>to support these</w:t>
      </w:r>
      <w:r w:rsidR="16F3FABF" w:rsidRPr="00013BDC">
        <w:rPr>
          <w:rFonts w:eastAsia="Calibri"/>
          <w:noProof/>
          <w:lang w:val="en-IE"/>
        </w:rPr>
        <w:t>.</w:t>
      </w:r>
      <w:r w:rsidR="580736CE" w:rsidRPr="00013BDC">
        <w:rPr>
          <w:rFonts w:eastAsia="Calibri"/>
          <w:noProof/>
          <w:lang w:val="en-IE"/>
        </w:rPr>
        <w:t xml:space="preserve"> </w:t>
      </w:r>
      <w:r w:rsidR="1EF4E5AF" w:rsidRPr="00013BDC">
        <w:rPr>
          <w:rFonts w:eastAsia="Calibri"/>
          <w:noProof/>
          <w:lang w:val="en-IE"/>
        </w:rPr>
        <w:t>F</w:t>
      </w:r>
      <w:r w:rsidR="16F3FABF" w:rsidRPr="00013BDC">
        <w:rPr>
          <w:rFonts w:eastAsia="Calibri"/>
          <w:noProof/>
          <w:lang w:val="en-IE"/>
        </w:rPr>
        <w:t xml:space="preserve">eedback on the possible impacts of the measures foreseen was largely qualitative or based on external studies. This may reflect the difficulty of assessing the impact of </w:t>
      </w:r>
      <w:r w:rsidR="7DDBDE22" w:rsidRPr="00013BDC">
        <w:rPr>
          <w:rFonts w:eastAsia="Calibri"/>
          <w:noProof/>
          <w:lang w:val="en-IE"/>
        </w:rPr>
        <w:t>theoretical measures and those</w:t>
      </w:r>
      <w:r w:rsidR="16F3FABF" w:rsidRPr="00013BDC">
        <w:rPr>
          <w:rFonts w:eastAsia="Calibri"/>
          <w:noProof/>
          <w:lang w:val="en-IE"/>
        </w:rPr>
        <w:t xml:space="preserve"> inherent </w:t>
      </w:r>
      <w:r w:rsidR="7DDBDE22" w:rsidRPr="00013BDC">
        <w:rPr>
          <w:rFonts w:eastAsia="Calibri"/>
          <w:noProof/>
          <w:lang w:val="en-IE"/>
        </w:rPr>
        <w:t>to</w:t>
      </w:r>
      <w:r w:rsidR="16F3FABF" w:rsidRPr="00013BDC">
        <w:rPr>
          <w:rFonts w:eastAsia="Calibri"/>
          <w:noProof/>
          <w:lang w:val="en-IE"/>
        </w:rPr>
        <w:t xml:space="preserve"> isolating the impact of EU rules from other factors </w:t>
      </w:r>
      <w:r w:rsidR="4405A6B5" w:rsidRPr="00013BDC">
        <w:rPr>
          <w:rFonts w:eastAsia="Calibri"/>
          <w:noProof/>
          <w:lang w:val="en-IE"/>
        </w:rPr>
        <w:t>such as</w:t>
      </w:r>
      <w:r w:rsidR="16F3FABF" w:rsidRPr="00013BDC">
        <w:rPr>
          <w:rFonts w:eastAsia="Calibri"/>
          <w:noProof/>
          <w:lang w:val="en-IE"/>
        </w:rPr>
        <w:t xml:space="preserve"> consumer behaviour </w:t>
      </w:r>
      <w:r w:rsidR="16012F52" w:rsidRPr="00013BDC">
        <w:rPr>
          <w:rFonts w:eastAsia="Calibri"/>
          <w:noProof/>
          <w:lang w:val="en-IE"/>
        </w:rPr>
        <w:t xml:space="preserve">or </w:t>
      </w:r>
      <w:r w:rsidR="16F3FABF" w:rsidRPr="00013BDC">
        <w:rPr>
          <w:rFonts w:eastAsia="Calibri"/>
          <w:noProof/>
          <w:lang w:val="en-IE"/>
        </w:rPr>
        <w:t>macroeconomic developments.</w:t>
      </w:r>
    </w:p>
    <w:p w14:paraId="2E408B3C" w14:textId="3C9A45BF" w:rsidR="006A39BF" w:rsidRPr="00013BDC" w:rsidRDefault="440C8404" w:rsidP="00135FFB">
      <w:pPr>
        <w:spacing w:after="120"/>
        <w:rPr>
          <w:rFonts w:eastAsia="Calibri"/>
          <w:noProof/>
          <w:lang w:val="en-IE"/>
        </w:rPr>
      </w:pPr>
      <w:r w:rsidRPr="00013BDC">
        <w:rPr>
          <w:rFonts w:eastAsia="Calibri"/>
          <w:b/>
          <w:noProof/>
          <w:lang w:val="en-IE"/>
        </w:rPr>
        <w:t>More specifically in relation to textiles</w:t>
      </w:r>
      <w:r w:rsidRPr="00013BDC">
        <w:rPr>
          <w:rFonts w:eastAsia="Calibri"/>
          <w:noProof/>
          <w:lang w:val="en-IE"/>
        </w:rPr>
        <w:t xml:space="preserve">, </w:t>
      </w:r>
      <w:r w:rsidR="67312B30" w:rsidRPr="00013BDC">
        <w:rPr>
          <w:rFonts w:eastAsia="Calibri"/>
          <w:noProof/>
          <w:lang w:val="en-IE"/>
        </w:rPr>
        <w:t xml:space="preserve">stakeholders across several categories including NGOs, public authorities, business associations </w:t>
      </w:r>
      <w:r w:rsidR="2B5D8370" w:rsidRPr="00013BDC">
        <w:rPr>
          <w:rFonts w:eastAsia="Calibri"/>
          <w:noProof/>
          <w:lang w:val="en-IE"/>
        </w:rPr>
        <w:t xml:space="preserve">representing SMEs, </w:t>
      </w:r>
      <w:r w:rsidR="67312B30" w:rsidRPr="00013BDC">
        <w:rPr>
          <w:rFonts w:eastAsia="Calibri"/>
          <w:noProof/>
          <w:lang w:val="en-IE"/>
        </w:rPr>
        <w:t>and companies</w:t>
      </w:r>
      <w:r w:rsidR="6ED824A6" w:rsidRPr="00013BDC">
        <w:rPr>
          <w:rFonts w:eastAsia="Calibri"/>
          <w:noProof/>
          <w:lang w:val="en-IE"/>
        </w:rPr>
        <w:t xml:space="preserve"> support</w:t>
      </w:r>
      <w:r w:rsidRPr="00013BDC">
        <w:rPr>
          <w:rFonts w:eastAsia="Calibri"/>
          <w:noProof/>
          <w:lang w:val="en-IE"/>
        </w:rPr>
        <w:t xml:space="preserve"> EPR schemes for textiles. </w:t>
      </w:r>
      <w:r w:rsidR="130C7EE1" w:rsidRPr="00013BDC">
        <w:rPr>
          <w:rFonts w:eastAsia="Calibri"/>
          <w:noProof/>
          <w:lang w:val="en-IE"/>
        </w:rPr>
        <w:t>A</w:t>
      </w:r>
      <w:r w:rsidRPr="00013BDC">
        <w:rPr>
          <w:rFonts w:eastAsia="Calibri"/>
          <w:noProof/>
          <w:lang w:val="en-IE"/>
        </w:rPr>
        <w:t xml:space="preserve"> business association</w:t>
      </w:r>
      <w:r w:rsidR="008D4004" w:rsidRPr="00013BDC">
        <w:rPr>
          <w:rStyle w:val="FootnoteReference"/>
          <w:rFonts w:eastAsia="Calibri"/>
          <w:noProof/>
          <w:lang w:val="en-IE"/>
        </w:rPr>
        <w:footnoteReference w:id="13"/>
      </w:r>
      <w:r w:rsidRPr="00013BDC">
        <w:rPr>
          <w:rFonts w:eastAsia="Calibri"/>
          <w:noProof/>
          <w:lang w:val="en-IE"/>
        </w:rPr>
        <w:t xml:space="preserve"> indicated that associated recycling schemes for textiles </w:t>
      </w:r>
      <w:r w:rsidR="0DEAE26A" w:rsidRPr="00013BDC">
        <w:rPr>
          <w:rFonts w:eastAsia="Calibri"/>
          <w:noProof/>
          <w:lang w:val="en-IE"/>
        </w:rPr>
        <w:t xml:space="preserve">require </w:t>
      </w:r>
      <w:r w:rsidRPr="00013BDC">
        <w:rPr>
          <w:rFonts w:eastAsia="Calibri"/>
          <w:noProof/>
          <w:lang w:val="en-IE"/>
        </w:rPr>
        <w:t>long transition periods to allow the recycling capacity and</w:t>
      </w:r>
      <w:r w:rsidR="6D3BEB51" w:rsidRPr="00013BDC">
        <w:rPr>
          <w:rFonts w:eastAsia="Calibri"/>
          <w:noProof/>
          <w:lang w:val="en-IE"/>
        </w:rPr>
        <w:t xml:space="preserve"> systems to ensure input</w:t>
      </w:r>
      <w:r w:rsidRPr="00013BDC">
        <w:rPr>
          <w:rFonts w:eastAsia="Calibri"/>
          <w:noProof/>
          <w:lang w:val="en-IE"/>
        </w:rPr>
        <w:t xml:space="preserve"> qualities to be set up</w:t>
      </w:r>
      <w:r w:rsidR="083C2E54" w:rsidRPr="00013BDC">
        <w:rPr>
          <w:rFonts w:eastAsia="Calibri"/>
          <w:noProof/>
          <w:lang w:val="en-IE"/>
        </w:rPr>
        <w:t>. The association also indicated that the</w:t>
      </w:r>
      <w:r w:rsidRPr="00013BDC">
        <w:rPr>
          <w:rFonts w:eastAsia="Calibri"/>
          <w:noProof/>
          <w:lang w:val="en-IE"/>
        </w:rPr>
        <w:t xml:space="preserve"> mixed composition of textiles </w:t>
      </w:r>
      <w:r w:rsidR="083C2E54" w:rsidRPr="00013BDC">
        <w:rPr>
          <w:rFonts w:eastAsia="Calibri"/>
          <w:noProof/>
          <w:lang w:val="en-IE"/>
        </w:rPr>
        <w:t xml:space="preserve">is a </w:t>
      </w:r>
      <w:r w:rsidRPr="00013BDC">
        <w:rPr>
          <w:rFonts w:eastAsia="Calibri"/>
          <w:noProof/>
          <w:lang w:val="en-IE"/>
        </w:rPr>
        <w:t>challeng</w:t>
      </w:r>
      <w:r w:rsidR="083C2E54" w:rsidRPr="00013BDC">
        <w:rPr>
          <w:rFonts w:eastAsia="Calibri"/>
          <w:noProof/>
          <w:lang w:val="en-IE"/>
        </w:rPr>
        <w:t xml:space="preserve">e for </w:t>
      </w:r>
      <w:r w:rsidRPr="00013BDC">
        <w:rPr>
          <w:rFonts w:eastAsia="Calibri"/>
          <w:noProof/>
          <w:lang w:val="en-IE"/>
        </w:rPr>
        <w:t>recycling. Another business association</w:t>
      </w:r>
      <w:r w:rsidR="002040C7" w:rsidRPr="00013BDC">
        <w:rPr>
          <w:rStyle w:val="FootnoteReference"/>
          <w:rFonts w:eastAsia="Calibri"/>
          <w:noProof/>
          <w:lang w:val="en-IE"/>
        </w:rPr>
        <w:footnoteReference w:id="14"/>
      </w:r>
      <w:r w:rsidRPr="00013BDC">
        <w:rPr>
          <w:rFonts w:eastAsia="Calibri"/>
          <w:noProof/>
          <w:lang w:val="en-IE"/>
        </w:rPr>
        <w:t xml:space="preserve"> </w:t>
      </w:r>
      <w:r w:rsidR="1BAD1F61" w:rsidRPr="00013BDC">
        <w:rPr>
          <w:rFonts w:eastAsia="Calibri"/>
          <w:noProof/>
          <w:lang w:val="en-IE"/>
        </w:rPr>
        <w:t>advocate</w:t>
      </w:r>
      <w:r w:rsidR="57CE5BE6" w:rsidRPr="00013BDC">
        <w:rPr>
          <w:rFonts w:eastAsia="Calibri"/>
          <w:noProof/>
          <w:lang w:val="en-IE"/>
        </w:rPr>
        <w:t>d</w:t>
      </w:r>
      <w:r w:rsidR="2E9831F5" w:rsidRPr="00013BDC">
        <w:rPr>
          <w:rFonts w:eastAsia="Calibri"/>
          <w:noProof/>
          <w:lang w:val="en-IE"/>
        </w:rPr>
        <w:t xml:space="preserve"> for </w:t>
      </w:r>
      <w:r w:rsidRPr="00013BDC">
        <w:rPr>
          <w:rFonts w:eastAsia="Calibri"/>
          <w:noProof/>
          <w:lang w:val="en-IE"/>
        </w:rPr>
        <w:t xml:space="preserve">regulatory tools to </w:t>
      </w:r>
      <w:r w:rsidR="2E9831F5" w:rsidRPr="00013BDC">
        <w:rPr>
          <w:rFonts w:eastAsia="Calibri"/>
          <w:noProof/>
          <w:lang w:val="en-IE"/>
        </w:rPr>
        <w:t xml:space="preserve">boost </w:t>
      </w:r>
      <w:r w:rsidRPr="00013BDC">
        <w:rPr>
          <w:rFonts w:eastAsia="Calibri"/>
          <w:noProof/>
          <w:lang w:val="en-IE"/>
        </w:rPr>
        <w:t>demand for reused textiles and textiles recycling.</w:t>
      </w:r>
      <w:r w:rsidR="29A0AD2F" w:rsidRPr="00013BDC">
        <w:rPr>
          <w:rFonts w:eastAsia="Calibri"/>
          <w:noProof/>
          <w:lang w:val="en-IE"/>
        </w:rPr>
        <w:t xml:space="preserve"> </w:t>
      </w:r>
      <w:r w:rsidR="2E9831F5" w:rsidRPr="00013BDC">
        <w:rPr>
          <w:rFonts w:eastAsia="Calibri"/>
          <w:noProof/>
          <w:lang w:val="en-IE"/>
        </w:rPr>
        <w:t>A company</w:t>
      </w:r>
      <w:r w:rsidR="0D301EB4" w:rsidRPr="00013BDC">
        <w:rPr>
          <w:rFonts w:eastAsia="Calibri"/>
          <w:noProof/>
          <w:lang w:val="en-IE"/>
        </w:rPr>
        <w:t>/business</w:t>
      </w:r>
      <w:r w:rsidR="2E9831F5" w:rsidRPr="00013BDC">
        <w:rPr>
          <w:rFonts w:eastAsia="Calibri"/>
          <w:noProof/>
          <w:lang w:val="en-IE"/>
        </w:rPr>
        <w:t xml:space="preserve"> association</w:t>
      </w:r>
      <w:r w:rsidR="00F35DCD" w:rsidRPr="00013BDC">
        <w:rPr>
          <w:rStyle w:val="FootnoteReference"/>
          <w:rFonts w:eastAsia="Calibri"/>
          <w:noProof/>
          <w:lang w:val="en-IE"/>
        </w:rPr>
        <w:footnoteReference w:id="15"/>
      </w:r>
      <w:r w:rsidR="2E9831F5" w:rsidRPr="00013BDC">
        <w:rPr>
          <w:rFonts w:eastAsia="Calibri"/>
          <w:noProof/>
          <w:lang w:val="en-IE"/>
        </w:rPr>
        <w:t xml:space="preserve"> noted that l</w:t>
      </w:r>
      <w:r w:rsidRPr="00013BDC">
        <w:rPr>
          <w:rFonts w:eastAsia="Calibri"/>
          <w:noProof/>
          <w:lang w:val="en-IE"/>
        </w:rPr>
        <w:t xml:space="preserve">ow disposal/incineration costs for textile wastes </w:t>
      </w:r>
      <w:r w:rsidR="2923C7AC" w:rsidRPr="00013BDC">
        <w:rPr>
          <w:rFonts w:eastAsia="Calibri"/>
          <w:noProof/>
          <w:lang w:val="en-IE"/>
        </w:rPr>
        <w:t>contribute to</w:t>
      </w:r>
      <w:r w:rsidRPr="00013BDC">
        <w:rPr>
          <w:rFonts w:eastAsia="Calibri"/>
          <w:noProof/>
          <w:lang w:val="en-IE"/>
        </w:rPr>
        <w:t xml:space="preserve"> low levels of recycling.</w:t>
      </w:r>
      <w:r w:rsidR="55343198" w:rsidRPr="00013BDC">
        <w:rPr>
          <w:rFonts w:eastAsia="Calibri"/>
          <w:noProof/>
          <w:lang w:val="en-IE"/>
        </w:rPr>
        <w:t xml:space="preserve"> </w:t>
      </w:r>
      <w:r w:rsidRPr="00013BDC">
        <w:rPr>
          <w:rFonts w:eastAsia="Calibri"/>
          <w:noProof/>
          <w:lang w:val="en-IE"/>
        </w:rPr>
        <w:t>An NGO</w:t>
      </w:r>
      <w:r w:rsidR="00E126AD" w:rsidRPr="00013BDC">
        <w:rPr>
          <w:rStyle w:val="FootnoteReference"/>
          <w:rFonts w:eastAsia="Calibri"/>
          <w:noProof/>
          <w:lang w:val="en-IE"/>
        </w:rPr>
        <w:footnoteReference w:id="16"/>
      </w:r>
      <w:r w:rsidRPr="00013BDC">
        <w:rPr>
          <w:rFonts w:eastAsia="Calibri"/>
          <w:noProof/>
          <w:lang w:val="en-IE"/>
        </w:rPr>
        <w:t xml:space="preserve"> </w:t>
      </w:r>
      <w:r w:rsidR="5966E9C0" w:rsidRPr="00013BDC">
        <w:rPr>
          <w:rFonts w:eastAsia="Calibri"/>
          <w:noProof/>
          <w:lang w:val="en-IE"/>
        </w:rPr>
        <w:t xml:space="preserve">pointed to evidence </w:t>
      </w:r>
      <w:r w:rsidRPr="00013BDC">
        <w:rPr>
          <w:rFonts w:eastAsia="Calibri"/>
          <w:noProof/>
          <w:lang w:val="en-IE"/>
        </w:rPr>
        <w:t>that second-hand clothing contributes to the reduction of textile waste by 50%</w:t>
      </w:r>
      <w:r w:rsidR="47A63EDD" w:rsidRPr="00013BDC">
        <w:rPr>
          <w:rFonts w:eastAsia="Calibri"/>
          <w:noProof/>
          <w:lang w:val="en-IE"/>
        </w:rPr>
        <w:t xml:space="preserve"> and noted that </w:t>
      </w:r>
      <w:r w:rsidRPr="00013BDC">
        <w:rPr>
          <w:rFonts w:eastAsia="Calibri"/>
          <w:noProof/>
          <w:lang w:val="en-IE"/>
        </w:rPr>
        <w:t>separate collect</w:t>
      </w:r>
      <w:r w:rsidR="47A63EDD" w:rsidRPr="00013BDC">
        <w:rPr>
          <w:rFonts w:eastAsia="Calibri"/>
          <w:noProof/>
          <w:lang w:val="en-IE"/>
        </w:rPr>
        <w:t>ion of</w:t>
      </w:r>
      <w:r w:rsidRPr="00013BDC">
        <w:rPr>
          <w:rFonts w:eastAsia="Calibri"/>
          <w:noProof/>
          <w:lang w:val="en-IE"/>
        </w:rPr>
        <w:t xml:space="preserve"> textiles </w:t>
      </w:r>
      <w:r w:rsidR="47A63EDD" w:rsidRPr="00013BDC">
        <w:rPr>
          <w:rFonts w:eastAsia="Calibri"/>
          <w:noProof/>
          <w:lang w:val="en-IE"/>
        </w:rPr>
        <w:t xml:space="preserve">is essential </w:t>
      </w:r>
      <w:r w:rsidR="3BAC41EF" w:rsidRPr="00013BDC">
        <w:rPr>
          <w:rFonts w:eastAsia="Calibri"/>
          <w:noProof/>
          <w:lang w:val="en-IE"/>
        </w:rPr>
        <w:t xml:space="preserve">to ensure </w:t>
      </w:r>
      <w:r w:rsidR="2065D338" w:rsidRPr="00013BDC">
        <w:rPr>
          <w:rFonts w:eastAsia="Calibri"/>
          <w:noProof/>
          <w:lang w:val="en-IE"/>
        </w:rPr>
        <w:t>reuse</w:t>
      </w:r>
      <w:r w:rsidRPr="00013BDC">
        <w:rPr>
          <w:rFonts w:eastAsia="Calibri"/>
          <w:noProof/>
          <w:lang w:val="en-IE"/>
        </w:rPr>
        <w:t xml:space="preserve">. The same NGO suggested </w:t>
      </w:r>
      <w:r w:rsidR="3BAC41EF" w:rsidRPr="00013BDC">
        <w:rPr>
          <w:rFonts w:eastAsia="Calibri"/>
          <w:noProof/>
          <w:lang w:val="en-IE"/>
        </w:rPr>
        <w:t>a</w:t>
      </w:r>
      <w:r w:rsidRPr="00013BDC">
        <w:rPr>
          <w:rFonts w:eastAsia="Calibri"/>
          <w:noProof/>
          <w:lang w:val="en-IE"/>
        </w:rPr>
        <w:t xml:space="preserve"> greater application of the polluter pays principle for textile producers.</w:t>
      </w:r>
      <w:r w:rsidR="368DE13D" w:rsidRPr="00013BDC">
        <w:rPr>
          <w:rFonts w:eastAsia="Calibri"/>
          <w:noProof/>
          <w:lang w:val="en-IE"/>
        </w:rPr>
        <w:t xml:space="preserve"> A business association</w:t>
      </w:r>
      <w:r w:rsidR="0022344A" w:rsidRPr="00013BDC">
        <w:rPr>
          <w:rStyle w:val="FootnoteReference"/>
          <w:rFonts w:eastAsia="Calibri"/>
          <w:noProof/>
          <w:lang w:val="en-IE"/>
        </w:rPr>
        <w:footnoteReference w:id="17"/>
      </w:r>
      <w:r w:rsidR="368DE13D" w:rsidRPr="00013BDC">
        <w:rPr>
          <w:rFonts w:eastAsia="Calibri"/>
          <w:noProof/>
          <w:lang w:val="en-IE"/>
        </w:rPr>
        <w:t xml:space="preserve"> </w:t>
      </w:r>
      <w:r w:rsidR="01C66214" w:rsidRPr="00013BDC">
        <w:rPr>
          <w:rFonts w:eastAsia="Calibri"/>
          <w:noProof/>
          <w:lang w:val="en-IE"/>
        </w:rPr>
        <w:t xml:space="preserve">emphasised the </w:t>
      </w:r>
      <w:r w:rsidRPr="00013BDC">
        <w:rPr>
          <w:rFonts w:eastAsia="Calibri"/>
          <w:noProof/>
          <w:lang w:val="en-IE"/>
        </w:rPr>
        <w:t xml:space="preserve">benefits of rented textiles </w:t>
      </w:r>
      <w:r w:rsidR="01C66214" w:rsidRPr="00013BDC">
        <w:rPr>
          <w:rFonts w:eastAsia="Calibri"/>
          <w:noProof/>
          <w:lang w:val="en-IE"/>
        </w:rPr>
        <w:t xml:space="preserve">to </w:t>
      </w:r>
      <w:r w:rsidR="0D10C58E" w:rsidRPr="00013BDC">
        <w:rPr>
          <w:rFonts w:eastAsia="Calibri"/>
          <w:noProof/>
          <w:lang w:val="en-IE"/>
        </w:rPr>
        <w:t xml:space="preserve">extend textile </w:t>
      </w:r>
      <w:r w:rsidRPr="00013BDC">
        <w:rPr>
          <w:rFonts w:eastAsia="Calibri"/>
          <w:noProof/>
          <w:lang w:val="en-IE"/>
        </w:rPr>
        <w:t>life</w:t>
      </w:r>
      <w:r w:rsidR="6FF41BB2" w:rsidRPr="00013BDC">
        <w:rPr>
          <w:rFonts w:eastAsia="Calibri"/>
          <w:noProof/>
          <w:lang w:val="en-IE"/>
        </w:rPr>
        <w:t>time compared to</w:t>
      </w:r>
      <w:r w:rsidRPr="00013BDC">
        <w:rPr>
          <w:rFonts w:eastAsia="Calibri"/>
          <w:noProof/>
          <w:lang w:val="en-IE"/>
        </w:rPr>
        <w:t xml:space="preserve"> owned textiles</w:t>
      </w:r>
      <w:r w:rsidR="4BDD9B69" w:rsidRPr="00013BDC">
        <w:rPr>
          <w:rFonts w:eastAsia="Calibri"/>
          <w:noProof/>
          <w:lang w:val="en-IE"/>
        </w:rPr>
        <w:t xml:space="preserve"> and the </w:t>
      </w:r>
      <w:r w:rsidRPr="00013BDC">
        <w:rPr>
          <w:rFonts w:eastAsia="Calibri"/>
          <w:noProof/>
          <w:lang w:val="en-IE"/>
        </w:rPr>
        <w:t xml:space="preserve">need to coordinate work on textiles under the </w:t>
      </w:r>
      <w:r w:rsidR="4BDD9B69" w:rsidRPr="00013BDC">
        <w:rPr>
          <w:rFonts w:eastAsia="Calibri"/>
          <w:noProof/>
          <w:lang w:val="en-IE"/>
        </w:rPr>
        <w:t xml:space="preserve">WFD </w:t>
      </w:r>
      <w:r w:rsidRPr="00013BDC">
        <w:rPr>
          <w:rFonts w:eastAsia="Calibri"/>
          <w:noProof/>
          <w:lang w:val="en-IE"/>
        </w:rPr>
        <w:t xml:space="preserve">with </w:t>
      </w:r>
      <w:r w:rsidR="4BDD9B69" w:rsidRPr="00013BDC">
        <w:rPr>
          <w:rFonts w:eastAsia="Calibri"/>
          <w:noProof/>
          <w:lang w:val="en-IE"/>
        </w:rPr>
        <w:t>ESPR</w:t>
      </w:r>
      <w:r w:rsidRPr="00013BDC">
        <w:rPr>
          <w:rFonts w:eastAsia="Calibri"/>
          <w:noProof/>
          <w:lang w:val="en-IE"/>
        </w:rPr>
        <w:t>. A company/business association</w:t>
      </w:r>
      <w:r w:rsidR="00670FAF" w:rsidRPr="00013BDC">
        <w:rPr>
          <w:rStyle w:val="FootnoteReference"/>
          <w:rFonts w:eastAsia="Calibri"/>
          <w:noProof/>
          <w:lang w:val="en-IE"/>
        </w:rPr>
        <w:footnoteReference w:id="18"/>
      </w:r>
      <w:r w:rsidRPr="00013BDC">
        <w:rPr>
          <w:rFonts w:eastAsia="Calibri"/>
          <w:noProof/>
          <w:lang w:val="en-IE"/>
        </w:rPr>
        <w:t xml:space="preserve"> also supported this need for coordination.</w:t>
      </w:r>
      <w:r w:rsidR="19BC82F1" w:rsidRPr="00013BDC">
        <w:rPr>
          <w:rFonts w:eastAsia="Calibri"/>
          <w:noProof/>
          <w:lang w:val="en-IE"/>
        </w:rPr>
        <w:t xml:space="preserve"> Several business associations </w:t>
      </w:r>
      <w:r w:rsidR="6CF438E2" w:rsidRPr="00013BDC">
        <w:rPr>
          <w:rFonts w:eastAsia="Calibri"/>
          <w:noProof/>
          <w:lang w:val="en-IE"/>
        </w:rPr>
        <w:t xml:space="preserve">pointed to the importance of </w:t>
      </w:r>
      <w:r w:rsidRPr="00013BDC">
        <w:rPr>
          <w:rFonts w:eastAsia="Calibri"/>
          <w:noProof/>
          <w:lang w:val="en-IE"/>
        </w:rPr>
        <w:t>clear definitions of reusable / recyclable</w:t>
      </w:r>
      <w:r w:rsidR="6CF438E2" w:rsidRPr="00013BDC">
        <w:rPr>
          <w:rFonts w:eastAsia="Calibri"/>
          <w:noProof/>
          <w:lang w:val="en-IE"/>
        </w:rPr>
        <w:t xml:space="preserve"> textiles</w:t>
      </w:r>
      <w:r w:rsidRPr="00013BDC">
        <w:rPr>
          <w:rFonts w:eastAsia="Calibri"/>
          <w:noProof/>
          <w:lang w:val="en-IE"/>
        </w:rPr>
        <w:t>.</w:t>
      </w:r>
    </w:p>
    <w:p w14:paraId="12F99F12" w14:textId="3AD74433" w:rsidR="000B2736" w:rsidRPr="00013BDC" w:rsidRDefault="674C568A" w:rsidP="00D8168C">
      <w:pPr>
        <w:spacing w:after="120"/>
        <w:rPr>
          <w:rFonts w:eastAsia="Times New Roman"/>
          <w:noProof/>
          <w:lang w:val="en-IE"/>
        </w:rPr>
      </w:pPr>
      <w:r w:rsidRPr="00013BDC">
        <w:rPr>
          <w:rFonts w:eastAsia="Times New Roman"/>
          <w:b/>
          <w:noProof/>
          <w:lang w:val="en-IE"/>
        </w:rPr>
        <w:t xml:space="preserve">Concerning the part on food waste, </w:t>
      </w:r>
      <w:r w:rsidR="3F5C38DC" w:rsidRPr="00013BDC">
        <w:rPr>
          <w:rFonts w:eastAsia="Times New Roman"/>
          <w:b/>
          <w:noProof/>
          <w:lang w:val="en-IE"/>
        </w:rPr>
        <w:t xml:space="preserve">the </w:t>
      </w:r>
      <w:hyperlink r:id="rId46">
        <w:r w:rsidR="3F5C38DC" w:rsidRPr="00013BDC">
          <w:rPr>
            <w:rStyle w:val="Hyperlink"/>
            <w:rFonts w:eastAsia="Times New Roman"/>
            <w:b/>
            <w:noProof/>
            <w:lang w:val="en-IE"/>
          </w:rPr>
          <w:t>IIA</w:t>
        </w:r>
      </w:hyperlink>
      <w:r w:rsidRPr="00013BDC">
        <w:rPr>
          <w:rFonts w:eastAsia="Times New Roman"/>
          <w:noProof/>
          <w:lang w:val="en-IE"/>
        </w:rPr>
        <w:t xml:space="preserve"> offered all interested stakeholders and citizens the possibility to contribute to the policy-making cycle. </w:t>
      </w:r>
      <w:r w:rsidR="63DECFE2" w:rsidRPr="00013BDC">
        <w:rPr>
          <w:rFonts w:eastAsia="Times New Roman"/>
          <w:noProof/>
          <w:lang w:val="en-IE"/>
        </w:rPr>
        <w:t>The IIA</w:t>
      </w:r>
      <w:r w:rsidR="028B0897" w:rsidRPr="00013BDC">
        <w:rPr>
          <w:rFonts w:eastAsia="Times New Roman"/>
          <w:noProof/>
          <w:lang w:val="en-IE"/>
        </w:rPr>
        <w:t xml:space="preserve"> included the description of</w:t>
      </w:r>
      <w:r w:rsidR="34DC7BF9" w:rsidRPr="00013BDC">
        <w:rPr>
          <w:rFonts w:eastAsia="Times New Roman"/>
          <w:noProof/>
          <w:lang w:val="en-IE"/>
        </w:rPr>
        <w:t xml:space="preserve"> the problem, the policy objectives and policy options with related expected </w:t>
      </w:r>
      <w:r w:rsidR="37C12595" w:rsidRPr="00013BDC">
        <w:rPr>
          <w:rFonts w:eastAsia="Times New Roman"/>
          <w:noProof/>
          <w:lang w:val="en-IE"/>
        </w:rPr>
        <w:t xml:space="preserve">economic, social and environmental </w:t>
      </w:r>
      <w:r w:rsidR="34DC7BF9" w:rsidRPr="00013BDC">
        <w:rPr>
          <w:rFonts w:eastAsia="Times New Roman"/>
          <w:noProof/>
          <w:lang w:val="en-IE"/>
        </w:rPr>
        <w:t>impacts</w:t>
      </w:r>
      <w:r w:rsidR="2CCCD79B" w:rsidRPr="00013BDC">
        <w:rPr>
          <w:rFonts w:eastAsia="Times New Roman"/>
          <w:noProof/>
          <w:lang w:val="en-IE"/>
        </w:rPr>
        <w:t xml:space="preserve">. </w:t>
      </w:r>
      <w:r w:rsidR="5D706044" w:rsidRPr="00013BDC">
        <w:rPr>
          <w:rFonts w:eastAsia="Times New Roman"/>
          <w:noProof/>
          <w:lang w:val="en-IE"/>
        </w:rPr>
        <w:t xml:space="preserve">It also presented </w:t>
      </w:r>
      <w:r w:rsidR="2B693EDD" w:rsidRPr="00013BDC">
        <w:rPr>
          <w:rFonts w:eastAsia="Times New Roman"/>
          <w:noProof/>
          <w:lang w:val="en-IE"/>
        </w:rPr>
        <w:t>the planned</w:t>
      </w:r>
      <w:r w:rsidR="2CCCD79B" w:rsidRPr="00013BDC">
        <w:rPr>
          <w:rFonts w:eastAsia="Times New Roman"/>
          <w:noProof/>
          <w:lang w:val="en-IE"/>
        </w:rPr>
        <w:t xml:space="preserve"> evidence base and data collection </w:t>
      </w:r>
      <w:r w:rsidR="698C2729" w:rsidRPr="00013BDC">
        <w:rPr>
          <w:rFonts w:eastAsia="Times New Roman"/>
          <w:noProof/>
          <w:lang w:val="en-IE"/>
        </w:rPr>
        <w:t>as well as the consultation of citizens and stakeholders</w:t>
      </w:r>
      <w:r w:rsidR="5D706044" w:rsidRPr="00013BDC">
        <w:rPr>
          <w:rFonts w:eastAsia="Times New Roman"/>
          <w:noProof/>
          <w:lang w:val="en-IE"/>
        </w:rPr>
        <w:t>.</w:t>
      </w:r>
      <w:r w:rsidR="3481E0C5" w:rsidRPr="00013BDC">
        <w:rPr>
          <w:rFonts w:eastAsia="Times New Roman"/>
          <w:noProof/>
          <w:lang w:val="en-IE"/>
        </w:rPr>
        <w:t xml:space="preserve"> </w:t>
      </w:r>
      <w:r w:rsidR="000B2736" w:rsidRPr="00013BDC">
        <w:rPr>
          <w:rFonts w:eastAsia="Times New Roman"/>
          <w:noProof/>
          <w:lang w:val="en-IE"/>
        </w:rPr>
        <w:t xml:space="preserve">As the Inception IA focussed on the Commission’s commitment to propose legally binding </w:t>
      </w:r>
      <w:r w:rsidR="00D63264" w:rsidRPr="00013BDC">
        <w:rPr>
          <w:rFonts w:eastAsia="Times New Roman"/>
          <w:noProof/>
          <w:lang w:val="en-IE"/>
        </w:rPr>
        <w:t xml:space="preserve">food waste reduction </w:t>
      </w:r>
      <w:r w:rsidR="000B2736" w:rsidRPr="00013BDC">
        <w:rPr>
          <w:rFonts w:eastAsia="Times New Roman"/>
          <w:noProof/>
          <w:lang w:val="en-IE"/>
        </w:rPr>
        <w:t>targets, voluntary targets were not part of stakeholders’ consultations.</w:t>
      </w:r>
    </w:p>
    <w:p w14:paraId="07FB1B19" w14:textId="63E994AD" w:rsidR="00D8168C" w:rsidRPr="00013BDC" w:rsidRDefault="674C568A" w:rsidP="00D8168C">
      <w:pPr>
        <w:spacing w:after="120"/>
        <w:rPr>
          <w:rFonts w:eastAsia="Times New Roman"/>
          <w:noProof/>
          <w:lang w:val="en-IE"/>
        </w:rPr>
      </w:pPr>
      <w:r w:rsidRPr="00013BDC">
        <w:rPr>
          <w:rFonts w:eastAsia="Times New Roman"/>
          <w:noProof/>
          <w:lang w:val="en-IE"/>
        </w:rPr>
        <w:t>85 contributions were received from respondents in 17 EU countries and 2 third countries (United Kingdom and USA)</w:t>
      </w:r>
      <w:r w:rsidRPr="00013BDC">
        <w:rPr>
          <w:noProof/>
          <w:lang w:val="en-IE"/>
        </w:rPr>
        <w:t xml:space="preserve">. </w:t>
      </w:r>
      <w:r w:rsidR="70A16147" w:rsidRPr="00013BDC">
        <w:rPr>
          <w:rFonts w:eastAsia="Times New Roman"/>
          <w:noProof/>
          <w:lang w:val="en-IE"/>
        </w:rPr>
        <w:t>Most</w:t>
      </w:r>
      <w:r w:rsidRPr="00013BDC">
        <w:rPr>
          <w:rFonts w:eastAsia="Times New Roman"/>
          <w:noProof/>
          <w:lang w:val="en-IE"/>
        </w:rPr>
        <w:t xml:space="preserve"> contributions were from </w:t>
      </w:r>
      <w:r w:rsidR="3C6BF174" w:rsidRPr="00013BDC">
        <w:rPr>
          <w:rFonts w:eastAsia="Times New Roman"/>
          <w:noProof/>
          <w:lang w:val="en-IE"/>
        </w:rPr>
        <w:t>business associations</w:t>
      </w:r>
      <w:r w:rsidR="449CACDD" w:rsidRPr="00013BDC">
        <w:rPr>
          <w:rFonts w:eastAsia="Times New Roman"/>
          <w:noProof/>
          <w:lang w:val="en-IE"/>
        </w:rPr>
        <w:t xml:space="preserve"> </w:t>
      </w:r>
      <w:r w:rsidR="7CD61209" w:rsidRPr="00013BDC">
        <w:rPr>
          <w:rFonts w:eastAsia="Times New Roman"/>
          <w:noProof/>
          <w:lang w:val="en-IE"/>
        </w:rPr>
        <w:t xml:space="preserve"> (27), </w:t>
      </w:r>
      <w:r w:rsidR="007E6638" w:rsidRPr="00013BDC">
        <w:rPr>
          <w:rFonts w:eastAsia="Times New Roman"/>
          <w:noProof/>
          <w:lang w:val="en-IE"/>
        </w:rPr>
        <w:t>followed by</w:t>
      </w:r>
      <w:r w:rsidR="7CD61209" w:rsidRPr="00013BDC">
        <w:rPr>
          <w:rFonts w:eastAsia="Times New Roman"/>
          <w:noProof/>
          <w:lang w:val="en-IE"/>
        </w:rPr>
        <w:t xml:space="preserve"> NGOs</w:t>
      </w:r>
      <w:r w:rsidR="0032F9B7" w:rsidRPr="00013BDC">
        <w:rPr>
          <w:rFonts w:eastAsia="Times New Roman"/>
          <w:noProof/>
          <w:lang w:val="en-IE"/>
        </w:rPr>
        <w:t xml:space="preserve"> </w:t>
      </w:r>
      <w:r w:rsidR="006167BB" w:rsidRPr="00013BDC">
        <w:rPr>
          <w:rFonts w:eastAsia="Times New Roman"/>
          <w:noProof/>
          <w:lang w:val="en-IE"/>
        </w:rPr>
        <w:t>(</w:t>
      </w:r>
      <w:r w:rsidR="00F4579C" w:rsidRPr="00013BDC">
        <w:rPr>
          <w:rFonts w:eastAsia="Times New Roman"/>
          <w:noProof/>
          <w:lang w:val="en-IE"/>
        </w:rPr>
        <w:t xml:space="preserve">18, of which </w:t>
      </w:r>
      <w:r w:rsidR="003E19EE" w:rsidRPr="00013BDC">
        <w:rPr>
          <w:rFonts w:eastAsia="Times New Roman"/>
          <w:noProof/>
          <w:lang w:val="en-IE"/>
        </w:rPr>
        <w:t>12 with an environmental focus</w:t>
      </w:r>
      <w:r w:rsidR="006167BB" w:rsidRPr="00013BDC">
        <w:rPr>
          <w:rFonts w:eastAsia="Times New Roman"/>
          <w:noProof/>
          <w:lang w:val="en-IE"/>
        </w:rPr>
        <w:t>)</w:t>
      </w:r>
      <w:r w:rsidR="003E19EE" w:rsidRPr="00013BDC">
        <w:rPr>
          <w:rFonts w:eastAsia="Times New Roman"/>
          <w:noProof/>
          <w:lang w:val="en-IE"/>
        </w:rPr>
        <w:t xml:space="preserve">, </w:t>
      </w:r>
      <w:r w:rsidR="007E6638" w:rsidRPr="00013BDC">
        <w:rPr>
          <w:rFonts w:eastAsia="Times New Roman"/>
          <w:noProof/>
          <w:lang w:val="en-IE"/>
        </w:rPr>
        <w:t>companies (11), EU citizens (9),</w:t>
      </w:r>
      <w:r w:rsidR="0032F9B7" w:rsidRPr="00013BDC">
        <w:rPr>
          <w:rFonts w:eastAsia="Times New Roman"/>
          <w:noProof/>
          <w:lang w:val="en-IE"/>
        </w:rPr>
        <w:t xml:space="preserve"> consumer (4) and environmental (3) organisations</w:t>
      </w:r>
      <w:r w:rsidR="007E6638" w:rsidRPr="00013BDC">
        <w:rPr>
          <w:rFonts w:eastAsia="Times New Roman"/>
          <w:noProof/>
          <w:lang w:val="en-IE"/>
        </w:rPr>
        <w:t>.</w:t>
      </w:r>
      <w:r w:rsidR="6FE06E50" w:rsidRPr="00013BDC">
        <w:rPr>
          <w:rFonts w:eastAsia="Times New Roman"/>
          <w:noProof/>
          <w:lang w:val="en-IE"/>
        </w:rPr>
        <w:t xml:space="preserve"> </w:t>
      </w:r>
      <w:r w:rsidR="007E6638" w:rsidRPr="00013BDC">
        <w:rPr>
          <w:rFonts w:eastAsia="Times New Roman"/>
          <w:noProof/>
          <w:lang w:val="en-IE"/>
        </w:rPr>
        <w:t>Six</w:t>
      </w:r>
      <w:r w:rsidR="6FE06E50" w:rsidRPr="00013BDC">
        <w:rPr>
          <w:rFonts w:eastAsia="Times New Roman"/>
          <w:noProof/>
          <w:lang w:val="en-IE"/>
        </w:rPr>
        <w:t xml:space="preserve"> public authorities (including </w:t>
      </w:r>
      <w:r w:rsidRPr="00013BDC">
        <w:rPr>
          <w:rFonts w:eastAsia="Times New Roman"/>
          <w:noProof/>
          <w:lang w:val="en-IE"/>
        </w:rPr>
        <w:t>3 Member States</w:t>
      </w:r>
      <w:r w:rsidR="00BE7C79" w:rsidRPr="00013BDC">
        <w:rPr>
          <w:rStyle w:val="FootnoteReference"/>
          <w:rFonts w:eastAsia="Times New Roman"/>
          <w:noProof/>
          <w:lang w:val="en-IE"/>
        </w:rPr>
        <w:footnoteReference w:id="19"/>
      </w:r>
      <w:r w:rsidR="6FE06E50" w:rsidRPr="00013BDC">
        <w:rPr>
          <w:rFonts w:eastAsia="Times New Roman"/>
          <w:noProof/>
          <w:lang w:val="en-IE"/>
        </w:rPr>
        <w:t>)</w:t>
      </w:r>
      <w:r w:rsidR="0014702E" w:rsidRPr="00013BDC">
        <w:rPr>
          <w:rFonts w:eastAsia="Times New Roman"/>
          <w:noProof/>
          <w:lang w:val="en-IE"/>
        </w:rPr>
        <w:t xml:space="preserve"> </w:t>
      </w:r>
      <w:r w:rsidRPr="00013BDC">
        <w:rPr>
          <w:rFonts w:eastAsia="Times New Roman"/>
          <w:noProof/>
          <w:lang w:val="en-IE"/>
        </w:rPr>
        <w:t>provided input through the feedback mechanism.</w:t>
      </w:r>
    </w:p>
    <w:p w14:paraId="6668BF3E" w14:textId="4B8F528C" w:rsidR="00D8168C" w:rsidRPr="00013BDC" w:rsidRDefault="15915770" w:rsidP="0EFD8210">
      <w:pPr>
        <w:spacing w:after="120"/>
        <w:rPr>
          <w:rFonts w:eastAsia="Times New Roman"/>
          <w:noProof/>
          <w:lang w:val="en-IE"/>
        </w:rPr>
      </w:pPr>
      <w:r w:rsidRPr="00013BDC">
        <w:rPr>
          <w:rFonts w:eastAsia="Times New Roman"/>
          <w:noProof/>
          <w:lang w:val="en-IE"/>
        </w:rPr>
        <w:t>Overall, stakeholders</w:t>
      </w:r>
      <w:r w:rsidR="06B04589" w:rsidRPr="00013BDC">
        <w:rPr>
          <w:rFonts w:eastAsia="Times New Roman"/>
          <w:noProof/>
          <w:lang w:val="en-IE"/>
        </w:rPr>
        <w:t xml:space="preserve"> expressed support for the EU legislative initiative, seen as essential in order to achieve the Green Deal objectives of climate neutrality and transition to sustainable food systems as called for by the Farm to Fork Strategy</w:t>
      </w:r>
      <w:r w:rsidRPr="00013BDC">
        <w:rPr>
          <w:rFonts w:eastAsia="Times New Roman"/>
          <w:noProof/>
          <w:lang w:val="en-IE"/>
        </w:rPr>
        <w:t xml:space="preserve"> </w:t>
      </w:r>
      <w:r w:rsidR="00BC3726" w:rsidRPr="00013BDC">
        <w:rPr>
          <w:rStyle w:val="FootnoteReference"/>
          <w:rFonts w:eastAsia="Times New Roman"/>
          <w:noProof/>
          <w:lang w:val="en-IE"/>
        </w:rPr>
        <w:footnoteReference w:id="20"/>
      </w:r>
      <w:r w:rsidR="53419A74" w:rsidRPr="00013BDC">
        <w:rPr>
          <w:rFonts w:eastAsia="Times New Roman"/>
          <w:noProof/>
          <w:lang w:val="en-IE"/>
        </w:rPr>
        <w:t xml:space="preserve"> </w:t>
      </w:r>
      <w:r w:rsidR="3205D716" w:rsidRPr="00013BDC">
        <w:rPr>
          <w:rFonts w:eastAsia="Times New Roman"/>
          <w:noProof/>
          <w:lang w:val="en-IE"/>
        </w:rPr>
        <w:t xml:space="preserve">Most stakeholders affirm that food waste reduction targets should cover the whole supply chain (reflecting an integrated food systems approach), with </w:t>
      </w:r>
      <w:r w:rsidR="7173AC55" w:rsidRPr="00013BDC">
        <w:rPr>
          <w:rFonts w:eastAsia="Times New Roman"/>
          <w:noProof/>
          <w:lang w:val="en-IE"/>
        </w:rPr>
        <w:t xml:space="preserve">the future </w:t>
      </w:r>
      <w:r w:rsidRPr="00013BDC">
        <w:rPr>
          <w:rFonts w:eastAsia="Times New Roman"/>
          <w:noProof/>
          <w:lang w:val="en-IE"/>
        </w:rPr>
        <w:t>EU target in line with Sustainable Development Goal (SDG) Target 12.3</w:t>
      </w:r>
      <w:r w:rsidR="49ADFD7D" w:rsidRPr="00013BDC">
        <w:rPr>
          <w:rFonts w:eastAsia="Times New Roman"/>
          <w:noProof/>
          <w:lang w:val="en-IE"/>
        </w:rPr>
        <w:t xml:space="preserve"> (3</w:t>
      </w:r>
      <w:r w:rsidR="3ED84030" w:rsidRPr="00013BDC">
        <w:rPr>
          <w:rFonts w:eastAsia="Times New Roman"/>
          <w:noProof/>
          <w:lang w:val="en-IE"/>
        </w:rPr>
        <w:t>5</w:t>
      </w:r>
      <w:r w:rsidR="49ADFD7D" w:rsidRPr="00013BDC">
        <w:rPr>
          <w:rFonts w:eastAsia="Times New Roman"/>
          <w:noProof/>
          <w:lang w:val="en-IE"/>
        </w:rPr>
        <w:t xml:space="preserve"> </w:t>
      </w:r>
      <w:r w:rsidR="7173AC55" w:rsidRPr="00013BDC">
        <w:rPr>
          <w:rFonts w:eastAsia="Times New Roman"/>
          <w:noProof/>
          <w:lang w:val="en-IE"/>
        </w:rPr>
        <w:t xml:space="preserve">contributions </w:t>
      </w:r>
      <w:r w:rsidR="49ADFD7D" w:rsidRPr="00013BDC">
        <w:rPr>
          <w:rFonts w:eastAsia="Times New Roman"/>
          <w:noProof/>
          <w:lang w:val="en-IE"/>
        </w:rPr>
        <w:t xml:space="preserve">versus 11 </w:t>
      </w:r>
      <w:r w:rsidR="7173AC55" w:rsidRPr="00013BDC">
        <w:rPr>
          <w:rFonts w:eastAsia="Times New Roman"/>
          <w:noProof/>
          <w:lang w:val="en-IE"/>
        </w:rPr>
        <w:t xml:space="preserve">favouring the coverage of </w:t>
      </w:r>
      <w:r w:rsidR="49ADFD7D" w:rsidRPr="00013BDC">
        <w:rPr>
          <w:rFonts w:eastAsia="Times New Roman"/>
          <w:noProof/>
          <w:lang w:val="en-IE"/>
        </w:rPr>
        <w:t>only selected stages of the food supply chain)</w:t>
      </w:r>
      <w:r w:rsidRPr="00013BDC">
        <w:rPr>
          <w:rFonts w:eastAsia="Times New Roman"/>
          <w:noProof/>
          <w:lang w:val="en-IE"/>
        </w:rPr>
        <w:t xml:space="preserve">. </w:t>
      </w:r>
      <w:r w:rsidR="68722874" w:rsidRPr="00013BDC">
        <w:rPr>
          <w:rFonts w:eastAsia="Times New Roman"/>
          <w:noProof/>
          <w:lang w:val="en-IE"/>
        </w:rPr>
        <w:t xml:space="preserve">Stakeholders in </w:t>
      </w:r>
      <w:r w:rsidR="0014702E" w:rsidRPr="00013BDC">
        <w:rPr>
          <w:rFonts w:eastAsia="Times New Roman"/>
          <w:noProof/>
          <w:lang w:val="en-IE"/>
        </w:rPr>
        <w:t>favour</w:t>
      </w:r>
      <w:r w:rsidR="68722874" w:rsidRPr="00013BDC">
        <w:rPr>
          <w:rFonts w:eastAsia="Times New Roman"/>
          <w:noProof/>
          <w:lang w:val="en-IE"/>
        </w:rPr>
        <w:t xml:space="preserve"> of such </w:t>
      </w:r>
      <w:r w:rsidR="2E3AC113" w:rsidRPr="00013BDC">
        <w:rPr>
          <w:rFonts w:eastAsia="Times New Roman"/>
          <w:noProof/>
          <w:lang w:val="en-IE"/>
        </w:rPr>
        <w:t xml:space="preserve">a </w:t>
      </w:r>
      <w:r w:rsidR="00CA2A79" w:rsidRPr="00013BDC">
        <w:rPr>
          <w:rFonts w:eastAsia="Times New Roman"/>
          <w:noProof/>
          <w:lang w:val="en-IE"/>
        </w:rPr>
        <w:t xml:space="preserve">holistic </w:t>
      </w:r>
      <w:r w:rsidR="68722874" w:rsidRPr="00013BDC">
        <w:rPr>
          <w:rFonts w:eastAsia="Times New Roman"/>
          <w:noProof/>
          <w:lang w:val="en-IE"/>
        </w:rPr>
        <w:t xml:space="preserve">approach </w:t>
      </w:r>
      <w:r w:rsidR="00CA2A79" w:rsidRPr="00013BDC">
        <w:rPr>
          <w:rFonts w:eastAsia="Times New Roman"/>
          <w:noProof/>
          <w:lang w:val="en-IE"/>
        </w:rPr>
        <w:t xml:space="preserve">came from the </w:t>
      </w:r>
      <w:r w:rsidR="7BEAF0C7" w:rsidRPr="00013BDC">
        <w:rPr>
          <w:rFonts w:eastAsia="Times New Roman"/>
          <w:noProof/>
          <w:lang w:val="en-IE"/>
        </w:rPr>
        <w:t>food</w:t>
      </w:r>
      <w:r w:rsidR="68722874" w:rsidRPr="00013BDC">
        <w:rPr>
          <w:rFonts w:eastAsia="Times New Roman"/>
          <w:noProof/>
          <w:lang w:val="en-IE"/>
        </w:rPr>
        <w:t xml:space="preserve"> industry (12 contributions from</w:t>
      </w:r>
      <w:r w:rsidR="2617F89A" w:rsidRPr="00013BDC">
        <w:rPr>
          <w:rFonts w:eastAsia="Times New Roman"/>
          <w:noProof/>
          <w:lang w:val="en-IE"/>
        </w:rPr>
        <w:t xml:space="preserve"> </w:t>
      </w:r>
      <w:r w:rsidR="0ADBE7F1" w:rsidRPr="00013BDC">
        <w:rPr>
          <w:rFonts w:eastAsia="Times New Roman"/>
          <w:noProof/>
          <w:lang w:val="en-IE"/>
        </w:rPr>
        <w:t>various sectors from</w:t>
      </w:r>
      <w:r w:rsidR="68722874" w:rsidRPr="00013BDC">
        <w:rPr>
          <w:rFonts w:eastAsia="Times New Roman"/>
          <w:noProof/>
          <w:lang w:val="en-IE"/>
        </w:rPr>
        <w:t xml:space="preserve"> primary production up to </w:t>
      </w:r>
      <w:r w:rsidR="7981E80B" w:rsidRPr="00013BDC">
        <w:rPr>
          <w:rFonts w:eastAsia="Times New Roman"/>
          <w:noProof/>
          <w:lang w:val="en-IE"/>
        </w:rPr>
        <w:t>retail and food serv</w:t>
      </w:r>
      <w:r w:rsidR="035A9C19" w:rsidRPr="00013BDC">
        <w:rPr>
          <w:rFonts w:eastAsia="Times New Roman"/>
          <w:noProof/>
          <w:lang w:val="en-IE"/>
        </w:rPr>
        <w:t>ices</w:t>
      </w:r>
      <w:r w:rsidR="68722874" w:rsidRPr="00013BDC">
        <w:rPr>
          <w:rFonts w:eastAsia="Times New Roman"/>
          <w:noProof/>
          <w:lang w:val="en-IE"/>
        </w:rPr>
        <w:t>)</w:t>
      </w:r>
      <w:r w:rsidR="3169876F" w:rsidRPr="00013BDC">
        <w:rPr>
          <w:rFonts w:eastAsia="Times New Roman"/>
          <w:noProof/>
          <w:lang w:val="en-IE"/>
        </w:rPr>
        <w:t>, NGOs (17 contributions, 4 from consumer</w:t>
      </w:r>
      <w:r w:rsidR="07A39F0C" w:rsidRPr="00013BDC">
        <w:rPr>
          <w:rFonts w:eastAsia="Times New Roman"/>
          <w:noProof/>
          <w:lang w:val="en-IE"/>
        </w:rPr>
        <w:t>-</w:t>
      </w:r>
      <w:r w:rsidR="3169876F" w:rsidRPr="00013BDC">
        <w:rPr>
          <w:rFonts w:eastAsia="Times New Roman"/>
          <w:noProof/>
          <w:lang w:val="en-IE"/>
        </w:rPr>
        <w:t>,</w:t>
      </w:r>
      <w:r w:rsidR="5BA49D47" w:rsidRPr="00013BDC">
        <w:rPr>
          <w:rFonts w:eastAsia="Times New Roman"/>
          <w:noProof/>
          <w:lang w:val="en-IE"/>
        </w:rPr>
        <w:t xml:space="preserve"> 12 from environmental and </w:t>
      </w:r>
      <w:r w:rsidR="3990C0ED" w:rsidRPr="00013BDC">
        <w:rPr>
          <w:rFonts w:eastAsia="Times New Roman"/>
          <w:noProof/>
          <w:lang w:val="en-IE"/>
        </w:rPr>
        <w:t>1 from social organisations</w:t>
      </w:r>
      <w:r w:rsidR="3169876F" w:rsidRPr="00013BDC">
        <w:rPr>
          <w:rFonts w:eastAsia="Times New Roman"/>
          <w:noProof/>
          <w:lang w:val="en-IE"/>
        </w:rPr>
        <w:t>)</w:t>
      </w:r>
      <w:r w:rsidR="50584B0A" w:rsidRPr="00013BDC">
        <w:rPr>
          <w:rFonts w:eastAsia="Times New Roman"/>
          <w:noProof/>
          <w:lang w:val="en-IE"/>
        </w:rPr>
        <w:t>, national and regional public authorities (3 and 1 contribution</w:t>
      </w:r>
      <w:r w:rsidR="1C0F622B" w:rsidRPr="00013BDC">
        <w:rPr>
          <w:rFonts w:eastAsia="Times New Roman"/>
          <w:noProof/>
          <w:lang w:val="en-IE"/>
        </w:rPr>
        <w:t>s</w:t>
      </w:r>
      <w:r w:rsidR="50584B0A" w:rsidRPr="00013BDC">
        <w:rPr>
          <w:rFonts w:eastAsia="Times New Roman"/>
          <w:noProof/>
          <w:lang w:val="en-IE"/>
        </w:rPr>
        <w:t xml:space="preserve">, respectively) as well as citizens (1 contribution) and academia (1 </w:t>
      </w:r>
      <w:r w:rsidR="35E1520B" w:rsidRPr="00013BDC">
        <w:rPr>
          <w:rFonts w:eastAsia="Times New Roman"/>
          <w:noProof/>
          <w:lang w:val="en-IE"/>
        </w:rPr>
        <w:t>contribution</w:t>
      </w:r>
      <w:r w:rsidR="50584B0A" w:rsidRPr="00013BDC">
        <w:rPr>
          <w:rFonts w:eastAsia="Times New Roman"/>
          <w:noProof/>
          <w:lang w:val="en-IE"/>
        </w:rPr>
        <w:t>).</w:t>
      </w:r>
      <w:r w:rsidR="27E87E0E" w:rsidRPr="00013BDC">
        <w:rPr>
          <w:rFonts w:eastAsia="Times New Roman"/>
          <w:noProof/>
          <w:lang w:val="en-IE"/>
        </w:rPr>
        <w:t xml:space="preserve"> </w:t>
      </w:r>
      <w:r w:rsidRPr="00013BDC">
        <w:rPr>
          <w:rFonts w:eastAsia="Times New Roman"/>
          <w:noProof/>
          <w:lang w:val="en-IE"/>
        </w:rPr>
        <w:t>Some industry respondents (mainly from primary production</w:t>
      </w:r>
      <w:r w:rsidR="58C42EBC" w:rsidRPr="00013BDC">
        <w:rPr>
          <w:rFonts w:eastAsia="Times New Roman"/>
          <w:noProof/>
          <w:lang w:val="en-IE"/>
        </w:rPr>
        <w:t xml:space="preserve"> - 4 contributions</w:t>
      </w:r>
      <w:r w:rsidRPr="00013BDC">
        <w:rPr>
          <w:rFonts w:eastAsia="Times New Roman"/>
          <w:noProof/>
          <w:lang w:val="en-IE"/>
        </w:rPr>
        <w:t xml:space="preserve"> and processing sectors</w:t>
      </w:r>
      <w:r w:rsidR="6BCE2E65" w:rsidRPr="00013BDC">
        <w:rPr>
          <w:rFonts w:eastAsia="Times New Roman"/>
          <w:noProof/>
          <w:lang w:val="en-IE"/>
        </w:rPr>
        <w:t xml:space="preserve"> - 3 contributions</w:t>
      </w:r>
      <w:r w:rsidRPr="00013BDC">
        <w:rPr>
          <w:rFonts w:eastAsia="Times New Roman"/>
          <w:noProof/>
          <w:lang w:val="en-IE"/>
        </w:rPr>
        <w:t>) prefer a target focussed on retail and consumption only, with some arguing for intermediate, more realistic targets than that of halving food waste by 2030 (i.e.</w:t>
      </w:r>
      <w:r w:rsidR="00C41CC3" w:rsidRPr="00013BDC">
        <w:rPr>
          <w:rFonts w:eastAsia="Times New Roman"/>
          <w:noProof/>
          <w:lang w:val="en-IE"/>
        </w:rPr>
        <w:t>,</w:t>
      </w:r>
      <w:r w:rsidRPr="00013BDC">
        <w:rPr>
          <w:rFonts w:eastAsia="Times New Roman"/>
          <w:noProof/>
          <w:lang w:val="en-IE"/>
        </w:rPr>
        <w:t xml:space="preserve"> SDG Target 12.3). Other industry stakeholders and non-governmental organisations (NGOs) argue for a holistic approach to ensure shared responsibility and accountability of all actors, promote collaboration and avoid the transfer of food waste between different stages of the food supply chain. </w:t>
      </w:r>
      <w:r w:rsidR="2670B292" w:rsidRPr="00013BDC">
        <w:rPr>
          <w:rFonts w:eastAsia="Times New Roman"/>
          <w:noProof/>
          <w:lang w:val="en-IE"/>
        </w:rPr>
        <w:t xml:space="preserve">Several </w:t>
      </w:r>
      <w:r w:rsidRPr="00013BDC">
        <w:rPr>
          <w:rFonts w:eastAsia="Times New Roman"/>
          <w:noProof/>
          <w:lang w:val="en-IE"/>
        </w:rPr>
        <w:t xml:space="preserve">stakeholders stress the need for a solid evidence base for setting targets </w:t>
      </w:r>
      <w:r w:rsidR="15E46917" w:rsidRPr="00013BDC">
        <w:rPr>
          <w:rFonts w:eastAsia="Times New Roman"/>
          <w:noProof/>
          <w:lang w:val="en-IE"/>
        </w:rPr>
        <w:t>(</w:t>
      </w:r>
      <w:r w:rsidR="12E91ED2" w:rsidRPr="00013BDC">
        <w:rPr>
          <w:rFonts w:eastAsia="Times New Roman"/>
          <w:noProof/>
          <w:lang w:val="en-IE"/>
        </w:rPr>
        <w:t xml:space="preserve">12 </w:t>
      </w:r>
      <w:r w:rsidR="2670B292" w:rsidRPr="00013BDC">
        <w:rPr>
          <w:rFonts w:eastAsia="Times New Roman"/>
          <w:noProof/>
          <w:lang w:val="en-IE"/>
        </w:rPr>
        <w:t>contributions</w:t>
      </w:r>
      <w:r w:rsidR="69F25F25" w:rsidRPr="00013BDC">
        <w:rPr>
          <w:rFonts w:eastAsia="Times New Roman"/>
          <w:noProof/>
          <w:lang w:val="en-IE"/>
        </w:rPr>
        <w:t xml:space="preserve">, </w:t>
      </w:r>
      <w:r w:rsidR="4072E5EB" w:rsidRPr="00013BDC">
        <w:rPr>
          <w:rFonts w:eastAsia="Times New Roman"/>
          <w:noProof/>
          <w:lang w:val="en-IE"/>
        </w:rPr>
        <w:t xml:space="preserve">mostly from </w:t>
      </w:r>
      <w:r w:rsidR="00CA2A79" w:rsidRPr="00013BDC">
        <w:rPr>
          <w:rFonts w:eastAsia="Times New Roman"/>
          <w:noProof/>
          <w:lang w:val="en-IE"/>
        </w:rPr>
        <w:t xml:space="preserve">the </w:t>
      </w:r>
      <w:r w:rsidR="4072E5EB" w:rsidRPr="00013BDC">
        <w:rPr>
          <w:rFonts w:eastAsia="Times New Roman"/>
          <w:noProof/>
          <w:lang w:val="en-IE"/>
        </w:rPr>
        <w:t xml:space="preserve">primary production and processing sectors, </w:t>
      </w:r>
      <w:r w:rsidR="555BAACE" w:rsidRPr="00013BDC">
        <w:rPr>
          <w:rFonts w:eastAsia="Times New Roman"/>
          <w:noProof/>
          <w:lang w:val="en-IE"/>
        </w:rPr>
        <w:t>3</w:t>
      </w:r>
      <w:r w:rsidR="4072E5EB" w:rsidRPr="00013BDC">
        <w:rPr>
          <w:rFonts w:eastAsia="Times New Roman"/>
          <w:noProof/>
          <w:lang w:val="en-IE"/>
        </w:rPr>
        <w:t xml:space="preserve"> national authorities and 2 environmental</w:t>
      </w:r>
      <w:r w:rsidR="2DA63DCF" w:rsidRPr="00013BDC">
        <w:rPr>
          <w:rFonts w:eastAsia="Times New Roman"/>
          <w:noProof/>
          <w:lang w:val="en-IE"/>
        </w:rPr>
        <w:t xml:space="preserve"> organisations</w:t>
      </w:r>
      <w:r w:rsidR="69F25F25" w:rsidRPr="00013BDC">
        <w:rPr>
          <w:rFonts w:eastAsia="Times New Roman"/>
          <w:noProof/>
          <w:lang w:val="en-IE"/>
        </w:rPr>
        <w:t>)</w:t>
      </w:r>
      <w:r w:rsidR="3F40A3EB" w:rsidRPr="00013BDC">
        <w:rPr>
          <w:rFonts w:eastAsia="Times New Roman"/>
          <w:noProof/>
          <w:lang w:val="en-IE"/>
        </w:rPr>
        <w:t xml:space="preserve"> </w:t>
      </w:r>
      <w:r w:rsidRPr="00013BDC">
        <w:rPr>
          <w:rFonts w:eastAsia="Times New Roman"/>
          <w:noProof/>
          <w:lang w:val="en-IE"/>
        </w:rPr>
        <w:t>as well as a baseline that recognises efforts of early achievers</w:t>
      </w:r>
      <w:r w:rsidR="64DEA7C2" w:rsidRPr="00013BDC">
        <w:rPr>
          <w:rFonts w:eastAsia="Times New Roman"/>
          <w:noProof/>
          <w:lang w:val="en-IE"/>
        </w:rPr>
        <w:t xml:space="preserve"> (</w:t>
      </w:r>
      <w:r w:rsidR="00877082" w:rsidRPr="00013BDC">
        <w:rPr>
          <w:rFonts w:eastAsia="Times New Roman"/>
          <w:noProof/>
          <w:lang w:val="en-IE"/>
        </w:rPr>
        <w:t>8</w:t>
      </w:r>
      <w:r w:rsidR="2670B292" w:rsidRPr="00013BDC">
        <w:rPr>
          <w:rFonts w:eastAsia="Times New Roman"/>
          <w:noProof/>
          <w:lang w:val="en-IE"/>
        </w:rPr>
        <w:t xml:space="preserve"> contributions</w:t>
      </w:r>
      <w:r w:rsidR="00877082" w:rsidRPr="00013BDC">
        <w:rPr>
          <w:rFonts w:eastAsia="Times New Roman"/>
          <w:noProof/>
          <w:lang w:val="en-IE"/>
        </w:rPr>
        <w:t xml:space="preserve"> mainly from NGOs/academia</w:t>
      </w:r>
      <w:r w:rsidR="64DEA7C2" w:rsidRPr="00013BDC">
        <w:rPr>
          <w:rFonts w:eastAsia="Times New Roman"/>
          <w:noProof/>
          <w:lang w:val="en-IE"/>
        </w:rPr>
        <w:t>)</w:t>
      </w:r>
      <w:r w:rsidR="415DFEE8" w:rsidRPr="00013BDC">
        <w:rPr>
          <w:rFonts w:eastAsia="Times New Roman"/>
          <w:noProof/>
          <w:lang w:val="en-IE"/>
        </w:rPr>
        <w:t>.</w:t>
      </w:r>
      <w:r w:rsidRPr="00013BDC">
        <w:rPr>
          <w:rFonts w:eastAsia="Times New Roman"/>
          <w:noProof/>
          <w:lang w:val="en-IE"/>
        </w:rPr>
        <w:t xml:space="preserve"> </w:t>
      </w:r>
      <w:r w:rsidR="4997C3C0" w:rsidRPr="00013BDC">
        <w:rPr>
          <w:rFonts w:eastAsia="Times New Roman"/>
          <w:noProof/>
          <w:lang w:val="en-IE"/>
        </w:rPr>
        <w:t>Around</w:t>
      </w:r>
      <w:r w:rsidR="2670B292" w:rsidRPr="00013BDC">
        <w:rPr>
          <w:rFonts w:eastAsia="Times New Roman"/>
          <w:noProof/>
          <w:lang w:val="en-IE"/>
        </w:rPr>
        <w:t xml:space="preserve"> one-third of contributions received </w:t>
      </w:r>
      <w:r w:rsidR="29EB363D" w:rsidRPr="00013BDC">
        <w:rPr>
          <w:rFonts w:eastAsia="Times New Roman"/>
          <w:noProof/>
          <w:lang w:val="en-IE"/>
        </w:rPr>
        <w:t>(2</w:t>
      </w:r>
      <w:r w:rsidR="2B44EDEA" w:rsidRPr="00013BDC">
        <w:rPr>
          <w:rFonts w:eastAsia="Times New Roman"/>
          <w:noProof/>
          <w:lang w:val="en-IE"/>
        </w:rPr>
        <w:t>7</w:t>
      </w:r>
      <w:r w:rsidR="29EB363D" w:rsidRPr="00013BDC">
        <w:rPr>
          <w:rFonts w:eastAsia="Times New Roman"/>
          <w:noProof/>
          <w:lang w:val="en-IE"/>
        </w:rPr>
        <w:t>)</w:t>
      </w:r>
      <w:r w:rsidRPr="00013BDC">
        <w:rPr>
          <w:rFonts w:eastAsia="Times New Roman"/>
          <w:noProof/>
          <w:lang w:val="en-IE"/>
        </w:rPr>
        <w:t xml:space="preserve"> called for ambitious actions and an advanced target level (50%), including almost all NGOs</w:t>
      </w:r>
      <w:r w:rsidR="07D9FA88" w:rsidRPr="00013BDC">
        <w:rPr>
          <w:rFonts w:eastAsia="Times New Roman"/>
          <w:noProof/>
          <w:lang w:val="en-IE"/>
        </w:rPr>
        <w:t xml:space="preserve"> (18 contributions out of 26)</w:t>
      </w:r>
      <w:r w:rsidRPr="00013BDC">
        <w:rPr>
          <w:rFonts w:eastAsia="Times New Roman"/>
          <w:noProof/>
          <w:lang w:val="en-IE"/>
        </w:rPr>
        <w:t xml:space="preserve">; on the other hand, </w:t>
      </w:r>
      <w:r w:rsidR="1822CB99" w:rsidRPr="00013BDC">
        <w:rPr>
          <w:rFonts w:eastAsia="Times New Roman"/>
          <w:noProof/>
          <w:lang w:val="en-IE"/>
        </w:rPr>
        <w:t xml:space="preserve">the three </w:t>
      </w:r>
      <w:r w:rsidR="005632FD" w:rsidRPr="00013BDC">
        <w:rPr>
          <w:rFonts w:eastAsia="Times New Roman"/>
          <w:noProof/>
          <w:lang w:val="en-IE"/>
        </w:rPr>
        <w:t xml:space="preserve">contributions from </w:t>
      </w:r>
      <w:r w:rsidRPr="00013BDC">
        <w:rPr>
          <w:rFonts w:eastAsia="Times New Roman"/>
          <w:noProof/>
          <w:lang w:val="en-IE"/>
        </w:rPr>
        <w:t>Member States suggested that basic or medium options are more realistic.</w:t>
      </w:r>
      <w:r w:rsidR="05A4C8C6" w:rsidRPr="00013BDC">
        <w:rPr>
          <w:rFonts w:eastAsia="Times New Roman"/>
          <w:noProof/>
          <w:lang w:val="en-IE"/>
        </w:rPr>
        <w:t xml:space="preserve"> </w:t>
      </w:r>
      <w:r w:rsidR="6B5DD1C2" w:rsidRPr="00013BDC">
        <w:rPr>
          <w:rFonts w:eastAsia="Times New Roman"/>
          <w:noProof/>
          <w:lang w:val="en-IE"/>
        </w:rPr>
        <w:t xml:space="preserve">In addition to these countries, </w:t>
      </w:r>
      <w:r w:rsidR="5B6BA6B3" w:rsidRPr="00013BDC">
        <w:rPr>
          <w:rFonts w:eastAsia="Times New Roman"/>
          <w:noProof/>
          <w:lang w:val="en-IE"/>
        </w:rPr>
        <w:t>there was very little support for</w:t>
      </w:r>
      <w:r w:rsidR="05A4C8C6" w:rsidRPr="00013BDC">
        <w:rPr>
          <w:rFonts w:eastAsia="Times New Roman"/>
          <w:noProof/>
          <w:lang w:val="en-IE"/>
        </w:rPr>
        <w:t xml:space="preserve"> </w:t>
      </w:r>
      <w:r w:rsidR="6D283CF1" w:rsidRPr="00013BDC">
        <w:rPr>
          <w:rFonts w:eastAsia="Times New Roman"/>
          <w:noProof/>
          <w:lang w:val="en-IE"/>
        </w:rPr>
        <w:t>the basic and medium level</w:t>
      </w:r>
      <w:r w:rsidR="3445D298" w:rsidRPr="00013BDC">
        <w:rPr>
          <w:rFonts w:eastAsia="Times New Roman"/>
          <w:noProof/>
          <w:lang w:val="en-IE"/>
        </w:rPr>
        <w:t>s</w:t>
      </w:r>
      <w:r w:rsidR="6D283CF1" w:rsidRPr="00013BDC">
        <w:rPr>
          <w:rFonts w:eastAsia="Times New Roman"/>
          <w:noProof/>
          <w:lang w:val="en-IE"/>
        </w:rPr>
        <w:t xml:space="preserve"> of the targets (</w:t>
      </w:r>
      <w:r w:rsidR="4D0703BD" w:rsidRPr="00013BDC">
        <w:rPr>
          <w:rFonts w:eastAsia="Times New Roman"/>
          <w:noProof/>
          <w:lang w:val="en-IE"/>
        </w:rPr>
        <w:t>3 contributions</w:t>
      </w:r>
      <w:r w:rsidR="6D283CF1" w:rsidRPr="00013BDC">
        <w:rPr>
          <w:rFonts w:eastAsia="Times New Roman"/>
          <w:noProof/>
          <w:lang w:val="en-IE"/>
        </w:rPr>
        <w:t>).</w:t>
      </w:r>
      <w:r w:rsidRPr="00013BDC">
        <w:rPr>
          <w:rFonts w:eastAsia="Times New Roman"/>
          <w:noProof/>
          <w:lang w:val="en-IE"/>
        </w:rPr>
        <w:t xml:space="preserve"> Some stakeholders (environmental NGOs, social enterprises consumers</w:t>
      </w:r>
      <w:r w:rsidR="6E603000" w:rsidRPr="00013BDC">
        <w:rPr>
          <w:rFonts w:eastAsia="Times New Roman"/>
          <w:noProof/>
          <w:lang w:val="en-IE"/>
        </w:rPr>
        <w:t xml:space="preserve"> –</w:t>
      </w:r>
      <w:r w:rsidR="02055925" w:rsidRPr="00013BDC">
        <w:rPr>
          <w:rFonts w:eastAsia="Times New Roman"/>
          <w:noProof/>
          <w:lang w:val="en-IE"/>
        </w:rPr>
        <w:t xml:space="preserve"> 14 </w:t>
      </w:r>
      <w:r w:rsidR="1822CB99" w:rsidRPr="00013BDC">
        <w:rPr>
          <w:rFonts w:eastAsia="Times New Roman"/>
          <w:noProof/>
          <w:lang w:val="en-IE"/>
        </w:rPr>
        <w:t>contributions</w:t>
      </w:r>
      <w:r w:rsidRPr="00013BDC">
        <w:rPr>
          <w:rFonts w:eastAsia="Times New Roman"/>
          <w:noProof/>
          <w:lang w:val="en-IE"/>
        </w:rPr>
        <w:t xml:space="preserve">) call, in addition, for integration of on-farm food losses in the future legislative proposal whilst primary producers </w:t>
      </w:r>
      <w:r w:rsidR="3A88FA9A" w:rsidRPr="00013BDC">
        <w:rPr>
          <w:rFonts w:eastAsia="Times New Roman"/>
          <w:noProof/>
          <w:lang w:val="en-IE"/>
        </w:rPr>
        <w:t xml:space="preserve">(2 </w:t>
      </w:r>
      <w:r w:rsidR="1822CB99" w:rsidRPr="00013BDC">
        <w:rPr>
          <w:rFonts w:eastAsia="Times New Roman"/>
          <w:noProof/>
          <w:lang w:val="en-IE"/>
        </w:rPr>
        <w:t>contributions</w:t>
      </w:r>
      <w:r w:rsidR="3A88FA9A" w:rsidRPr="00013BDC">
        <w:rPr>
          <w:rFonts w:eastAsia="Times New Roman"/>
          <w:noProof/>
          <w:lang w:val="en-IE"/>
        </w:rPr>
        <w:t>)</w:t>
      </w:r>
      <w:r w:rsidRPr="00013BDC">
        <w:rPr>
          <w:rFonts w:eastAsia="Times New Roman"/>
          <w:noProof/>
          <w:lang w:val="en-IE"/>
        </w:rPr>
        <w:t xml:space="preserve"> argue that such losses cannot be addressed (for both legal and operational reasons). </w:t>
      </w:r>
      <w:r w:rsidR="3E5ABC05" w:rsidRPr="00013BDC">
        <w:rPr>
          <w:rFonts w:eastAsia="Times New Roman"/>
          <w:noProof/>
          <w:lang w:val="en-IE"/>
        </w:rPr>
        <w:t xml:space="preserve">Concerning the way the targets are set on Member States, stakeholders’ feedback indicated a preference for setting an EU </w:t>
      </w:r>
      <w:r w:rsidR="0015125F" w:rsidRPr="00013BDC">
        <w:rPr>
          <w:rFonts w:eastAsia="Times New Roman"/>
          <w:noProof/>
          <w:lang w:val="en-IE"/>
        </w:rPr>
        <w:t>collective target based on M</w:t>
      </w:r>
      <w:r w:rsidR="3E5ABC05" w:rsidRPr="00013BDC">
        <w:rPr>
          <w:rFonts w:eastAsia="Times New Roman"/>
          <w:noProof/>
          <w:lang w:val="en-IE"/>
        </w:rPr>
        <w:t>ember States</w:t>
      </w:r>
      <w:r w:rsidR="0015125F" w:rsidRPr="00013BDC">
        <w:rPr>
          <w:rFonts w:eastAsia="Times New Roman"/>
          <w:noProof/>
          <w:lang w:val="en-IE"/>
        </w:rPr>
        <w:t xml:space="preserve"> contributions</w:t>
      </w:r>
      <w:r w:rsidR="78DAD94F" w:rsidRPr="00013BDC">
        <w:rPr>
          <w:rFonts w:eastAsia="Times New Roman"/>
          <w:noProof/>
          <w:lang w:val="en-IE"/>
        </w:rPr>
        <w:t xml:space="preserve"> (21</w:t>
      </w:r>
      <w:r w:rsidR="176EB053" w:rsidRPr="00013BDC">
        <w:rPr>
          <w:rFonts w:eastAsia="Times New Roman"/>
          <w:noProof/>
          <w:lang w:val="en-IE"/>
        </w:rPr>
        <w:t>,</w:t>
      </w:r>
      <w:r w:rsidR="221A73B0" w:rsidRPr="00013BDC">
        <w:rPr>
          <w:rFonts w:eastAsia="Times New Roman"/>
          <w:noProof/>
          <w:lang w:val="en-IE"/>
        </w:rPr>
        <w:t xml:space="preserve"> out of which </w:t>
      </w:r>
      <w:r w:rsidR="5AE1252B" w:rsidRPr="00013BDC">
        <w:rPr>
          <w:rFonts w:eastAsia="Times New Roman"/>
          <w:noProof/>
          <w:lang w:val="en-IE"/>
        </w:rPr>
        <w:t xml:space="preserve">13 </w:t>
      </w:r>
      <w:r w:rsidR="176EB053" w:rsidRPr="00013BDC">
        <w:rPr>
          <w:rFonts w:eastAsia="Times New Roman"/>
          <w:noProof/>
          <w:lang w:val="en-IE"/>
        </w:rPr>
        <w:t xml:space="preserve">environmental </w:t>
      </w:r>
      <w:r w:rsidR="6F257F3E" w:rsidRPr="00013BDC">
        <w:rPr>
          <w:rFonts w:eastAsia="Times New Roman"/>
          <w:noProof/>
          <w:lang w:val="en-IE"/>
        </w:rPr>
        <w:t xml:space="preserve">and consumer- </w:t>
      </w:r>
      <w:r w:rsidR="17DD78FD" w:rsidRPr="00013BDC">
        <w:rPr>
          <w:rFonts w:eastAsia="Times New Roman"/>
          <w:noProof/>
          <w:lang w:val="en-IE"/>
        </w:rPr>
        <w:t>organisations</w:t>
      </w:r>
      <w:r w:rsidR="7BF10900" w:rsidRPr="00013BDC">
        <w:rPr>
          <w:rFonts w:eastAsia="Times New Roman"/>
          <w:noProof/>
          <w:lang w:val="en-IE"/>
        </w:rPr>
        <w:t>,</w:t>
      </w:r>
      <w:r w:rsidR="53F2F3CB" w:rsidRPr="00013BDC">
        <w:rPr>
          <w:rFonts w:eastAsia="Times New Roman"/>
          <w:noProof/>
          <w:lang w:val="en-IE"/>
        </w:rPr>
        <w:t xml:space="preserve"> </w:t>
      </w:r>
      <w:r w:rsidR="0A5F710E" w:rsidRPr="00013BDC">
        <w:rPr>
          <w:rFonts w:eastAsia="Times New Roman"/>
          <w:noProof/>
          <w:lang w:val="en-IE"/>
        </w:rPr>
        <w:t>but also a few industry representatives and public authorities</w:t>
      </w:r>
      <w:r w:rsidR="78DAD94F" w:rsidRPr="00013BDC">
        <w:rPr>
          <w:rFonts w:eastAsia="Times New Roman"/>
          <w:noProof/>
          <w:lang w:val="en-IE"/>
        </w:rPr>
        <w:t>)</w:t>
      </w:r>
      <w:r w:rsidR="2F3B9D80" w:rsidRPr="00013BDC">
        <w:rPr>
          <w:rFonts w:eastAsia="Times New Roman"/>
          <w:noProof/>
          <w:lang w:val="en-IE"/>
        </w:rPr>
        <w:t xml:space="preserve">; 14 favoured the same target level for all Member States </w:t>
      </w:r>
      <w:r w:rsidR="0EAD0C47" w:rsidRPr="00013BDC">
        <w:rPr>
          <w:rFonts w:eastAsia="Times New Roman"/>
          <w:noProof/>
          <w:lang w:val="en-IE"/>
        </w:rPr>
        <w:t xml:space="preserve">(6 environmental and consumer- organisations, </w:t>
      </w:r>
      <w:r w:rsidR="55F1BBB5" w:rsidRPr="00013BDC">
        <w:rPr>
          <w:rFonts w:eastAsia="Times New Roman"/>
          <w:noProof/>
          <w:lang w:val="en-IE"/>
        </w:rPr>
        <w:t xml:space="preserve">4 industry representatives, </w:t>
      </w:r>
      <w:r w:rsidR="0EAD0C47" w:rsidRPr="00013BDC">
        <w:rPr>
          <w:rFonts w:eastAsia="Times New Roman"/>
          <w:noProof/>
          <w:lang w:val="en-IE"/>
        </w:rPr>
        <w:t xml:space="preserve">2 national authorities, </w:t>
      </w:r>
      <w:r w:rsidR="4939F865" w:rsidRPr="00013BDC">
        <w:rPr>
          <w:rFonts w:eastAsia="Times New Roman"/>
          <w:noProof/>
          <w:lang w:val="en-IE"/>
        </w:rPr>
        <w:t>2 EU citizens</w:t>
      </w:r>
      <w:r w:rsidR="0EAD0C47" w:rsidRPr="00013BDC">
        <w:rPr>
          <w:rFonts w:eastAsia="Times New Roman"/>
          <w:noProof/>
          <w:lang w:val="en-IE"/>
        </w:rPr>
        <w:t xml:space="preserve">) </w:t>
      </w:r>
      <w:r w:rsidR="2F3B9D80" w:rsidRPr="00013BDC">
        <w:rPr>
          <w:rFonts w:eastAsia="Times New Roman"/>
          <w:noProof/>
          <w:lang w:val="en-IE"/>
        </w:rPr>
        <w:t>and 5 supported differentiation of target levels by Member States</w:t>
      </w:r>
      <w:r w:rsidR="007B610A" w:rsidRPr="00013BDC">
        <w:rPr>
          <w:rStyle w:val="FootnoteReference"/>
          <w:rFonts w:eastAsia="Times New Roman"/>
          <w:noProof/>
          <w:lang w:val="en-IE"/>
        </w:rPr>
        <w:footnoteReference w:id="21"/>
      </w:r>
      <w:r w:rsidR="6EF279AB" w:rsidRPr="00013BDC">
        <w:rPr>
          <w:rFonts w:eastAsia="Times New Roman"/>
          <w:noProof/>
          <w:lang w:val="en-IE"/>
        </w:rPr>
        <w:t>(</w:t>
      </w:r>
      <w:r w:rsidR="1752F775" w:rsidRPr="00013BDC">
        <w:rPr>
          <w:rFonts w:eastAsia="Times New Roman"/>
          <w:noProof/>
          <w:lang w:val="en-IE"/>
        </w:rPr>
        <w:t>mainly industry representatives</w:t>
      </w:r>
      <w:r w:rsidR="6EF279AB" w:rsidRPr="00013BDC">
        <w:rPr>
          <w:rFonts w:eastAsia="Times New Roman"/>
          <w:noProof/>
          <w:lang w:val="en-IE"/>
        </w:rPr>
        <w:t>)</w:t>
      </w:r>
      <w:r w:rsidR="110819EF" w:rsidRPr="00013BDC">
        <w:rPr>
          <w:rFonts w:eastAsia="Times New Roman"/>
          <w:noProof/>
          <w:lang w:val="en-IE"/>
        </w:rPr>
        <w:t>.</w:t>
      </w:r>
      <w:r w:rsidR="0015125F" w:rsidRPr="00013BDC">
        <w:rPr>
          <w:rFonts w:eastAsia="Times New Roman"/>
          <w:noProof/>
          <w:lang w:val="en-IE"/>
        </w:rPr>
        <w:t xml:space="preserve"> </w:t>
      </w:r>
      <w:r w:rsidR="00514D89" w:rsidRPr="00013BDC">
        <w:rPr>
          <w:rFonts w:eastAsia="Times New Roman"/>
          <w:noProof/>
          <w:lang w:val="en-IE"/>
        </w:rPr>
        <w:t>As regards how targets should be</w:t>
      </w:r>
      <w:r w:rsidR="009D3635" w:rsidRPr="00013BDC">
        <w:rPr>
          <w:rFonts w:eastAsia="Times New Roman"/>
          <w:noProof/>
          <w:lang w:val="en-IE"/>
        </w:rPr>
        <w:t xml:space="preserve"> formulated</w:t>
      </w:r>
      <w:r w:rsidR="00514D89" w:rsidRPr="00013BDC">
        <w:rPr>
          <w:rFonts w:eastAsia="Times New Roman"/>
          <w:noProof/>
          <w:lang w:val="en-IE"/>
        </w:rPr>
        <w:t xml:space="preserve">, </w:t>
      </w:r>
      <w:r w:rsidR="001737FC" w:rsidRPr="00013BDC">
        <w:rPr>
          <w:rFonts w:eastAsia="Times New Roman"/>
          <w:noProof/>
          <w:lang w:val="en-IE"/>
        </w:rPr>
        <w:t>stakeholders gave roughly equal support</w:t>
      </w:r>
      <w:r w:rsidR="009D3635" w:rsidRPr="00013BDC">
        <w:rPr>
          <w:rFonts w:eastAsia="Times New Roman"/>
          <w:noProof/>
          <w:lang w:val="en-IE"/>
        </w:rPr>
        <w:t xml:space="preserve"> to </w:t>
      </w:r>
      <w:r w:rsidR="00FD54E2" w:rsidRPr="00013BDC">
        <w:rPr>
          <w:rFonts w:eastAsia="Times New Roman"/>
          <w:noProof/>
          <w:lang w:val="en-IE"/>
        </w:rPr>
        <w:t xml:space="preserve">expressing these as a percentage reduction </w:t>
      </w:r>
      <w:r w:rsidR="00965BEB" w:rsidRPr="00013BDC">
        <w:rPr>
          <w:rFonts w:eastAsia="Times New Roman"/>
          <w:noProof/>
          <w:lang w:val="en-IE"/>
        </w:rPr>
        <w:t xml:space="preserve">in </w:t>
      </w:r>
      <w:r w:rsidR="00FD54E2" w:rsidRPr="00013BDC">
        <w:rPr>
          <w:rFonts w:eastAsia="Times New Roman"/>
          <w:noProof/>
          <w:lang w:val="en-IE"/>
        </w:rPr>
        <w:t>food waste from the baseline year</w:t>
      </w:r>
      <w:r w:rsidR="004D6FC3" w:rsidRPr="00013BDC">
        <w:rPr>
          <w:rFonts w:eastAsia="Times New Roman"/>
          <w:noProof/>
          <w:lang w:val="en-IE"/>
        </w:rPr>
        <w:t xml:space="preserve"> </w:t>
      </w:r>
      <w:r w:rsidR="15EBF406" w:rsidRPr="00013BDC">
        <w:rPr>
          <w:rFonts w:eastAsia="Times New Roman"/>
          <w:noProof/>
          <w:lang w:val="en-IE"/>
        </w:rPr>
        <w:t xml:space="preserve">(16 contributions, mostly from primary producers and food processors. </w:t>
      </w:r>
      <w:r w:rsidR="4A81126A" w:rsidRPr="00013BDC">
        <w:rPr>
          <w:rFonts w:eastAsia="Times New Roman"/>
          <w:noProof/>
          <w:lang w:val="en-IE"/>
        </w:rPr>
        <w:t>environmental NGOs and EU citizens</w:t>
      </w:r>
      <w:r w:rsidR="15EBF406" w:rsidRPr="00013BDC">
        <w:rPr>
          <w:rFonts w:eastAsia="Times New Roman"/>
          <w:noProof/>
          <w:lang w:val="en-IE"/>
        </w:rPr>
        <w:t xml:space="preserve">) </w:t>
      </w:r>
      <w:r w:rsidR="00B30F96" w:rsidRPr="00013BDC">
        <w:rPr>
          <w:rFonts w:eastAsia="Times New Roman"/>
          <w:noProof/>
          <w:lang w:val="en-IE"/>
        </w:rPr>
        <w:t xml:space="preserve">or </w:t>
      </w:r>
      <w:r w:rsidR="15EBF406" w:rsidRPr="00013BDC">
        <w:rPr>
          <w:rFonts w:eastAsia="Times New Roman"/>
          <w:noProof/>
          <w:lang w:val="en-IE"/>
        </w:rPr>
        <w:t>as absolute amounts</w:t>
      </w:r>
      <w:r w:rsidR="00307F9F" w:rsidRPr="00013BDC">
        <w:rPr>
          <w:rFonts w:eastAsia="Times New Roman"/>
          <w:noProof/>
          <w:lang w:val="en-IE"/>
        </w:rPr>
        <w:t xml:space="preserve"> of food waste to be reduced</w:t>
      </w:r>
      <w:r w:rsidR="00B30F96" w:rsidRPr="00013BDC">
        <w:rPr>
          <w:rFonts w:eastAsia="Times New Roman"/>
          <w:noProof/>
          <w:lang w:val="en-IE"/>
        </w:rPr>
        <w:t xml:space="preserve">, </w:t>
      </w:r>
      <w:r w:rsidR="00965BEB" w:rsidRPr="00013BDC">
        <w:rPr>
          <w:rFonts w:eastAsia="Times New Roman"/>
          <w:noProof/>
          <w:lang w:val="en-IE"/>
        </w:rPr>
        <w:t>in kg/capita</w:t>
      </w:r>
      <w:r w:rsidR="00982A64" w:rsidRPr="00013BDC">
        <w:rPr>
          <w:rFonts w:eastAsia="Times New Roman"/>
          <w:noProof/>
          <w:lang w:val="en-IE"/>
        </w:rPr>
        <w:t xml:space="preserve"> </w:t>
      </w:r>
      <w:r w:rsidR="25A8A75B" w:rsidRPr="00013BDC">
        <w:rPr>
          <w:rFonts w:eastAsia="Times New Roman"/>
          <w:noProof/>
          <w:lang w:val="en-IE"/>
        </w:rPr>
        <w:t xml:space="preserve">(18 contributions, </w:t>
      </w:r>
      <w:r w:rsidR="3452147A" w:rsidRPr="00013BDC">
        <w:rPr>
          <w:rFonts w:eastAsia="Times New Roman"/>
          <w:noProof/>
          <w:lang w:val="en-IE"/>
        </w:rPr>
        <w:t>mainly environmental and social NGOs and fewer industry representatives</w:t>
      </w:r>
      <w:r w:rsidR="25A8A75B" w:rsidRPr="00013BDC">
        <w:rPr>
          <w:rFonts w:eastAsia="Times New Roman"/>
          <w:noProof/>
          <w:lang w:val="en-IE"/>
        </w:rPr>
        <w:t>)</w:t>
      </w:r>
      <w:r w:rsidR="15EBF406" w:rsidRPr="00013BDC">
        <w:rPr>
          <w:rFonts w:eastAsia="Times New Roman"/>
          <w:noProof/>
          <w:lang w:val="en-IE"/>
        </w:rPr>
        <w:t xml:space="preserve">. </w:t>
      </w:r>
      <w:r w:rsidRPr="00013BDC">
        <w:rPr>
          <w:rFonts w:eastAsia="Times New Roman"/>
          <w:noProof/>
          <w:lang w:val="en-IE"/>
        </w:rPr>
        <w:t>Several industry stakeholders and NGOs highlight that targets should reinforce the need to apply the food use hierarchy, with prevention and redistribution of surplus food for human consumption as the most preferred option</w:t>
      </w:r>
      <w:r w:rsidR="04C07111" w:rsidRPr="00013BDC">
        <w:rPr>
          <w:rFonts w:eastAsia="Times New Roman"/>
          <w:noProof/>
          <w:lang w:val="en-IE"/>
        </w:rPr>
        <w:t xml:space="preserve"> (</w:t>
      </w:r>
      <w:r w:rsidR="14B19309" w:rsidRPr="00013BDC">
        <w:rPr>
          <w:rFonts w:eastAsia="Times New Roman"/>
          <w:noProof/>
          <w:lang w:val="en-IE"/>
        </w:rPr>
        <w:t xml:space="preserve">16 </w:t>
      </w:r>
      <w:r w:rsidR="1822CB99" w:rsidRPr="00013BDC">
        <w:rPr>
          <w:rFonts w:eastAsia="Times New Roman"/>
          <w:noProof/>
          <w:lang w:val="en-IE"/>
        </w:rPr>
        <w:t>contributions</w:t>
      </w:r>
      <w:r w:rsidR="04C07111" w:rsidRPr="00013BDC">
        <w:rPr>
          <w:rFonts w:eastAsia="Times New Roman"/>
          <w:noProof/>
          <w:lang w:val="en-IE"/>
        </w:rPr>
        <w:t>)</w:t>
      </w:r>
      <w:r w:rsidRPr="00013BDC">
        <w:rPr>
          <w:rFonts w:eastAsia="Times New Roman"/>
          <w:noProof/>
          <w:lang w:val="en-IE"/>
        </w:rPr>
        <w:t xml:space="preserve">. </w:t>
      </w:r>
      <w:r w:rsidR="056950AF" w:rsidRPr="00013BDC">
        <w:rPr>
          <w:rFonts w:eastAsia="Times New Roman"/>
          <w:noProof/>
          <w:lang w:val="en-IE"/>
        </w:rPr>
        <w:t xml:space="preserve">Some NGOs and a food redistribution company recommend additional regulatory measures at national level to facilitate food donation as well as financial support. </w:t>
      </w:r>
      <w:r w:rsidRPr="00013BDC">
        <w:rPr>
          <w:rFonts w:eastAsia="Times New Roman"/>
          <w:noProof/>
          <w:lang w:val="en-IE"/>
        </w:rPr>
        <w:t xml:space="preserve">Finally, </w:t>
      </w:r>
      <w:r w:rsidR="4017610C" w:rsidRPr="00013BDC">
        <w:rPr>
          <w:rFonts w:eastAsia="Times New Roman"/>
          <w:noProof/>
          <w:lang w:val="en-IE"/>
        </w:rPr>
        <w:t>many stakeholders call for policy coherence with other strands of the Farm to Fork Strategy (e.g.</w:t>
      </w:r>
      <w:r w:rsidR="00BF4235" w:rsidRPr="00013BDC">
        <w:rPr>
          <w:rFonts w:eastAsia="Times New Roman"/>
          <w:noProof/>
          <w:lang w:val="en-IE"/>
        </w:rPr>
        <w:t>,</w:t>
      </w:r>
      <w:r w:rsidR="6474CB2C" w:rsidRPr="00013BDC">
        <w:rPr>
          <w:rFonts w:eastAsia="Times New Roman"/>
          <w:noProof/>
          <w:lang w:val="en-IE"/>
        </w:rPr>
        <w:t xml:space="preserve"> </w:t>
      </w:r>
      <w:r w:rsidRPr="00013BDC">
        <w:rPr>
          <w:rFonts w:eastAsia="Times New Roman"/>
          <w:noProof/>
          <w:lang w:val="en-IE"/>
        </w:rPr>
        <w:t>pesticides reduction, food labelling etc… and the need to build a culture of food value in order to address systemic issues linked to food systems (including but not limited to food waste). In addition</w:t>
      </w:r>
      <w:r w:rsidR="7591C16B" w:rsidRPr="00013BDC">
        <w:rPr>
          <w:rFonts w:eastAsia="Times New Roman"/>
          <w:noProof/>
          <w:lang w:val="en-IE"/>
        </w:rPr>
        <w:t>,</w:t>
      </w:r>
      <w:r w:rsidR="3777FCB5" w:rsidRPr="00013BDC">
        <w:rPr>
          <w:rFonts w:eastAsia="Times New Roman"/>
          <w:noProof/>
          <w:lang w:val="en-IE"/>
        </w:rPr>
        <w:t xml:space="preserve"> stakeholders comment on the measures needed to achieve any future targets, including both legislative and non-legislative initiatives. </w:t>
      </w:r>
      <w:r w:rsidR="7591C16B" w:rsidRPr="00013BDC">
        <w:rPr>
          <w:rFonts w:eastAsia="Times New Roman"/>
          <w:noProof/>
          <w:lang w:val="en-IE"/>
        </w:rPr>
        <w:t xml:space="preserve"> </w:t>
      </w:r>
    </w:p>
    <w:p w14:paraId="2F8BC0B0" w14:textId="0FFA0FD2" w:rsidR="00D8168C" w:rsidRPr="00013BDC" w:rsidRDefault="45E33D73" w:rsidP="6878D96F">
      <w:pPr>
        <w:pStyle w:val="WDBody"/>
        <w:rPr>
          <w:rFonts w:ascii="Times New Roman" w:hAnsi="Times New Roman" w:cs="Times New Roman"/>
          <w:noProof/>
          <w:sz w:val="24"/>
          <w:szCs w:val="24"/>
          <w:u w:val="single"/>
          <w:lang w:val="en-IE"/>
        </w:rPr>
      </w:pPr>
      <w:bookmarkStart w:id="110" w:name="_Toc124777279"/>
      <w:r w:rsidRPr="00013BDC">
        <w:rPr>
          <w:rFonts w:ascii="Times New Roman" w:hAnsi="Times New Roman" w:cs="Times New Roman"/>
          <w:noProof/>
          <w:sz w:val="24"/>
          <w:szCs w:val="24"/>
          <w:u w:val="single"/>
          <w:lang w:val="en-IE"/>
        </w:rPr>
        <w:t>Ad hoc contributions received outside the formal consultation context</w:t>
      </w:r>
    </w:p>
    <w:p w14:paraId="06CFF53A" w14:textId="36C60C48" w:rsidR="00D8168C" w:rsidRPr="00013BDC" w:rsidRDefault="00521793" w:rsidP="00A45B28">
      <w:pPr>
        <w:pStyle w:val="WDBody"/>
        <w:spacing w:after="240"/>
        <w:jc w:val="both"/>
        <w:rPr>
          <w:rFonts w:ascii="Times New Roman" w:eastAsia="Times New Roman" w:hAnsi="Times New Roman" w:cs="Times New Roman"/>
          <w:noProof/>
          <w:sz w:val="24"/>
          <w:szCs w:val="24"/>
          <w:lang w:val="en-IE"/>
        </w:rPr>
      </w:pPr>
      <w:r w:rsidRPr="00013BDC">
        <w:rPr>
          <w:rFonts w:ascii="Times New Roman" w:hAnsi="Times New Roman" w:cs="Times New Roman"/>
          <w:noProof/>
          <w:sz w:val="24"/>
          <w:szCs w:val="24"/>
          <w:lang w:val="en-IE"/>
        </w:rPr>
        <w:t>I</w:t>
      </w:r>
      <w:r w:rsidR="00D8168C" w:rsidRPr="00013BDC">
        <w:rPr>
          <w:rFonts w:ascii="Times New Roman" w:hAnsi="Times New Roman" w:cs="Times New Roman"/>
          <w:noProof/>
          <w:sz w:val="24"/>
          <w:szCs w:val="24"/>
          <w:lang w:val="en-IE"/>
        </w:rPr>
        <w:t xml:space="preserve">n November 2022, 43 organizations led by Feedback EU and European Environmental Bureau have signed a joint statement expressing support for the EU commitment of setting legally binding targets for EU member states to reduce food waste and propose to set 50% reduction target in all food loss and waste from farm to fork and to launch a review of expanding the scope of food waste measurement and targets to include edible food left unharvested or used on farm </w:t>
      </w:r>
      <w:r w:rsidR="00D8168C" w:rsidRPr="00013BDC">
        <w:rPr>
          <w:rFonts w:ascii="Times New Roman" w:eastAsia="Times New Roman" w:hAnsi="Times New Roman" w:cs="Times New Roman"/>
          <w:noProof/>
          <w:sz w:val="24"/>
          <w:szCs w:val="24"/>
          <w:lang w:val="en-IE"/>
        </w:rPr>
        <w:t>in</w:t>
      </w:r>
      <w:r w:rsidR="00D8168C" w:rsidRPr="00013BDC">
        <w:rPr>
          <w:rFonts w:ascii="Times New Roman" w:hAnsi="Times New Roman" w:cs="Times New Roman"/>
          <w:noProof/>
          <w:sz w:val="24"/>
          <w:szCs w:val="24"/>
          <w:lang w:val="en-IE"/>
        </w:rPr>
        <w:t xml:space="preserve"> primary production</w:t>
      </w:r>
      <w:r w:rsidR="00D8168C" w:rsidRPr="00013BDC">
        <w:rPr>
          <w:rFonts w:ascii="Times New Roman" w:hAnsi="Times New Roman" w:cs="Times New Roman"/>
          <w:noProof/>
          <w:sz w:val="24"/>
          <w:szCs w:val="24"/>
          <w:vertAlign w:val="superscript"/>
          <w:lang w:val="en-IE"/>
        </w:rPr>
        <w:footnoteReference w:id="22"/>
      </w:r>
      <w:r w:rsidR="00D8168C" w:rsidRPr="00013BDC">
        <w:rPr>
          <w:rFonts w:ascii="Times New Roman" w:hAnsi="Times New Roman" w:cs="Times New Roman"/>
          <w:noProof/>
          <w:sz w:val="24"/>
          <w:szCs w:val="24"/>
          <w:lang w:val="en-IE"/>
        </w:rPr>
        <w:t>.</w:t>
      </w:r>
    </w:p>
    <w:p w14:paraId="39863FAF" w14:textId="200DC8C2" w:rsidR="00C0191A" w:rsidRPr="00013BDC" w:rsidRDefault="00C0191A" w:rsidP="004D0AD6">
      <w:pPr>
        <w:pStyle w:val="Heading3"/>
        <w:spacing w:after="120"/>
        <w:rPr>
          <w:noProof/>
          <w:u w:val="single"/>
          <w:lang w:val="en-IE"/>
        </w:rPr>
      </w:pPr>
      <w:bookmarkStart w:id="111" w:name="_Toc441548630"/>
      <w:bookmarkStart w:id="112" w:name="_Toc921692759"/>
      <w:bookmarkStart w:id="113" w:name="_Toc193170424"/>
      <w:bookmarkStart w:id="114" w:name="_Toc756652730"/>
      <w:bookmarkStart w:id="115" w:name="_Toc87207309"/>
      <w:bookmarkStart w:id="116" w:name="_Toc1398810772"/>
      <w:bookmarkStart w:id="117" w:name="_Toc895938501"/>
      <w:bookmarkStart w:id="118" w:name="_Toc139032936"/>
      <w:r w:rsidRPr="00013BDC">
        <w:rPr>
          <w:noProof/>
          <w:color w:val="2B579A"/>
          <w:u w:val="single"/>
          <w:shd w:val="clear" w:color="auto" w:fill="E6E6E6"/>
          <w:lang w:val="en-IE"/>
        </w:rPr>
        <w:t>Public consultation</w:t>
      </w:r>
      <w:bookmarkEnd w:id="110"/>
      <w:bookmarkEnd w:id="111"/>
      <w:bookmarkEnd w:id="112"/>
      <w:bookmarkEnd w:id="113"/>
      <w:bookmarkEnd w:id="114"/>
      <w:bookmarkEnd w:id="115"/>
      <w:bookmarkEnd w:id="116"/>
      <w:bookmarkEnd w:id="117"/>
      <w:bookmarkEnd w:id="118"/>
    </w:p>
    <w:p w14:paraId="6E45E1E1" w14:textId="748D3608" w:rsidR="00C0191A" w:rsidRPr="00013BDC" w:rsidRDefault="00FB5F4A" w:rsidP="00C0191A">
      <w:pPr>
        <w:spacing w:before="120" w:after="120"/>
        <w:rPr>
          <w:noProof/>
          <w:lang w:val="en-IE"/>
        </w:rPr>
      </w:pPr>
      <w:r w:rsidRPr="00013BDC">
        <w:rPr>
          <w:rFonts w:eastAsia="Verdana"/>
          <w:noProof/>
          <w:lang w:val="en-IE"/>
        </w:rPr>
        <w:t xml:space="preserve">A </w:t>
      </w:r>
      <w:r w:rsidR="00370DD1" w:rsidRPr="00013BDC">
        <w:rPr>
          <w:rFonts w:eastAsia="Verdana"/>
          <w:noProof/>
          <w:lang w:val="en-IE"/>
        </w:rPr>
        <w:t xml:space="preserve">public consultation was open </w:t>
      </w:r>
      <w:r w:rsidR="00262990" w:rsidRPr="00013BDC">
        <w:rPr>
          <w:rFonts w:eastAsia="Verdana"/>
          <w:noProof/>
          <w:lang w:val="en-IE"/>
        </w:rPr>
        <w:t xml:space="preserve">24 May 2022 </w:t>
      </w:r>
      <w:r w:rsidR="00370DD1" w:rsidRPr="00013BDC">
        <w:rPr>
          <w:rFonts w:eastAsia="Verdana"/>
          <w:noProof/>
          <w:lang w:val="en-IE"/>
        </w:rPr>
        <w:t>-</w:t>
      </w:r>
      <w:r w:rsidR="00262990" w:rsidRPr="00013BDC">
        <w:rPr>
          <w:rFonts w:eastAsia="Verdana"/>
          <w:noProof/>
          <w:lang w:val="en-IE"/>
        </w:rPr>
        <w:t xml:space="preserve"> 24 August 2022</w:t>
      </w:r>
      <w:r w:rsidR="003D6D1D" w:rsidRPr="00013BDC">
        <w:rPr>
          <w:rFonts w:eastAsia="Verdana"/>
          <w:noProof/>
          <w:lang w:val="en-IE"/>
        </w:rPr>
        <w:t xml:space="preserve"> </w:t>
      </w:r>
      <w:r w:rsidR="0022441F" w:rsidRPr="00013BDC">
        <w:rPr>
          <w:rFonts w:eastAsia="Verdana"/>
          <w:noProof/>
          <w:lang w:val="en-IE"/>
        </w:rPr>
        <w:t xml:space="preserve">to collect </w:t>
      </w:r>
      <w:r w:rsidR="000F52A7" w:rsidRPr="00013BDC">
        <w:rPr>
          <w:rFonts w:eastAsia="Verdana"/>
          <w:noProof/>
          <w:lang w:val="en-IE"/>
        </w:rPr>
        <w:t xml:space="preserve">additional evidence on </w:t>
      </w:r>
      <w:r w:rsidR="007122C6" w:rsidRPr="00013BDC">
        <w:rPr>
          <w:rFonts w:eastAsia="Verdana"/>
          <w:noProof/>
          <w:lang w:val="en-IE"/>
        </w:rPr>
        <w:t xml:space="preserve">the baseline, </w:t>
      </w:r>
      <w:r w:rsidR="000F52A7" w:rsidRPr="00013BDC">
        <w:rPr>
          <w:rFonts w:eastAsia="Verdana"/>
          <w:noProof/>
          <w:lang w:val="en-IE"/>
        </w:rPr>
        <w:t>seek opinions and insights about the problem, the feasibility and possible impacts of alternative actions</w:t>
      </w:r>
      <w:r w:rsidR="00224EFD" w:rsidRPr="00013BDC">
        <w:rPr>
          <w:rFonts w:eastAsia="Verdana"/>
          <w:noProof/>
          <w:lang w:val="en-IE"/>
        </w:rPr>
        <w:t xml:space="preserve">, </w:t>
      </w:r>
      <w:r w:rsidR="000F52A7" w:rsidRPr="00013BDC">
        <w:rPr>
          <w:rFonts w:eastAsia="Verdana"/>
          <w:noProof/>
          <w:lang w:val="en-IE"/>
        </w:rPr>
        <w:t>gather examples of best practices and views on the subsidiarity of possible actions.</w:t>
      </w:r>
      <w:r w:rsidR="00891A8B" w:rsidRPr="00013BDC">
        <w:rPr>
          <w:rFonts w:eastAsia="Verdana"/>
          <w:noProof/>
          <w:lang w:val="en-IE"/>
        </w:rPr>
        <w:t xml:space="preserve"> </w:t>
      </w:r>
      <w:r w:rsidR="00C0191A" w:rsidRPr="00013BDC">
        <w:rPr>
          <w:rFonts w:eastAsia="Verdana"/>
          <w:noProof/>
          <w:lang w:val="en-IE"/>
        </w:rPr>
        <w:t>In total, 731 valid responses</w:t>
      </w:r>
      <w:r w:rsidR="009674B6" w:rsidRPr="00013BDC">
        <w:rPr>
          <w:rStyle w:val="FootnoteReference"/>
          <w:rFonts w:eastAsia="Verdana"/>
          <w:noProof/>
          <w:lang w:val="en-IE"/>
        </w:rPr>
        <w:footnoteReference w:id="23"/>
      </w:r>
      <w:r w:rsidR="00C0191A" w:rsidRPr="00013BDC">
        <w:rPr>
          <w:rFonts w:eastAsia="Verdana"/>
          <w:noProof/>
          <w:lang w:val="en-IE"/>
        </w:rPr>
        <w:t xml:space="preserve"> were received. Of the total of participants, 336 (46%) requested their contribution to remain anonymous while 395 (54%), agreed to the publication of all information concerning their contribution. In addition, 207 respondents submitted written contributions.</w:t>
      </w:r>
    </w:p>
    <w:p w14:paraId="09F7759E" w14:textId="3432747E" w:rsidR="00C0191A" w:rsidRPr="00013BDC" w:rsidRDefault="36D87846" w:rsidP="00C0191A">
      <w:pPr>
        <w:spacing w:before="120" w:after="120"/>
        <w:rPr>
          <w:rFonts w:eastAsia="Times New Roman"/>
          <w:noProof/>
          <w:lang w:val="en-IE"/>
        </w:rPr>
      </w:pPr>
      <w:r w:rsidRPr="00013BDC">
        <w:rPr>
          <w:rFonts w:eastAsia="Calibri"/>
          <w:noProof/>
          <w:lang w:val="en-IE" w:eastAsia="da-DK"/>
        </w:rPr>
        <w:t xml:space="preserve">Stakeholders could select a category amongst: Academic/research institution, Business association, Company/business organisation, Consumer organisation, EU citizen, Environmental organisation, Non-EU citizen, Non-governmental organisation (NGO), Public authority, Trade union. </w:t>
      </w:r>
      <w:r w:rsidR="44B762FC" w:rsidRPr="00013BDC">
        <w:rPr>
          <w:rFonts w:eastAsia="Calibri"/>
          <w:noProof/>
          <w:lang w:val="en-IE" w:eastAsia="da-DK"/>
        </w:rPr>
        <w:t>Resp</w:t>
      </w:r>
      <w:r w:rsidR="1F2445FB" w:rsidRPr="00013BDC">
        <w:rPr>
          <w:rFonts w:eastAsia="Verdana"/>
          <w:noProof/>
          <w:lang w:val="en-IE"/>
        </w:rPr>
        <w:t xml:space="preserve">ondents were mostly </w:t>
      </w:r>
      <w:r w:rsidR="0D721EFF" w:rsidRPr="00013BDC">
        <w:rPr>
          <w:rFonts w:eastAsia="Verdana"/>
          <w:noProof/>
          <w:lang w:val="en-IE"/>
        </w:rPr>
        <w:t>company/business organisations and business associations (40%, 2</w:t>
      </w:r>
      <w:r w:rsidR="77ACC08B" w:rsidRPr="00013BDC">
        <w:rPr>
          <w:rFonts w:eastAsia="Verdana"/>
          <w:noProof/>
          <w:lang w:val="en-IE"/>
        </w:rPr>
        <w:t>99</w:t>
      </w:r>
      <w:r w:rsidR="0D721EFF" w:rsidRPr="00013BDC">
        <w:rPr>
          <w:rFonts w:eastAsia="Verdana"/>
          <w:noProof/>
          <w:lang w:val="en-IE"/>
        </w:rPr>
        <w:t xml:space="preserve"> replies) and EU </w:t>
      </w:r>
      <w:r w:rsidR="1F2445FB" w:rsidRPr="00013BDC">
        <w:rPr>
          <w:rFonts w:eastAsia="Verdana"/>
          <w:noProof/>
          <w:lang w:val="en-IE"/>
        </w:rPr>
        <w:t>citizens</w:t>
      </w:r>
      <w:r w:rsidRPr="00013BDC">
        <w:rPr>
          <w:rFonts w:eastAsia="Verdana"/>
          <w:noProof/>
          <w:lang w:val="en-IE"/>
        </w:rPr>
        <w:t xml:space="preserve"> (36%, 255 replies</w:t>
      </w:r>
      <w:r w:rsidR="1F2445FB" w:rsidRPr="00013BDC">
        <w:rPr>
          <w:rFonts w:eastAsia="Calibri"/>
          <w:noProof/>
          <w:lang w:val="en-IE" w:eastAsia="da-DK"/>
        </w:rPr>
        <w:t>)</w:t>
      </w:r>
      <w:r w:rsidR="4F3C80F6" w:rsidRPr="00013BDC">
        <w:rPr>
          <w:rFonts w:eastAsia="Calibri"/>
          <w:noProof/>
          <w:lang w:val="en-IE" w:eastAsia="da-DK"/>
        </w:rPr>
        <w:t>.</w:t>
      </w:r>
      <w:r w:rsidRPr="00013BDC">
        <w:rPr>
          <w:rFonts w:eastAsia="Calibri"/>
          <w:noProof/>
          <w:lang w:val="en-IE" w:eastAsia="da-DK"/>
        </w:rPr>
        <w:t xml:space="preserve"> </w:t>
      </w:r>
      <w:r w:rsidR="0FDE999A" w:rsidRPr="00013BDC">
        <w:rPr>
          <w:rFonts w:eastAsia="Times New Roman"/>
          <w:noProof/>
          <w:lang w:val="en-IE"/>
        </w:rPr>
        <w:t>The other remaining 177 were: 8 Academic and research institutions, 11 Consumer organisations, 14 ENGOs, 7 non-EU citizens, 65 NGOs, 5 Non-classified organisations, 32 Public authorities, and 3 Trade unions.</w:t>
      </w:r>
    </w:p>
    <w:p w14:paraId="7567F20E" w14:textId="4FD0C73B" w:rsidR="00C0191A" w:rsidRPr="00013BDC" w:rsidRDefault="2494504A" w:rsidP="006D3212">
      <w:pPr>
        <w:spacing w:before="120"/>
        <w:rPr>
          <w:rFonts w:eastAsia="Verdana"/>
          <w:noProof/>
          <w:lang w:val="en-IE"/>
        </w:rPr>
      </w:pPr>
      <w:r w:rsidRPr="00013BDC">
        <w:rPr>
          <w:rFonts w:eastAsia="Verdana"/>
          <w:noProof/>
          <w:lang w:val="en-IE"/>
        </w:rPr>
        <w:t xml:space="preserve">The </w:t>
      </w:r>
      <w:r w:rsidR="36D87846" w:rsidRPr="00013BDC">
        <w:rPr>
          <w:rFonts w:eastAsia="Verdana"/>
          <w:noProof/>
          <w:lang w:val="en-IE"/>
        </w:rPr>
        <w:t xml:space="preserve">94% of the respondents (693 replies) are based in the European Union (EU 27) and most of them are based in Belgium (16%, 119 replies), Germany (13%, 96 replies), Italy (11%, 82 replies) and France (8%, 63 replies). </w:t>
      </w:r>
      <w:r w:rsidR="6CC557E7" w:rsidRPr="00013BDC">
        <w:rPr>
          <w:rFonts w:eastAsia="Verdana"/>
          <w:noProof/>
          <w:lang w:val="en-IE"/>
        </w:rPr>
        <w:t xml:space="preserve">The </w:t>
      </w:r>
      <w:r w:rsidR="36D87846" w:rsidRPr="00013BDC">
        <w:rPr>
          <w:rFonts w:eastAsia="Verdana"/>
          <w:noProof/>
          <w:lang w:val="en-IE"/>
        </w:rPr>
        <w:t xml:space="preserve">high number of respondents from Belgium </w:t>
      </w:r>
      <w:r w:rsidR="6CC557E7" w:rsidRPr="00013BDC">
        <w:rPr>
          <w:rFonts w:eastAsia="Verdana"/>
          <w:noProof/>
          <w:lang w:val="en-IE"/>
        </w:rPr>
        <w:t xml:space="preserve">is assumed to </w:t>
      </w:r>
      <w:r w:rsidR="36D87846" w:rsidRPr="00013BDC">
        <w:rPr>
          <w:rFonts w:eastAsia="Verdana"/>
          <w:noProof/>
          <w:lang w:val="en-IE"/>
        </w:rPr>
        <w:t>result from the fact that Brussels hosts many of the organisations representing different groups of interest before EU Institutions, such as industry associations, non-governmental and consumers' organisations etc. Of the non-EU respondents (38 in total), most respondents were based in the United States (2%, 12 replies), Norway (1%, 10 replies) and the United Kingdom (1%, 9 replies).</w:t>
      </w:r>
    </w:p>
    <w:p w14:paraId="2FBE041D" w14:textId="77777777" w:rsidR="00C0191A" w:rsidRPr="00013BDC" w:rsidRDefault="00C0191A" w:rsidP="00C0191A">
      <w:pPr>
        <w:pStyle w:val="TextRMC"/>
        <w:spacing w:line="240" w:lineRule="auto"/>
        <w:rPr>
          <w:rFonts w:ascii="Times New Roman" w:hAnsi="Times New Roman"/>
          <w:noProof/>
          <w:sz w:val="24"/>
          <w:lang w:val="en-IE"/>
        </w:rPr>
      </w:pPr>
      <w:r w:rsidRPr="00013BDC">
        <w:rPr>
          <w:rFonts w:ascii="Times New Roman" w:hAnsi="Times New Roman"/>
          <w:b/>
          <w:noProof/>
          <w:sz w:val="24"/>
          <w:lang w:val="en-IE"/>
        </w:rPr>
        <w:t>High-level findings from the responses</w:t>
      </w:r>
    </w:p>
    <w:p w14:paraId="27B09E49" w14:textId="1117B282" w:rsidR="00C0191A" w:rsidRPr="00013BDC" w:rsidRDefault="00C0191A" w:rsidP="00CC0AD1">
      <w:pPr>
        <w:pStyle w:val="TextRMC"/>
        <w:spacing w:line="240" w:lineRule="auto"/>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This section presents a synthesis of the feedback received</w:t>
      </w:r>
      <w:r w:rsidR="0030404B" w:rsidRPr="00013BDC">
        <w:rPr>
          <w:rFonts w:ascii="Times New Roman" w:hAnsi="Times New Roman" w:cs="Times New Roman"/>
          <w:noProof/>
          <w:sz w:val="24"/>
          <w:szCs w:val="24"/>
          <w:lang w:val="en-IE"/>
        </w:rPr>
        <w:t xml:space="preserve">, noting </w:t>
      </w:r>
      <w:r w:rsidRPr="00013BDC">
        <w:rPr>
          <w:rFonts w:ascii="Times New Roman" w:hAnsi="Times New Roman" w:cs="Times New Roman"/>
          <w:noProof/>
          <w:sz w:val="24"/>
          <w:szCs w:val="24"/>
          <w:lang w:val="en-IE"/>
        </w:rPr>
        <w:t xml:space="preserve">that respondents could leave all questions blank, none of the </w:t>
      </w:r>
      <w:r w:rsidR="0030404B" w:rsidRPr="00013BDC">
        <w:rPr>
          <w:rFonts w:ascii="Times New Roman" w:hAnsi="Times New Roman" w:cs="Times New Roman"/>
          <w:noProof/>
          <w:sz w:val="24"/>
          <w:szCs w:val="24"/>
          <w:lang w:val="en-IE"/>
        </w:rPr>
        <w:t>answers</w:t>
      </w:r>
      <w:r w:rsidRPr="00013BDC">
        <w:rPr>
          <w:rFonts w:ascii="Times New Roman" w:hAnsi="Times New Roman" w:cs="Times New Roman"/>
          <w:noProof/>
          <w:sz w:val="24"/>
          <w:szCs w:val="24"/>
          <w:lang w:val="en-IE"/>
        </w:rPr>
        <w:t xml:space="preserve"> </w:t>
      </w:r>
      <w:r w:rsidR="0030404B" w:rsidRPr="00013BDC">
        <w:rPr>
          <w:rFonts w:ascii="Times New Roman" w:hAnsi="Times New Roman" w:cs="Times New Roman"/>
          <w:noProof/>
          <w:sz w:val="24"/>
          <w:szCs w:val="24"/>
          <w:lang w:val="en-IE"/>
        </w:rPr>
        <w:t xml:space="preserve">was </w:t>
      </w:r>
      <w:r w:rsidRPr="00013BDC">
        <w:rPr>
          <w:rFonts w:ascii="Times New Roman" w:hAnsi="Times New Roman" w:cs="Times New Roman"/>
          <w:noProof/>
          <w:sz w:val="24"/>
          <w:szCs w:val="24"/>
          <w:lang w:val="en-IE"/>
        </w:rPr>
        <w:t xml:space="preserve">“mandatory”. The percentages presented below relate to the respondents that did provide a reply to </w:t>
      </w:r>
      <w:r w:rsidR="00E15304" w:rsidRPr="00013BDC">
        <w:rPr>
          <w:rFonts w:ascii="Times New Roman" w:hAnsi="Times New Roman" w:cs="Times New Roman"/>
          <w:noProof/>
          <w:sz w:val="24"/>
          <w:szCs w:val="24"/>
          <w:lang w:val="en-IE"/>
        </w:rPr>
        <w:t xml:space="preserve">the </w:t>
      </w:r>
      <w:r w:rsidR="00D30D49" w:rsidRPr="00013BDC">
        <w:rPr>
          <w:rFonts w:ascii="Times New Roman" w:hAnsi="Times New Roman" w:cs="Times New Roman"/>
          <w:noProof/>
          <w:sz w:val="24"/>
          <w:szCs w:val="24"/>
          <w:lang w:val="en-IE"/>
        </w:rPr>
        <w:t>specific</w:t>
      </w:r>
      <w:r w:rsidRPr="00013BDC">
        <w:rPr>
          <w:rFonts w:ascii="Times New Roman" w:hAnsi="Times New Roman" w:cs="Times New Roman"/>
          <w:noProof/>
          <w:sz w:val="24"/>
          <w:szCs w:val="24"/>
          <w:lang w:val="en-IE"/>
        </w:rPr>
        <w:t xml:space="preserve"> question (i.e., total number of respondents minus the respondents that left the question blank), and not to the total number of respondents.</w:t>
      </w:r>
    </w:p>
    <w:p w14:paraId="3DB51084" w14:textId="77777777" w:rsidR="00C0191A" w:rsidRPr="00013BDC" w:rsidRDefault="00C0191A" w:rsidP="00C0191A">
      <w:pPr>
        <w:pStyle w:val="WDBody"/>
        <w:spacing w:after="120" w:line="240" w:lineRule="auto"/>
        <w:rPr>
          <w:rFonts w:ascii="Times New Roman" w:hAnsi="Times New Roman" w:cs="Times New Roman"/>
          <w:b/>
          <w:i/>
          <w:noProof/>
          <w:sz w:val="24"/>
          <w:szCs w:val="24"/>
          <w:lang w:val="en-IE"/>
        </w:rPr>
      </w:pPr>
      <w:r w:rsidRPr="00013BDC">
        <w:rPr>
          <w:rFonts w:ascii="Times New Roman" w:hAnsi="Times New Roman" w:cs="Times New Roman"/>
          <w:b/>
          <w:i/>
          <w:noProof/>
          <w:sz w:val="24"/>
          <w:szCs w:val="24"/>
          <w:lang w:val="en-IE"/>
        </w:rPr>
        <w:t>General views on waste and waste generation</w:t>
      </w:r>
    </w:p>
    <w:p w14:paraId="3FBEF71A" w14:textId="6264359F" w:rsidR="4308D533" w:rsidRPr="00013BDC" w:rsidRDefault="4308D533" w:rsidP="668B5BD5">
      <w:pPr>
        <w:rPr>
          <w:rFonts w:eastAsia="Times New Roman"/>
          <w:noProof/>
          <w:lang w:val="en-IE"/>
        </w:rPr>
      </w:pPr>
      <w:r w:rsidRPr="00013BDC">
        <w:rPr>
          <w:rFonts w:eastAsia="Times New Roman"/>
          <w:noProof/>
          <w:lang w:val="en-IE"/>
        </w:rPr>
        <w:t xml:space="preserve">Respondents to the survey were generally concerned by the volumes of waste generated across all dimensions and types of waste, irrespective of their stakeholder group. They were mostly concerned by the impacts of waste on the environment (97% of the stakeholders, 648 replies, were either very concerned or concerned. </w:t>
      </w:r>
    </w:p>
    <w:p w14:paraId="0CD21D01" w14:textId="107E71BF" w:rsidR="4308D533" w:rsidRPr="00013BDC" w:rsidRDefault="44ED80CC" w:rsidP="614DBBA7">
      <w:pPr>
        <w:rPr>
          <w:rFonts w:eastAsia="Times New Roman"/>
          <w:noProof/>
          <w:lang w:val="en-IE"/>
        </w:rPr>
      </w:pPr>
      <w:r w:rsidRPr="00013BDC">
        <w:rPr>
          <w:rFonts w:eastAsia="Times New Roman"/>
          <w:noProof/>
          <w:lang w:val="en-IE"/>
        </w:rPr>
        <w:t xml:space="preserve">Even if a strong concernment is still shown by all stakeholder groups when it comes to the amounts of food waste (90%, 579 replies), this ratio is not as high as to the former due to the fact that companies and business associations show a lesser level of concernment on </w:t>
      </w:r>
      <w:r w:rsidR="4EF6ACF3" w:rsidRPr="00013BDC">
        <w:rPr>
          <w:rFonts w:eastAsia="Times New Roman"/>
          <w:noProof/>
          <w:lang w:val="en-IE"/>
        </w:rPr>
        <w:t xml:space="preserve">the amounts of </w:t>
      </w:r>
      <w:r w:rsidR="64C0D58F" w:rsidRPr="00013BDC">
        <w:rPr>
          <w:rFonts w:eastAsia="Times New Roman"/>
          <w:noProof/>
          <w:lang w:val="en-IE"/>
        </w:rPr>
        <w:t>food waste</w:t>
      </w:r>
      <w:r w:rsidR="176E23A1" w:rsidRPr="00013BDC">
        <w:rPr>
          <w:rFonts w:eastAsia="Times New Roman"/>
          <w:noProof/>
          <w:lang w:val="en-IE"/>
        </w:rPr>
        <w:t xml:space="preserve"> </w:t>
      </w:r>
      <w:r w:rsidRPr="00013BDC">
        <w:rPr>
          <w:rFonts w:eastAsia="Times New Roman"/>
          <w:noProof/>
          <w:lang w:val="en-IE"/>
        </w:rPr>
        <w:t>(81%, 2</w:t>
      </w:r>
      <w:r w:rsidR="0A0B93DC" w:rsidRPr="00013BDC">
        <w:rPr>
          <w:rFonts w:eastAsia="Times New Roman"/>
          <w:noProof/>
          <w:lang w:val="en-IE"/>
        </w:rPr>
        <w:t>35</w:t>
      </w:r>
      <w:r w:rsidRPr="00013BDC">
        <w:rPr>
          <w:rFonts w:eastAsia="Times New Roman"/>
          <w:noProof/>
          <w:lang w:val="en-IE"/>
        </w:rPr>
        <w:t xml:space="preserve"> replies) compared to the EU citizens, NGOs and public authorities’ perspective (93-97%, 360 replies). The same pattern applies on the amounts of municipal waste. While EU citizens, NGOs and public authorities convey to a vast preoccupation as regards municipal waste (93%, 367 replies), companies and business associations merely reach an 80% of consensus (</w:t>
      </w:r>
      <w:r w:rsidR="67D3FB56" w:rsidRPr="00013BDC">
        <w:rPr>
          <w:rFonts w:eastAsia="Times New Roman"/>
          <w:noProof/>
          <w:lang w:val="en-IE"/>
        </w:rPr>
        <w:t xml:space="preserve">186 </w:t>
      </w:r>
      <w:r w:rsidRPr="00013BDC">
        <w:rPr>
          <w:rFonts w:eastAsia="Times New Roman"/>
          <w:noProof/>
          <w:lang w:val="en-IE"/>
        </w:rPr>
        <w:t xml:space="preserve">replies). </w:t>
      </w:r>
    </w:p>
    <w:p w14:paraId="5BDE3055" w14:textId="4A738A5A" w:rsidR="4308D533" w:rsidRPr="00013BDC" w:rsidRDefault="44ED80CC" w:rsidP="614DBBA7">
      <w:pPr>
        <w:rPr>
          <w:rFonts w:eastAsia="Times New Roman"/>
          <w:noProof/>
          <w:lang w:val="en-IE"/>
        </w:rPr>
      </w:pPr>
      <w:r w:rsidRPr="00013BDC">
        <w:rPr>
          <w:rFonts w:eastAsia="Times New Roman"/>
          <w:noProof/>
          <w:lang w:val="en-IE"/>
        </w:rPr>
        <w:t>The numbers worsen when stakeholders were asked on their level of concernment considering textile waste. Only a 63% of the industry (</w:t>
      </w:r>
      <w:r w:rsidR="581AA952" w:rsidRPr="00013BDC">
        <w:rPr>
          <w:rFonts w:eastAsia="Times New Roman"/>
          <w:noProof/>
          <w:lang w:val="en-IE"/>
        </w:rPr>
        <w:t xml:space="preserve">145 </w:t>
      </w:r>
      <w:r w:rsidRPr="00013BDC">
        <w:rPr>
          <w:rFonts w:eastAsia="Times New Roman"/>
          <w:noProof/>
          <w:lang w:val="en-IE"/>
        </w:rPr>
        <w:t>replies) confessed being concerned whereas again EU citizens, NGOs and public authorities show at the very least an 86% of consternation. The tables turned on the cost of managing waste. In this case, companies, business associations and NGOs shown a greater level of concernment (82%) but EU citizens and public authorities were less worried towards this topic (69%).</w:t>
      </w:r>
    </w:p>
    <w:p w14:paraId="5B89A593" w14:textId="5527EC8F" w:rsidR="00C0191A" w:rsidRPr="00013BDC" w:rsidRDefault="00C0191A" w:rsidP="00C0191A">
      <w:pPr>
        <w:pStyle w:val="WDBody"/>
        <w:spacing w:after="120" w:line="240" w:lineRule="auto"/>
        <w:rPr>
          <w:rFonts w:ascii="Times New Roman" w:hAnsi="Times New Roman" w:cs="Times New Roman"/>
          <w:b/>
          <w:i/>
          <w:noProof/>
          <w:sz w:val="24"/>
          <w:szCs w:val="24"/>
          <w:lang w:val="en-IE"/>
        </w:rPr>
      </w:pPr>
      <w:r w:rsidRPr="00013BDC">
        <w:rPr>
          <w:rFonts w:ascii="Times New Roman" w:hAnsi="Times New Roman" w:cs="Times New Roman"/>
          <w:b/>
          <w:i/>
          <w:noProof/>
          <w:sz w:val="24"/>
          <w:szCs w:val="24"/>
          <w:lang w:val="en-IE"/>
        </w:rPr>
        <w:t>Prevention</w:t>
      </w:r>
    </w:p>
    <w:p w14:paraId="3C541CBE" w14:textId="7106F0CD" w:rsidR="3014B5E8" w:rsidRPr="00013BDC" w:rsidRDefault="3014B5E8" w:rsidP="2B2FCC23">
      <w:pPr>
        <w:rPr>
          <w:noProof/>
          <w:lang w:val="en-IE"/>
        </w:rPr>
      </w:pPr>
      <w:r w:rsidRPr="00013BDC">
        <w:rPr>
          <w:rFonts w:eastAsia="Times New Roman"/>
          <w:noProof/>
          <w:lang w:val="en-IE"/>
        </w:rPr>
        <w:t>There is a consensus between respondents stating that they know what they can do to prevent waste. Irrespective of all the stakeholders being more or less in line with that statement, especially EU citizens (83%) and public authorities (96%) agreed more to that statement than companies, business associations (78%) and NGOs (67%) did. While public authorities (83%) were keener to strongly agree or agree to have the information needed to help them generate less waste, EU citizens (66%), companies and business associations (61%) and NGOs (52%) were not rising the same majority numbers.</w:t>
      </w:r>
    </w:p>
    <w:p w14:paraId="35DC4745" w14:textId="71E7031F" w:rsidR="3014B5E8" w:rsidRPr="00013BDC" w:rsidRDefault="73653A9A" w:rsidP="614DBBA7">
      <w:pPr>
        <w:rPr>
          <w:rFonts w:eastAsia="Times New Roman"/>
          <w:noProof/>
          <w:lang w:val="en-IE"/>
        </w:rPr>
      </w:pPr>
      <w:r w:rsidRPr="00013BDC">
        <w:rPr>
          <w:rFonts w:eastAsia="Times New Roman"/>
          <w:noProof/>
          <w:lang w:val="en-IE"/>
        </w:rPr>
        <w:t xml:space="preserve">In addition, at least 60% of respondents of each stakeholder group replied they agreed or strongly agreed that they take on fewer waste prevention activities than they would like due to shortcomings in relevant infrastructure and services (e.g., proximity of reuse or repair services, effort required). The stakeholder group that mostly agreed with that statement were EU citizens (75%, </w:t>
      </w:r>
      <w:r w:rsidR="1DEF3D99" w:rsidRPr="00013BDC">
        <w:rPr>
          <w:rFonts w:eastAsia="Times New Roman"/>
          <w:noProof/>
          <w:lang w:val="en-IE"/>
        </w:rPr>
        <w:t>179</w:t>
      </w:r>
      <w:r w:rsidRPr="00013BDC">
        <w:rPr>
          <w:rFonts w:eastAsia="Times New Roman"/>
          <w:noProof/>
          <w:lang w:val="en-IE"/>
        </w:rPr>
        <w:t xml:space="preserve"> replies). However, there was less consensus on the fact that they would take on fewer waste prevention activities than they would like due to the costs involved. Only public authorities reached positive ratio of agreements in that sense (58%), whilst NGOs (48%), EU citizens (36%), and business associations and companies (34%) rarely agreed to that argument.</w:t>
      </w:r>
    </w:p>
    <w:p w14:paraId="184785F5" w14:textId="24C1878B" w:rsidR="03C432F9" w:rsidRPr="00013BDC" w:rsidRDefault="03C432F9" w:rsidP="3665346F">
      <w:pPr>
        <w:rPr>
          <w:noProof/>
          <w:lang w:val="en-IE"/>
        </w:rPr>
      </w:pPr>
      <w:r w:rsidRPr="00013BDC">
        <w:rPr>
          <w:rFonts w:eastAsia="Times New Roman"/>
          <w:noProof/>
          <w:lang w:val="en-IE"/>
        </w:rPr>
        <w:t xml:space="preserve">EU citizens, NGOs, and public authorities identified ‘prevention measures not being an explicit objective of commercial operations’ as the most important barriers to waste reduction efforts. According to EU citizens and public authorities, second in that line it goes ‘consumers are not used to taking prevention measures (e.g., trying to repair a broken item instead of replacing it). These two stakeholder groups also agreed that these ‘prevention measures are economically unattractive’ as the repair is too expensive compared to buying a new product. Meanwhile, companies and business associations, and NGOs, are more of the view that the second and third most important barriers to waste reduction efforts are the legal barriers to waste prevention and the lack of data to monitor and identify the most effective waste prevention actions. </w:t>
      </w:r>
    </w:p>
    <w:p w14:paraId="20B374A3" w14:textId="77777777" w:rsidR="00C0191A" w:rsidRPr="00013BDC" w:rsidRDefault="00C0191A" w:rsidP="00C0191A">
      <w:pPr>
        <w:pStyle w:val="WDBody"/>
        <w:spacing w:after="120" w:line="240" w:lineRule="auto"/>
        <w:rPr>
          <w:rFonts w:ascii="Times New Roman" w:hAnsi="Times New Roman" w:cs="Times New Roman"/>
          <w:b/>
          <w:i/>
          <w:noProof/>
          <w:sz w:val="24"/>
          <w:szCs w:val="24"/>
          <w:lang w:val="en-IE"/>
        </w:rPr>
      </w:pPr>
      <w:r w:rsidRPr="00013BDC">
        <w:rPr>
          <w:rFonts w:ascii="Times New Roman" w:hAnsi="Times New Roman" w:cs="Times New Roman"/>
          <w:b/>
          <w:i/>
          <w:noProof/>
          <w:sz w:val="24"/>
          <w:szCs w:val="24"/>
          <w:lang w:val="en-IE"/>
        </w:rPr>
        <w:t>Separate collection</w:t>
      </w:r>
    </w:p>
    <w:p w14:paraId="1F8E4E35" w14:textId="6E01BCA6" w:rsidR="00C0191A" w:rsidRPr="00013BDC" w:rsidRDefault="001F2E46" w:rsidP="00C0191A">
      <w:pPr>
        <w:pStyle w:val="TextRMC"/>
        <w:spacing w:line="240" w:lineRule="auto"/>
        <w:rPr>
          <w:rFonts w:ascii="Times New Roman" w:hAnsi="Times New Roman" w:cs="Times New Roman"/>
          <w:noProof/>
          <w:sz w:val="24"/>
          <w:szCs w:val="24"/>
          <w:lang w:val="en-IE" w:eastAsia="da-DK"/>
        </w:rPr>
      </w:pPr>
      <w:r w:rsidRPr="00013BDC">
        <w:rPr>
          <w:rFonts w:ascii="Times New Roman" w:hAnsi="Times New Roman" w:cs="Times New Roman"/>
          <w:noProof/>
          <w:sz w:val="24"/>
          <w:szCs w:val="24"/>
          <w:lang w:val="en-IE" w:eastAsia="da-DK"/>
        </w:rPr>
        <w:t>Respondents indicated</w:t>
      </w:r>
      <w:r w:rsidR="00C0191A" w:rsidRPr="00013BDC">
        <w:rPr>
          <w:rFonts w:ascii="Times New Roman" w:hAnsi="Times New Roman" w:cs="Times New Roman"/>
          <w:noProof/>
          <w:sz w:val="24"/>
          <w:szCs w:val="24"/>
          <w:lang w:val="en-IE" w:eastAsia="da-DK"/>
        </w:rPr>
        <w:t xml:space="preserve"> the factors that would increase participation in separate collection of municipal waste are </w:t>
      </w:r>
      <w:r w:rsidR="003906A6" w:rsidRPr="00013BDC">
        <w:rPr>
          <w:rFonts w:ascii="Times New Roman" w:hAnsi="Times New Roman" w:cs="Times New Roman"/>
          <w:noProof/>
          <w:sz w:val="24"/>
          <w:szCs w:val="24"/>
          <w:lang w:val="en-IE" w:eastAsia="da-DK"/>
        </w:rPr>
        <w:t>m</w:t>
      </w:r>
      <w:r w:rsidR="00C0191A" w:rsidRPr="00013BDC">
        <w:rPr>
          <w:rFonts w:ascii="Times New Roman" w:hAnsi="Times New Roman" w:cs="Times New Roman"/>
          <w:noProof/>
          <w:sz w:val="24"/>
          <w:szCs w:val="24"/>
          <w:lang w:val="en-IE" w:eastAsia="da-DK"/>
        </w:rPr>
        <w:t xml:space="preserve">ore information about what happens to waste once it is collected and how it can serve a useful purpose; </w:t>
      </w:r>
      <w:r w:rsidR="003906A6" w:rsidRPr="00013BDC">
        <w:rPr>
          <w:rFonts w:ascii="Times New Roman" w:hAnsi="Times New Roman" w:cs="Times New Roman"/>
          <w:noProof/>
          <w:sz w:val="24"/>
          <w:szCs w:val="24"/>
          <w:lang w:val="en-IE" w:eastAsia="da-DK"/>
        </w:rPr>
        <w:t>c</w:t>
      </w:r>
      <w:r w:rsidR="00C0191A" w:rsidRPr="00013BDC">
        <w:rPr>
          <w:rFonts w:ascii="Times New Roman" w:hAnsi="Times New Roman" w:cs="Times New Roman"/>
          <w:noProof/>
          <w:sz w:val="24"/>
          <w:szCs w:val="24"/>
          <w:lang w:val="en-IE" w:eastAsia="da-DK"/>
        </w:rPr>
        <w:t>ertainty that all the waste separate</w:t>
      </w:r>
      <w:r w:rsidR="00623829" w:rsidRPr="00013BDC">
        <w:rPr>
          <w:rFonts w:ascii="Times New Roman" w:hAnsi="Times New Roman" w:cs="Times New Roman"/>
          <w:noProof/>
          <w:sz w:val="24"/>
          <w:szCs w:val="24"/>
          <w:lang w:val="en-IE" w:eastAsia="da-DK"/>
        </w:rPr>
        <w:t>d</w:t>
      </w:r>
      <w:r w:rsidR="00C0191A" w:rsidRPr="00013BDC">
        <w:rPr>
          <w:rFonts w:ascii="Times New Roman" w:hAnsi="Times New Roman" w:cs="Times New Roman"/>
          <w:noProof/>
          <w:sz w:val="24"/>
          <w:szCs w:val="24"/>
          <w:lang w:val="en-IE" w:eastAsia="da-DK"/>
        </w:rPr>
        <w:t xml:space="preserve"> would be prepared for </w:t>
      </w:r>
      <w:r w:rsidR="00D96247" w:rsidRPr="00013BDC">
        <w:rPr>
          <w:rFonts w:ascii="Times New Roman" w:hAnsi="Times New Roman" w:cs="Times New Roman"/>
          <w:noProof/>
          <w:sz w:val="24"/>
          <w:szCs w:val="24"/>
          <w:lang w:val="en-IE" w:eastAsia="da-DK"/>
        </w:rPr>
        <w:t>reuse</w:t>
      </w:r>
      <w:r w:rsidR="00C0191A" w:rsidRPr="00013BDC">
        <w:rPr>
          <w:rFonts w:ascii="Times New Roman" w:hAnsi="Times New Roman" w:cs="Times New Roman"/>
          <w:noProof/>
          <w:sz w:val="24"/>
          <w:szCs w:val="24"/>
          <w:lang w:val="en-IE" w:eastAsia="da-DK"/>
        </w:rPr>
        <w:t xml:space="preserve"> or recycled; </w:t>
      </w:r>
      <w:r w:rsidR="003906A6" w:rsidRPr="00013BDC">
        <w:rPr>
          <w:rFonts w:ascii="Times New Roman" w:hAnsi="Times New Roman" w:cs="Times New Roman"/>
          <w:noProof/>
          <w:sz w:val="24"/>
          <w:szCs w:val="24"/>
          <w:lang w:val="en-IE" w:eastAsia="da-DK"/>
        </w:rPr>
        <w:t>and m</w:t>
      </w:r>
      <w:r w:rsidR="00C0191A" w:rsidRPr="00013BDC">
        <w:rPr>
          <w:rFonts w:ascii="Times New Roman" w:hAnsi="Times New Roman" w:cs="Times New Roman"/>
          <w:noProof/>
          <w:sz w:val="24"/>
          <w:szCs w:val="24"/>
          <w:lang w:val="en-IE" w:eastAsia="da-DK"/>
        </w:rPr>
        <w:t xml:space="preserve">ore information on how to separate waste for collection (e.g., which waste goes into which bin). </w:t>
      </w:r>
      <w:r w:rsidR="008D3ADA" w:rsidRPr="00013BDC">
        <w:rPr>
          <w:rFonts w:ascii="Times New Roman" w:hAnsi="Times New Roman" w:cs="Times New Roman"/>
          <w:noProof/>
          <w:sz w:val="24"/>
          <w:szCs w:val="24"/>
          <w:lang w:val="en-IE"/>
        </w:rPr>
        <w:t>No distinct differences of opinion by stakeholder category were identified.</w:t>
      </w:r>
    </w:p>
    <w:p w14:paraId="49CD73A3" w14:textId="36942627" w:rsidR="4E7FBEDD" w:rsidRPr="00013BDC" w:rsidRDefault="6ED8D5A5" w:rsidP="614DBBA7">
      <w:pPr>
        <w:rPr>
          <w:rFonts w:eastAsia="Times New Roman"/>
          <w:noProof/>
          <w:lang w:val="en-IE"/>
        </w:rPr>
      </w:pPr>
      <w:r w:rsidRPr="00013BDC">
        <w:rPr>
          <w:rFonts w:eastAsia="Times New Roman"/>
          <w:noProof/>
          <w:lang w:val="en-IE"/>
        </w:rPr>
        <w:t>All stakeholders coincided determining that the most common effective measure to overcome the challenges and improve separate collection activities was found to be the following: sorting waste into more separate bins at home for door-to-door collection for an environmental benefit. Second was improved information on the products themselves about their composition and how to discard them in separate collection and third ‘improved information on waste bins and from waste collection service providers on how to correctly separate waste in different waste containers would be helpful’. The first measure received an</w:t>
      </w:r>
      <w:r w:rsidR="4B9186DC" w:rsidRPr="00013BDC">
        <w:rPr>
          <w:rFonts w:eastAsia="Times New Roman"/>
          <w:noProof/>
          <w:lang w:val="en-IE"/>
        </w:rPr>
        <w:t xml:space="preserve"> 87% (</w:t>
      </w:r>
      <w:r w:rsidR="2ABE478C" w:rsidRPr="00013BDC">
        <w:rPr>
          <w:rFonts w:eastAsia="Times New Roman"/>
          <w:noProof/>
          <w:lang w:val="en-IE"/>
        </w:rPr>
        <w:t xml:space="preserve">225 </w:t>
      </w:r>
      <w:r w:rsidR="4B9186DC" w:rsidRPr="00013BDC">
        <w:rPr>
          <w:rFonts w:eastAsia="Times New Roman"/>
          <w:noProof/>
          <w:lang w:val="en-IE"/>
        </w:rPr>
        <w:t xml:space="preserve">replies) </w:t>
      </w:r>
      <w:r w:rsidR="31FE058C" w:rsidRPr="00013BDC">
        <w:rPr>
          <w:rFonts w:eastAsia="Times New Roman"/>
          <w:noProof/>
          <w:lang w:val="en-IE"/>
        </w:rPr>
        <w:t xml:space="preserve">support </w:t>
      </w:r>
      <w:r w:rsidR="4B9186DC" w:rsidRPr="00013BDC">
        <w:rPr>
          <w:rFonts w:eastAsia="Times New Roman"/>
          <w:noProof/>
          <w:lang w:val="en-IE"/>
        </w:rPr>
        <w:t>from EU citizens</w:t>
      </w:r>
      <w:r w:rsidR="29E26D71" w:rsidRPr="00013BDC">
        <w:rPr>
          <w:rFonts w:eastAsia="Times New Roman"/>
          <w:noProof/>
          <w:lang w:val="en-IE"/>
        </w:rPr>
        <w:t>,</w:t>
      </w:r>
      <w:r w:rsidRPr="00013BDC">
        <w:rPr>
          <w:rFonts w:eastAsia="Times New Roman"/>
          <w:noProof/>
          <w:lang w:val="en-IE"/>
        </w:rPr>
        <w:t xml:space="preserve"> 82% (</w:t>
      </w:r>
      <w:r w:rsidR="7CC5F1B6" w:rsidRPr="00013BDC">
        <w:rPr>
          <w:rFonts w:eastAsia="Times New Roman"/>
          <w:noProof/>
          <w:lang w:val="en-IE"/>
        </w:rPr>
        <w:t>49</w:t>
      </w:r>
      <w:r w:rsidRPr="00013BDC">
        <w:rPr>
          <w:rFonts w:eastAsia="Times New Roman"/>
          <w:noProof/>
          <w:lang w:val="en-IE"/>
        </w:rPr>
        <w:t xml:space="preserve"> replies) from NGOs, 80% (</w:t>
      </w:r>
      <w:r w:rsidR="2FE43F4F" w:rsidRPr="00013BDC">
        <w:rPr>
          <w:rFonts w:eastAsia="Times New Roman"/>
          <w:noProof/>
          <w:lang w:val="en-IE"/>
        </w:rPr>
        <w:t>20</w:t>
      </w:r>
      <w:r w:rsidRPr="00013BDC">
        <w:rPr>
          <w:rFonts w:eastAsia="Times New Roman"/>
          <w:noProof/>
          <w:lang w:val="en-IE"/>
        </w:rPr>
        <w:t xml:space="preserve"> replies) from public authorities, </w:t>
      </w:r>
      <w:r w:rsidR="4B9186DC" w:rsidRPr="00013BDC">
        <w:rPr>
          <w:rFonts w:eastAsia="Times New Roman"/>
          <w:noProof/>
          <w:lang w:val="en-IE"/>
        </w:rPr>
        <w:t xml:space="preserve">and a </w:t>
      </w:r>
      <w:r w:rsidRPr="00013BDC">
        <w:rPr>
          <w:rFonts w:eastAsia="Times New Roman"/>
          <w:noProof/>
          <w:lang w:val="en-IE"/>
        </w:rPr>
        <w:t>62% (</w:t>
      </w:r>
      <w:r w:rsidR="55D7C198" w:rsidRPr="00013BDC">
        <w:rPr>
          <w:rFonts w:eastAsia="Times New Roman"/>
          <w:noProof/>
          <w:lang w:val="en-IE"/>
        </w:rPr>
        <w:t>119</w:t>
      </w:r>
      <w:r w:rsidRPr="00013BDC">
        <w:rPr>
          <w:rFonts w:eastAsia="Times New Roman"/>
          <w:noProof/>
          <w:lang w:val="en-IE"/>
        </w:rPr>
        <w:t xml:space="preserve"> replies) from business associations and companies. </w:t>
      </w:r>
    </w:p>
    <w:p w14:paraId="6F46315F" w14:textId="20C01B30" w:rsidR="4E7FBEDD" w:rsidRPr="00013BDC" w:rsidRDefault="4E7FBEDD" w:rsidP="37CDE0CF">
      <w:pPr>
        <w:rPr>
          <w:rFonts w:eastAsia="Times New Roman"/>
          <w:noProof/>
          <w:lang w:val="en-IE"/>
        </w:rPr>
      </w:pPr>
      <w:r w:rsidRPr="00013BDC">
        <w:rPr>
          <w:rFonts w:eastAsia="Times New Roman"/>
          <w:noProof/>
          <w:lang w:val="en-IE"/>
        </w:rPr>
        <w:t xml:space="preserve">Overall, business associations and companies, NGOs and public authorities shared the view that the most effective measures to separately collect waste were found within their </w:t>
      </w:r>
      <w:r w:rsidRPr="00013BDC">
        <w:rPr>
          <w:rFonts w:eastAsia="Times New Roman"/>
          <w:b/>
          <w:noProof/>
          <w:lang w:val="en-IE"/>
        </w:rPr>
        <w:t>workplace</w:t>
      </w:r>
      <w:r w:rsidRPr="00013BDC">
        <w:rPr>
          <w:rFonts w:eastAsia="Times New Roman"/>
          <w:noProof/>
          <w:lang w:val="en-IE"/>
        </w:rPr>
        <w:t xml:space="preserve"> more than at local/national/EU levels. In the contrary, EU citizens attributed that merit to the national and local authorities of their home countries. However, responses show that measures to prevent waste are not considered effective at these different levels at present. </w:t>
      </w:r>
      <w:r w:rsidR="530DB0F8" w:rsidRPr="00013BDC">
        <w:rPr>
          <w:rFonts w:eastAsia="Times New Roman"/>
          <w:noProof/>
          <w:lang w:val="en-IE"/>
        </w:rPr>
        <w:t xml:space="preserve"> </w:t>
      </w:r>
    </w:p>
    <w:p w14:paraId="1A8CB9FD" w14:textId="7509C6CA" w:rsidR="00C0191A" w:rsidRPr="00013BDC" w:rsidRDefault="00C0191A" w:rsidP="00C0191A">
      <w:pPr>
        <w:pStyle w:val="WDBody"/>
        <w:spacing w:after="120" w:line="240" w:lineRule="auto"/>
        <w:rPr>
          <w:rFonts w:ascii="Times New Roman" w:hAnsi="Times New Roman" w:cs="Times New Roman"/>
          <w:b/>
          <w:i/>
          <w:noProof/>
          <w:sz w:val="24"/>
          <w:szCs w:val="24"/>
          <w:lang w:val="en-IE"/>
        </w:rPr>
      </w:pPr>
      <w:r w:rsidRPr="00013BDC">
        <w:rPr>
          <w:rFonts w:ascii="Times New Roman" w:hAnsi="Times New Roman" w:cs="Times New Roman"/>
          <w:b/>
          <w:i/>
          <w:noProof/>
          <w:sz w:val="24"/>
          <w:szCs w:val="24"/>
          <w:lang w:val="en-IE"/>
        </w:rPr>
        <w:t>Recycling</w:t>
      </w:r>
    </w:p>
    <w:p w14:paraId="43972B0D" w14:textId="3B227D04" w:rsidR="308EA062" w:rsidRPr="00013BDC" w:rsidRDefault="28E1398B" w:rsidP="614DBBA7">
      <w:pPr>
        <w:rPr>
          <w:rFonts w:eastAsia="Times New Roman"/>
          <w:noProof/>
          <w:lang w:val="en-IE"/>
        </w:rPr>
      </w:pPr>
      <w:r w:rsidRPr="00013BDC">
        <w:rPr>
          <w:rFonts w:eastAsia="Times New Roman"/>
          <w:noProof/>
          <w:lang w:val="en-IE"/>
        </w:rPr>
        <w:t>The majority of respondents (</w:t>
      </w:r>
      <w:r w:rsidR="0EF3E631" w:rsidRPr="00013BDC">
        <w:rPr>
          <w:rFonts w:eastAsia="Times New Roman"/>
          <w:noProof/>
          <w:lang w:val="en-IE"/>
        </w:rPr>
        <w:t>73</w:t>
      </w:r>
      <w:r w:rsidRPr="00013BDC">
        <w:rPr>
          <w:rFonts w:eastAsia="Times New Roman"/>
          <w:noProof/>
          <w:lang w:val="en-IE"/>
        </w:rPr>
        <w:t xml:space="preserve">%, </w:t>
      </w:r>
      <w:r w:rsidR="2255D6AE" w:rsidRPr="00013BDC">
        <w:rPr>
          <w:rFonts w:eastAsia="Times New Roman"/>
          <w:noProof/>
          <w:lang w:val="en-IE"/>
        </w:rPr>
        <w:t xml:space="preserve">447 </w:t>
      </w:r>
      <w:r w:rsidR="06261609" w:rsidRPr="00013BDC">
        <w:rPr>
          <w:rFonts w:eastAsia="Times New Roman"/>
          <w:noProof/>
          <w:lang w:val="en-IE"/>
        </w:rPr>
        <w:t xml:space="preserve">total </w:t>
      </w:r>
      <w:r w:rsidRPr="00013BDC">
        <w:rPr>
          <w:rFonts w:eastAsia="Times New Roman"/>
          <w:noProof/>
          <w:lang w:val="en-IE"/>
        </w:rPr>
        <w:t>replies), irrespective of their stakeholder group, disagreed with the fact that there are sufficient regulatory and/or market incentives for businesses to invest in recycling.</w:t>
      </w:r>
    </w:p>
    <w:p w14:paraId="017E58A9" w14:textId="77777777" w:rsidR="00C0191A" w:rsidRPr="00013BDC" w:rsidRDefault="00C0191A" w:rsidP="00C0191A">
      <w:pPr>
        <w:pStyle w:val="WDBody"/>
        <w:spacing w:after="120" w:line="240" w:lineRule="auto"/>
        <w:rPr>
          <w:rFonts w:ascii="Times New Roman" w:hAnsi="Times New Roman" w:cs="Times New Roman"/>
          <w:b/>
          <w:i/>
          <w:noProof/>
          <w:sz w:val="24"/>
          <w:szCs w:val="24"/>
          <w:lang w:val="en-IE"/>
        </w:rPr>
      </w:pPr>
      <w:r w:rsidRPr="00013BDC">
        <w:rPr>
          <w:rFonts w:ascii="Times New Roman" w:hAnsi="Times New Roman" w:cs="Times New Roman"/>
          <w:b/>
          <w:i/>
          <w:noProof/>
          <w:sz w:val="24"/>
          <w:szCs w:val="24"/>
          <w:lang w:val="en-IE"/>
        </w:rPr>
        <w:t>Textile waste</w:t>
      </w:r>
    </w:p>
    <w:p w14:paraId="41ECA68C" w14:textId="3B79E55B" w:rsidR="23ED5815" w:rsidRPr="00013BDC" w:rsidRDefault="23ED5815" w:rsidP="290A2BDC">
      <w:pPr>
        <w:rPr>
          <w:noProof/>
          <w:lang w:val="en-IE"/>
        </w:rPr>
      </w:pPr>
      <w:r w:rsidRPr="00013BDC">
        <w:rPr>
          <w:rFonts w:eastAsia="Times New Roman"/>
          <w:noProof/>
          <w:color w:val="000000" w:themeColor="text1"/>
          <w:lang w:val="en-IE"/>
        </w:rPr>
        <w:t>As it has been previously mentioned in ‘general views on waste and waste generation’ subsection above, it is important to stress that textile waste is the type of waste that least concerns the respondents consulted only reaching a 63% of concernment on companies and business associations. The remaining stakeholders (EU citizens, NGOs, and public authorities) showed greater levels of concern in the matter. More than half of the respondents agreed or strongly agreed that they were participating in the separate collection of textile waste, with a deferral on results depending on the stakeholder group they pertained to. EU citizens leaded the collection of textile waste, followed by public authorities; and leaving NGOs and companies and business associations the last positions. However, only 40% of public authorities, 32% of companies and business associations, 28% of EU citizens and 24% of NGOs agreed or strongly agreed (221 replies) that they were satisfied with the waste collection system in place where they live to collect textile waste.</w:t>
      </w:r>
    </w:p>
    <w:p w14:paraId="0E5EC40C" w14:textId="2BF3C443" w:rsidR="00C0191A" w:rsidRPr="00013BDC" w:rsidRDefault="00C0191A" w:rsidP="00CC0AD1">
      <w:pPr>
        <w:pStyle w:val="WDBody"/>
        <w:spacing w:after="120" w:line="240" w:lineRule="auto"/>
        <w:rPr>
          <w:rFonts w:ascii="Times New Roman" w:hAnsi="Times New Roman" w:cs="Times New Roman"/>
          <w:b/>
          <w:i/>
          <w:noProof/>
          <w:sz w:val="24"/>
          <w:szCs w:val="24"/>
          <w:lang w:val="en-IE"/>
        </w:rPr>
      </w:pPr>
      <w:r w:rsidRPr="00013BDC">
        <w:rPr>
          <w:rFonts w:ascii="Times New Roman" w:hAnsi="Times New Roman" w:cs="Times New Roman"/>
          <w:b/>
          <w:i/>
          <w:noProof/>
          <w:sz w:val="24"/>
          <w:szCs w:val="24"/>
          <w:lang w:val="en-IE"/>
        </w:rPr>
        <w:t>Waste oils</w:t>
      </w:r>
    </w:p>
    <w:p w14:paraId="6493B928" w14:textId="48D2FB3C" w:rsidR="00C0191A" w:rsidRPr="00013BDC" w:rsidRDefault="00C0191A" w:rsidP="00C0191A">
      <w:pPr>
        <w:spacing w:after="120"/>
        <w:rPr>
          <w:noProof/>
          <w:lang w:val="en-IE"/>
        </w:rPr>
      </w:pPr>
      <w:r w:rsidRPr="00013BDC">
        <w:rPr>
          <w:noProof/>
          <w:color w:val="000000" w:themeColor="text1"/>
          <w:lang w:val="en-IE"/>
        </w:rPr>
        <w:t>Over 40% of those that responded to specific questions on waste oils indicated that they participate in the separate collection of waste oils while about 18% change their vehicle oil themselves (sometimes, often or always). 30% agreed or strongly agreed that they were satisfied with the waste oil collection system in the place where they live.</w:t>
      </w:r>
    </w:p>
    <w:p w14:paraId="68C0D369" w14:textId="2B10B4FA" w:rsidR="001D37B7" w:rsidRPr="00013BDC" w:rsidRDefault="00644FAF" w:rsidP="00CC0AD1">
      <w:pPr>
        <w:spacing w:after="120"/>
        <w:rPr>
          <w:rFonts w:eastAsia="Times New Roman"/>
          <w:noProof/>
          <w:color w:val="000000" w:themeColor="text1"/>
          <w:lang w:val="en-IE"/>
        </w:rPr>
      </w:pPr>
      <w:r w:rsidRPr="00013BDC">
        <w:rPr>
          <w:rFonts w:eastAsia="Times New Roman"/>
          <w:noProof/>
          <w:color w:val="000000" w:themeColor="text1"/>
          <w:lang w:val="en-IE"/>
        </w:rPr>
        <w:t>All</w:t>
      </w:r>
      <w:r w:rsidR="00C0191A" w:rsidRPr="00013BDC">
        <w:rPr>
          <w:rFonts w:eastAsia="Times New Roman"/>
          <w:noProof/>
          <w:color w:val="000000" w:themeColor="text1"/>
          <w:lang w:val="en-IE"/>
        </w:rPr>
        <w:t xml:space="preserve"> respondents that provided </w:t>
      </w:r>
      <w:r w:rsidR="007B0165" w:rsidRPr="00013BDC">
        <w:rPr>
          <w:rFonts w:eastAsia="Times New Roman"/>
          <w:noProof/>
          <w:color w:val="000000" w:themeColor="text1"/>
          <w:lang w:val="en-IE"/>
        </w:rPr>
        <w:t>a position paper</w:t>
      </w:r>
      <w:r w:rsidR="008715CB" w:rsidRPr="00013BDC">
        <w:rPr>
          <w:rFonts w:eastAsia="Times New Roman"/>
          <w:noProof/>
          <w:color w:val="000000" w:themeColor="text1"/>
          <w:lang w:val="en-IE"/>
        </w:rPr>
        <w:t xml:space="preserve"> stressed the </w:t>
      </w:r>
      <w:r w:rsidR="00C0191A" w:rsidRPr="00013BDC">
        <w:rPr>
          <w:rFonts w:eastAsia="Times New Roman"/>
          <w:noProof/>
          <w:color w:val="000000" w:themeColor="text1"/>
          <w:lang w:val="en-IE"/>
        </w:rPr>
        <w:t>importance of waste oil collection</w:t>
      </w:r>
      <w:r w:rsidR="0059010C" w:rsidRPr="00013BDC">
        <w:rPr>
          <w:rFonts w:eastAsia="Times New Roman"/>
          <w:noProof/>
          <w:color w:val="000000" w:themeColor="text1"/>
          <w:lang w:val="en-IE"/>
        </w:rPr>
        <w:t>,</w:t>
      </w:r>
      <w:r w:rsidR="007B7646" w:rsidRPr="00013BDC">
        <w:rPr>
          <w:rFonts w:eastAsia="Times New Roman"/>
          <w:noProof/>
          <w:color w:val="000000" w:themeColor="text1"/>
          <w:lang w:val="en-IE"/>
        </w:rPr>
        <w:t xml:space="preserve"> </w:t>
      </w:r>
      <w:r w:rsidR="00C0191A" w:rsidRPr="00013BDC">
        <w:rPr>
          <w:rFonts w:eastAsia="Times New Roman"/>
          <w:noProof/>
          <w:color w:val="000000" w:themeColor="text1"/>
          <w:lang w:val="en-IE"/>
        </w:rPr>
        <w:t xml:space="preserve">generally </w:t>
      </w:r>
      <w:r w:rsidR="007B7646" w:rsidRPr="00013BDC">
        <w:rPr>
          <w:rFonts w:eastAsia="Times New Roman"/>
          <w:noProof/>
          <w:color w:val="000000" w:themeColor="text1"/>
          <w:lang w:val="en-IE"/>
        </w:rPr>
        <w:t>with</w:t>
      </w:r>
      <w:r w:rsidR="00C0191A" w:rsidRPr="00013BDC">
        <w:rPr>
          <w:rFonts w:eastAsia="Times New Roman"/>
          <w:noProof/>
          <w:color w:val="000000" w:themeColor="text1"/>
          <w:lang w:val="en-IE"/>
        </w:rPr>
        <w:t xml:space="preserve"> the </w:t>
      </w:r>
      <w:r w:rsidR="007B7646" w:rsidRPr="00013BDC">
        <w:rPr>
          <w:rFonts w:eastAsia="Times New Roman"/>
          <w:noProof/>
          <w:color w:val="000000" w:themeColor="text1"/>
          <w:lang w:val="en-IE"/>
        </w:rPr>
        <w:t xml:space="preserve">argument </w:t>
      </w:r>
      <w:r w:rsidR="00C0191A" w:rsidRPr="00013BDC">
        <w:rPr>
          <w:rFonts w:eastAsia="Times New Roman"/>
          <w:noProof/>
          <w:color w:val="000000" w:themeColor="text1"/>
          <w:lang w:val="en-IE"/>
        </w:rPr>
        <w:t xml:space="preserve">that </w:t>
      </w:r>
      <w:r w:rsidR="00D013C2" w:rsidRPr="00013BDC">
        <w:rPr>
          <w:rFonts w:eastAsia="Times New Roman"/>
          <w:noProof/>
          <w:color w:val="000000" w:themeColor="text1"/>
          <w:lang w:val="en-IE"/>
        </w:rPr>
        <w:t>separation of waste oils at</w:t>
      </w:r>
      <w:r w:rsidR="00C0191A" w:rsidRPr="00013BDC">
        <w:rPr>
          <w:rFonts w:eastAsia="Times New Roman"/>
          <w:noProof/>
          <w:color w:val="000000" w:themeColor="text1"/>
          <w:lang w:val="en-IE"/>
        </w:rPr>
        <w:t xml:space="preserve"> collection </w:t>
      </w:r>
      <w:r w:rsidR="00D013C2" w:rsidRPr="00013BDC">
        <w:rPr>
          <w:rFonts w:eastAsia="Times New Roman"/>
          <w:noProof/>
          <w:color w:val="000000" w:themeColor="text1"/>
          <w:lang w:val="en-IE"/>
        </w:rPr>
        <w:t xml:space="preserve">stage is key for proper end-of-life treatment as </w:t>
      </w:r>
      <w:r w:rsidR="00C0191A" w:rsidRPr="00013BDC">
        <w:rPr>
          <w:rFonts w:eastAsia="Times New Roman"/>
          <w:noProof/>
          <w:color w:val="000000" w:themeColor="text1"/>
          <w:lang w:val="en-IE"/>
        </w:rPr>
        <w:t xml:space="preserve">the </w:t>
      </w:r>
      <w:r w:rsidR="00D013C2" w:rsidRPr="00013BDC">
        <w:rPr>
          <w:rFonts w:eastAsia="Times New Roman"/>
          <w:noProof/>
          <w:color w:val="000000" w:themeColor="text1"/>
          <w:lang w:val="en-IE"/>
        </w:rPr>
        <w:t>quality of regenerated oils depends on the quality of the waste oil collected</w:t>
      </w:r>
      <w:r w:rsidR="00C0191A" w:rsidRPr="00013BDC">
        <w:rPr>
          <w:rFonts w:eastAsia="Times New Roman"/>
          <w:noProof/>
          <w:color w:val="000000" w:themeColor="text1"/>
          <w:lang w:val="en-IE"/>
        </w:rPr>
        <w:t xml:space="preserve">. </w:t>
      </w:r>
      <w:r w:rsidR="00E2458D" w:rsidRPr="00013BDC">
        <w:rPr>
          <w:rFonts w:eastAsia="Times New Roman"/>
          <w:noProof/>
          <w:color w:val="000000" w:themeColor="text1"/>
          <w:lang w:val="en-IE"/>
        </w:rPr>
        <w:t>Respondents</w:t>
      </w:r>
      <w:r w:rsidR="00C0191A" w:rsidRPr="00013BDC">
        <w:rPr>
          <w:rFonts w:eastAsia="Times New Roman"/>
          <w:noProof/>
          <w:color w:val="000000" w:themeColor="text1"/>
          <w:lang w:val="en-IE"/>
        </w:rPr>
        <w:t xml:space="preserve"> recommended setting high and mandatory collection targets for waste oil and better enforc</w:t>
      </w:r>
      <w:r w:rsidR="00036DA0" w:rsidRPr="00013BDC">
        <w:rPr>
          <w:rFonts w:eastAsia="Times New Roman"/>
          <w:noProof/>
          <w:color w:val="000000" w:themeColor="text1"/>
          <w:lang w:val="en-IE"/>
        </w:rPr>
        <w:t>ing</w:t>
      </w:r>
      <w:r w:rsidR="00C0191A" w:rsidRPr="00013BDC">
        <w:rPr>
          <w:rFonts w:eastAsia="Times New Roman"/>
          <w:noProof/>
          <w:color w:val="000000" w:themeColor="text1"/>
          <w:lang w:val="en-IE"/>
        </w:rPr>
        <w:t xml:space="preserve"> their strict separate collection. Most stakeholders also advocated the introduction of mandatory targets for </w:t>
      </w:r>
      <w:r w:rsidR="00E247C0" w:rsidRPr="00013BDC">
        <w:rPr>
          <w:rFonts w:eastAsia="Times New Roman"/>
          <w:noProof/>
          <w:color w:val="000000" w:themeColor="text1"/>
          <w:lang w:val="en-IE"/>
        </w:rPr>
        <w:t>regeneration of</w:t>
      </w:r>
      <w:r w:rsidR="00C0191A" w:rsidRPr="00013BDC">
        <w:rPr>
          <w:rFonts w:eastAsia="Times New Roman"/>
          <w:noProof/>
          <w:color w:val="000000" w:themeColor="text1"/>
          <w:lang w:val="en-IE"/>
        </w:rPr>
        <w:t xml:space="preserve"> waste oil.</w:t>
      </w:r>
    </w:p>
    <w:p w14:paraId="6B2523DB" w14:textId="687CD63F" w:rsidR="00C0191A" w:rsidRPr="00013BDC" w:rsidRDefault="00C0191A" w:rsidP="00C0191A">
      <w:pPr>
        <w:pStyle w:val="WDBody"/>
        <w:spacing w:after="120" w:line="240" w:lineRule="auto"/>
        <w:rPr>
          <w:rFonts w:ascii="Times New Roman" w:hAnsi="Times New Roman" w:cs="Times New Roman"/>
          <w:b/>
          <w:i/>
          <w:noProof/>
          <w:sz w:val="24"/>
          <w:szCs w:val="24"/>
          <w:lang w:val="en-IE"/>
        </w:rPr>
      </w:pPr>
      <w:r w:rsidRPr="00013BDC">
        <w:rPr>
          <w:rFonts w:ascii="Times New Roman" w:hAnsi="Times New Roman" w:cs="Times New Roman"/>
          <w:b/>
          <w:i/>
          <w:noProof/>
          <w:sz w:val="24"/>
          <w:szCs w:val="24"/>
          <w:lang w:val="en-IE"/>
        </w:rPr>
        <w:t>Food waste</w:t>
      </w:r>
      <w:r w:rsidR="001A3C2E" w:rsidRPr="00013BDC">
        <w:rPr>
          <w:rStyle w:val="FootnoteReference"/>
          <w:rFonts w:ascii="Times New Roman" w:hAnsi="Times New Roman" w:cs="Times New Roman"/>
          <w:b/>
          <w:i/>
          <w:noProof/>
          <w:sz w:val="24"/>
          <w:szCs w:val="24"/>
          <w:lang w:val="en-IE"/>
        </w:rPr>
        <w:footnoteReference w:id="24"/>
      </w:r>
    </w:p>
    <w:p w14:paraId="0ADD6EC4" w14:textId="466FB559" w:rsidR="00CA67DF" w:rsidRPr="00013BDC" w:rsidRDefault="56748FFC" w:rsidP="00A32273">
      <w:pPr>
        <w:pStyle w:val="TextRMC"/>
        <w:spacing w:line="240" w:lineRule="auto"/>
        <w:rPr>
          <w:rFonts w:ascii="Times New Roman" w:hAnsi="Times New Roman" w:cs="Times New Roman"/>
          <w:noProof/>
          <w:sz w:val="24"/>
          <w:szCs w:val="24"/>
          <w:lang w:val="en-IE" w:eastAsia="da-DK"/>
        </w:rPr>
      </w:pPr>
      <w:r w:rsidRPr="00013BDC">
        <w:rPr>
          <w:rFonts w:ascii="Times New Roman" w:hAnsi="Times New Roman" w:cs="Times New Roman"/>
          <w:noProof/>
          <w:sz w:val="24"/>
          <w:szCs w:val="24"/>
          <w:lang w:val="en-IE" w:eastAsia="da-DK"/>
        </w:rPr>
        <w:t xml:space="preserve">Most respondents </w:t>
      </w:r>
      <w:r w:rsidR="206FF2E8" w:rsidRPr="00013BDC">
        <w:rPr>
          <w:rFonts w:ascii="Times New Roman" w:hAnsi="Times New Roman" w:cs="Times New Roman"/>
          <w:noProof/>
          <w:sz w:val="24"/>
          <w:szCs w:val="24"/>
          <w:lang w:val="en-IE" w:eastAsia="da-DK"/>
        </w:rPr>
        <w:t xml:space="preserve">across all stakeholder groups </w:t>
      </w:r>
      <w:r w:rsidRPr="00013BDC">
        <w:rPr>
          <w:rFonts w:ascii="Times New Roman" w:hAnsi="Times New Roman" w:cs="Times New Roman"/>
          <w:noProof/>
          <w:sz w:val="24"/>
          <w:szCs w:val="24"/>
          <w:lang w:val="en-IE" w:eastAsia="da-DK"/>
        </w:rPr>
        <w:t>agreed or strongly agreed with the benefits brought by reducing food</w:t>
      </w:r>
      <w:r w:rsidR="3D3F31A7" w:rsidRPr="00013BDC">
        <w:rPr>
          <w:rFonts w:ascii="Times New Roman" w:hAnsi="Times New Roman" w:cs="Times New Roman"/>
          <w:noProof/>
          <w:sz w:val="24"/>
          <w:szCs w:val="24"/>
          <w:lang w:val="en-IE" w:eastAsia="da-DK"/>
        </w:rPr>
        <w:t xml:space="preserve"> </w:t>
      </w:r>
      <w:r w:rsidRPr="00013BDC">
        <w:rPr>
          <w:rFonts w:ascii="Times New Roman" w:hAnsi="Times New Roman" w:cs="Times New Roman"/>
          <w:noProof/>
          <w:sz w:val="24"/>
          <w:szCs w:val="24"/>
          <w:lang w:val="en-IE" w:eastAsia="da-DK"/>
        </w:rPr>
        <w:t>waste</w:t>
      </w:r>
      <w:r w:rsidR="499CD687" w:rsidRPr="00013BDC">
        <w:rPr>
          <w:rFonts w:ascii="Times New Roman" w:hAnsi="Times New Roman" w:cs="Times New Roman"/>
          <w:noProof/>
          <w:sz w:val="24"/>
          <w:szCs w:val="24"/>
          <w:lang w:val="en-IE" w:eastAsia="da-DK"/>
        </w:rPr>
        <w:t xml:space="preserve"> (for all the presented </w:t>
      </w:r>
      <w:r w:rsidR="3E1C924B" w:rsidRPr="00013BDC">
        <w:rPr>
          <w:rFonts w:ascii="Times New Roman" w:hAnsi="Times New Roman" w:cs="Times New Roman"/>
          <w:noProof/>
          <w:sz w:val="24"/>
          <w:szCs w:val="24"/>
          <w:lang w:val="en-IE" w:eastAsia="da-DK"/>
        </w:rPr>
        <w:t>benefits</w:t>
      </w:r>
      <w:r w:rsidR="499CD687" w:rsidRPr="00013BDC">
        <w:rPr>
          <w:rFonts w:ascii="Times New Roman" w:hAnsi="Times New Roman" w:cs="Times New Roman"/>
          <w:noProof/>
          <w:sz w:val="24"/>
          <w:szCs w:val="24"/>
          <w:lang w:val="en-IE" w:eastAsia="da-DK"/>
        </w:rPr>
        <w:t xml:space="preserve"> mo</w:t>
      </w:r>
      <w:r w:rsidR="7DECD3BF" w:rsidRPr="00013BDC">
        <w:rPr>
          <w:rFonts w:ascii="Times New Roman" w:hAnsi="Times New Roman" w:cs="Times New Roman"/>
          <w:noProof/>
          <w:sz w:val="24"/>
          <w:szCs w:val="24"/>
          <w:lang w:val="en-IE" w:eastAsia="da-DK"/>
        </w:rPr>
        <w:t xml:space="preserve">re than </w:t>
      </w:r>
      <w:r w:rsidR="499CD687" w:rsidRPr="00013BDC">
        <w:rPr>
          <w:rFonts w:ascii="Times New Roman" w:hAnsi="Times New Roman" w:cs="Times New Roman"/>
          <w:noProof/>
          <w:sz w:val="24"/>
          <w:szCs w:val="24"/>
          <w:lang w:val="en-IE" w:eastAsia="da-DK"/>
        </w:rPr>
        <w:t>50%</w:t>
      </w:r>
      <w:r w:rsidR="52780101" w:rsidRPr="00013BDC">
        <w:rPr>
          <w:rFonts w:ascii="Times New Roman" w:hAnsi="Times New Roman" w:cs="Times New Roman"/>
          <w:noProof/>
          <w:sz w:val="24"/>
          <w:szCs w:val="24"/>
          <w:lang w:val="en-IE" w:eastAsia="da-DK"/>
        </w:rPr>
        <w:t xml:space="preserve"> of the respondents agree or strongly agree)</w:t>
      </w:r>
      <w:r w:rsidR="3816DF2E" w:rsidRPr="00013BDC">
        <w:rPr>
          <w:rFonts w:ascii="Times New Roman" w:hAnsi="Times New Roman" w:cs="Times New Roman"/>
          <w:noProof/>
          <w:sz w:val="24"/>
          <w:szCs w:val="24"/>
          <w:lang w:val="en-IE" w:eastAsia="da-DK"/>
        </w:rPr>
        <w:t>.</w:t>
      </w:r>
      <w:r w:rsidRPr="00013BDC">
        <w:rPr>
          <w:rFonts w:ascii="Times New Roman" w:hAnsi="Times New Roman" w:cs="Times New Roman"/>
          <w:noProof/>
          <w:sz w:val="24"/>
          <w:szCs w:val="24"/>
          <w:lang w:val="en-IE" w:eastAsia="da-DK"/>
        </w:rPr>
        <w:t xml:space="preserve"> They identified the most important benefits</w:t>
      </w:r>
      <w:r w:rsidR="5781C0F7" w:rsidRPr="00013BDC">
        <w:rPr>
          <w:rFonts w:ascii="Times New Roman" w:hAnsi="Times New Roman" w:cs="Times New Roman"/>
          <w:noProof/>
          <w:sz w:val="24"/>
          <w:szCs w:val="24"/>
          <w:lang w:val="en-IE" w:eastAsia="da-DK"/>
        </w:rPr>
        <w:t xml:space="preserve">: </w:t>
      </w:r>
      <w:r w:rsidRPr="00013BDC">
        <w:rPr>
          <w:rFonts w:ascii="Times New Roman" w:hAnsi="Times New Roman" w:cs="Times New Roman"/>
          <w:noProof/>
          <w:sz w:val="24"/>
          <w:szCs w:val="24"/>
          <w:lang w:val="en-IE" w:eastAsia="da-DK"/>
        </w:rPr>
        <w:t xml:space="preserve">92% (577 replies) </w:t>
      </w:r>
      <w:r w:rsidR="51800047" w:rsidRPr="00013BDC">
        <w:rPr>
          <w:rFonts w:ascii="Times New Roman" w:hAnsi="Times New Roman" w:cs="Times New Roman"/>
          <w:noProof/>
          <w:sz w:val="24"/>
          <w:szCs w:val="24"/>
          <w:lang w:val="en-IE" w:eastAsia="da-DK"/>
        </w:rPr>
        <w:t>selected the option “</w:t>
      </w:r>
      <w:r w:rsidRPr="00013BDC">
        <w:rPr>
          <w:rFonts w:ascii="Times New Roman" w:hAnsi="Times New Roman" w:cs="Times New Roman"/>
          <w:noProof/>
          <w:sz w:val="24"/>
          <w:szCs w:val="24"/>
          <w:lang w:val="en-IE" w:eastAsia="da-DK"/>
        </w:rPr>
        <w:t>help reduce environmental impacts (e.g.</w:t>
      </w:r>
      <w:r w:rsidR="151CFC9C" w:rsidRPr="00013BDC">
        <w:rPr>
          <w:rFonts w:ascii="Times New Roman" w:hAnsi="Times New Roman" w:cs="Times New Roman"/>
          <w:noProof/>
          <w:sz w:val="24"/>
          <w:szCs w:val="24"/>
          <w:lang w:val="en-IE" w:eastAsia="da-DK"/>
        </w:rPr>
        <w:t>,</w:t>
      </w:r>
      <w:r w:rsidRPr="00013BDC">
        <w:rPr>
          <w:rFonts w:ascii="Times New Roman" w:hAnsi="Times New Roman" w:cs="Times New Roman"/>
          <w:noProof/>
          <w:sz w:val="24"/>
          <w:szCs w:val="24"/>
          <w:lang w:val="en-IE" w:eastAsia="da-DK"/>
        </w:rPr>
        <w:t xml:space="preserve"> land use, water scarcity</w:t>
      </w:r>
      <w:r w:rsidR="3816DF2E" w:rsidRPr="00013BDC">
        <w:rPr>
          <w:rFonts w:ascii="Times New Roman" w:hAnsi="Times New Roman" w:cs="Times New Roman"/>
          <w:noProof/>
          <w:sz w:val="24"/>
          <w:szCs w:val="24"/>
          <w:lang w:val="en-IE" w:eastAsia="da-DK"/>
        </w:rPr>
        <w:t>)</w:t>
      </w:r>
      <w:r w:rsidR="21D5CFD7" w:rsidRPr="00013BDC">
        <w:rPr>
          <w:rFonts w:ascii="Times New Roman" w:hAnsi="Times New Roman" w:cs="Times New Roman"/>
          <w:noProof/>
          <w:sz w:val="24"/>
          <w:szCs w:val="24"/>
          <w:lang w:val="en-IE" w:eastAsia="da-DK"/>
        </w:rPr>
        <w:t>”. This percentage</w:t>
      </w:r>
      <w:r w:rsidR="27F82528" w:rsidRPr="00013BDC">
        <w:rPr>
          <w:rFonts w:ascii="Times New Roman" w:hAnsi="Times New Roman" w:cs="Times New Roman"/>
          <w:noProof/>
          <w:sz w:val="24"/>
          <w:szCs w:val="24"/>
          <w:lang w:val="en-IE" w:eastAsia="da-DK"/>
        </w:rPr>
        <w:t>, however,</w:t>
      </w:r>
      <w:r w:rsidR="21D5CFD7" w:rsidRPr="00013BDC">
        <w:rPr>
          <w:rFonts w:ascii="Times New Roman" w:hAnsi="Times New Roman" w:cs="Times New Roman"/>
          <w:noProof/>
          <w:sz w:val="24"/>
          <w:szCs w:val="24"/>
          <w:lang w:val="en-IE" w:eastAsia="da-DK"/>
        </w:rPr>
        <w:t xml:space="preserve"> was lower in the group of </w:t>
      </w:r>
      <w:r w:rsidR="7095B193" w:rsidRPr="00013BDC">
        <w:rPr>
          <w:rFonts w:ascii="Times New Roman" w:hAnsi="Times New Roman" w:cs="Times New Roman"/>
          <w:noProof/>
          <w:sz w:val="24"/>
          <w:szCs w:val="24"/>
          <w:lang w:val="en-IE" w:eastAsia="da-DK"/>
        </w:rPr>
        <w:t>companies and business organizations (</w:t>
      </w:r>
      <w:r w:rsidR="436F38DA" w:rsidRPr="00013BDC">
        <w:rPr>
          <w:rFonts w:ascii="Times New Roman" w:hAnsi="Times New Roman" w:cs="Times New Roman"/>
          <w:noProof/>
          <w:sz w:val="24"/>
          <w:szCs w:val="24"/>
          <w:lang w:val="en-IE" w:eastAsia="da-DK"/>
        </w:rPr>
        <w:t>62</w:t>
      </w:r>
      <w:r w:rsidR="7095B193" w:rsidRPr="00013BDC">
        <w:rPr>
          <w:rFonts w:ascii="Times New Roman" w:hAnsi="Times New Roman" w:cs="Times New Roman"/>
          <w:noProof/>
          <w:sz w:val="24"/>
          <w:szCs w:val="24"/>
          <w:lang w:val="en-IE" w:eastAsia="da-DK"/>
        </w:rPr>
        <w:t>%</w:t>
      </w:r>
      <w:r w:rsidR="68CA9CD1" w:rsidRPr="00013BDC">
        <w:rPr>
          <w:rFonts w:ascii="Times New Roman" w:hAnsi="Times New Roman" w:cs="Times New Roman"/>
          <w:noProof/>
          <w:sz w:val="24"/>
          <w:szCs w:val="24"/>
          <w:lang w:val="en-IE" w:eastAsia="da-DK"/>
        </w:rPr>
        <w:t xml:space="preserve"> -</w:t>
      </w:r>
      <w:r w:rsidR="10D9635E" w:rsidRPr="00013BDC">
        <w:rPr>
          <w:rFonts w:ascii="Times New Roman" w:hAnsi="Times New Roman" w:cs="Times New Roman"/>
          <w:noProof/>
          <w:sz w:val="24"/>
          <w:szCs w:val="24"/>
          <w:lang w:val="en-IE" w:eastAsia="da-DK"/>
        </w:rPr>
        <w:t xml:space="preserve"> </w:t>
      </w:r>
      <w:r w:rsidR="436F38DA" w:rsidRPr="00013BDC">
        <w:rPr>
          <w:rFonts w:ascii="Times New Roman" w:hAnsi="Times New Roman" w:cs="Times New Roman"/>
          <w:noProof/>
          <w:sz w:val="24"/>
          <w:szCs w:val="24"/>
          <w:lang w:val="en-IE" w:eastAsia="da-DK"/>
        </w:rPr>
        <w:t>186</w:t>
      </w:r>
      <w:r w:rsidR="10D9635E" w:rsidRPr="00013BDC">
        <w:rPr>
          <w:rFonts w:ascii="Times New Roman" w:hAnsi="Times New Roman" w:cs="Times New Roman"/>
          <w:noProof/>
          <w:sz w:val="24"/>
          <w:szCs w:val="24"/>
          <w:lang w:val="en-IE" w:eastAsia="da-DK"/>
        </w:rPr>
        <w:t xml:space="preserve"> replies)</w:t>
      </w:r>
      <w:r w:rsidR="7095B193" w:rsidRPr="00013BDC">
        <w:rPr>
          <w:rFonts w:ascii="Times New Roman" w:hAnsi="Times New Roman" w:cs="Times New Roman"/>
          <w:noProof/>
          <w:sz w:val="24"/>
          <w:szCs w:val="24"/>
          <w:lang w:val="en-IE" w:eastAsia="da-DK"/>
        </w:rPr>
        <w:t xml:space="preserve">. </w:t>
      </w:r>
      <w:r w:rsidR="5781C0F7" w:rsidRPr="00013BDC">
        <w:rPr>
          <w:rFonts w:ascii="Times New Roman" w:hAnsi="Times New Roman" w:cs="Times New Roman"/>
          <w:noProof/>
          <w:sz w:val="24"/>
          <w:szCs w:val="24"/>
          <w:lang w:val="en-IE" w:eastAsia="da-DK"/>
        </w:rPr>
        <w:t>91% (562 replies) agreed or strongly agreed with the benefit to</w:t>
      </w:r>
      <w:r w:rsidRPr="00013BDC">
        <w:rPr>
          <w:rFonts w:ascii="Times New Roman" w:hAnsi="Times New Roman" w:cs="Times New Roman"/>
          <w:noProof/>
          <w:sz w:val="24"/>
          <w:szCs w:val="24"/>
          <w:lang w:val="en-IE" w:eastAsia="da-DK"/>
        </w:rPr>
        <w:t xml:space="preserve"> help mitigate climate change</w:t>
      </w:r>
      <w:r w:rsidR="08E929B0" w:rsidRPr="00013BDC">
        <w:rPr>
          <w:rFonts w:ascii="Times New Roman" w:hAnsi="Times New Roman" w:cs="Times New Roman"/>
          <w:noProof/>
          <w:sz w:val="24"/>
          <w:szCs w:val="24"/>
          <w:lang w:val="en-IE" w:eastAsia="da-DK"/>
        </w:rPr>
        <w:t xml:space="preserve">, with </w:t>
      </w:r>
      <w:r w:rsidR="021B7F0D" w:rsidRPr="00013BDC">
        <w:rPr>
          <w:rFonts w:ascii="Times New Roman" w:hAnsi="Times New Roman" w:cs="Times New Roman"/>
          <w:noProof/>
          <w:sz w:val="24"/>
          <w:szCs w:val="24"/>
          <w:lang w:val="en-IE" w:eastAsia="da-DK"/>
        </w:rPr>
        <w:t>the groups</w:t>
      </w:r>
      <w:r w:rsidR="414B34D6" w:rsidRPr="00013BDC">
        <w:rPr>
          <w:rFonts w:ascii="Times New Roman" w:hAnsi="Times New Roman" w:cs="Times New Roman"/>
          <w:noProof/>
          <w:sz w:val="24"/>
          <w:szCs w:val="24"/>
          <w:lang w:val="en-IE" w:eastAsia="da-DK"/>
        </w:rPr>
        <w:t xml:space="preserve"> of</w:t>
      </w:r>
      <w:r w:rsidR="021B7F0D" w:rsidRPr="00013BDC">
        <w:rPr>
          <w:rFonts w:ascii="Times New Roman" w:hAnsi="Times New Roman" w:cs="Times New Roman"/>
          <w:noProof/>
          <w:sz w:val="24"/>
          <w:szCs w:val="24"/>
          <w:lang w:val="en-IE" w:eastAsia="da-DK"/>
        </w:rPr>
        <w:t xml:space="preserve"> </w:t>
      </w:r>
      <w:r w:rsidR="08E929B0" w:rsidRPr="00013BDC">
        <w:rPr>
          <w:rFonts w:ascii="Times New Roman" w:hAnsi="Times New Roman" w:cs="Times New Roman"/>
          <w:noProof/>
          <w:sz w:val="24"/>
          <w:szCs w:val="24"/>
          <w:lang w:val="en-IE" w:eastAsia="da-DK"/>
        </w:rPr>
        <w:t>companies and business organizations an</w:t>
      </w:r>
      <w:r w:rsidR="0F8F6431" w:rsidRPr="00013BDC">
        <w:rPr>
          <w:rFonts w:ascii="Times New Roman" w:hAnsi="Times New Roman" w:cs="Times New Roman"/>
          <w:noProof/>
          <w:sz w:val="24"/>
          <w:szCs w:val="24"/>
          <w:lang w:val="en-IE" w:eastAsia="da-DK"/>
        </w:rPr>
        <w:t xml:space="preserve">d academia </w:t>
      </w:r>
      <w:r w:rsidR="71FF4AD0" w:rsidRPr="00013BDC">
        <w:rPr>
          <w:rFonts w:ascii="Times New Roman" w:hAnsi="Times New Roman" w:cs="Times New Roman"/>
          <w:noProof/>
          <w:sz w:val="24"/>
          <w:szCs w:val="24"/>
          <w:lang w:val="en-IE" w:eastAsia="da-DK"/>
        </w:rPr>
        <w:t xml:space="preserve">having a </w:t>
      </w:r>
      <w:r w:rsidR="240803CA" w:rsidRPr="00013BDC">
        <w:rPr>
          <w:rFonts w:ascii="Times New Roman" w:hAnsi="Times New Roman" w:cs="Times New Roman"/>
          <w:noProof/>
          <w:sz w:val="24"/>
          <w:szCs w:val="24"/>
          <w:lang w:val="en-IE" w:eastAsia="da-DK"/>
        </w:rPr>
        <w:t xml:space="preserve">lower percentage of agreement </w:t>
      </w:r>
      <w:r w:rsidR="4B51F669" w:rsidRPr="00013BDC">
        <w:rPr>
          <w:rFonts w:ascii="Times New Roman" w:hAnsi="Times New Roman" w:cs="Times New Roman"/>
          <w:noProof/>
          <w:sz w:val="24"/>
          <w:szCs w:val="24"/>
          <w:lang w:val="en-IE" w:eastAsia="da-DK"/>
        </w:rPr>
        <w:t>(</w:t>
      </w:r>
      <w:r w:rsidR="436F38DA" w:rsidRPr="00013BDC">
        <w:rPr>
          <w:rFonts w:ascii="Times New Roman" w:hAnsi="Times New Roman" w:cs="Times New Roman"/>
          <w:noProof/>
          <w:sz w:val="24"/>
          <w:szCs w:val="24"/>
          <w:lang w:val="en-IE" w:eastAsia="da-DK"/>
        </w:rPr>
        <w:t>62</w:t>
      </w:r>
      <w:r w:rsidR="4B51F669" w:rsidRPr="00013BDC">
        <w:rPr>
          <w:rFonts w:ascii="Times New Roman" w:hAnsi="Times New Roman" w:cs="Times New Roman"/>
          <w:noProof/>
          <w:sz w:val="24"/>
          <w:szCs w:val="24"/>
          <w:lang w:val="en-IE" w:eastAsia="da-DK"/>
        </w:rPr>
        <w:t>%</w:t>
      </w:r>
      <w:r w:rsidR="5D2B19CC" w:rsidRPr="00013BDC">
        <w:rPr>
          <w:rFonts w:ascii="Times New Roman" w:hAnsi="Times New Roman" w:cs="Times New Roman"/>
          <w:noProof/>
          <w:sz w:val="24"/>
          <w:szCs w:val="24"/>
          <w:lang w:val="en-IE" w:eastAsia="da-DK"/>
        </w:rPr>
        <w:t xml:space="preserve"> - </w:t>
      </w:r>
      <w:r w:rsidR="436F38DA" w:rsidRPr="00013BDC">
        <w:rPr>
          <w:rFonts w:ascii="Times New Roman" w:hAnsi="Times New Roman" w:cs="Times New Roman"/>
          <w:noProof/>
          <w:sz w:val="24"/>
          <w:szCs w:val="24"/>
          <w:lang w:val="en-IE" w:eastAsia="da-DK"/>
        </w:rPr>
        <w:t xml:space="preserve">185 </w:t>
      </w:r>
      <w:r w:rsidR="5D2B19CC" w:rsidRPr="00013BDC">
        <w:rPr>
          <w:rFonts w:ascii="Times New Roman" w:hAnsi="Times New Roman" w:cs="Times New Roman"/>
          <w:noProof/>
          <w:sz w:val="24"/>
          <w:szCs w:val="24"/>
          <w:lang w:val="en-IE" w:eastAsia="da-DK"/>
        </w:rPr>
        <w:t>replies</w:t>
      </w:r>
      <w:r w:rsidR="4B51F669" w:rsidRPr="00013BDC">
        <w:rPr>
          <w:rFonts w:ascii="Times New Roman" w:hAnsi="Times New Roman" w:cs="Times New Roman"/>
          <w:noProof/>
          <w:sz w:val="24"/>
          <w:szCs w:val="24"/>
          <w:lang w:val="en-IE" w:eastAsia="da-DK"/>
        </w:rPr>
        <w:t xml:space="preserve"> and 63%, </w:t>
      </w:r>
      <w:r w:rsidR="0CD6CAEF" w:rsidRPr="00013BDC">
        <w:rPr>
          <w:rFonts w:ascii="Times New Roman" w:hAnsi="Times New Roman" w:cs="Times New Roman"/>
          <w:noProof/>
          <w:sz w:val="24"/>
          <w:szCs w:val="24"/>
          <w:lang w:val="en-IE" w:eastAsia="da-DK"/>
        </w:rPr>
        <w:t xml:space="preserve">- </w:t>
      </w:r>
      <w:r w:rsidR="436F38DA" w:rsidRPr="00013BDC">
        <w:rPr>
          <w:rFonts w:ascii="Times New Roman" w:hAnsi="Times New Roman" w:cs="Times New Roman"/>
          <w:noProof/>
          <w:sz w:val="24"/>
          <w:szCs w:val="24"/>
          <w:lang w:val="en-IE" w:eastAsia="da-DK"/>
        </w:rPr>
        <w:t>5</w:t>
      </w:r>
      <w:r w:rsidR="0CD6CAEF" w:rsidRPr="00013BDC">
        <w:rPr>
          <w:rFonts w:ascii="Times New Roman" w:hAnsi="Times New Roman" w:cs="Times New Roman"/>
          <w:noProof/>
          <w:sz w:val="24"/>
          <w:szCs w:val="24"/>
          <w:lang w:val="en-IE" w:eastAsia="da-DK"/>
        </w:rPr>
        <w:t xml:space="preserve"> replies </w:t>
      </w:r>
      <w:r w:rsidR="4B51F669" w:rsidRPr="00013BDC">
        <w:rPr>
          <w:rFonts w:ascii="Times New Roman" w:hAnsi="Times New Roman" w:cs="Times New Roman"/>
          <w:noProof/>
          <w:sz w:val="24"/>
          <w:szCs w:val="24"/>
          <w:lang w:val="en-IE" w:eastAsia="da-DK"/>
        </w:rPr>
        <w:t>respectively).</w:t>
      </w:r>
      <w:r w:rsidR="240803CA" w:rsidRPr="00013BDC">
        <w:rPr>
          <w:rFonts w:ascii="Times New Roman" w:hAnsi="Times New Roman" w:cs="Times New Roman"/>
          <w:noProof/>
          <w:sz w:val="24"/>
          <w:szCs w:val="24"/>
          <w:lang w:val="en-IE" w:eastAsia="da-DK"/>
        </w:rPr>
        <w:t xml:space="preserve"> </w:t>
      </w:r>
    </w:p>
    <w:p w14:paraId="6BEEFF63" w14:textId="6B3D4BEF" w:rsidR="00CA67DF" w:rsidRPr="00013BDC" w:rsidRDefault="0259A2E3" w:rsidP="00A32273">
      <w:pPr>
        <w:pStyle w:val="TextRMC"/>
        <w:spacing w:line="240" w:lineRule="auto"/>
        <w:rPr>
          <w:rFonts w:ascii="Times New Roman" w:hAnsi="Times New Roman" w:cs="Times New Roman"/>
          <w:noProof/>
          <w:sz w:val="24"/>
          <w:szCs w:val="24"/>
          <w:lang w:val="en-IE" w:eastAsia="da-DK"/>
        </w:rPr>
      </w:pPr>
      <w:r w:rsidRPr="00013BDC">
        <w:rPr>
          <w:rFonts w:ascii="Times New Roman" w:hAnsi="Times New Roman" w:cs="Times New Roman"/>
          <w:noProof/>
          <w:sz w:val="24"/>
          <w:szCs w:val="24"/>
          <w:lang w:val="en-IE"/>
        </w:rPr>
        <w:t xml:space="preserve">Respondents </w:t>
      </w:r>
      <w:r w:rsidRPr="00013BDC">
        <w:rPr>
          <w:rFonts w:ascii="Times New Roman" w:hAnsi="Times New Roman" w:cs="Times New Roman"/>
          <w:noProof/>
          <w:sz w:val="24"/>
          <w:szCs w:val="24"/>
          <w:lang w:val="en-IE" w:eastAsia="da-DK"/>
        </w:rPr>
        <w:t>identified t</w:t>
      </w:r>
      <w:r w:rsidR="0656AA1F" w:rsidRPr="00013BDC">
        <w:rPr>
          <w:rFonts w:ascii="Times New Roman" w:hAnsi="Times New Roman" w:cs="Times New Roman"/>
          <w:noProof/>
          <w:sz w:val="24"/>
          <w:szCs w:val="24"/>
          <w:lang w:val="en-IE" w:eastAsia="da-DK"/>
        </w:rPr>
        <w:t xml:space="preserve">he main actors </w:t>
      </w:r>
      <w:r w:rsidR="2D776399" w:rsidRPr="00013BDC">
        <w:rPr>
          <w:rFonts w:ascii="Times New Roman" w:hAnsi="Times New Roman" w:cs="Times New Roman"/>
          <w:noProof/>
          <w:sz w:val="24"/>
          <w:szCs w:val="24"/>
          <w:lang w:val="en-IE" w:eastAsia="da-DK"/>
        </w:rPr>
        <w:t xml:space="preserve">that </w:t>
      </w:r>
      <w:r w:rsidR="0656AA1F" w:rsidRPr="00013BDC">
        <w:rPr>
          <w:rFonts w:ascii="Times New Roman" w:hAnsi="Times New Roman" w:cs="Times New Roman"/>
          <w:noProof/>
          <w:sz w:val="24"/>
          <w:szCs w:val="24"/>
          <w:lang w:val="en-IE" w:eastAsia="da-DK"/>
        </w:rPr>
        <w:t>need</w:t>
      </w:r>
      <w:r w:rsidR="0656AA1F" w:rsidRPr="00013BDC">
        <w:rPr>
          <w:rFonts w:ascii="Times New Roman" w:hAnsi="Times New Roman" w:cs="Times New Roman"/>
          <w:noProof/>
          <w:sz w:val="24"/>
          <w:szCs w:val="24"/>
          <w:lang w:val="en-IE"/>
        </w:rPr>
        <w:t xml:space="preserve"> to take more action to reduce food waste </w:t>
      </w:r>
      <w:r w:rsidRPr="00013BDC">
        <w:rPr>
          <w:rFonts w:ascii="Times New Roman" w:hAnsi="Times New Roman" w:cs="Times New Roman"/>
          <w:noProof/>
          <w:sz w:val="24"/>
          <w:szCs w:val="24"/>
          <w:lang w:val="en-IE"/>
        </w:rPr>
        <w:t>as</w:t>
      </w:r>
      <w:r w:rsidR="0656AA1F" w:rsidRPr="00013BDC">
        <w:rPr>
          <w:rFonts w:ascii="Times New Roman" w:hAnsi="Times New Roman" w:cs="Times New Roman"/>
          <w:noProof/>
          <w:sz w:val="24"/>
          <w:szCs w:val="24"/>
          <w:lang w:val="en-IE"/>
        </w:rPr>
        <w:t xml:space="preserve"> consumers (71%</w:t>
      </w:r>
      <w:r w:rsidR="7957F801" w:rsidRPr="00013BDC">
        <w:rPr>
          <w:rFonts w:ascii="Times New Roman" w:hAnsi="Times New Roman" w:cs="Times New Roman"/>
          <w:noProof/>
          <w:sz w:val="24"/>
          <w:szCs w:val="24"/>
          <w:lang w:val="en-IE"/>
        </w:rPr>
        <w:t xml:space="preserve">, </w:t>
      </w:r>
      <w:r w:rsidR="7EAE4380" w:rsidRPr="00013BDC">
        <w:rPr>
          <w:rFonts w:ascii="Times New Roman" w:hAnsi="Times New Roman" w:cs="Times New Roman"/>
          <w:noProof/>
          <w:sz w:val="24"/>
          <w:szCs w:val="24"/>
          <w:lang w:val="en-IE"/>
        </w:rPr>
        <w:t>438</w:t>
      </w:r>
      <w:r w:rsidR="06B13CC6" w:rsidRPr="00013BDC">
        <w:rPr>
          <w:rFonts w:ascii="Times New Roman" w:hAnsi="Times New Roman" w:cs="Times New Roman"/>
          <w:noProof/>
          <w:sz w:val="24"/>
          <w:szCs w:val="24"/>
          <w:lang w:val="en-IE"/>
        </w:rPr>
        <w:t xml:space="preserve"> replies</w:t>
      </w:r>
      <w:r w:rsidR="0656AA1F" w:rsidRPr="00013BDC">
        <w:rPr>
          <w:rFonts w:ascii="Times New Roman" w:hAnsi="Times New Roman" w:cs="Times New Roman"/>
          <w:noProof/>
          <w:sz w:val="24"/>
          <w:szCs w:val="24"/>
          <w:lang w:val="en-IE"/>
        </w:rPr>
        <w:t>), retailers and other distributors (70%</w:t>
      </w:r>
      <w:r w:rsidR="06B13CC6" w:rsidRPr="00013BDC">
        <w:rPr>
          <w:rFonts w:ascii="Times New Roman" w:hAnsi="Times New Roman" w:cs="Times New Roman"/>
          <w:noProof/>
          <w:sz w:val="24"/>
          <w:szCs w:val="24"/>
          <w:lang w:val="en-IE"/>
        </w:rPr>
        <w:t xml:space="preserve">, </w:t>
      </w:r>
      <w:r w:rsidR="279C3DF8" w:rsidRPr="00013BDC">
        <w:rPr>
          <w:rFonts w:ascii="Times New Roman" w:hAnsi="Times New Roman" w:cs="Times New Roman"/>
          <w:noProof/>
          <w:sz w:val="24"/>
          <w:szCs w:val="24"/>
          <w:lang w:val="en-IE"/>
        </w:rPr>
        <w:t>4</w:t>
      </w:r>
      <w:r w:rsidR="4476186E" w:rsidRPr="00013BDC">
        <w:rPr>
          <w:rFonts w:ascii="Times New Roman" w:hAnsi="Times New Roman" w:cs="Times New Roman"/>
          <w:noProof/>
          <w:sz w:val="24"/>
          <w:szCs w:val="24"/>
          <w:lang w:val="en-IE"/>
        </w:rPr>
        <w:t>35</w:t>
      </w:r>
      <w:r w:rsidR="06B13CC6" w:rsidRPr="00013BDC">
        <w:rPr>
          <w:rFonts w:ascii="Times New Roman" w:hAnsi="Times New Roman" w:cs="Times New Roman"/>
          <w:noProof/>
          <w:sz w:val="24"/>
          <w:szCs w:val="24"/>
          <w:lang w:val="en-IE"/>
        </w:rPr>
        <w:t xml:space="preserve"> replies</w:t>
      </w:r>
      <w:r w:rsidR="0656AA1F" w:rsidRPr="00013BDC">
        <w:rPr>
          <w:rFonts w:ascii="Times New Roman" w:hAnsi="Times New Roman" w:cs="Times New Roman"/>
          <w:noProof/>
          <w:sz w:val="24"/>
          <w:szCs w:val="24"/>
          <w:lang w:val="en-IE"/>
        </w:rPr>
        <w:t>), food manufacturers (62%</w:t>
      </w:r>
      <w:r w:rsidR="06B13CC6" w:rsidRPr="00013BDC">
        <w:rPr>
          <w:rFonts w:ascii="Times New Roman" w:hAnsi="Times New Roman" w:cs="Times New Roman"/>
          <w:noProof/>
          <w:sz w:val="24"/>
          <w:szCs w:val="24"/>
          <w:lang w:val="en-IE"/>
        </w:rPr>
        <w:t xml:space="preserve">, </w:t>
      </w:r>
      <w:r w:rsidR="7D237C20" w:rsidRPr="00013BDC">
        <w:rPr>
          <w:rFonts w:ascii="Times New Roman" w:hAnsi="Times New Roman" w:cs="Times New Roman"/>
          <w:noProof/>
          <w:sz w:val="24"/>
          <w:szCs w:val="24"/>
          <w:lang w:val="en-IE"/>
        </w:rPr>
        <w:t>3</w:t>
      </w:r>
      <w:r w:rsidR="1BF635C7" w:rsidRPr="00013BDC">
        <w:rPr>
          <w:rFonts w:ascii="Times New Roman" w:hAnsi="Times New Roman" w:cs="Times New Roman"/>
          <w:noProof/>
          <w:sz w:val="24"/>
          <w:szCs w:val="24"/>
          <w:lang w:val="en-IE"/>
        </w:rPr>
        <w:t>80</w:t>
      </w:r>
      <w:r w:rsidR="06B13CC6" w:rsidRPr="00013BDC">
        <w:rPr>
          <w:rFonts w:ascii="Times New Roman" w:hAnsi="Times New Roman" w:cs="Times New Roman"/>
          <w:noProof/>
          <w:sz w:val="24"/>
          <w:szCs w:val="24"/>
          <w:lang w:val="en-IE"/>
        </w:rPr>
        <w:t xml:space="preserve"> replies</w:t>
      </w:r>
      <w:r w:rsidR="0656AA1F" w:rsidRPr="00013BDC">
        <w:rPr>
          <w:rFonts w:ascii="Times New Roman" w:hAnsi="Times New Roman" w:cs="Times New Roman"/>
          <w:noProof/>
          <w:sz w:val="24"/>
          <w:szCs w:val="24"/>
          <w:lang w:val="en-IE"/>
        </w:rPr>
        <w:t>), and hospitality and food services (hotels, restaurants, canteens, etc.) (59%</w:t>
      </w:r>
      <w:r w:rsidR="06B13CC6" w:rsidRPr="00013BDC">
        <w:rPr>
          <w:rFonts w:ascii="Times New Roman" w:hAnsi="Times New Roman" w:cs="Times New Roman"/>
          <w:noProof/>
          <w:sz w:val="24"/>
          <w:szCs w:val="24"/>
          <w:lang w:val="en-IE"/>
        </w:rPr>
        <w:t xml:space="preserve">, </w:t>
      </w:r>
      <w:r w:rsidR="4CCE9C63" w:rsidRPr="00013BDC">
        <w:rPr>
          <w:rFonts w:ascii="Times New Roman" w:hAnsi="Times New Roman" w:cs="Times New Roman"/>
          <w:noProof/>
          <w:sz w:val="24"/>
          <w:szCs w:val="24"/>
          <w:lang w:val="en-IE"/>
        </w:rPr>
        <w:t>3</w:t>
      </w:r>
      <w:r w:rsidR="48168480" w:rsidRPr="00013BDC">
        <w:rPr>
          <w:rFonts w:ascii="Times New Roman" w:hAnsi="Times New Roman" w:cs="Times New Roman"/>
          <w:noProof/>
          <w:sz w:val="24"/>
          <w:szCs w:val="24"/>
          <w:lang w:val="en-IE"/>
        </w:rPr>
        <w:t>69</w:t>
      </w:r>
      <w:r w:rsidR="06B13CC6" w:rsidRPr="00013BDC">
        <w:rPr>
          <w:rFonts w:ascii="Times New Roman" w:hAnsi="Times New Roman" w:cs="Times New Roman"/>
          <w:noProof/>
          <w:sz w:val="24"/>
          <w:szCs w:val="24"/>
          <w:lang w:val="en-IE"/>
        </w:rPr>
        <w:t>replies</w:t>
      </w:r>
      <w:r w:rsidR="0656AA1F" w:rsidRPr="00013BDC">
        <w:rPr>
          <w:rFonts w:ascii="Times New Roman" w:hAnsi="Times New Roman" w:cs="Times New Roman"/>
          <w:noProof/>
          <w:sz w:val="24"/>
          <w:szCs w:val="24"/>
          <w:lang w:val="en-IE"/>
        </w:rPr>
        <w:t>). 73%</w:t>
      </w:r>
      <w:r w:rsidR="2F3C2B7D" w:rsidRPr="00013BDC">
        <w:rPr>
          <w:rFonts w:ascii="Times New Roman" w:hAnsi="Times New Roman" w:cs="Times New Roman"/>
          <w:noProof/>
          <w:sz w:val="24"/>
          <w:szCs w:val="24"/>
          <w:lang w:val="en-IE"/>
        </w:rPr>
        <w:t xml:space="preserve"> (</w:t>
      </w:r>
      <w:r w:rsidR="6CF0998C" w:rsidRPr="00013BDC">
        <w:rPr>
          <w:rFonts w:ascii="Times New Roman" w:hAnsi="Times New Roman" w:cs="Times New Roman"/>
          <w:noProof/>
          <w:sz w:val="24"/>
          <w:szCs w:val="24"/>
          <w:lang w:val="en-IE"/>
        </w:rPr>
        <w:t>4</w:t>
      </w:r>
      <w:r w:rsidR="322614AF" w:rsidRPr="00013BDC">
        <w:rPr>
          <w:rFonts w:ascii="Times New Roman" w:hAnsi="Times New Roman" w:cs="Times New Roman"/>
          <w:noProof/>
          <w:sz w:val="24"/>
          <w:szCs w:val="24"/>
          <w:lang w:val="en-IE"/>
        </w:rPr>
        <w:t>49</w:t>
      </w:r>
      <w:r w:rsidR="2F3C2B7D" w:rsidRPr="00013BDC">
        <w:rPr>
          <w:rFonts w:ascii="Times New Roman" w:hAnsi="Times New Roman" w:cs="Times New Roman"/>
          <w:noProof/>
          <w:sz w:val="24"/>
          <w:szCs w:val="24"/>
          <w:lang w:val="en-IE"/>
        </w:rPr>
        <w:t xml:space="preserve"> replies)</w:t>
      </w:r>
      <w:r w:rsidR="0656AA1F" w:rsidRPr="00013BDC">
        <w:rPr>
          <w:rFonts w:ascii="Times New Roman" w:hAnsi="Times New Roman" w:cs="Times New Roman"/>
          <w:noProof/>
          <w:sz w:val="24"/>
          <w:szCs w:val="24"/>
          <w:lang w:val="en-IE"/>
        </w:rPr>
        <w:t xml:space="preserve"> also selected ‘other’ actors; however, they were not specified.</w:t>
      </w:r>
      <w:r w:rsidR="6E2A2221" w:rsidRPr="00013BDC">
        <w:rPr>
          <w:rFonts w:ascii="Times New Roman" w:hAnsi="Times New Roman" w:cs="Times New Roman"/>
          <w:noProof/>
          <w:sz w:val="24"/>
          <w:szCs w:val="24"/>
          <w:lang w:val="en-IE"/>
        </w:rPr>
        <w:t xml:space="preserve"> Th</w:t>
      </w:r>
      <w:r w:rsidR="481AFA0C" w:rsidRPr="00013BDC">
        <w:rPr>
          <w:rFonts w:ascii="Times New Roman" w:hAnsi="Times New Roman" w:cs="Times New Roman"/>
          <w:noProof/>
          <w:sz w:val="24"/>
          <w:szCs w:val="24"/>
          <w:lang w:val="en-IE"/>
        </w:rPr>
        <w:t>e group of NGOs consumers/ environmental organizations attributed more importance to the food manufacturers (78%</w:t>
      </w:r>
      <w:r w:rsidR="4714DD25" w:rsidRPr="00013BDC">
        <w:rPr>
          <w:rFonts w:ascii="Times New Roman" w:hAnsi="Times New Roman" w:cs="Times New Roman"/>
          <w:noProof/>
          <w:sz w:val="24"/>
          <w:szCs w:val="24"/>
          <w:lang w:val="en-IE"/>
        </w:rPr>
        <w:t xml:space="preserve"> -</w:t>
      </w:r>
      <w:r w:rsidR="77F484E7" w:rsidRPr="00013BDC">
        <w:rPr>
          <w:rFonts w:ascii="Times New Roman" w:hAnsi="Times New Roman" w:cs="Times New Roman"/>
          <w:noProof/>
          <w:sz w:val="24"/>
          <w:szCs w:val="24"/>
          <w:lang w:val="en-IE"/>
        </w:rPr>
        <w:t xml:space="preserve"> 65 replies</w:t>
      </w:r>
      <w:r w:rsidR="481AFA0C" w:rsidRPr="00013BDC">
        <w:rPr>
          <w:rFonts w:ascii="Times New Roman" w:hAnsi="Times New Roman" w:cs="Times New Roman"/>
          <w:noProof/>
          <w:sz w:val="24"/>
          <w:szCs w:val="24"/>
          <w:lang w:val="en-IE"/>
        </w:rPr>
        <w:t>) and hos</w:t>
      </w:r>
      <w:r w:rsidR="5104B787" w:rsidRPr="00013BDC">
        <w:rPr>
          <w:rFonts w:ascii="Times New Roman" w:hAnsi="Times New Roman" w:cs="Times New Roman"/>
          <w:noProof/>
          <w:sz w:val="24"/>
          <w:szCs w:val="24"/>
          <w:lang w:val="en-IE"/>
        </w:rPr>
        <w:t>pitality (70%</w:t>
      </w:r>
      <w:r w:rsidR="2DAFFEC1" w:rsidRPr="00013BDC">
        <w:rPr>
          <w:rFonts w:ascii="Times New Roman" w:hAnsi="Times New Roman" w:cs="Times New Roman"/>
          <w:noProof/>
          <w:sz w:val="24"/>
          <w:szCs w:val="24"/>
          <w:lang w:val="en-IE"/>
        </w:rPr>
        <w:t xml:space="preserve"> - 58 replies</w:t>
      </w:r>
      <w:r w:rsidR="5104B787" w:rsidRPr="00013BDC">
        <w:rPr>
          <w:rFonts w:ascii="Times New Roman" w:hAnsi="Times New Roman" w:cs="Times New Roman"/>
          <w:noProof/>
          <w:sz w:val="24"/>
          <w:szCs w:val="24"/>
          <w:lang w:val="en-IE"/>
        </w:rPr>
        <w:t>) and less to consumers (41%</w:t>
      </w:r>
      <w:r w:rsidR="5A348AB3" w:rsidRPr="00013BDC">
        <w:rPr>
          <w:rFonts w:ascii="Times New Roman" w:hAnsi="Times New Roman" w:cs="Times New Roman"/>
          <w:noProof/>
          <w:sz w:val="24"/>
          <w:szCs w:val="24"/>
          <w:lang w:val="en-IE"/>
        </w:rPr>
        <w:t xml:space="preserve"> - 34 replies</w:t>
      </w:r>
      <w:r w:rsidR="5104B787" w:rsidRPr="00013BDC">
        <w:rPr>
          <w:rFonts w:ascii="Times New Roman" w:hAnsi="Times New Roman" w:cs="Times New Roman"/>
          <w:noProof/>
          <w:sz w:val="24"/>
          <w:szCs w:val="24"/>
          <w:lang w:val="en-IE"/>
        </w:rPr>
        <w:t>). Instead, public authori</w:t>
      </w:r>
      <w:r w:rsidR="393191B5" w:rsidRPr="00013BDC">
        <w:rPr>
          <w:rFonts w:ascii="Times New Roman" w:hAnsi="Times New Roman" w:cs="Times New Roman"/>
          <w:noProof/>
          <w:sz w:val="24"/>
          <w:szCs w:val="24"/>
          <w:lang w:val="en-IE"/>
        </w:rPr>
        <w:t>ties, academia and companies and business organizations give more importance to consumers</w:t>
      </w:r>
      <w:r w:rsidR="5973E927" w:rsidRPr="00013BDC">
        <w:rPr>
          <w:rFonts w:ascii="Times New Roman" w:hAnsi="Times New Roman" w:cs="Times New Roman"/>
          <w:noProof/>
          <w:sz w:val="24"/>
          <w:szCs w:val="24"/>
          <w:lang w:val="en-IE"/>
        </w:rPr>
        <w:t xml:space="preserve"> as actors that need to the take more action (90%</w:t>
      </w:r>
      <w:r w:rsidR="534D296B" w:rsidRPr="00013BDC">
        <w:rPr>
          <w:rFonts w:ascii="Times New Roman" w:hAnsi="Times New Roman" w:cs="Times New Roman"/>
          <w:noProof/>
          <w:sz w:val="24"/>
          <w:szCs w:val="24"/>
          <w:lang w:val="en-IE"/>
        </w:rPr>
        <w:t xml:space="preserve"> - 26 replies</w:t>
      </w:r>
      <w:r w:rsidR="5973E927" w:rsidRPr="00013BDC">
        <w:rPr>
          <w:rFonts w:ascii="Times New Roman" w:hAnsi="Times New Roman" w:cs="Times New Roman"/>
          <w:noProof/>
          <w:sz w:val="24"/>
          <w:szCs w:val="24"/>
          <w:lang w:val="en-IE"/>
        </w:rPr>
        <w:t xml:space="preserve">, 86% </w:t>
      </w:r>
      <w:r w:rsidR="29849101" w:rsidRPr="00013BDC">
        <w:rPr>
          <w:rFonts w:ascii="Times New Roman" w:hAnsi="Times New Roman" w:cs="Times New Roman"/>
          <w:noProof/>
          <w:sz w:val="24"/>
          <w:szCs w:val="24"/>
          <w:lang w:val="en-IE"/>
        </w:rPr>
        <w:t>-</w:t>
      </w:r>
      <w:r w:rsidR="0A12B654" w:rsidRPr="00013BDC">
        <w:rPr>
          <w:rFonts w:ascii="Times New Roman" w:hAnsi="Times New Roman" w:cs="Times New Roman"/>
          <w:noProof/>
          <w:sz w:val="24"/>
          <w:szCs w:val="24"/>
          <w:lang w:val="en-IE"/>
        </w:rPr>
        <w:t xml:space="preserve"> </w:t>
      </w:r>
      <w:r w:rsidR="29849101" w:rsidRPr="00013BDC">
        <w:rPr>
          <w:rFonts w:ascii="Times New Roman" w:hAnsi="Times New Roman" w:cs="Times New Roman"/>
          <w:noProof/>
          <w:sz w:val="24"/>
          <w:szCs w:val="24"/>
          <w:lang w:val="en-IE"/>
        </w:rPr>
        <w:t xml:space="preserve">6 replies </w:t>
      </w:r>
      <w:r w:rsidR="5973E927" w:rsidRPr="00013BDC">
        <w:rPr>
          <w:rFonts w:ascii="Times New Roman" w:hAnsi="Times New Roman" w:cs="Times New Roman"/>
          <w:noProof/>
          <w:sz w:val="24"/>
          <w:szCs w:val="24"/>
          <w:lang w:val="en-IE"/>
        </w:rPr>
        <w:t>and 82%</w:t>
      </w:r>
      <w:r w:rsidR="6B3DD374" w:rsidRPr="00013BDC">
        <w:rPr>
          <w:rFonts w:ascii="Times New Roman" w:hAnsi="Times New Roman" w:cs="Times New Roman"/>
          <w:noProof/>
          <w:sz w:val="24"/>
          <w:szCs w:val="24"/>
          <w:lang w:val="en-IE"/>
        </w:rPr>
        <w:t xml:space="preserve"> - 164 replies,</w:t>
      </w:r>
      <w:r w:rsidR="5973E927" w:rsidRPr="00013BDC">
        <w:rPr>
          <w:rFonts w:ascii="Times New Roman" w:hAnsi="Times New Roman" w:cs="Times New Roman"/>
          <w:noProof/>
          <w:sz w:val="24"/>
          <w:szCs w:val="24"/>
          <w:lang w:val="en-IE"/>
        </w:rPr>
        <w:t xml:space="preserve"> respe</w:t>
      </w:r>
      <w:r w:rsidR="2A6E0084" w:rsidRPr="00013BDC">
        <w:rPr>
          <w:rFonts w:ascii="Times New Roman" w:hAnsi="Times New Roman" w:cs="Times New Roman"/>
          <w:noProof/>
          <w:sz w:val="24"/>
          <w:szCs w:val="24"/>
          <w:lang w:val="en-IE"/>
        </w:rPr>
        <w:t>ctively</w:t>
      </w:r>
      <w:r w:rsidR="5973E927" w:rsidRPr="00013BDC">
        <w:rPr>
          <w:rFonts w:ascii="Times New Roman" w:hAnsi="Times New Roman" w:cs="Times New Roman"/>
          <w:noProof/>
          <w:sz w:val="24"/>
          <w:szCs w:val="24"/>
          <w:lang w:val="en-IE"/>
        </w:rPr>
        <w:t>)</w:t>
      </w:r>
      <w:r w:rsidR="0A12B654" w:rsidRPr="00013BDC">
        <w:rPr>
          <w:rFonts w:ascii="Times New Roman" w:hAnsi="Times New Roman" w:cs="Times New Roman"/>
          <w:noProof/>
          <w:sz w:val="24"/>
          <w:szCs w:val="24"/>
          <w:lang w:val="en-IE"/>
        </w:rPr>
        <w:t>.</w:t>
      </w:r>
    </w:p>
    <w:p w14:paraId="540C9861" w14:textId="54BB3E18" w:rsidR="00527CE1" w:rsidRPr="00013BDC" w:rsidRDefault="4B22ECEF" w:rsidP="3991FCAD">
      <w:pPr>
        <w:pStyle w:val="TextRMC"/>
        <w:spacing w:line="240" w:lineRule="auto"/>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Respondents noted</w:t>
      </w:r>
      <w:r w:rsidR="56748FFC" w:rsidRPr="00013BDC">
        <w:rPr>
          <w:rFonts w:ascii="Times New Roman" w:hAnsi="Times New Roman" w:cs="Times New Roman"/>
          <w:noProof/>
          <w:sz w:val="24"/>
          <w:szCs w:val="24"/>
          <w:lang w:val="en-IE"/>
        </w:rPr>
        <w:t xml:space="preserve"> </w:t>
      </w:r>
      <w:r w:rsidR="05A57D69" w:rsidRPr="00013BDC">
        <w:rPr>
          <w:rFonts w:ascii="Times New Roman" w:hAnsi="Times New Roman" w:cs="Times New Roman"/>
          <w:noProof/>
          <w:sz w:val="24"/>
          <w:szCs w:val="24"/>
          <w:lang w:val="en-IE"/>
        </w:rPr>
        <w:t xml:space="preserve">that </w:t>
      </w:r>
      <w:r w:rsidR="56748FFC" w:rsidRPr="00013BDC">
        <w:rPr>
          <w:rFonts w:ascii="Times New Roman" w:hAnsi="Times New Roman" w:cs="Times New Roman"/>
          <w:noProof/>
          <w:sz w:val="24"/>
          <w:szCs w:val="24"/>
          <w:lang w:val="en-IE"/>
        </w:rPr>
        <w:t xml:space="preserve">the </w:t>
      </w:r>
      <w:r w:rsidR="56748FFC" w:rsidRPr="00013BDC">
        <w:rPr>
          <w:rFonts w:ascii="Times New Roman" w:hAnsi="Times New Roman" w:cs="Times New Roman"/>
          <w:b/>
          <w:bCs/>
          <w:noProof/>
          <w:sz w:val="24"/>
          <w:szCs w:val="24"/>
          <w:lang w:val="en-IE"/>
        </w:rPr>
        <w:t>most important challenge for the reduction of food waste</w:t>
      </w:r>
      <w:r w:rsidR="56748FFC" w:rsidRPr="00013BDC">
        <w:rPr>
          <w:rFonts w:ascii="Times New Roman" w:hAnsi="Times New Roman" w:cs="Times New Roman"/>
          <w:noProof/>
          <w:sz w:val="24"/>
          <w:szCs w:val="24"/>
          <w:lang w:val="en-IE"/>
        </w:rPr>
        <w:t xml:space="preserve"> concern the need for consumers to adopt new habits, such as improved food management skills (61%, 381 replies-very important; 28%, 178 replies-important</w:t>
      </w:r>
      <w:r w:rsidR="5CEA6015" w:rsidRPr="00013BDC">
        <w:rPr>
          <w:rFonts w:ascii="Times New Roman" w:hAnsi="Times New Roman" w:cs="Times New Roman"/>
          <w:noProof/>
          <w:sz w:val="24"/>
          <w:szCs w:val="24"/>
          <w:lang w:val="en-IE"/>
        </w:rPr>
        <w:t>)</w:t>
      </w:r>
      <w:r w:rsidR="7EAB715B" w:rsidRPr="00013BDC">
        <w:rPr>
          <w:rFonts w:ascii="Times New Roman" w:hAnsi="Times New Roman" w:cs="Times New Roman"/>
          <w:noProof/>
          <w:sz w:val="24"/>
          <w:szCs w:val="24"/>
          <w:lang w:val="en-IE"/>
        </w:rPr>
        <w:t xml:space="preserve">. This was the first option for citizens (90% </w:t>
      </w:r>
      <w:r w:rsidR="2FCB8572" w:rsidRPr="00013BDC">
        <w:rPr>
          <w:rFonts w:ascii="Times New Roman" w:hAnsi="Times New Roman" w:cs="Times New Roman"/>
          <w:noProof/>
          <w:sz w:val="24"/>
          <w:szCs w:val="24"/>
          <w:lang w:val="en-IE"/>
        </w:rPr>
        <w:t xml:space="preserve">- </w:t>
      </w:r>
      <w:r w:rsidR="27FE2E3C" w:rsidRPr="00013BDC">
        <w:rPr>
          <w:rFonts w:ascii="Times New Roman" w:hAnsi="Times New Roman" w:cs="Times New Roman"/>
          <w:noProof/>
          <w:sz w:val="24"/>
          <w:szCs w:val="24"/>
          <w:lang w:val="en-IE"/>
        </w:rPr>
        <w:t>237 replies</w:t>
      </w:r>
      <w:r w:rsidR="7EAB715B" w:rsidRPr="00013BDC">
        <w:rPr>
          <w:rFonts w:ascii="Times New Roman" w:hAnsi="Times New Roman" w:cs="Times New Roman"/>
          <w:noProof/>
          <w:sz w:val="24"/>
          <w:szCs w:val="24"/>
          <w:lang w:val="en-IE"/>
        </w:rPr>
        <w:t>), public authorities (</w:t>
      </w:r>
      <w:r w:rsidR="03FA2EE3" w:rsidRPr="00013BDC">
        <w:rPr>
          <w:rFonts w:ascii="Times New Roman" w:hAnsi="Times New Roman" w:cs="Times New Roman"/>
          <w:noProof/>
          <w:sz w:val="24"/>
          <w:szCs w:val="24"/>
          <w:lang w:val="en-IE"/>
        </w:rPr>
        <w:t>88</w:t>
      </w:r>
      <w:r w:rsidR="7EAB715B" w:rsidRPr="00013BDC">
        <w:rPr>
          <w:rFonts w:ascii="Times New Roman" w:hAnsi="Times New Roman" w:cs="Times New Roman"/>
          <w:noProof/>
          <w:sz w:val="24"/>
          <w:szCs w:val="24"/>
          <w:lang w:val="en-IE"/>
        </w:rPr>
        <w:t>%</w:t>
      </w:r>
      <w:r w:rsidR="497E100E" w:rsidRPr="00013BDC">
        <w:rPr>
          <w:rFonts w:ascii="Times New Roman" w:hAnsi="Times New Roman" w:cs="Times New Roman"/>
          <w:noProof/>
          <w:sz w:val="24"/>
          <w:szCs w:val="24"/>
          <w:lang w:val="en-IE"/>
        </w:rPr>
        <w:t xml:space="preserve"> - 28 replies</w:t>
      </w:r>
      <w:r w:rsidR="7EAB715B" w:rsidRPr="00013BDC">
        <w:rPr>
          <w:rFonts w:ascii="Times New Roman" w:hAnsi="Times New Roman" w:cs="Times New Roman"/>
          <w:noProof/>
          <w:sz w:val="24"/>
          <w:szCs w:val="24"/>
          <w:lang w:val="en-IE"/>
        </w:rPr>
        <w:t>), academia and research institute (</w:t>
      </w:r>
      <w:r w:rsidR="03FA2EE3" w:rsidRPr="00013BDC">
        <w:rPr>
          <w:rFonts w:ascii="Times New Roman" w:hAnsi="Times New Roman" w:cs="Times New Roman"/>
          <w:noProof/>
          <w:sz w:val="24"/>
          <w:szCs w:val="24"/>
          <w:lang w:val="en-IE"/>
        </w:rPr>
        <w:t>88</w:t>
      </w:r>
      <w:r w:rsidR="7EAB715B" w:rsidRPr="00013BDC">
        <w:rPr>
          <w:rFonts w:ascii="Times New Roman" w:hAnsi="Times New Roman" w:cs="Times New Roman"/>
          <w:noProof/>
          <w:sz w:val="24"/>
          <w:szCs w:val="24"/>
          <w:lang w:val="en-IE"/>
        </w:rPr>
        <w:t>%</w:t>
      </w:r>
      <w:r w:rsidR="606D0942" w:rsidRPr="00013BDC">
        <w:rPr>
          <w:rFonts w:ascii="Times New Roman" w:hAnsi="Times New Roman" w:cs="Times New Roman"/>
          <w:noProof/>
          <w:sz w:val="24"/>
          <w:szCs w:val="24"/>
          <w:lang w:val="en-IE"/>
        </w:rPr>
        <w:t xml:space="preserve"> - 7 replies</w:t>
      </w:r>
      <w:r w:rsidR="7EAB715B" w:rsidRPr="00013BDC">
        <w:rPr>
          <w:rFonts w:ascii="Times New Roman" w:hAnsi="Times New Roman" w:cs="Times New Roman"/>
          <w:noProof/>
          <w:sz w:val="24"/>
          <w:szCs w:val="24"/>
          <w:lang w:val="en-IE"/>
        </w:rPr>
        <w:t>)</w:t>
      </w:r>
      <w:r w:rsidR="4AC41C70" w:rsidRPr="00013BDC">
        <w:rPr>
          <w:rFonts w:ascii="Times New Roman" w:hAnsi="Times New Roman" w:cs="Times New Roman"/>
          <w:noProof/>
          <w:sz w:val="24"/>
          <w:szCs w:val="24"/>
          <w:lang w:val="en-IE"/>
        </w:rPr>
        <w:t>,</w:t>
      </w:r>
      <w:r w:rsidR="7EAB715B" w:rsidRPr="00013BDC">
        <w:rPr>
          <w:rFonts w:ascii="Times New Roman" w:hAnsi="Times New Roman" w:cs="Times New Roman"/>
          <w:noProof/>
          <w:sz w:val="24"/>
          <w:szCs w:val="24"/>
          <w:lang w:val="en-IE"/>
        </w:rPr>
        <w:t xml:space="preserve"> other</w:t>
      </w:r>
      <w:r w:rsidR="593A040E" w:rsidRPr="00013BDC">
        <w:rPr>
          <w:rFonts w:ascii="Times New Roman" w:hAnsi="Times New Roman" w:cs="Times New Roman"/>
          <w:noProof/>
          <w:sz w:val="24"/>
          <w:szCs w:val="24"/>
          <w:lang w:val="en-IE"/>
        </w:rPr>
        <w:t>s</w:t>
      </w:r>
      <w:r w:rsidR="7EAB715B" w:rsidRPr="00013BDC">
        <w:rPr>
          <w:rFonts w:ascii="Times New Roman" w:hAnsi="Times New Roman" w:cs="Times New Roman"/>
          <w:noProof/>
          <w:sz w:val="24"/>
          <w:szCs w:val="24"/>
          <w:lang w:val="en-IE"/>
        </w:rPr>
        <w:t xml:space="preserve"> (</w:t>
      </w:r>
      <w:r w:rsidR="03FA2EE3" w:rsidRPr="00013BDC">
        <w:rPr>
          <w:rFonts w:ascii="Times New Roman" w:hAnsi="Times New Roman" w:cs="Times New Roman"/>
          <w:noProof/>
          <w:sz w:val="24"/>
          <w:szCs w:val="24"/>
          <w:lang w:val="en-IE"/>
        </w:rPr>
        <w:t>87</w:t>
      </w:r>
      <w:r w:rsidR="7EAB715B" w:rsidRPr="00013BDC">
        <w:rPr>
          <w:rFonts w:ascii="Times New Roman" w:hAnsi="Times New Roman" w:cs="Times New Roman"/>
          <w:noProof/>
          <w:sz w:val="24"/>
          <w:szCs w:val="24"/>
          <w:lang w:val="en-IE"/>
        </w:rPr>
        <w:t>%</w:t>
      </w:r>
      <w:r w:rsidR="599757D4" w:rsidRPr="00013BDC">
        <w:rPr>
          <w:rFonts w:ascii="Times New Roman" w:hAnsi="Times New Roman" w:cs="Times New Roman"/>
          <w:noProof/>
          <w:sz w:val="24"/>
          <w:szCs w:val="24"/>
          <w:lang w:val="en-IE"/>
        </w:rPr>
        <w:t xml:space="preserve"> - 33 replies</w:t>
      </w:r>
      <w:r w:rsidR="7EAB715B" w:rsidRPr="00013BDC">
        <w:rPr>
          <w:rFonts w:ascii="Times New Roman" w:hAnsi="Times New Roman" w:cs="Times New Roman"/>
          <w:noProof/>
          <w:sz w:val="24"/>
          <w:szCs w:val="24"/>
          <w:lang w:val="en-IE"/>
        </w:rPr>
        <w:t>)</w:t>
      </w:r>
      <w:r w:rsidR="0FFB56AA" w:rsidRPr="00013BDC">
        <w:rPr>
          <w:rFonts w:ascii="Times New Roman" w:hAnsi="Times New Roman" w:cs="Times New Roman"/>
          <w:noProof/>
          <w:sz w:val="24"/>
          <w:szCs w:val="24"/>
          <w:lang w:val="en-IE"/>
        </w:rPr>
        <w:t xml:space="preserve"> and companies and business organizations (61%</w:t>
      </w:r>
      <w:r w:rsidR="25D7BA59" w:rsidRPr="00013BDC">
        <w:rPr>
          <w:rFonts w:ascii="Times New Roman" w:hAnsi="Times New Roman" w:cs="Times New Roman"/>
          <w:noProof/>
          <w:sz w:val="24"/>
          <w:szCs w:val="24"/>
          <w:lang w:val="en-IE"/>
        </w:rPr>
        <w:t xml:space="preserve"> - 182 replies</w:t>
      </w:r>
      <w:r w:rsidR="0FFB56AA" w:rsidRPr="00013BDC">
        <w:rPr>
          <w:rFonts w:ascii="Times New Roman" w:hAnsi="Times New Roman" w:cs="Times New Roman"/>
          <w:noProof/>
          <w:sz w:val="24"/>
          <w:szCs w:val="24"/>
          <w:lang w:val="en-IE"/>
        </w:rPr>
        <w:t>)</w:t>
      </w:r>
      <w:r w:rsidR="7EAB715B" w:rsidRPr="00013BDC">
        <w:rPr>
          <w:rFonts w:ascii="Times New Roman" w:hAnsi="Times New Roman" w:cs="Times New Roman"/>
          <w:noProof/>
          <w:sz w:val="24"/>
          <w:szCs w:val="24"/>
          <w:lang w:val="en-IE"/>
        </w:rPr>
        <w:t xml:space="preserve">. The </w:t>
      </w:r>
      <w:r w:rsidR="04583F99" w:rsidRPr="00013BDC">
        <w:rPr>
          <w:rFonts w:ascii="Times New Roman" w:hAnsi="Times New Roman" w:cs="Times New Roman"/>
          <w:noProof/>
          <w:sz w:val="24"/>
          <w:szCs w:val="24"/>
          <w:lang w:val="en-IE"/>
        </w:rPr>
        <w:t>challenge</w:t>
      </w:r>
      <w:r w:rsidR="612760E5" w:rsidRPr="00013BDC">
        <w:rPr>
          <w:rFonts w:ascii="Times New Roman" w:hAnsi="Times New Roman" w:cs="Times New Roman"/>
          <w:noProof/>
          <w:sz w:val="24"/>
          <w:szCs w:val="24"/>
          <w:lang w:val="en-IE"/>
        </w:rPr>
        <w:t xml:space="preserve"> on </w:t>
      </w:r>
      <w:r w:rsidR="56748FFC" w:rsidRPr="00013BDC">
        <w:rPr>
          <w:rFonts w:ascii="Times New Roman" w:hAnsi="Times New Roman" w:cs="Times New Roman"/>
          <w:noProof/>
          <w:sz w:val="24"/>
          <w:szCs w:val="24"/>
          <w:lang w:val="en-IE"/>
        </w:rPr>
        <w:t xml:space="preserve">businesses needing to make food waste prevention part of their business operations </w:t>
      </w:r>
      <w:r w:rsidR="154318C2" w:rsidRPr="00013BDC">
        <w:rPr>
          <w:rFonts w:ascii="Times New Roman" w:hAnsi="Times New Roman" w:cs="Times New Roman"/>
          <w:noProof/>
          <w:sz w:val="24"/>
          <w:szCs w:val="24"/>
          <w:lang w:val="en-IE"/>
        </w:rPr>
        <w:t>was the second selected option</w:t>
      </w:r>
      <w:r w:rsidR="667B68D1" w:rsidRPr="00013BDC">
        <w:rPr>
          <w:rFonts w:ascii="Times New Roman" w:hAnsi="Times New Roman" w:cs="Times New Roman"/>
          <w:noProof/>
          <w:sz w:val="24"/>
          <w:szCs w:val="24"/>
          <w:lang w:val="en-IE"/>
        </w:rPr>
        <w:t xml:space="preserve"> considering the whole sample</w:t>
      </w:r>
      <w:r w:rsidR="5CEA6015" w:rsidRPr="00013BDC">
        <w:rPr>
          <w:rFonts w:ascii="Times New Roman" w:hAnsi="Times New Roman" w:cs="Times New Roman"/>
          <w:noProof/>
          <w:sz w:val="24"/>
          <w:szCs w:val="24"/>
          <w:lang w:val="en-IE"/>
        </w:rPr>
        <w:t xml:space="preserve"> </w:t>
      </w:r>
      <w:r w:rsidR="56748FFC" w:rsidRPr="00013BDC">
        <w:rPr>
          <w:rFonts w:ascii="Times New Roman" w:hAnsi="Times New Roman" w:cs="Times New Roman"/>
          <w:noProof/>
          <w:sz w:val="24"/>
          <w:szCs w:val="24"/>
          <w:lang w:val="en-IE"/>
        </w:rPr>
        <w:t>(52%, 325 replies- very important; 35%, 219 replies – important</w:t>
      </w:r>
      <w:r w:rsidR="5CEA6015" w:rsidRPr="00013BDC">
        <w:rPr>
          <w:rFonts w:ascii="Times New Roman" w:hAnsi="Times New Roman" w:cs="Times New Roman"/>
          <w:noProof/>
          <w:sz w:val="24"/>
          <w:szCs w:val="24"/>
          <w:lang w:val="en-IE"/>
        </w:rPr>
        <w:t>)</w:t>
      </w:r>
      <w:r w:rsidR="4ADA0DCB" w:rsidRPr="00013BDC">
        <w:rPr>
          <w:rFonts w:ascii="Times New Roman" w:hAnsi="Times New Roman" w:cs="Times New Roman"/>
          <w:noProof/>
          <w:sz w:val="24"/>
          <w:szCs w:val="24"/>
          <w:lang w:val="en-IE"/>
        </w:rPr>
        <w:t xml:space="preserve"> but the first for the stakeholder group NGOs, environmental/consumers organizations (76</w:t>
      </w:r>
      <w:r w:rsidR="2BD766F4" w:rsidRPr="00013BDC">
        <w:rPr>
          <w:rFonts w:ascii="Times New Roman" w:hAnsi="Times New Roman" w:cs="Times New Roman"/>
          <w:noProof/>
          <w:sz w:val="24"/>
          <w:szCs w:val="24"/>
          <w:lang w:val="en-IE"/>
        </w:rPr>
        <w:t>%</w:t>
      </w:r>
      <w:r w:rsidR="0E61BB23" w:rsidRPr="00013BDC">
        <w:rPr>
          <w:rFonts w:ascii="Times New Roman" w:hAnsi="Times New Roman" w:cs="Times New Roman"/>
          <w:noProof/>
          <w:sz w:val="24"/>
          <w:szCs w:val="24"/>
          <w:lang w:val="en-IE"/>
        </w:rPr>
        <w:t xml:space="preserve"> </w:t>
      </w:r>
      <w:r w:rsidR="6EA54427" w:rsidRPr="00013BDC">
        <w:rPr>
          <w:rFonts w:ascii="Times New Roman" w:hAnsi="Times New Roman" w:cs="Times New Roman"/>
          <w:noProof/>
          <w:sz w:val="24"/>
          <w:szCs w:val="24"/>
          <w:lang w:val="en-IE"/>
        </w:rPr>
        <w:t>of the respondents identified this challenge as “very important”/“important”</w:t>
      </w:r>
      <w:r w:rsidR="7D7A5205" w:rsidRPr="00013BDC">
        <w:rPr>
          <w:rFonts w:ascii="Times New Roman" w:hAnsi="Times New Roman" w:cs="Times New Roman"/>
          <w:noProof/>
          <w:sz w:val="24"/>
          <w:szCs w:val="24"/>
          <w:lang w:val="en-IE"/>
        </w:rPr>
        <w:t xml:space="preserve"> - 68 replies</w:t>
      </w:r>
      <w:r w:rsidR="6EA54427" w:rsidRPr="00013BDC">
        <w:rPr>
          <w:rFonts w:ascii="Times New Roman" w:hAnsi="Times New Roman" w:cs="Times New Roman"/>
          <w:noProof/>
          <w:sz w:val="24"/>
          <w:szCs w:val="24"/>
          <w:lang w:val="en-IE"/>
        </w:rPr>
        <w:t xml:space="preserve">). </w:t>
      </w:r>
      <w:r w:rsidR="744A99FE" w:rsidRPr="00013BDC">
        <w:rPr>
          <w:rFonts w:ascii="Times New Roman" w:hAnsi="Times New Roman" w:cs="Times New Roman"/>
          <w:noProof/>
          <w:sz w:val="24"/>
          <w:szCs w:val="24"/>
          <w:lang w:val="en-IE"/>
        </w:rPr>
        <w:t xml:space="preserve"> </w:t>
      </w:r>
      <w:r w:rsidR="725A509F" w:rsidRPr="00013BDC">
        <w:rPr>
          <w:rFonts w:ascii="Times New Roman" w:hAnsi="Times New Roman" w:cs="Times New Roman"/>
          <w:noProof/>
          <w:sz w:val="24"/>
          <w:szCs w:val="24"/>
          <w:lang w:val="en-IE"/>
        </w:rPr>
        <w:t>E</w:t>
      </w:r>
      <w:r w:rsidR="151227E2" w:rsidRPr="00013BDC">
        <w:rPr>
          <w:rFonts w:ascii="Times New Roman" w:hAnsi="Times New Roman" w:cs="Times New Roman"/>
          <w:noProof/>
          <w:sz w:val="24"/>
          <w:szCs w:val="24"/>
          <w:lang w:val="en-IE"/>
        </w:rPr>
        <w:t>nsuring sufficient action is taken at the pace needed to reach global commitments to halve food waste by 2030 (50%, 314 replies- very important; 30%, 186 replies- important</w:t>
      </w:r>
      <w:r w:rsidR="744A99FE" w:rsidRPr="00013BDC">
        <w:rPr>
          <w:rFonts w:ascii="Times New Roman" w:hAnsi="Times New Roman" w:cs="Times New Roman"/>
          <w:noProof/>
          <w:sz w:val="24"/>
          <w:szCs w:val="24"/>
          <w:lang w:val="en-IE"/>
        </w:rPr>
        <w:t>)</w:t>
      </w:r>
      <w:r w:rsidR="3DB87486" w:rsidRPr="00013BDC">
        <w:rPr>
          <w:rFonts w:ascii="Times New Roman" w:hAnsi="Times New Roman" w:cs="Times New Roman"/>
          <w:noProof/>
          <w:sz w:val="24"/>
          <w:szCs w:val="24"/>
          <w:lang w:val="en-IE"/>
        </w:rPr>
        <w:t xml:space="preserve"> was co</w:t>
      </w:r>
      <w:r w:rsidR="789B92B9" w:rsidRPr="00013BDC">
        <w:rPr>
          <w:rFonts w:ascii="Times New Roman" w:hAnsi="Times New Roman" w:cs="Times New Roman"/>
          <w:noProof/>
          <w:sz w:val="24"/>
          <w:szCs w:val="24"/>
          <w:lang w:val="en-IE"/>
        </w:rPr>
        <w:t>nsidered more important</w:t>
      </w:r>
      <w:r w:rsidR="3DB87486" w:rsidRPr="00013BDC">
        <w:rPr>
          <w:rFonts w:ascii="Times New Roman" w:hAnsi="Times New Roman" w:cs="Times New Roman"/>
          <w:noProof/>
          <w:sz w:val="24"/>
          <w:szCs w:val="24"/>
          <w:lang w:val="en-IE"/>
        </w:rPr>
        <w:t xml:space="preserve"> by public authorities </w:t>
      </w:r>
      <w:r w:rsidR="5D162E25" w:rsidRPr="00013BDC">
        <w:rPr>
          <w:rFonts w:ascii="Times New Roman" w:hAnsi="Times New Roman" w:cs="Times New Roman"/>
          <w:noProof/>
          <w:sz w:val="24"/>
          <w:szCs w:val="24"/>
          <w:lang w:val="en-IE"/>
        </w:rPr>
        <w:t>than other groups (88</w:t>
      </w:r>
      <w:r w:rsidR="0B8CEF7D" w:rsidRPr="00013BDC">
        <w:rPr>
          <w:rFonts w:ascii="Times New Roman" w:hAnsi="Times New Roman" w:cs="Times New Roman"/>
          <w:noProof/>
          <w:sz w:val="24"/>
          <w:szCs w:val="24"/>
          <w:lang w:val="en-IE"/>
        </w:rPr>
        <w:t>% of respondents from this group says it is important or very important</w:t>
      </w:r>
      <w:r w:rsidR="42DB573C" w:rsidRPr="00013BDC">
        <w:rPr>
          <w:rFonts w:ascii="Times New Roman" w:hAnsi="Times New Roman" w:cs="Times New Roman"/>
          <w:noProof/>
          <w:sz w:val="24"/>
          <w:szCs w:val="24"/>
          <w:lang w:val="en-IE"/>
        </w:rPr>
        <w:t xml:space="preserve"> – 28 replies</w:t>
      </w:r>
      <w:r w:rsidR="0B8CEF7D" w:rsidRPr="00013BDC">
        <w:rPr>
          <w:rFonts w:ascii="Times New Roman" w:hAnsi="Times New Roman" w:cs="Times New Roman"/>
          <w:noProof/>
          <w:sz w:val="24"/>
          <w:szCs w:val="24"/>
          <w:lang w:val="en-IE"/>
        </w:rPr>
        <w:t xml:space="preserve">). </w:t>
      </w:r>
      <w:r w:rsidR="1E5C1B31" w:rsidRPr="00013BDC">
        <w:rPr>
          <w:rFonts w:ascii="Times New Roman" w:hAnsi="Times New Roman" w:cs="Times New Roman"/>
          <w:noProof/>
          <w:sz w:val="24"/>
          <w:szCs w:val="24"/>
          <w:lang w:val="en-IE"/>
        </w:rPr>
        <w:t>E</w:t>
      </w:r>
      <w:r w:rsidR="5CEA6015" w:rsidRPr="00013BDC">
        <w:rPr>
          <w:rFonts w:ascii="Times New Roman" w:hAnsi="Times New Roman" w:cs="Times New Roman"/>
          <w:noProof/>
          <w:sz w:val="24"/>
          <w:szCs w:val="24"/>
          <w:lang w:val="en-IE"/>
        </w:rPr>
        <w:t>nsuring</w:t>
      </w:r>
      <w:r w:rsidR="56748FFC" w:rsidRPr="00013BDC">
        <w:rPr>
          <w:rFonts w:ascii="Times New Roman" w:hAnsi="Times New Roman" w:cs="Times New Roman"/>
          <w:noProof/>
          <w:sz w:val="24"/>
          <w:szCs w:val="24"/>
          <w:lang w:val="en-IE"/>
        </w:rPr>
        <w:t xml:space="preserve"> no compromise on food safety (47%, 291 replies- very important; 33%, 203 replies- important</w:t>
      </w:r>
      <w:r w:rsidR="5CEA6015" w:rsidRPr="00013BDC">
        <w:rPr>
          <w:rFonts w:ascii="Times New Roman" w:hAnsi="Times New Roman" w:cs="Times New Roman"/>
          <w:noProof/>
          <w:sz w:val="24"/>
          <w:szCs w:val="24"/>
          <w:lang w:val="en-IE"/>
        </w:rPr>
        <w:t>)</w:t>
      </w:r>
      <w:r w:rsidR="2FD57ABF" w:rsidRPr="00013BDC">
        <w:rPr>
          <w:rFonts w:ascii="Times New Roman" w:hAnsi="Times New Roman" w:cs="Times New Roman"/>
          <w:noProof/>
          <w:sz w:val="24"/>
          <w:szCs w:val="24"/>
          <w:lang w:val="en-IE"/>
        </w:rPr>
        <w:t xml:space="preserve"> was also more important for public authorities (78%</w:t>
      </w:r>
      <w:r w:rsidR="1177DFBA" w:rsidRPr="00013BDC">
        <w:rPr>
          <w:rFonts w:ascii="Times New Roman" w:hAnsi="Times New Roman" w:cs="Times New Roman"/>
          <w:noProof/>
          <w:sz w:val="24"/>
          <w:szCs w:val="24"/>
          <w:lang w:val="en-IE"/>
        </w:rPr>
        <w:t xml:space="preserve"> - 25 replies</w:t>
      </w:r>
      <w:r w:rsidR="2FD57ABF" w:rsidRPr="00013BDC">
        <w:rPr>
          <w:rFonts w:ascii="Times New Roman" w:hAnsi="Times New Roman" w:cs="Times New Roman"/>
          <w:noProof/>
          <w:sz w:val="24"/>
          <w:szCs w:val="24"/>
          <w:lang w:val="en-IE"/>
        </w:rPr>
        <w:t>) and the stakeholder group “other” (84%</w:t>
      </w:r>
      <w:r w:rsidR="3A93F7D9" w:rsidRPr="00013BDC">
        <w:rPr>
          <w:rFonts w:ascii="Times New Roman" w:hAnsi="Times New Roman" w:cs="Times New Roman"/>
          <w:noProof/>
          <w:sz w:val="24"/>
          <w:szCs w:val="24"/>
          <w:lang w:val="en-IE"/>
        </w:rPr>
        <w:t xml:space="preserve"> - 32 replies</w:t>
      </w:r>
      <w:r w:rsidR="2FD57ABF" w:rsidRPr="00013BDC">
        <w:rPr>
          <w:rFonts w:ascii="Times New Roman" w:hAnsi="Times New Roman" w:cs="Times New Roman"/>
          <w:noProof/>
          <w:sz w:val="24"/>
          <w:szCs w:val="24"/>
          <w:lang w:val="en-IE"/>
        </w:rPr>
        <w:t>)</w:t>
      </w:r>
      <w:r w:rsidR="58844E2A" w:rsidRPr="00013BDC">
        <w:rPr>
          <w:rFonts w:ascii="Times New Roman" w:hAnsi="Times New Roman" w:cs="Times New Roman"/>
          <w:noProof/>
          <w:sz w:val="24"/>
          <w:szCs w:val="24"/>
          <w:lang w:val="en-IE"/>
        </w:rPr>
        <w:t xml:space="preserve"> </w:t>
      </w:r>
      <w:r w:rsidR="56748FFC" w:rsidRPr="00013BDC">
        <w:rPr>
          <w:rFonts w:ascii="Times New Roman" w:hAnsi="Times New Roman" w:cs="Times New Roman"/>
          <w:noProof/>
          <w:sz w:val="24"/>
          <w:szCs w:val="24"/>
          <w:lang w:val="en-IE"/>
        </w:rPr>
        <w:t xml:space="preserve">As regards possible EU measures to improve waste prevention, 74% </w:t>
      </w:r>
      <w:r w:rsidR="4D40D05F" w:rsidRPr="00013BDC">
        <w:rPr>
          <w:rFonts w:ascii="Times New Roman" w:hAnsi="Times New Roman" w:cs="Times New Roman"/>
          <w:noProof/>
          <w:sz w:val="24"/>
          <w:szCs w:val="24"/>
          <w:lang w:val="en-IE"/>
        </w:rPr>
        <w:t>of respondents</w:t>
      </w:r>
      <w:r w:rsidR="56748FFC" w:rsidRPr="00013BDC">
        <w:rPr>
          <w:rFonts w:ascii="Times New Roman" w:hAnsi="Times New Roman" w:cs="Times New Roman"/>
          <w:noProof/>
          <w:sz w:val="24"/>
          <w:szCs w:val="24"/>
          <w:lang w:val="en-IE"/>
        </w:rPr>
        <w:t xml:space="preserve"> (488 replies) agreed or strongly agreed with the setting of legally binding food waste reduction targets</w:t>
      </w:r>
      <w:r w:rsidR="6896B80F" w:rsidRPr="00013BDC">
        <w:rPr>
          <w:rFonts w:ascii="Times New Roman" w:hAnsi="Times New Roman" w:cs="Times New Roman"/>
          <w:noProof/>
          <w:sz w:val="24"/>
          <w:szCs w:val="24"/>
          <w:lang w:val="en-IE"/>
        </w:rPr>
        <w:t xml:space="preserve">, with even greater </w:t>
      </w:r>
      <w:r w:rsidR="70FE3C81" w:rsidRPr="00013BDC">
        <w:rPr>
          <w:rFonts w:ascii="Times New Roman" w:hAnsi="Times New Roman" w:cs="Times New Roman"/>
          <w:noProof/>
          <w:sz w:val="24"/>
          <w:szCs w:val="24"/>
          <w:lang w:val="en-IE"/>
        </w:rPr>
        <w:t>support</w:t>
      </w:r>
      <w:r w:rsidR="61F17625" w:rsidRPr="00013BDC">
        <w:rPr>
          <w:rFonts w:ascii="Times New Roman" w:hAnsi="Times New Roman" w:cs="Times New Roman"/>
          <w:noProof/>
          <w:sz w:val="24"/>
          <w:szCs w:val="24"/>
          <w:lang w:val="en-IE"/>
        </w:rPr>
        <w:t xml:space="preserve"> expressed by public authorities (86%</w:t>
      </w:r>
      <w:r w:rsidR="2E16158B" w:rsidRPr="00013BDC">
        <w:rPr>
          <w:rFonts w:ascii="Times New Roman" w:hAnsi="Times New Roman" w:cs="Times New Roman"/>
          <w:noProof/>
          <w:sz w:val="24"/>
          <w:szCs w:val="24"/>
          <w:lang w:val="en-IE"/>
        </w:rPr>
        <w:t>, 25 replies</w:t>
      </w:r>
      <w:r w:rsidR="61F17625" w:rsidRPr="00013BDC">
        <w:rPr>
          <w:rFonts w:ascii="Times New Roman" w:hAnsi="Times New Roman" w:cs="Times New Roman"/>
          <w:noProof/>
          <w:sz w:val="24"/>
          <w:szCs w:val="24"/>
          <w:lang w:val="en-IE"/>
        </w:rPr>
        <w:t>).</w:t>
      </w:r>
      <w:r w:rsidR="56748FFC" w:rsidRPr="00013BDC">
        <w:rPr>
          <w:rFonts w:ascii="Times New Roman" w:hAnsi="Times New Roman" w:cs="Times New Roman"/>
          <w:noProof/>
          <w:sz w:val="24"/>
          <w:szCs w:val="24"/>
          <w:lang w:val="en-IE"/>
        </w:rPr>
        <w:t xml:space="preserve"> </w:t>
      </w:r>
      <w:r w:rsidR="3D84D50C" w:rsidRPr="00013BDC">
        <w:rPr>
          <w:rFonts w:ascii="Times New Roman" w:hAnsi="Times New Roman" w:cs="Times New Roman"/>
          <w:noProof/>
          <w:sz w:val="24"/>
          <w:szCs w:val="24"/>
          <w:lang w:val="en-IE"/>
        </w:rPr>
        <w:t>NGO, consumer and environmental organizations expressed the highest support</w:t>
      </w:r>
      <w:r w:rsidR="4758F10D" w:rsidRPr="00013BDC">
        <w:rPr>
          <w:rFonts w:ascii="Times New Roman" w:hAnsi="Times New Roman" w:cs="Times New Roman"/>
          <w:noProof/>
          <w:sz w:val="24"/>
          <w:szCs w:val="24"/>
          <w:lang w:val="en-IE"/>
        </w:rPr>
        <w:t xml:space="preserve"> as</w:t>
      </w:r>
      <w:r w:rsidR="3D84D50C" w:rsidRPr="00013BDC">
        <w:rPr>
          <w:rFonts w:ascii="Times New Roman" w:hAnsi="Times New Roman" w:cs="Times New Roman"/>
          <w:noProof/>
          <w:sz w:val="24"/>
          <w:szCs w:val="24"/>
          <w:lang w:val="en-IE"/>
        </w:rPr>
        <w:t xml:space="preserve"> 89%</w:t>
      </w:r>
      <w:r w:rsidR="00343856" w:rsidRPr="00013BDC">
        <w:rPr>
          <w:rFonts w:ascii="Times New Roman" w:hAnsi="Times New Roman" w:cs="Times New Roman"/>
          <w:noProof/>
          <w:sz w:val="24"/>
          <w:szCs w:val="24"/>
          <w:lang w:val="en-IE"/>
        </w:rPr>
        <w:t xml:space="preserve"> </w:t>
      </w:r>
      <w:r w:rsidR="6F33B4A6" w:rsidRPr="00013BDC">
        <w:rPr>
          <w:rFonts w:ascii="Times New Roman" w:hAnsi="Times New Roman" w:cs="Times New Roman"/>
          <w:noProof/>
          <w:sz w:val="24"/>
          <w:szCs w:val="24"/>
          <w:lang w:val="en-IE"/>
        </w:rPr>
        <w:t>(</w:t>
      </w:r>
      <w:r w:rsidR="00343856" w:rsidRPr="00013BDC">
        <w:rPr>
          <w:rFonts w:ascii="Times New Roman" w:hAnsi="Times New Roman" w:cs="Times New Roman"/>
          <w:noProof/>
          <w:sz w:val="24"/>
          <w:szCs w:val="24"/>
          <w:lang w:val="en-IE"/>
        </w:rPr>
        <w:t>of them</w:t>
      </w:r>
      <w:r w:rsidR="3D84D50C" w:rsidRPr="00013BDC">
        <w:rPr>
          <w:rFonts w:ascii="Times New Roman" w:hAnsi="Times New Roman" w:cs="Times New Roman"/>
          <w:noProof/>
          <w:sz w:val="24"/>
          <w:szCs w:val="24"/>
          <w:lang w:val="en-IE"/>
        </w:rPr>
        <w:t xml:space="preserve"> either agree or strongly agree with the proposal, followed by EU citizens (87%</w:t>
      </w:r>
      <w:r w:rsidR="51EACA6B" w:rsidRPr="00013BDC">
        <w:rPr>
          <w:rFonts w:ascii="Times New Roman" w:hAnsi="Times New Roman" w:cs="Times New Roman"/>
          <w:noProof/>
          <w:sz w:val="24"/>
          <w:szCs w:val="24"/>
          <w:lang w:val="en-IE"/>
        </w:rPr>
        <w:t xml:space="preserve"> - 73 replies</w:t>
      </w:r>
      <w:r w:rsidR="5D92947C" w:rsidRPr="00013BDC">
        <w:rPr>
          <w:rFonts w:ascii="Times New Roman" w:hAnsi="Times New Roman" w:cs="Times New Roman"/>
          <w:noProof/>
          <w:sz w:val="24"/>
          <w:szCs w:val="24"/>
          <w:lang w:val="en-IE"/>
        </w:rPr>
        <w:t>).</w:t>
      </w:r>
      <w:r w:rsidR="3D84D50C" w:rsidRPr="00013BDC">
        <w:rPr>
          <w:rFonts w:ascii="Times New Roman" w:hAnsi="Times New Roman" w:cs="Times New Roman"/>
          <w:noProof/>
          <w:sz w:val="24"/>
          <w:szCs w:val="24"/>
          <w:lang w:val="en-IE"/>
        </w:rPr>
        <w:t xml:space="preserve"> The consensus is lower in the case of business associations and companies (54%</w:t>
      </w:r>
      <w:r w:rsidR="3EE7FA7B" w:rsidRPr="00013BDC">
        <w:rPr>
          <w:rFonts w:ascii="Times New Roman" w:hAnsi="Times New Roman" w:cs="Times New Roman"/>
          <w:noProof/>
          <w:sz w:val="24"/>
          <w:szCs w:val="24"/>
          <w:lang w:val="en-IE"/>
        </w:rPr>
        <w:t xml:space="preserve"> - 130 replies</w:t>
      </w:r>
      <w:r w:rsidR="3D84D50C" w:rsidRPr="00013BDC">
        <w:rPr>
          <w:rFonts w:ascii="Times New Roman" w:hAnsi="Times New Roman" w:cs="Times New Roman"/>
          <w:noProof/>
          <w:sz w:val="24"/>
          <w:szCs w:val="24"/>
          <w:lang w:val="en-IE"/>
        </w:rPr>
        <w:t xml:space="preserve">).   </w:t>
      </w:r>
    </w:p>
    <w:p w14:paraId="03A18934" w14:textId="00FC9A58" w:rsidR="00CA67DF" w:rsidRPr="00013BDC" w:rsidRDefault="436F38DA" w:rsidP="00A32273">
      <w:pPr>
        <w:pStyle w:val="TextRMC"/>
        <w:spacing w:line="240" w:lineRule="auto"/>
        <w:rPr>
          <w:rFonts w:ascii="Times New Roman" w:hAnsi="Times New Roman" w:cs="Times New Roman"/>
          <w:noProof/>
          <w:sz w:val="24"/>
          <w:szCs w:val="24"/>
          <w:lang w:val="en-IE" w:eastAsia="da-DK"/>
        </w:rPr>
      </w:pPr>
      <w:r w:rsidRPr="00013BDC">
        <w:rPr>
          <w:rFonts w:ascii="Times New Roman" w:hAnsi="Times New Roman" w:cs="Times New Roman"/>
          <w:noProof/>
          <w:sz w:val="24"/>
          <w:szCs w:val="24"/>
          <w:lang w:val="en-IE"/>
        </w:rPr>
        <w:t xml:space="preserve">When asked </w:t>
      </w:r>
      <w:r w:rsidRPr="00013BDC">
        <w:rPr>
          <w:rFonts w:ascii="Times New Roman" w:hAnsi="Times New Roman" w:cs="Times New Roman"/>
          <w:b/>
          <w:bCs/>
          <w:noProof/>
          <w:sz w:val="24"/>
          <w:szCs w:val="24"/>
          <w:lang w:val="en-IE"/>
        </w:rPr>
        <w:t xml:space="preserve">which measures </w:t>
      </w:r>
      <w:r w:rsidR="03FA2EE3" w:rsidRPr="00013BDC">
        <w:rPr>
          <w:rFonts w:ascii="Times New Roman" w:hAnsi="Times New Roman" w:cs="Times New Roman"/>
          <w:b/>
          <w:bCs/>
          <w:noProof/>
          <w:sz w:val="24"/>
          <w:szCs w:val="24"/>
          <w:lang w:val="en-IE"/>
        </w:rPr>
        <w:t>would</w:t>
      </w:r>
      <w:r w:rsidRPr="00013BDC">
        <w:rPr>
          <w:rFonts w:ascii="Times New Roman" w:hAnsi="Times New Roman" w:cs="Times New Roman"/>
          <w:b/>
          <w:bCs/>
          <w:noProof/>
          <w:sz w:val="24"/>
          <w:szCs w:val="24"/>
          <w:lang w:val="en-IE"/>
        </w:rPr>
        <w:t xml:space="preserve"> be most effective in reducing food waste</w:t>
      </w:r>
      <w:r w:rsidRPr="00013BDC">
        <w:rPr>
          <w:rFonts w:ascii="Times New Roman" w:hAnsi="Times New Roman" w:cs="Times New Roman"/>
          <w:noProof/>
          <w:sz w:val="24"/>
          <w:szCs w:val="24"/>
          <w:lang w:val="en-IE"/>
        </w:rPr>
        <w:t xml:space="preserve">, over 4 in 10 respondents cited as “very impactful”: ‘improving efficiency along the food supply chain’ (64%, 399 replies); education and training (55%, 340 replies); facilitating donation of surplus food (51%, 317 replies); measuring food waste to track progress (49%, 308 replies); setting food waste reduction targets (48%, 301 replies); and ‘using surplus food and by-products (47%, 291 replies). </w:t>
      </w:r>
      <w:r w:rsidR="15743966" w:rsidRPr="00013BDC">
        <w:rPr>
          <w:rFonts w:ascii="Times New Roman" w:hAnsi="Times New Roman" w:cs="Times New Roman"/>
          <w:noProof/>
          <w:sz w:val="24"/>
          <w:szCs w:val="24"/>
          <w:lang w:val="en-IE"/>
        </w:rPr>
        <w:t>Except for</w:t>
      </w:r>
      <w:r w:rsidRPr="00013BDC">
        <w:rPr>
          <w:rFonts w:ascii="Times New Roman" w:hAnsi="Times New Roman" w:cs="Times New Roman"/>
          <w:noProof/>
          <w:sz w:val="24"/>
          <w:szCs w:val="24"/>
          <w:lang w:val="en-IE"/>
        </w:rPr>
        <w:t xml:space="preserve"> “other regulatory initiatives,” all measures proposed were considered impactful or moderately impactful ((&gt;50%). ‘Clearer and more understandable date marking’ was rated as impactful/moderately impactful by 70% of respondents (436 replies).</w:t>
      </w:r>
      <w:r w:rsidR="35159847" w:rsidRPr="00013BDC">
        <w:rPr>
          <w:rFonts w:ascii="Times New Roman" w:hAnsi="Times New Roman" w:cs="Times New Roman"/>
          <w:noProof/>
          <w:sz w:val="24"/>
          <w:szCs w:val="24"/>
          <w:lang w:val="en-IE"/>
        </w:rPr>
        <w:t xml:space="preserve"> </w:t>
      </w:r>
      <w:r w:rsidR="26E74EDE" w:rsidRPr="00013BDC">
        <w:rPr>
          <w:rFonts w:ascii="Times New Roman" w:hAnsi="Times New Roman" w:cs="Times New Roman"/>
          <w:noProof/>
          <w:sz w:val="24"/>
          <w:szCs w:val="24"/>
          <w:lang w:val="en-IE"/>
        </w:rPr>
        <w:t xml:space="preserve">The measure ‘improving efficiency along the food supply chain’ was the option with highest rates across all the stakeholder groups, </w:t>
      </w:r>
      <w:r w:rsidR="16816FCF" w:rsidRPr="00013BDC">
        <w:rPr>
          <w:rFonts w:ascii="Times New Roman" w:hAnsi="Times New Roman" w:cs="Times New Roman"/>
          <w:noProof/>
          <w:sz w:val="24"/>
          <w:szCs w:val="24"/>
          <w:lang w:val="en-IE"/>
        </w:rPr>
        <w:t>except for</w:t>
      </w:r>
      <w:r w:rsidR="26E74EDE" w:rsidRPr="00013BDC">
        <w:rPr>
          <w:rFonts w:ascii="Times New Roman" w:hAnsi="Times New Roman" w:cs="Times New Roman"/>
          <w:noProof/>
          <w:sz w:val="24"/>
          <w:szCs w:val="24"/>
          <w:lang w:val="en-IE"/>
        </w:rPr>
        <w:t xml:space="preserve"> </w:t>
      </w:r>
      <w:r w:rsidR="164FC426" w:rsidRPr="00013BDC">
        <w:rPr>
          <w:rFonts w:ascii="Times New Roman" w:hAnsi="Times New Roman" w:cs="Times New Roman"/>
          <w:noProof/>
          <w:sz w:val="24"/>
          <w:szCs w:val="24"/>
          <w:lang w:val="en-IE"/>
        </w:rPr>
        <w:t>‘</w:t>
      </w:r>
      <w:r w:rsidR="26E74EDE" w:rsidRPr="00013BDC">
        <w:rPr>
          <w:rFonts w:ascii="Times New Roman" w:hAnsi="Times New Roman" w:cs="Times New Roman"/>
          <w:noProof/>
          <w:sz w:val="24"/>
          <w:szCs w:val="24"/>
          <w:lang w:val="en-IE"/>
        </w:rPr>
        <w:t>others</w:t>
      </w:r>
      <w:r w:rsidR="164FC426" w:rsidRPr="00013BDC">
        <w:rPr>
          <w:rFonts w:ascii="Times New Roman" w:hAnsi="Times New Roman" w:cs="Times New Roman"/>
          <w:noProof/>
          <w:sz w:val="24"/>
          <w:szCs w:val="24"/>
          <w:lang w:val="en-IE"/>
        </w:rPr>
        <w:t>’</w:t>
      </w:r>
      <w:r w:rsidR="079D8E47" w:rsidRPr="00013BDC">
        <w:rPr>
          <w:rFonts w:ascii="Times New Roman" w:hAnsi="Times New Roman" w:cs="Times New Roman"/>
          <w:noProof/>
          <w:sz w:val="24"/>
          <w:szCs w:val="24"/>
          <w:lang w:val="en-IE"/>
        </w:rPr>
        <w:t xml:space="preserve"> (including non-EU citizen and trade associations, for which the</w:t>
      </w:r>
      <w:r w:rsidR="325F691C" w:rsidRPr="00013BDC">
        <w:rPr>
          <w:rFonts w:ascii="Times New Roman" w:hAnsi="Times New Roman" w:cs="Times New Roman"/>
          <w:noProof/>
          <w:sz w:val="24"/>
          <w:szCs w:val="24"/>
          <w:lang w:val="en-IE"/>
        </w:rPr>
        <w:t xml:space="preserve"> measure with the highest support was ‘sharing of best practices’</w:t>
      </w:r>
      <w:r w:rsidR="079D8E47" w:rsidRPr="00013BDC">
        <w:rPr>
          <w:rFonts w:ascii="Times New Roman" w:hAnsi="Times New Roman" w:cs="Times New Roman"/>
          <w:noProof/>
          <w:sz w:val="24"/>
          <w:szCs w:val="24"/>
          <w:lang w:val="en-IE"/>
        </w:rPr>
        <w:t>)</w:t>
      </w:r>
      <w:r w:rsidR="26E74EDE" w:rsidRPr="00013BDC">
        <w:rPr>
          <w:rFonts w:ascii="Times New Roman" w:hAnsi="Times New Roman" w:cs="Times New Roman"/>
          <w:noProof/>
          <w:sz w:val="24"/>
          <w:szCs w:val="24"/>
          <w:lang w:val="en-IE"/>
        </w:rPr>
        <w:t>. However, in the case of companies and business organizations the share of respondents considering th</w:t>
      </w:r>
      <w:r w:rsidR="164FC426" w:rsidRPr="00013BDC">
        <w:rPr>
          <w:rFonts w:ascii="Times New Roman" w:hAnsi="Times New Roman" w:cs="Times New Roman"/>
          <w:noProof/>
          <w:sz w:val="24"/>
          <w:szCs w:val="24"/>
          <w:lang w:val="en-IE"/>
        </w:rPr>
        <w:t>is</w:t>
      </w:r>
      <w:r w:rsidR="26E74EDE" w:rsidRPr="00013BDC">
        <w:rPr>
          <w:rFonts w:ascii="Times New Roman" w:hAnsi="Times New Roman" w:cs="Times New Roman"/>
          <w:noProof/>
          <w:sz w:val="24"/>
          <w:szCs w:val="24"/>
          <w:lang w:val="en-IE"/>
        </w:rPr>
        <w:t xml:space="preserve"> measure very or moderately impactful </w:t>
      </w:r>
      <w:r w:rsidR="164FC426" w:rsidRPr="00013BDC">
        <w:rPr>
          <w:rFonts w:ascii="Times New Roman" w:hAnsi="Times New Roman" w:cs="Times New Roman"/>
          <w:noProof/>
          <w:sz w:val="24"/>
          <w:szCs w:val="24"/>
          <w:lang w:val="en-IE"/>
        </w:rPr>
        <w:t>is</w:t>
      </w:r>
      <w:r w:rsidR="26E74EDE" w:rsidRPr="00013BDC">
        <w:rPr>
          <w:rFonts w:ascii="Times New Roman" w:hAnsi="Times New Roman" w:cs="Times New Roman"/>
          <w:noProof/>
          <w:sz w:val="24"/>
          <w:szCs w:val="24"/>
          <w:lang w:val="en-IE"/>
        </w:rPr>
        <w:t xml:space="preserve"> lower</w:t>
      </w:r>
      <w:r w:rsidR="164FC426" w:rsidRPr="00013BDC">
        <w:rPr>
          <w:rFonts w:ascii="Times New Roman" w:hAnsi="Times New Roman" w:cs="Times New Roman"/>
          <w:noProof/>
          <w:sz w:val="24"/>
          <w:szCs w:val="24"/>
          <w:lang w:val="en-IE"/>
        </w:rPr>
        <w:t xml:space="preserve"> (</w:t>
      </w:r>
      <w:r w:rsidR="26E74EDE" w:rsidRPr="00013BDC">
        <w:rPr>
          <w:rFonts w:ascii="Times New Roman" w:hAnsi="Times New Roman" w:cs="Times New Roman"/>
          <w:noProof/>
          <w:sz w:val="24"/>
          <w:szCs w:val="24"/>
          <w:lang w:val="en-IE"/>
        </w:rPr>
        <w:t>56</w:t>
      </w:r>
      <w:r w:rsidR="164FC426" w:rsidRPr="00013BDC">
        <w:rPr>
          <w:rFonts w:ascii="Times New Roman" w:hAnsi="Times New Roman" w:cs="Times New Roman"/>
          <w:noProof/>
          <w:sz w:val="24"/>
          <w:szCs w:val="24"/>
          <w:lang w:val="en-IE"/>
        </w:rPr>
        <w:t>%</w:t>
      </w:r>
      <w:r w:rsidR="38B12BF9" w:rsidRPr="00013BDC">
        <w:rPr>
          <w:rFonts w:ascii="Times New Roman" w:hAnsi="Times New Roman" w:cs="Times New Roman"/>
          <w:noProof/>
          <w:sz w:val="24"/>
          <w:szCs w:val="24"/>
          <w:lang w:val="en-IE"/>
        </w:rPr>
        <w:t>, 167 replies</w:t>
      </w:r>
      <w:r w:rsidR="164FC426" w:rsidRPr="00013BDC">
        <w:rPr>
          <w:rFonts w:ascii="Times New Roman" w:hAnsi="Times New Roman" w:cs="Times New Roman"/>
          <w:noProof/>
          <w:sz w:val="24"/>
          <w:szCs w:val="24"/>
          <w:lang w:val="en-IE"/>
        </w:rPr>
        <w:t>) compared to other stakeholders.</w:t>
      </w:r>
      <w:r w:rsidR="584BA0C4" w:rsidRPr="00013BDC">
        <w:rPr>
          <w:rFonts w:ascii="Times New Roman" w:hAnsi="Times New Roman" w:cs="Times New Roman"/>
          <w:noProof/>
          <w:sz w:val="24"/>
          <w:szCs w:val="24"/>
          <w:lang w:val="en-IE"/>
        </w:rPr>
        <w:t xml:space="preserve"> </w:t>
      </w:r>
      <w:r w:rsidR="128B8E51" w:rsidRPr="00013BDC">
        <w:rPr>
          <w:rFonts w:ascii="Times New Roman" w:hAnsi="Times New Roman" w:cs="Times New Roman"/>
          <w:noProof/>
          <w:sz w:val="24"/>
          <w:szCs w:val="24"/>
          <w:lang w:val="en-IE"/>
        </w:rPr>
        <w:t>A large share of respondents across the stakeholders</w:t>
      </w:r>
      <w:r w:rsidR="08EE454E" w:rsidRPr="00013BDC">
        <w:rPr>
          <w:rFonts w:ascii="Times New Roman" w:hAnsi="Times New Roman" w:cs="Times New Roman"/>
          <w:noProof/>
          <w:sz w:val="24"/>
          <w:szCs w:val="24"/>
          <w:lang w:val="en-IE"/>
        </w:rPr>
        <w:t>’</w:t>
      </w:r>
      <w:r w:rsidR="128B8E51" w:rsidRPr="00013BDC">
        <w:rPr>
          <w:rFonts w:ascii="Times New Roman" w:hAnsi="Times New Roman" w:cs="Times New Roman"/>
          <w:noProof/>
          <w:sz w:val="24"/>
          <w:szCs w:val="24"/>
          <w:lang w:val="en-IE"/>
        </w:rPr>
        <w:t xml:space="preserve"> groups agreed on considering as </w:t>
      </w:r>
      <w:r w:rsidR="18FA0692" w:rsidRPr="00013BDC">
        <w:rPr>
          <w:rFonts w:ascii="Times New Roman" w:hAnsi="Times New Roman" w:cs="Times New Roman"/>
          <w:noProof/>
          <w:sz w:val="24"/>
          <w:szCs w:val="24"/>
          <w:lang w:val="en-IE"/>
        </w:rPr>
        <w:t>very</w:t>
      </w:r>
      <w:r w:rsidR="128B8E51" w:rsidRPr="00013BDC">
        <w:rPr>
          <w:rFonts w:ascii="Times New Roman" w:hAnsi="Times New Roman" w:cs="Times New Roman"/>
          <w:noProof/>
          <w:sz w:val="24"/>
          <w:szCs w:val="24"/>
          <w:lang w:val="en-IE"/>
        </w:rPr>
        <w:t xml:space="preserve"> or moderately impactful t</w:t>
      </w:r>
      <w:r w:rsidR="048D28EE" w:rsidRPr="00013BDC">
        <w:rPr>
          <w:rFonts w:ascii="Times New Roman" w:hAnsi="Times New Roman" w:cs="Times New Roman"/>
          <w:noProof/>
          <w:sz w:val="24"/>
          <w:szCs w:val="24"/>
          <w:lang w:val="en-IE"/>
        </w:rPr>
        <w:t xml:space="preserve">he measure ‘education and training’ </w:t>
      </w:r>
      <w:r w:rsidR="128B8E51" w:rsidRPr="00013BDC">
        <w:rPr>
          <w:rFonts w:ascii="Times New Roman" w:hAnsi="Times New Roman" w:cs="Times New Roman"/>
          <w:noProof/>
          <w:sz w:val="24"/>
          <w:szCs w:val="24"/>
          <w:lang w:val="en-IE"/>
        </w:rPr>
        <w:t>(</w:t>
      </w:r>
      <w:r w:rsidR="08EE454E" w:rsidRPr="00013BDC">
        <w:rPr>
          <w:rFonts w:ascii="Times New Roman" w:hAnsi="Times New Roman" w:cs="Times New Roman"/>
          <w:noProof/>
          <w:sz w:val="24"/>
          <w:szCs w:val="24"/>
          <w:lang w:val="en-IE"/>
        </w:rPr>
        <w:t xml:space="preserve">this </w:t>
      </w:r>
      <w:r w:rsidR="6637F80B" w:rsidRPr="00013BDC">
        <w:rPr>
          <w:rFonts w:ascii="Times New Roman" w:hAnsi="Times New Roman" w:cs="Times New Roman"/>
          <w:noProof/>
          <w:sz w:val="24"/>
          <w:szCs w:val="24"/>
          <w:lang w:val="en-IE"/>
        </w:rPr>
        <w:t xml:space="preserve">was </w:t>
      </w:r>
      <w:r w:rsidR="08EE454E" w:rsidRPr="00013BDC">
        <w:rPr>
          <w:rFonts w:ascii="Times New Roman" w:hAnsi="Times New Roman" w:cs="Times New Roman"/>
          <w:noProof/>
          <w:sz w:val="24"/>
          <w:szCs w:val="24"/>
          <w:lang w:val="en-IE"/>
        </w:rPr>
        <w:t>the case for</w:t>
      </w:r>
      <w:r w:rsidR="128B8E51" w:rsidRPr="00013BDC">
        <w:rPr>
          <w:rFonts w:ascii="Times New Roman" w:hAnsi="Times New Roman" w:cs="Times New Roman"/>
          <w:noProof/>
          <w:sz w:val="24"/>
          <w:szCs w:val="24"/>
          <w:lang w:val="en-IE"/>
        </w:rPr>
        <w:t xml:space="preserve"> </w:t>
      </w:r>
      <w:r w:rsidR="2A1EB7A3" w:rsidRPr="00013BDC">
        <w:rPr>
          <w:rFonts w:ascii="Times New Roman" w:hAnsi="Times New Roman" w:cs="Times New Roman"/>
          <w:noProof/>
          <w:sz w:val="24"/>
          <w:szCs w:val="24"/>
          <w:lang w:val="en-IE"/>
        </w:rPr>
        <w:t>89%</w:t>
      </w:r>
      <w:r w:rsidR="26C059E3" w:rsidRPr="00013BDC">
        <w:rPr>
          <w:rFonts w:ascii="Times New Roman" w:hAnsi="Times New Roman" w:cs="Times New Roman"/>
          <w:noProof/>
          <w:sz w:val="24"/>
          <w:szCs w:val="24"/>
          <w:lang w:val="en-IE"/>
        </w:rPr>
        <w:t>,</w:t>
      </w:r>
      <w:r w:rsidR="2A1EB7A3" w:rsidRPr="00013BDC">
        <w:rPr>
          <w:rFonts w:ascii="Times New Roman" w:hAnsi="Times New Roman" w:cs="Times New Roman"/>
          <w:noProof/>
          <w:sz w:val="24"/>
          <w:szCs w:val="24"/>
          <w:lang w:val="en-IE"/>
        </w:rPr>
        <w:t xml:space="preserve"> </w:t>
      </w:r>
      <w:r w:rsidR="08EE454E" w:rsidRPr="00013BDC">
        <w:rPr>
          <w:rFonts w:ascii="Times New Roman" w:hAnsi="Times New Roman" w:cs="Times New Roman"/>
          <w:noProof/>
          <w:sz w:val="24"/>
          <w:szCs w:val="24"/>
          <w:lang w:val="en-IE"/>
        </w:rPr>
        <w:t>of citizens</w:t>
      </w:r>
      <w:r w:rsidR="26C059E3" w:rsidRPr="00013BDC">
        <w:rPr>
          <w:rFonts w:ascii="Times New Roman" w:hAnsi="Times New Roman" w:cs="Times New Roman"/>
          <w:noProof/>
          <w:sz w:val="24"/>
          <w:szCs w:val="24"/>
          <w:lang w:val="en-IE"/>
        </w:rPr>
        <w:t xml:space="preserve"> - </w:t>
      </w:r>
      <w:r w:rsidR="50063D25" w:rsidRPr="00013BDC">
        <w:rPr>
          <w:rFonts w:ascii="Times New Roman" w:hAnsi="Times New Roman" w:cs="Times New Roman"/>
          <w:noProof/>
          <w:sz w:val="24"/>
          <w:szCs w:val="24"/>
          <w:lang w:val="en-IE"/>
        </w:rPr>
        <w:t>2</w:t>
      </w:r>
      <w:r w:rsidR="2A39CA74" w:rsidRPr="00013BDC">
        <w:rPr>
          <w:rFonts w:ascii="Times New Roman" w:hAnsi="Times New Roman" w:cs="Times New Roman"/>
          <w:noProof/>
          <w:sz w:val="24"/>
          <w:szCs w:val="24"/>
          <w:lang w:val="en-IE"/>
        </w:rPr>
        <w:t>34</w:t>
      </w:r>
      <w:r w:rsidR="26C059E3" w:rsidRPr="00013BDC">
        <w:rPr>
          <w:rFonts w:ascii="Times New Roman" w:hAnsi="Times New Roman" w:cs="Times New Roman"/>
          <w:noProof/>
          <w:sz w:val="24"/>
          <w:szCs w:val="24"/>
          <w:lang w:val="en-IE"/>
        </w:rPr>
        <w:t xml:space="preserve"> replies -</w:t>
      </w:r>
      <w:r w:rsidR="08EE454E" w:rsidRPr="00013BDC">
        <w:rPr>
          <w:rFonts w:ascii="Times New Roman" w:hAnsi="Times New Roman" w:cs="Times New Roman"/>
          <w:noProof/>
          <w:sz w:val="24"/>
          <w:szCs w:val="24"/>
          <w:lang w:val="en-IE"/>
        </w:rPr>
        <w:t xml:space="preserve"> 82% of NGO</w:t>
      </w:r>
      <w:r w:rsidR="281ADE7A" w:rsidRPr="00013BDC">
        <w:rPr>
          <w:rFonts w:ascii="Times New Roman" w:hAnsi="Times New Roman" w:cs="Times New Roman"/>
          <w:noProof/>
          <w:sz w:val="24"/>
          <w:szCs w:val="24"/>
          <w:lang w:val="en-IE"/>
        </w:rPr>
        <w:t>s</w:t>
      </w:r>
      <w:r w:rsidR="08EE454E" w:rsidRPr="00013BDC">
        <w:rPr>
          <w:rFonts w:ascii="Times New Roman" w:hAnsi="Times New Roman" w:cs="Times New Roman"/>
          <w:noProof/>
          <w:sz w:val="24"/>
          <w:szCs w:val="24"/>
          <w:lang w:val="en-IE"/>
        </w:rPr>
        <w:t xml:space="preserve"> and consumer organisations</w:t>
      </w:r>
      <w:r w:rsidR="26C059E3" w:rsidRPr="00013BDC">
        <w:rPr>
          <w:rFonts w:ascii="Times New Roman" w:hAnsi="Times New Roman" w:cs="Times New Roman"/>
          <w:noProof/>
          <w:sz w:val="24"/>
          <w:szCs w:val="24"/>
          <w:lang w:val="en-IE"/>
        </w:rPr>
        <w:t xml:space="preserve"> – </w:t>
      </w:r>
      <w:r w:rsidR="18D98E8F" w:rsidRPr="00013BDC">
        <w:rPr>
          <w:rFonts w:ascii="Times New Roman" w:hAnsi="Times New Roman" w:cs="Times New Roman"/>
          <w:noProof/>
          <w:sz w:val="24"/>
          <w:szCs w:val="24"/>
          <w:lang w:val="en-IE"/>
        </w:rPr>
        <w:t>74</w:t>
      </w:r>
      <w:r w:rsidR="26C059E3" w:rsidRPr="00013BDC">
        <w:rPr>
          <w:rFonts w:ascii="Times New Roman" w:hAnsi="Times New Roman" w:cs="Times New Roman"/>
          <w:noProof/>
          <w:sz w:val="24"/>
          <w:szCs w:val="24"/>
          <w:lang w:val="en-IE"/>
        </w:rPr>
        <w:t xml:space="preserve"> replies - and</w:t>
      </w:r>
      <w:r w:rsidR="08EE454E" w:rsidRPr="00013BDC">
        <w:rPr>
          <w:rFonts w:ascii="Times New Roman" w:hAnsi="Times New Roman" w:cs="Times New Roman"/>
          <w:noProof/>
          <w:sz w:val="24"/>
          <w:szCs w:val="24"/>
          <w:lang w:val="en-IE"/>
        </w:rPr>
        <w:t xml:space="preserve"> 81% of public authorities</w:t>
      </w:r>
      <w:r w:rsidR="26C059E3" w:rsidRPr="00013BDC">
        <w:rPr>
          <w:rFonts w:ascii="Times New Roman" w:hAnsi="Times New Roman" w:cs="Times New Roman"/>
          <w:noProof/>
          <w:sz w:val="24"/>
          <w:szCs w:val="24"/>
          <w:lang w:val="en-IE"/>
        </w:rPr>
        <w:t xml:space="preserve"> – </w:t>
      </w:r>
      <w:r w:rsidR="42EAB5E1" w:rsidRPr="00013BDC">
        <w:rPr>
          <w:rFonts w:ascii="Times New Roman" w:hAnsi="Times New Roman" w:cs="Times New Roman"/>
          <w:noProof/>
          <w:sz w:val="24"/>
          <w:szCs w:val="24"/>
          <w:lang w:val="en-IE"/>
        </w:rPr>
        <w:t>26</w:t>
      </w:r>
      <w:r w:rsidR="26C059E3" w:rsidRPr="00013BDC">
        <w:rPr>
          <w:rFonts w:ascii="Times New Roman" w:hAnsi="Times New Roman" w:cs="Times New Roman"/>
          <w:noProof/>
          <w:sz w:val="24"/>
          <w:szCs w:val="24"/>
          <w:lang w:val="en-IE"/>
        </w:rPr>
        <w:t xml:space="preserve"> replies</w:t>
      </w:r>
      <w:r w:rsidR="08EE454E" w:rsidRPr="00013BDC">
        <w:rPr>
          <w:rFonts w:ascii="Times New Roman" w:hAnsi="Times New Roman" w:cs="Times New Roman"/>
          <w:noProof/>
          <w:sz w:val="24"/>
          <w:szCs w:val="24"/>
          <w:lang w:val="en-IE"/>
        </w:rPr>
        <w:t>), while the measure</w:t>
      </w:r>
      <w:r w:rsidR="048D28EE" w:rsidRPr="00013BDC">
        <w:rPr>
          <w:rFonts w:ascii="Times New Roman" w:hAnsi="Times New Roman" w:cs="Times New Roman"/>
          <w:noProof/>
          <w:sz w:val="24"/>
          <w:szCs w:val="24"/>
          <w:lang w:val="en-IE"/>
        </w:rPr>
        <w:t xml:space="preserve"> </w:t>
      </w:r>
      <w:r w:rsidR="079D8E47" w:rsidRPr="00013BDC">
        <w:rPr>
          <w:rFonts w:ascii="Times New Roman" w:hAnsi="Times New Roman" w:cs="Times New Roman"/>
          <w:noProof/>
          <w:sz w:val="24"/>
          <w:szCs w:val="24"/>
          <w:lang w:val="en-IE"/>
        </w:rPr>
        <w:t>‘facilitating donation of surplus food’ ranked highest across citizens (being cited as very or moderately impactful by 88% of respondents belonging to this group</w:t>
      </w:r>
      <w:r w:rsidR="26C059E3" w:rsidRPr="00013BDC">
        <w:rPr>
          <w:rFonts w:ascii="Times New Roman" w:hAnsi="Times New Roman" w:cs="Times New Roman"/>
          <w:noProof/>
          <w:sz w:val="24"/>
          <w:szCs w:val="24"/>
          <w:lang w:val="en-IE"/>
        </w:rPr>
        <w:t xml:space="preserve">, </w:t>
      </w:r>
      <w:r w:rsidR="08F2183C" w:rsidRPr="00013BDC">
        <w:rPr>
          <w:rFonts w:ascii="Times New Roman" w:hAnsi="Times New Roman" w:cs="Times New Roman"/>
          <w:noProof/>
          <w:sz w:val="24"/>
          <w:szCs w:val="24"/>
          <w:lang w:val="en-IE"/>
        </w:rPr>
        <w:t>232</w:t>
      </w:r>
      <w:r w:rsidR="26C059E3" w:rsidRPr="00013BDC">
        <w:rPr>
          <w:rFonts w:ascii="Times New Roman" w:hAnsi="Times New Roman" w:cs="Times New Roman"/>
          <w:noProof/>
          <w:sz w:val="24"/>
          <w:szCs w:val="24"/>
          <w:lang w:val="en-IE"/>
        </w:rPr>
        <w:t xml:space="preserve"> replies</w:t>
      </w:r>
      <w:r w:rsidR="079D8E47" w:rsidRPr="00013BDC">
        <w:rPr>
          <w:rFonts w:ascii="Times New Roman" w:hAnsi="Times New Roman" w:cs="Times New Roman"/>
          <w:noProof/>
          <w:sz w:val="24"/>
          <w:szCs w:val="24"/>
          <w:lang w:val="en-IE"/>
        </w:rPr>
        <w:t xml:space="preserve">) </w:t>
      </w:r>
      <w:r w:rsidR="6CA3DE09" w:rsidRPr="00013BDC">
        <w:rPr>
          <w:rFonts w:ascii="Times New Roman" w:hAnsi="Times New Roman" w:cs="Times New Roman"/>
          <w:noProof/>
          <w:sz w:val="24"/>
          <w:szCs w:val="24"/>
          <w:lang w:val="en-IE"/>
        </w:rPr>
        <w:t>compared to</w:t>
      </w:r>
      <w:r w:rsidR="36A70DF4" w:rsidRPr="00013BDC">
        <w:rPr>
          <w:rFonts w:ascii="Times New Roman" w:hAnsi="Times New Roman" w:cs="Times New Roman"/>
          <w:noProof/>
          <w:sz w:val="24"/>
          <w:szCs w:val="24"/>
          <w:lang w:val="en-IE"/>
        </w:rPr>
        <w:t xml:space="preserve"> other stakeholders (e.g. it was cited as </w:t>
      </w:r>
      <w:r w:rsidR="18FA0692" w:rsidRPr="00013BDC">
        <w:rPr>
          <w:rFonts w:ascii="Times New Roman" w:hAnsi="Times New Roman" w:cs="Times New Roman"/>
          <w:noProof/>
          <w:sz w:val="24"/>
          <w:szCs w:val="24"/>
          <w:lang w:val="en-IE"/>
        </w:rPr>
        <w:t>very</w:t>
      </w:r>
      <w:r w:rsidR="36A70DF4" w:rsidRPr="00013BDC">
        <w:rPr>
          <w:rFonts w:ascii="Times New Roman" w:hAnsi="Times New Roman" w:cs="Times New Roman"/>
          <w:noProof/>
          <w:sz w:val="24"/>
          <w:szCs w:val="24"/>
          <w:lang w:val="en-IE"/>
        </w:rPr>
        <w:t xml:space="preserve"> or moderately impactful by 46% of companies</w:t>
      </w:r>
      <w:r w:rsidR="26C059E3" w:rsidRPr="00013BDC">
        <w:rPr>
          <w:rFonts w:ascii="Times New Roman" w:hAnsi="Times New Roman" w:cs="Times New Roman"/>
          <w:noProof/>
          <w:sz w:val="24"/>
          <w:szCs w:val="24"/>
          <w:lang w:val="en-IE"/>
        </w:rPr>
        <w:t>, 138 replies</w:t>
      </w:r>
      <w:r w:rsidR="36A70DF4" w:rsidRPr="00013BDC">
        <w:rPr>
          <w:rFonts w:ascii="Times New Roman" w:hAnsi="Times New Roman" w:cs="Times New Roman"/>
          <w:noProof/>
          <w:sz w:val="24"/>
          <w:szCs w:val="24"/>
          <w:lang w:val="en-IE"/>
        </w:rPr>
        <w:t>).</w:t>
      </w:r>
      <w:r w:rsidR="048D28EE" w:rsidRPr="00013BDC">
        <w:rPr>
          <w:rFonts w:ascii="Times New Roman" w:hAnsi="Times New Roman" w:cs="Times New Roman"/>
          <w:noProof/>
          <w:sz w:val="24"/>
          <w:szCs w:val="24"/>
          <w:lang w:val="en-IE"/>
        </w:rPr>
        <w:t xml:space="preserve"> </w:t>
      </w:r>
      <w:r w:rsidR="1053BE2C" w:rsidRPr="00013BDC">
        <w:rPr>
          <w:rFonts w:ascii="Times New Roman" w:hAnsi="Times New Roman" w:cs="Times New Roman"/>
          <w:noProof/>
          <w:sz w:val="24"/>
          <w:szCs w:val="24"/>
          <w:lang w:val="en-IE"/>
        </w:rPr>
        <w:t xml:space="preserve">Amongst respondents belonging to </w:t>
      </w:r>
      <w:r w:rsidR="584BA0C4" w:rsidRPr="00013BDC">
        <w:rPr>
          <w:rFonts w:ascii="Times New Roman" w:hAnsi="Times New Roman" w:cs="Times New Roman"/>
          <w:noProof/>
          <w:sz w:val="24"/>
          <w:szCs w:val="24"/>
          <w:lang w:val="en-IE"/>
        </w:rPr>
        <w:t>academia and research</w:t>
      </w:r>
      <w:r w:rsidR="1053BE2C" w:rsidRPr="00013BDC">
        <w:rPr>
          <w:rFonts w:ascii="Times New Roman" w:hAnsi="Times New Roman" w:cs="Times New Roman"/>
          <w:noProof/>
          <w:sz w:val="24"/>
          <w:szCs w:val="24"/>
          <w:lang w:val="en-IE"/>
        </w:rPr>
        <w:t xml:space="preserve"> bodies, 88%</w:t>
      </w:r>
      <w:r w:rsidR="26C059E3" w:rsidRPr="00013BDC">
        <w:rPr>
          <w:rFonts w:ascii="Times New Roman" w:hAnsi="Times New Roman" w:cs="Times New Roman"/>
          <w:noProof/>
          <w:sz w:val="24"/>
          <w:szCs w:val="24"/>
          <w:lang w:val="en-IE"/>
        </w:rPr>
        <w:t xml:space="preserve"> (</w:t>
      </w:r>
      <w:r w:rsidR="455CBA27" w:rsidRPr="00013BDC">
        <w:rPr>
          <w:rFonts w:ascii="Times New Roman" w:hAnsi="Times New Roman" w:cs="Times New Roman"/>
          <w:noProof/>
          <w:sz w:val="24"/>
          <w:szCs w:val="24"/>
          <w:lang w:val="en-IE"/>
        </w:rPr>
        <w:t>7</w:t>
      </w:r>
      <w:r w:rsidR="08BFAA6B" w:rsidRPr="00013BDC">
        <w:rPr>
          <w:rFonts w:ascii="Times New Roman" w:hAnsi="Times New Roman" w:cs="Times New Roman"/>
          <w:noProof/>
          <w:sz w:val="24"/>
          <w:szCs w:val="24"/>
          <w:lang w:val="en-IE"/>
        </w:rPr>
        <w:t xml:space="preserve"> replies)</w:t>
      </w:r>
      <w:r w:rsidR="1053BE2C" w:rsidRPr="00013BDC">
        <w:rPr>
          <w:rFonts w:ascii="Times New Roman" w:hAnsi="Times New Roman" w:cs="Times New Roman"/>
          <w:noProof/>
          <w:sz w:val="24"/>
          <w:szCs w:val="24"/>
          <w:lang w:val="en-IE"/>
        </w:rPr>
        <w:t xml:space="preserve"> cited as </w:t>
      </w:r>
      <w:r w:rsidR="293680E1" w:rsidRPr="00013BDC">
        <w:rPr>
          <w:rFonts w:ascii="Times New Roman" w:hAnsi="Times New Roman" w:cs="Times New Roman"/>
          <w:noProof/>
          <w:sz w:val="24"/>
          <w:szCs w:val="24"/>
          <w:lang w:val="en-IE"/>
        </w:rPr>
        <w:t>very</w:t>
      </w:r>
      <w:r w:rsidR="1053BE2C" w:rsidRPr="00013BDC">
        <w:rPr>
          <w:rFonts w:ascii="Times New Roman" w:hAnsi="Times New Roman" w:cs="Times New Roman"/>
          <w:noProof/>
          <w:sz w:val="24"/>
          <w:szCs w:val="24"/>
          <w:lang w:val="en-IE"/>
        </w:rPr>
        <w:t xml:space="preserve"> or </w:t>
      </w:r>
      <w:r w:rsidR="293680E1" w:rsidRPr="00013BDC">
        <w:rPr>
          <w:rFonts w:ascii="Times New Roman" w:hAnsi="Times New Roman" w:cs="Times New Roman"/>
          <w:noProof/>
          <w:sz w:val="24"/>
          <w:szCs w:val="24"/>
          <w:lang w:val="en-IE"/>
        </w:rPr>
        <w:t>moderately</w:t>
      </w:r>
      <w:r w:rsidR="1053BE2C" w:rsidRPr="00013BDC">
        <w:rPr>
          <w:rFonts w:ascii="Times New Roman" w:hAnsi="Times New Roman" w:cs="Times New Roman"/>
          <w:noProof/>
          <w:sz w:val="24"/>
          <w:szCs w:val="24"/>
          <w:lang w:val="en-IE"/>
        </w:rPr>
        <w:t xml:space="preserve"> impactful</w:t>
      </w:r>
      <w:r w:rsidR="584BA0C4" w:rsidRPr="00013BDC">
        <w:rPr>
          <w:rFonts w:ascii="Times New Roman" w:hAnsi="Times New Roman" w:cs="Times New Roman"/>
          <w:noProof/>
          <w:sz w:val="24"/>
          <w:szCs w:val="24"/>
          <w:lang w:val="en-IE"/>
        </w:rPr>
        <w:t xml:space="preserve"> the options</w:t>
      </w:r>
      <w:r w:rsidR="1053BE2C" w:rsidRPr="00013BDC">
        <w:rPr>
          <w:rFonts w:ascii="Times New Roman" w:hAnsi="Times New Roman" w:cs="Times New Roman"/>
          <w:noProof/>
          <w:sz w:val="24"/>
          <w:szCs w:val="24"/>
          <w:lang w:val="en-IE"/>
        </w:rPr>
        <w:t>:</w:t>
      </w:r>
      <w:r w:rsidR="584BA0C4" w:rsidRPr="00013BDC">
        <w:rPr>
          <w:rFonts w:ascii="Times New Roman" w:hAnsi="Times New Roman" w:cs="Times New Roman"/>
          <w:noProof/>
          <w:sz w:val="24"/>
          <w:szCs w:val="24"/>
          <w:lang w:val="en-IE"/>
        </w:rPr>
        <w:t xml:space="preserve"> </w:t>
      </w:r>
      <w:r w:rsidR="1053BE2C" w:rsidRPr="00013BDC">
        <w:rPr>
          <w:rFonts w:ascii="Times New Roman" w:hAnsi="Times New Roman" w:cs="Times New Roman"/>
          <w:noProof/>
          <w:sz w:val="24"/>
          <w:szCs w:val="24"/>
          <w:lang w:val="en-IE"/>
        </w:rPr>
        <w:t>‘</w:t>
      </w:r>
      <w:r w:rsidR="584BA0C4" w:rsidRPr="00013BDC">
        <w:rPr>
          <w:rFonts w:ascii="Times New Roman" w:hAnsi="Times New Roman" w:cs="Times New Roman"/>
          <w:noProof/>
          <w:sz w:val="24"/>
          <w:szCs w:val="24"/>
          <w:lang w:val="en-IE"/>
        </w:rPr>
        <w:t>using surplus food and by-products</w:t>
      </w:r>
      <w:r w:rsidR="1053BE2C" w:rsidRPr="00013BDC">
        <w:rPr>
          <w:rFonts w:ascii="Times New Roman" w:hAnsi="Times New Roman" w:cs="Times New Roman"/>
          <w:noProof/>
          <w:sz w:val="24"/>
          <w:szCs w:val="24"/>
          <w:lang w:val="en-IE"/>
        </w:rPr>
        <w:t>’</w:t>
      </w:r>
      <w:r w:rsidR="584BA0C4" w:rsidRPr="00013BDC">
        <w:rPr>
          <w:rFonts w:ascii="Times New Roman" w:hAnsi="Times New Roman" w:cs="Times New Roman"/>
          <w:noProof/>
          <w:sz w:val="24"/>
          <w:szCs w:val="24"/>
          <w:lang w:val="en-IE"/>
        </w:rPr>
        <w:t xml:space="preserve">, </w:t>
      </w:r>
      <w:r w:rsidR="1053BE2C" w:rsidRPr="00013BDC">
        <w:rPr>
          <w:rFonts w:ascii="Times New Roman" w:hAnsi="Times New Roman" w:cs="Times New Roman"/>
          <w:noProof/>
          <w:sz w:val="24"/>
          <w:szCs w:val="24"/>
          <w:lang w:val="en-IE"/>
        </w:rPr>
        <w:t>‘</w:t>
      </w:r>
      <w:r w:rsidR="584BA0C4" w:rsidRPr="00013BDC">
        <w:rPr>
          <w:rFonts w:ascii="Times New Roman" w:hAnsi="Times New Roman" w:cs="Times New Roman"/>
          <w:noProof/>
          <w:sz w:val="24"/>
          <w:szCs w:val="24"/>
          <w:lang w:val="en-IE"/>
        </w:rPr>
        <w:t>fiscal incentives</w:t>
      </w:r>
      <w:r w:rsidR="1053BE2C" w:rsidRPr="00013BDC">
        <w:rPr>
          <w:rFonts w:ascii="Times New Roman" w:hAnsi="Times New Roman" w:cs="Times New Roman"/>
          <w:noProof/>
          <w:sz w:val="24"/>
          <w:szCs w:val="24"/>
          <w:lang w:val="en-IE"/>
        </w:rPr>
        <w:t>’</w:t>
      </w:r>
      <w:r w:rsidR="584BA0C4" w:rsidRPr="00013BDC">
        <w:rPr>
          <w:rFonts w:ascii="Times New Roman" w:hAnsi="Times New Roman" w:cs="Times New Roman"/>
          <w:noProof/>
          <w:sz w:val="24"/>
          <w:szCs w:val="24"/>
          <w:lang w:val="en-IE"/>
        </w:rPr>
        <w:t xml:space="preserve"> and </w:t>
      </w:r>
      <w:r w:rsidR="1053BE2C" w:rsidRPr="00013BDC">
        <w:rPr>
          <w:rFonts w:ascii="Times New Roman" w:hAnsi="Times New Roman" w:cs="Times New Roman"/>
          <w:noProof/>
          <w:sz w:val="24"/>
          <w:szCs w:val="24"/>
          <w:lang w:val="en-IE"/>
        </w:rPr>
        <w:t>‘</w:t>
      </w:r>
      <w:r w:rsidR="584BA0C4" w:rsidRPr="00013BDC">
        <w:rPr>
          <w:rFonts w:ascii="Times New Roman" w:hAnsi="Times New Roman" w:cs="Times New Roman"/>
          <w:noProof/>
          <w:sz w:val="24"/>
          <w:szCs w:val="24"/>
          <w:lang w:val="en-IE"/>
        </w:rPr>
        <w:t>clearer, more understandable date marking</w:t>
      </w:r>
      <w:r w:rsidR="1053BE2C" w:rsidRPr="00013BDC">
        <w:rPr>
          <w:rFonts w:ascii="Times New Roman" w:hAnsi="Times New Roman" w:cs="Times New Roman"/>
          <w:noProof/>
          <w:sz w:val="24"/>
          <w:szCs w:val="24"/>
          <w:lang w:val="en-IE"/>
        </w:rPr>
        <w:t>’</w:t>
      </w:r>
      <w:r w:rsidR="584BA0C4" w:rsidRPr="00013BDC">
        <w:rPr>
          <w:rFonts w:ascii="Times New Roman" w:hAnsi="Times New Roman" w:cs="Times New Roman"/>
          <w:noProof/>
          <w:sz w:val="24"/>
          <w:szCs w:val="24"/>
          <w:lang w:val="en-IE"/>
        </w:rPr>
        <w:t xml:space="preserve">. Instead, </w:t>
      </w:r>
      <w:r w:rsidR="18FA0692" w:rsidRPr="00013BDC">
        <w:rPr>
          <w:rFonts w:ascii="Times New Roman" w:hAnsi="Times New Roman" w:cs="Times New Roman"/>
          <w:noProof/>
          <w:sz w:val="24"/>
          <w:szCs w:val="24"/>
          <w:lang w:val="en-IE"/>
        </w:rPr>
        <w:t>‘</w:t>
      </w:r>
      <w:r w:rsidR="584BA0C4" w:rsidRPr="00013BDC">
        <w:rPr>
          <w:rFonts w:ascii="Times New Roman" w:hAnsi="Times New Roman" w:cs="Times New Roman"/>
          <w:noProof/>
          <w:sz w:val="24"/>
          <w:szCs w:val="24"/>
          <w:lang w:val="en-IE"/>
        </w:rPr>
        <w:t>fiscal incentives</w:t>
      </w:r>
      <w:r w:rsidR="18FA0692" w:rsidRPr="00013BDC">
        <w:rPr>
          <w:rFonts w:ascii="Times New Roman" w:hAnsi="Times New Roman" w:cs="Times New Roman"/>
          <w:noProof/>
          <w:sz w:val="24"/>
          <w:szCs w:val="24"/>
          <w:lang w:val="en-IE"/>
        </w:rPr>
        <w:t>’</w:t>
      </w:r>
      <w:r w:rsidR="584BA0C4" w:rsidRPr="00013BDC">
        <w:rPr>
          <w:rFonts w:ascii="Times New Roman" w:hAnsi="Times New Roman" w:cs="Times New Roman"/>
          <w:noProof/>
          <w:sz w:val="24"/>
          <w:szCs w:val="24"/>
          <w:lang w:val="en-IE"/>
        </w:rPr>
        <w:t xml:space="preserve"> do not have high rates in the case of business organizations and companies (42% of the respondents</w:t>
      </w:r>
      <w:r w:rsidR="08BFAA6B" w:rsidRPr="00013BDC">
        <w:rPr>
          <w:rFonts w:ascii="Times New Roman" w:hAnsi="Times New Roman" w:cs="Times New Roman"/>
          <w:noProof/>
          <w:sz w:val="24"/>
          <w:szCs w:val="24"/>
          <w:lang w:val="en-IE"/>
        </w:rPr>
        <w:t xml:space="preserve">, </w:t>
      </w:r>
      <w:r w:rsidR="281ADE7A" w:rsidRPr="00013BDC">
        <w:rPr>
          <w:rFonts w:ascii="Times New Roman" w:hAnsi="Times New Roman" w:cs="Times New Roman"/>
          <w:noProof/>
          <w:sz w:val="24"/>
          <w:szCs w:val="24"/>
          <w:lang w:val="en-IE"/>
        </w:rPr>
        <w:t>126 replies,</w:t>
      </w:r>
      <w:r w:rsidR="584BA0C4" w:rsidRPr="00013BDC">
        <w:rPr>
          <w:rFonts w:ascii="Times New Roman" w:hAnsi="Times New Roman" w:cs="Times New Roman"/>
          <w:noProof/>
          <w:sz w:val="24"/>
          <w:szCs w:val="24"/>
          <w:lang w:val="en-IE"/>
        </w:rPr>
        <w:t xml:space="preserve"> considered this option very or moderately impactful). </w:t>
      </w:r>
      <w:r w:rsidR="4381C22C" w:rsidRPr="00013BDC">
        <w:rPr>
          <w:rFonts w:ascii="Times New Roman" w:hAnsi="Times New Roman" w:cs="Times New Roman"/>
          <w:noProof/>
          <w:sz w:val="24"/>
          <w:szCs w:val="24"/>
          <w:lang w:val="en-IE"/>
        </w:rPr>
        <w:t>The measure targeting date marking</w:t>
      </w:r>
      <w:r w:rsidR="584BA0C4" w:rsidRPr="00013BDC">
        <w:rPr>
          <w:rFonts w:ascii="Times New Roman" w:hAnsi="Times New Roman" w:cs="Times New Roman"/>
          <w:noProof/>
          <w:sz w:val="24"/>
          <w:szCs w:val="24"/>
          <w:lang w:val="en-IE"/>
        </w:rPr>
        <w:t xml:space="preserve"> </w:t>
      </w:r>
      <w:r w:rsidR="07C0E793" w:rsidRPr="00013BDC">
        <w:rPr>
          <w:rFonts w:ascii="Times New Roman" w:hAnsi="Times New Roman" w:cs="Times New Roman"/>
          <w:noProof/>
          <w:sz w:val="24"/>
          <w:szCs w:val="24"/>
          <w:lang w:val="en-IE"/>
        </w:rPr>
        <w:t>received support from most stakeholder groups (</w:t>
      </w:r>
      <w:r w:rsidR="14C84036" w:rsidRPr="00013BDC">
        <w:rPr>
          <w:rFonts w:ascii="Times New Roman" w:hAnsi="Times New Roman" w:cs="Times New Roman"/>
          <w:noProof/>
          <w:sz w:val="24"/>
          <w:szCs w:val="24"/>
          <w:lang w:val="en-IE"/>
        </w:rPr>
        <w:t>being cited as very or moderately impactful by 77% of NGO</w:t>
      </w:r>
      <w:r w:rsidR="281ADE7A" w:rsidRPr="00013BDC">
        <w:rPr>
          <w:rFonts w:ascii="Times New Roman" w:hAnsi="Times New Roman" w:cs="Times New Roman"/>
          <w:noProof/>
          <w:sz w:val="24"/>
          <w:szCs w:val="24"/>
          <w:lang w:val="en-IE"/>
        </w:rPr>
        <w:t>s</w:t>
      </w:r>
      <w:r w:rsidR="14C84036" w:rsidRPr="00013BDC">
        <w:rPr>
          <w:rFonts w:ascii="Times New Roman" w:hAnsi="Times New Roman" w:cs="Times New Roman"/>
          <w:noProof/>
          <w:sz w:val="24"/>
          <w:szCs w:val="24"/>
          <w:lang w:val="en-IE"/>
        </w:rPr>
        <w:t xml:space="preserve"> and consumer organisations </w:t>
      </w:r>
      <w:r w:rsidR="281ADE7A" w:rsidRPr="00013BDC">
        <w:rPr>
          <w:rFonts w:ascii="Times New Roman" w:hAnsi="Times New Roman" w:cs="Times New Roman"/>
          <w:noProof/>
          <w:sz w:val="24"/>
          <w:szCs w:val="24"/>
          <w:lang w:val="en-IE"/>
        </w:rPr>
        <w:t>– 6</w:t>
      </w:r>
      <w:r w:rsidR="7400675F" w:rsidRPr="00013BDC">
        <w:rPr>
          <w:rFonts w:ascii="Times New Roman" w:hAnsi="Times New Roman" w:cs="Times New Roman"/>
          <w:noProof/>
          <w:sz w:val="24"/>
          <w:szCs w:val="24"/>
          <w:lang w:val="en-IE"/>
        </w:rPr>
        <w:t>9</w:t>
      </w:r>
      <w:r w:rsidR="281ADE7A" w:rsidRPr="00013BDC">
        <w:rPr>
          <w:rFonts w:ascii="Times New Roman" w:hAnsi="Times New Roman" w:cs="Times New Roman"/>
          <w:noProof/>
          <w:sz w:val="24"/>
          <w:szCs w:val="24"/>
          <w:lang w:val="en-IE"/>
        </w:rPr>
        <w:t xml:space="preserve"> replies -</w:t>
      </w:r>
      <w:r w:rsidR="14C84036" w:rsidRPr="00013BDC">
        <w:rPr>
          <w:rFonts w:ascii="Times New Roman" w:hAnsi="Times New Roman" w:cs="Times New Roman"/>
          <w:noProof/>
          <w:sz w:val="24"/>
          <w:szCs w:val="24"/>
          <w:lang w:val="en-IE"/>
        </w:rPr>
        <w:t xml:space="preserve"> and 70% of citizens</w:t>
      </w:r>
      <w:r w:rsidR="281ADE7A" w:rsidRPr="00013BDC">
        <w:rPr>
          <w:rFonts w:ascii="Times New Roman" w:hAnsi="Times New Roman" w:cs="Times New Roman"/>
          <w:noProof/>
          <w:sz w:val="24"/>
          <w:szCs w:val="24"/>
          <w:lang w:val="en-IE"/>
        </w:rPr>
        <w:t xml:space="preserve"> – </w:t>
      </w:r>
      <w:r w:rsidR="02179674" w:rsidRPr="00013BDC">
        <w:rPr>
          <w:rFonts w:ascii="Times New Roman" w:hAnsi="Times New Roman" w:cs="Times New Roman"/>
          <w:noProof/>
          <w:sz w:val="24"/>
          <w:szCs w:val="24"/>
          <w:lang w:val="en-IE"/>
        </w:rPr>
        <w:t>1</w:t>
      </w:r>
      <w:r w:rsidR="13A75946" w:rsidRPr="00013BDC">
        <w:rPr>
          <w:rFonts w:ascii="Times New Roman" w:hAnsi="Times New Roman" w:cs="Times New Roman"/>
          <w:noProof/>
          <w:sz w:val="24"/>
          <w:szCs w:val="24"/>
          <w:lang w:val="en-IE"/>
        </w:rPr>
        <w:t>84</w:t>
      </w:r>
      <w:r w:rsidR="281ADE7A" w:rsidRPr="00013BDC">
        <w:rPr>
          <w:rFonts w:ascii="Times New Roman" w:hAnsi="Times New Roman" w:cs="Times New Roman"/>
          <w:noProof/>
          <w:sz w:val="24"/>
          <w:szCs w:val="24"/>
          <w:lang w:val="en-IE"/>
        </w:rPr>
        <w:t xml:space="preserve"> replies</w:t>
      </w:r>
      <w:r w:rsidR="14C84036" w:rsidRPr="00013BDC">
        <w:rPr>
          <w:rFonts w:ascii="Times New Roman" w:hAnsi="Times New Roman" w:cs="Times New Roman"/>
          <w:noProof/>
          <w:sz w:val="24"/>
          <w:szCs w:val="24"/>
          <w:lang w:val="en-IE"/>
        </w:rPr>
        <w:t xml:space="preserve">), </w:t>
      </w:r>
      <w:r w:rsidR="7F70769B" w:rsidRPr="00013BDC">
        <w:rPr>
          <w:rFonts w:ascii="Times New Roman" w:hAnsi="Times New Roman" w:cs="Times New Roman"/>
          <w:noProof/>
          <w:sz w:val="24"/>
          <w:szCs w:val="24"/>
          <w:lang w:val="en-IE"/>
        </w:rPr>
        <w:t>except for</w:t>
      </w:r>
      <w:r w:rsidR="6D1E9FC9" w:rsidRPr="00013BDC">
        <w:rPr>
          <w:rFonts w:ascii="Times New Roman" w:hAnsi="Times New Roman" w:cs="Times New Roman"/>
          <w:noProof/>
          <w:sz w:val="24"/>
          <w:szCs w:val="24"/>
          <w:lang w:val="en-IE"/>
        </w:rPr>
        <w:t xml:space="preserve"> companies (43%</w:t>
      </w:r>
      <w:r w:rsidR="38B12BF9" w:rsidRPr="00013BDC">
        <w:rPr>
          <w:rFonts w:ascii="Times New Roman" w:hAnsi="Times New Roman" w:cs="Times New Roman"/>
          <w:noProof/>
          <w:sz w:val="24"/>
          <w:szCs w:val="24"/>
          <w:lang w:val="en-IE"/>
        </w:rPr>
        <w:t xml:space="preserve">, </w:t>
      </w:r>
      <w:r w:rsidR="528BDC03" w:rsidRPr="00013BDC">
        <w:rPr>
          <w:rFonts w:ascii="Times New Roman" w:hAnsi="Times New Roman" w:cs="Times New Roman"/>
          <w:noProof/>
          <w:sz w:val="24"/>
          <w:szCs w:val="24"/>
          <w:lang w:val="en-IE"/>
        </w:rPr>
        <w:t>130</w:t>
      </w:r>
      <w:r w:rsidR="38B12BF9" w:rsidRPr="00013BDC">
        <w:rPr>
          <w:rFonts w:ascii="Times New Roman" w:hAnsi="Times New Roman" w:cs="Times New Roman"/>
          <w:noProof/>
          <w:sz w:val="24"/>
          <w:szCs w:val="24"/>
          <w:lang w:val="en-IE"/>
        </w:rPr>
        <w:t xml:space="preserve"> replies, deeming it as very or moderately impactful</w:t>
      </w:r>
      <w:r w:rsidR="6D1E9FC9" w:rsidRPr="00013BDC">
        <w:rPr>
          <w:rFonts w:ascii="Times New Roman" w:hAnsi="Times New Roman" w:cs="Times New Roman"/>
          <w:noProof/>
          <w:sz w:val="24"/>
          <w:szCs w:val="24"/>
          <w:lang w:val="en-IE"/>
        </w:rPr>
        <w:t xml:space="preserve">). </w:t>
      </w:r>
      <w:r w:rsidR="35159847" w:rsidRPr="00013BDC">
        <w:rPr>
          <w:rFonts w:ascii="Times New Roman" w:hAnsi="Times New Roman" w:cs="Times New Roman"/>
          <w:noProof/>
          <w:sz w:val="24"/>
          <w:szCs w:val="24"/>
          <w:lang w:val="en-IE"/>
        </w:rPr>
        <w:t>In the response papers, many advocated for the adoption of a reduction target on the amount of bio-waste disposed in residual waste by 2030.</w:t>
      </w:r>
    </w:p>
    <w:p w14:paraId="00B966E3" w14:textId="38B0C388" w:rsidR="00CA67DF" w:rsidRPr="00013BDC" w:rsidRDefault="00CA67DF" w:rsidP="008569C8">
      <w:pPr>
        <w:pStyle w:val="TextRMC"/>
        <w:spacing w:after="240" w:line="240" w:lineRule="auto"/>
        <w:rPr>
          <w:rFonts w:ascii="Times New Roman" w:hAnsi="Times New Roman" w:cs="Times New Roman"/>
          <w:noProof/>
          <w:sz w:val="24"/>
          <w:szCs w:val="24"/>
          <w:lang w:val="en-IE" w:eastAsia="da-DK"/>
        </w:rPr>
      </w:pPr>
      <w:r w:rsidRPr="00013BDC">
        <w:rPr>
          <w:rFonts w:ascii="Times New Roman" w:hAnsi="Times New Roman" w:cs="Times New Roman"/>
          <w:noProof/>
          <w:sz w:val="24"/>
          <w:szCs w:val="24"/>
          <w:lang w:val="en-IE"/>
        </w:rPr>
        <w:t xml:space="preserve">Views from </w:t>
      </w:r>
      <w:r w:rsidRPr="00013BDC">
        <w:rPr>
          <w:rFonts w:ascii="Times New Roman" w:hAnsi="Times New Roman"/>
          <w:b/>
          <w:noProof/>
          <w:sz w:val="24"/>
          <w:szCs w:val="24"/>
          <w:lang w:val="en-IE"/>
        </w:rPr>
        <w:t>SMEs</w:t>
      </w:r>
      <w:r w:rsidRPr="00013BDC">
        <w:rPr>
          <w:rFonts w:ascii="Times New Roman" w:hAnsi="Times New Roman" w:cs="Times New Roman"/>
          <w:noProof/>
          <w:sz w:val="24"/>
          <w:szCs w:val="24"/>
          <w:lang w:val="en-IE"/>
        </w:rPr>
        <w:t xml:space="preserve"> do not show significant differences compared to those of large companies</w:t>
      </w:r>
      <w:r w:rsidR="007F7D3B" w:rsidRPr="00013BDC">
        <w:rPr>
          <w:rFonts w:ascii="Times New Roman" w:hAnsi="Times New Roman" w:cs="Times New Roman"/>
          <w:noProof/>
          <w:sz w:val="24"/>
          <w:szCs w:val="24"/>
          <w:lang w:val="en-IE"/>
        </w:rPr>
        <w:t xml:space="preserve"> </w:t>
      </w:r>
      <w:r w:rsidR="001164F9" w:rsidRPr="00013BDC">
        <w:rPr>
          <w:rFonts w:ascii="Times New Roman" w:hAnsi="Times New Roman" w:cs="Times New Roman"/>
          <w:noProof/>
          <w:sz w:val="24"/>
          <w:szCs w:val="24"/>
          <w:lang w:val="en-IE"/>
        </w:rPr>
        <w:t>as regards</w:t>
      </w:r>
      <w:r w:rsidR="007F7D3B" w:rsidRPr="00013BDC">
        <w:rPr>
          <w:rFonts w:ascii="Times New Roman" w:hAnsi="Times New Roman" w:cs="Times New Roman"/>
          <w:noProof/>
          <w:sz w:val="24"/>
          <w:szCs w:val="24"/>
          <w:lang w:val="en-IE"/>
        </w:rPr>
        <w:t xml:space="preserve"> the </w:t>
      </w:r>
      <w:r w:rsidRPr="00013BDC">
        <w:rPr>
          <w:rFonts w:ascii="Times New Roman" w:hAnsi="Times New Roman" w:cs="Times New Roman"/>
          <w:noProof/>
          <w:sz w:val="24"/>
          <w:szCs w:val="24"/>
          <w:lang w:val="en-IE"/>
        </w:rPr>
        <w:t xml:space="preserve">support </w:t>
      </w:r>
      <w:r w:rsidR="007F7D3B" w:rsidRPr="00013BDC">
        <w:rPr>
          <w:rFonts w:ascii="Times New Roman" w:hAnsi="Times New Roman" w:cs="Times New Roman"/>
          <w:noProof/>
          <w:sz w:val="24"/>
          <w:szCs w:val="24"/>
          <w:lang w:val="en-IE"/>
        </w:rPr>
        <w:t xml:space="preserve">for </w:t>
      </w:r>
      <w:r w:rsidRPr="00013BDC">
        <w:rPr>
          <w:rFonts w:ascii="Times New Roman" w:hAnsi="Times New Roman" w:cs="Times New Roman"/>
          <w:noProof/>
          <w:sz w:val="24"/>
          <w:szCs w:val="24"/>
          <w:lang w:val="en-IE"/>
        </w:rPr>
        <w:t xml:space="preserve">setting food waste reduction targets, </w:t>
      </w:r>
      <w:r w:rsidR="007F7D3B" w:rsidRPr="00013BDC">
        <w:rPr>
          <w:rFonts w:ascii="Times New Roman" w:hAnsi="Times New Roman" w:cs="Times New Roman"/>
          <w:noProof/>
          <w:sz w:val="24"/>
          <w:szCs w:val="24"/>
          <w:lang w:val="en-IE"/>
        </w:rPr>
        <w:t xml:space="preserve">the expected </w:t>
      </w:r>
      <w:r w:rsidRPr="00013BDC">
        <w:rPr>
          <w:rFonts w:ascii="Times New Roman" w:hAnsi="Times New Roman" w:cs="Times New Roman"/>
          <w:noProof/>
          <w:sz w:val="24"/>
          <w:szCs w:val="24"/>
          <w:lang w:val="en-IE"/>
        </w:rPr>
        <w:t xml:space="preserve">benefits of reducing food waste, </w:t>
      </w:r>
      <w:r w:rsidR="007F7D3B" w:rsidRPr="00013BDC">
        <w:rPr>
          <w:rFonts w:ascii="Times New Roman" w:hAnsi="Times New Roman" w:cs="Times New Roman"/>
          <w:noProof/>
          <w:sz w:val="24"/>
          <w:szCs w:val="24"/>
          <w:lang w:val="en-IE"/>
        </w:rPr>
        <w:t xml:space="preserve">the </w:t>
      </w:r>
      <w:r w:rsidRPr="00013BDC">
        <w:rPr>
          <w:rFonts w:ascii="Times New Roman" w:hAnsi="Times New Roman" w:cs="Times New Roman"/>
          <w:noProof/>
          <w:sz w:val="24"/>
          <w:szCs w:val="24"/>
          <w:lang w:val="en-IE"/>
        </w:rPr>
        <w:t xml:space="preserve">associated challenges and </w:t>
      </w:r>
      <w:r w:rsidR="007F7D3B" w:rsidRPr="00013BDC">
        <w:rPr>
          <w:rFonts w:ascii="Times New Roman" w:hAnsi="Times New Roman" w:cs="Times New Roman"/>
          <w:noProof/>
          <w:sz w:val="24"/>
          <w:szCs w:val="24"/>
          <w:lang w:val="en-IE"/>
        </w:rPr>
        <w:t xml:space="preserve">the </w:t>
      </w:r>
      <w:r w:rsidRPr="00013BDC">
        <w:rPr>
          <w:rFonts w:ascii="Times New Roman" w:hAnsi="Times New Roman" w:cs="Times New Roman"/>
          <w:noProof/>
          <w:sz w:val="24"/>
          <w:szCs w:val="24"/>
          <w:lang w:val="en-IE"/>
        </w:rPr>
        <w:t xml:space="preserve">actors </w:t>
      </w:r>
      <w:r w:rsidR="007F7D3B" w:rsidRPr="00013BDC">
        <w:rPr>
          <w:rFonts w:ascii="Times New Roman" w:hAnsi="Times New Roman" w:cs="Times New Roman"/>
          <w:noProof/>
          <w:sz w:val="24"/>
          <w:szCs w:val="24"/>
          <w:lang w:val="en-IE"/>
        </w:rPr>
        <w:t>involved</w:t>
      </w:r>
      <w:r w:rsidRPr="00013BDC">
        <w:rPr>
          <w:rFonts w:ascii="Times New Roman" w:hAnsi="Times New Roman" w:cs="Times New Roman"/>
          <w:noProof/>
          <w:sz w:val="24"/>
          <w:szCs w:val="24"/>
          <w:lang w:val="en-IE"/>
        </w:rPr>
        <w:t xml:space="preserve">. </w:t>
      </w:r>
    </w:p>
    <w:p w14:paraId="06D2DCD4" w14:textId="3DC92E8A" w:rsidR="00C0191A" w:rsidRPr="00013BDC" w:rsidRDefault="00C0191A" w:rsidP="128DF35F">
      <w:pPr>
        <w:keepNext/>
        <w:keepLines/>
        <w:spacing w:after="120"/>
        <w:rPr>
          <w:b/>
          <w:i/>
          <w:noProof/>
          <w:lang w:val="en-IE"/>
        </w:rPr>
      </w:pPr>
      <w:r w:rsidRPr="00013BDC">
        <w:rPr>
          <w:b/>
          <w:i/>
          <w:noProof/>
          <w:lang w:val="en-IE"/>
        </w:rPr>
        <w:t>Position papers</w:t>
      </w:r>
    </w:p>
    <w:p w14:paraId="626E5907" w14:textId="56E7EF4B" w:rsidR="00C0191A" w:rsidRPr="00013BDC" w:rsidRDefault="00C0191A" w:rsidP="00C0191A">
      <w:pPr>
        <w:spacing w:after="120"/>
        <w:rPr>
          <w:rFonts w:eastAsia="Calibri"/>
          <w:noProof/>
          <w:lang w:val="en-IE" w:eastAsia="en-GB"/>
        </w:rPr>
      </w:pPr>
      <w:r w:rsidRPr="00013BDC">
        <w:rPr>
          <w:rFonts w:eastAsia="Calibri"/>
          <w:noProof/>
          <w:lang w:val="en-IE" w:eastAsia="en-GB"/>
        </w:rPr>
        <w:t xml:space="preserve">Stakeholders were invited to submit additional information including position papers. There were more than 200 separate submissions, some of </w:t>
      </w:r>
      <w:r w:rsidR="00210D0A" w:rsidRPr="00013BDC">
        <w:rPr>
          <w:rFonts w:eastAsia="Calibri"/>
          <w:noProof/>
          <w:lang w:val="en-IE" w:eastAsia="en-GB"/>
        </w:rPr>
        <w:t xml:space="preserve">them </w:t>
      </w:r>
      <w:r w:rsidR="1F42D8D3" w:rsidRPr="00013BDC">
        <w:rPr>
          <w:rFonts w:eastAsia="Calibri"/>
          <w:noProof/>
          <w:lang w:val="en-IE" w:eastAsia="en-GB"/>
        </w:rPr>
        <w:t>were</w:t>
      </w:r>
      <w:r w:rsidRPr="00013BDC">
        <w:rPr>
          <w:rFonts w:eastAsia="Calibri"/>
          <w:noProof/>
          <w:lang w:val="en-IE" w:eastAsia="en-GB"/>
        </w:rPr>
        <w:t xml:space="preserve"> documents submitted multiple times by different stakeholders or by the same stakeholder at different points in the revision process. In this case, the document was logged and reviewed once. </w:t>
      </w:r>
      <w:r w:rsidR="00F069B0" w:rsidRPr="00013BDC">
        <w:rPr>
          <w:rFonts w:eastAsia="Calibri"/>
          <w:noProof/>
          <w:lang w:val="en-IE" w:eastAsia="en-GB"/>
        </w:rPr>
        <w:t>75 position papers were received from Business Associations and from Company/Business Organisation. 27 position papers were received from NGOs, 8 from Public Authorities, 6 from other, 3 from Environmental Organisations, 2 from EU citizens and Trade unions and 1 from Consumer Organisations and Non-EU citizens.</w:t>
      </w:r>
    </w:p>
    <w:p w14:paraId="3BC81D9E" w14:textId="5E29B9E1" w:rsidR="001526E8" w:rsidRPr="00013BDC" w:rsidRDefault="004A5E02" w:rsidP="00C0191A">
      <w:pPr>
        <w:spacing w:after="120"/>
        <w:rPr>
          <w:noProof/>
          <w:lang w:val="en-IE"/>
        </w:rPr>
      </w:pPr>
      <w:r w:rsidRPr="00013BDC">
        <w:rPr>
          <w:rFonts w:eastAsia="Calibri"/>
          <w:b/>
          <w:noProof/>
          <w:lang w:val="en-IE" w:eastAsia="en-GB"/>
        </w:rPr>
        <w:t xml:space="preserve">Nearly 30 </w:t>
      </w:r>
      <w:r w:rsidR="001526E8" w:rsidRPr="00013BDC">
        <w:rPr>
          <w:rFonts w:eastAsia="Calibri"/>
          <w:b/>
          <w:noProof/>
          <w:lang w:val="en-IE" w:eastAsia="en-GB"/>
        </w:rPr>
        <w:t xml:space="preserve">position papers </w:t>
      </w:r>
      <w:r w:rsidRPr="00013BDC">
        <w:rPr>
          <w:rFonts w:eastAsia="Calibri"/>
          <w:b/>
          <w:noProof/>
          <w:lang w:val="en-IE" w:eastAsia="en-GB"/>
        </w:rPr>
        <w:t xml:space="preserve">covered the area of </w:t>
      </w:r>
      <w:r w:rsidR="001526E8" w:rsidRPr="00013BDC">
        <w:rPr>
          <w:rFonts w:eastAsia="Calibri"/>
          <w:b/>
          <w:noProof/>
          <w:lang w:val="en-IE" w:eastAsia="en-GB"/>
        </w:rPr>
        <w:t>textiles waste</w:t>
      </w:r>
      <w:r w:rsidR="00CA3642" w:rsidRPr="00013BDC">
        <w:rPr>
          <w:rFonts w:eastAsia="Calibri"/>
          <w:noProof/>
          <w:lang w:val="en-IE" w:eastAsia="en-GB"/>
        </w:rPr>
        <w:t>,</w:t>
      </w:r>
      <w:r w:rsidR="001526E8" w:rsidRPr="00013BDC">
        <w:rPr>
          <w:rFonts w:eastAsia="Calibri"/>
          <w:noProof/>
          <w:lang w:val="en-IE" w:eastAsia="en-GB"/>
        </w:rPr>
        <w:t xml:space="preserve"> of </w:t>
      </w:r>
      <w:r w:rsidR="00CA3642" w:rsidRPr="00013BDC">
        <w:rPr>
          <w:rFonts w:eastAsia="Calibri"/>
          <w:noProof/>
          <w:lang w:val="en-IE" w:eastAsia="en-GB"/>
        </w:rPr>
        <w:t>which about half</w:t>
      </w:r>
      <w:r w:rsidR="001526E8" w:rsidRPr="00013BDC">
        <w:rPr>
          <w:rFonts w:eastAsia="Calibri"/>
          <w:noProof/>
          <w:lang w:val="en-IE" w:eastAsia="en-GB"/>
        </w:rPr>
        <w:t xml:space="preserve"> came from </w:t>
      </w:r>
      <w:r w:rsidR="001526E8" w:rsidRPr="00013BDC">
        <w:rPr>
          <w:rFonts w:eastAsia="Calibri"/>
          <w:b/>
          <w:noProof/>
          <w:lang w:val="en-IE" w:eastAsia="en-GB"/>
        </w:rPr>
        <w:t>SMEs</w:t>
      </w:r>
      <w:r w:rsidR="002612F1" w:rsidRPr="00013BDC">
        <w:rPr>
          <w:rFonts w:eastAsia="Calibri"/>
          <w:b/>
          <w:noProof/>
          <w:lang w:val="en-IE" w:eastAsia="en-GB"/>
        </w:rPr>
        <w:t xml:space="preserve"> </w:t>
      </w:r>
      <w:r w:rsidR="002612F1" w:rsidRPr="00013BDC">
        <w:rPr>
          <w:rFonts w:eastAsia="Calibri"/>
          <w:noProof/>
          <w:lang w:val="en-IE" w:eastAsia="en-GB"/>
        </w:rPr>
        <w:t>or organisations representing them</w:t>
      </w:r>
      <w:r w:rsidR="001526E8" w:rsidRPr="00013BDC">
        <w:rPr>
          <w:rFonts w:eastAsia="Calibri"/>
          <w:noProof/>
          <w:lang w:val="en-IE" w:eastAsia="en-GB"/>
        </w:rPr>
        <w:t>.</w:t>
      </w:r>
      <w:r w:rsidR="00CE0576" w:rsidRPr="00013BDC">
        <w:rPr>
          <w:rFonts w:eastAsia="Calibri"/>
          <w:noProof/>
          <w:lang w:val="en-IE" w:eastAsia="en-GB"/>
        </w:rPr>
        <w:t xml:space="preserve"> </w:t>
      </w:r>
      <w:r w:rsidR="001A68FD" w:rsidRPr="00013BDC">
        <w:rPr>
          <w:rFonts w:eastAsia="Calibri"/>
          <w:noProof/>
          <w:lang w:val="en-IE" w:eastAsia="en-GB"/>
        </w:rPr>
        <w:t>SMEs</w:t>
      </w:r>
      <w:r w:rsidR="00CE0576" w:rsidRPr="00013BDC">
        <w:rPr>
          <w:rFonts w:eastAsia="Calibri"/>
          <w:noProof/>
          <w:lang w:val="en-IE" w:eastAsia="en-GB"/>
        </w:rPr>
        <w:t xml:space="preserve"> pointed out that there is currently no large-scale plan to process </w:t>
      </w:r>
      <w:r w:rsidR="00CA3642" w:rsidRPr="00013BDC">
        <w:rPr>
          <w:rFonts w:eastAsia="Calibri"/>
          <w:noProof/>
          <w:lang w:val="en-IE" w:eastAsia="en-GB"/>
        </w:rPr>
        <w:t>textile</w:t>
      </w:r>
      <w:r w:rsidR="00CE0576" w:rsidRPr="00013BDC">
        <w:rPr>
          <w:rFonts w:eastAsia="Calibri"/>
          <w:noProof/>
          <w:lang w:val="en-IE" w:eastAsia="en-GB"/>
        </w:rPr>
        <w:t xml:space="preserve"> waste.</w:t>
      </w:r>
      <w:r w:rsidR="005D2A24" w:rsidRPr="00013BDC">
        <w:rPr>
          <w:rFonts w:eastAsia="Calibri"/>
          <w:noProof/>
          <w:lang w:val="en-IE" w:eastAsia="en-GB"/>
        </w:rPr>
        <w:t xml:space="preserve"> They stressed the need to</w:t>
      </w:r>
      <w:r w:rsidR="005D2A24" w:rsidRPr="00013BDC">
        <w:rPr>
          <w:noProof/>
          <w:lang w:val="en-IE"/>
        </w:rPr>
        <w:t xml:space="preserve"> promote durable, high</w:t>
      </w:r>
      <w:r w:rsidR="00C44DEC" w:rsidRPr="00013BDC">
        <w:rPr>
          <w:noProof/>
          <w:lang w:val="en-IE"/>
        </w:rPr>
        <w:t>-</w:t>
      </w:r>
      <w:r w:rsidR="005D2A24" w:rsidRPr="00013BDC">
        <w:rPr>
          <w:noProof/>
          <w:lang w:val="en-IE"/>
        </w:rPr>
        <w:t>quality textiles</w:t>
      </w:r>
      <w:r w:rsidR="00CA3642" w:rsidRPr="00013BDC">
        <w:rPr>
          <w:noProof/>
          <w:lang w:val="en-IE"/>
        </w:rPr>
        <w:t>,</w:t>
      </w:r>
      <w:r w:rsidR="005D2A24" w:rsidRPr="00013BDC">
        <w:rPr>
          <w:noProof/>
          <w:lang w:val="en-IE"/>
        </w:rPr>
        <w:t xml:space="preserve"> improve the</w:t>
      </w:r>
      <w:r w:rsidR="00CA3642" w:rsidRPr="00013BDC">
        <w:rPr>
          <w:noProof/>
          <w:lang w:val="en-IE"/>
        </w:rPr>
        <w:t>ir</w:t>
      </w:r>
      <w:r w:rsidR="005D2A24" w:rsidRPr="00013BDC">
        <w:rPr>
          <w:noProof/>
          <w:lang w:val="en-IE"/>
        </w:rPr>
        <w:t xml:space="preserve"> reuse, wherever possible </w:t>
      </w:r>
      <w:r w:rsidR="00CA3642" w:rsidRPr="00013BDC">
        <w:rPr>
          <w:noProof/>
          <w:lang w:val="en-IE"/>
        </w:rPr>
        <w:t xml:space="preserve">prepare them for </w:t>
      </w:r>
      <w:r w:rsidR="00D96247" w:rsidRPr="00013BDC">
        <w:rPr>
          <w:noProof/>
          <w:lang w:val="en-IE"/>
        </w:rPr>
        <w:t>reuse</w:t>
      </w:r>
      <w:r w:rsidR="00C44DEC" w:rsidRPr="00013BDC">
        <w:rPr>
          <w:noProof/>
          <w:lang w:val="en-IE"/>
        </w:rPr>
        <w:t xml:space="preserve"> and</w:t>
      </w:r>
      <w:r w:rsidR="00F74DDE" w:rsidRPr="00013BDC">
        <w:rPr>
          <w:noProof/>
          <w:lang w:val="en-IE"/>
        </w:rPr>
        <w:t xml:space="preserve"> scale up sufficient sorting </w:t>
      </w:r>
      <w:r w:rsidR="005B643F" w:rsidRPr="00013BDC">
        <w:rPr>
          <w:noProof/>
          <w:lang w:val="en-IE"/>
        </w:rPr>
        <w:t>for reuse</w:t>
      </w:r>
      <w:r w:rsidR="00C44DEC" w:rsidRPr="00013BDC">
        <w:rPr>
          <w:noProof/>
          <w:lang w:val="en-IE"/>
        </w:rPr>
        <w:t>,</w:t>
      </w:r>
      <w:r w:rsidR="005B643F" w:rsidRPr="00013BDC">
        <w:rPr>
          <w:noProof/>
          <w:lang w:val="en-IE"/>
        </w:rPr>
        <w:t xml:space="preserve"> recycling</w:t>
      </w:r>
      <w:r w:rsidR="001A68FD" w:rsidRPr="00013BDC">
        <w:rPr>
          <w:noProof/>
          <w:lang w:val="en-IE"/>
        </w:rPr>
        <w:t xml:space="preserve"> </w:t>
      </w:r>
      <w:r w:rsidR="00F74DDE" w:rsidRPr="00013BDC">
        <w:rPr>
          <w:noProof/>
          <w:lang w:val="en-IE"/>
        </w:rPr>
        <w:t>and processing infrastructure</w:t>
      </w:r>
      <w:r w:rsidR="005D2A24" w:rsidRPr="00013BDC">
        <w:rPr>
          <w:noProof/>
          <w:lang w:val="en-IE"/>
        </w:rPr>
        <w:t>.</w:t>
      </w:r>
      <w:r w:rsidR="005706A9" w:rsidRPr="00013BDC">
        <w:rPr>
          <w:noProof/>
          <w:lang w:val="en-IE"/>
        </w:rPr>
        <w:t xml:space="preserve"> </w:t>
      </w:r>
      <w:r w:rsidR="001A68FD" w:rsidRPr="00013BDC">
        <w:rPr>
          <w:rFonts w:eastAsia="Calibri"/>
          <w:noProof/>
          <w:lang w:val="en-IE" w:eastAsia="en-GB"/>
        </w:rPr>
        <w:t>They also</w:t>
      </w:r>
      <w:r w:rsidR="00FE4C18" w:rsidRPr="00013BDC">
        <w:rPr>
          <w:noProof/>
          <w:lang w:val="en-IE"/>
        </w:rPr>
        <w:t xml:space="preserve"> recommended that changes in textile</w:t>
      </w:r>
      <w:r w:rsidR="00C44DEC" w:rsidRPr="00013BDC">
        <w:rPr>
          <w:noProof/>
          <w:lang w:val="en-IE"/>
        </w:rPr>
        <w:t>s’</w:t>
      </w:r>
      <w:r w:rsidR="00FE4C18" w:rsidRPr="00013BDC">
        <w:rPr>
          <w:noProof/>
          <w:lang w:val="en-IE"/>
        </w:rPr>
        <w:t xml:space="preserve"> design and consumption patterns should take place,</w:t>
      </w:r>
      <w:r w:rsidR="00FE4C18" w:rsidRPr="00013BDC">
        <w:rPr>
          <w:rFonts w:eastAsia="Calibri"/>
          <w:noProof/>
          <w:lang w:val="en-IE" w:eastAsia="en-GB"/>
        </w:rPr>
        <w:t xml:space="preserve"> </w:t>
      </w:r>
      <w:r w:rsidR="00FE4C18" w:rsidRPr="00013BDC">
        <w:rPr>
          <w:noProof/>
          <w:lang w:val="en-IE"/>
        </w:rPr>
        <w:t>that the amount of textile waste should be decreased through ambitious waste policies</w:t>
      </w:r>
      <w:r w:rsidR="001A68FD" w:rsidRPr="00013BDC">
        <w:rPr>
          <w:rFonts w:eastAsia="Calibri"/>
          <w:noProof/>
          <w:lang w:val="en-IE" w:eastAsia="en-GB"/>
        </w:rPr>
        <w:t xml:space="preserve">. </w:t>
      </w:r>
      <w:r w:rsidR="00D82CB4" w:rsidRPr="00013BDC">
        <w:rPr>
          <w:rFonts w:eastAsia="Calibri"/>
          <w:noProof/>
          <w:lang w:val="en-IE" w:eastAsia="en-GB"/>
        </w:rPr>
        <w:t>The same points on durability and reuse of textiles, as well as on sorting and recycling capacity were shared by the recycling industry</w:t>
      </w:r>
      <w:r w:rsidR="008240FE" w:rsidRPr="00013BDC">
        <w:rPr>
          <w:rFonts w:eastAsia="Calibri"/>
          <w:noProof/>
          <w:lang w:val="en-IE" w:eastAsia="en-GB"/>
        </w:rPr>
        <w:t xml:space="preserve"> that also</w:t>
      </w:r>
      <w:r w:rsidR="001A68FD" w:rsidRPr="00013BDC">
        <w:rPr>
          <w:rFonts w:eastAsia="Calibri"/>
          <w:noProof/>
          <w:lang w:val="en-IE" w:eastAsia="en-GB"/>
        </w:rPr>
        <w:t xml:space="preserve"> noted </w:t>
      </w:r>
      <w:r w:rsidR="00FE4C18" w:rsidRPr="00013BDC">
        <w:rPr>
          <w:noProof/>
          <w:lang w:val="en-IE"/>
        </w:rPr>
        <w:t xml:space="preserve">that circular and social textile value chains should be developed. </w:t>
      </w:r>
      <w:r w:rsidR="001A68FD" w:rsidRPr="00013BDC">
        <w:rPr>
          <w:rFonts w:eastAsia="Calibri"/>
          <w:noProof/>
          <w:lang w:val="en-IE" w:eastAsia="en-GB"/>
        </w:rPr>
        <w:t>Among the recommendations were the need to set quantitative reuse and</w:t>
      </w:r>
      <w:r w:rsidR="008A0215" w:rsidRPr="00013BDC">
        <w:rPr>
          <w:rFonts w:eastAsia="Calibri"/>
          <w:noProof/>
          <w:lang w:val="en-IE" w:eastAsia="en-GB"/>
        </w:rPr>
        <w:t xml:space="preserve"> preparation for </w:t>
      </w:r>
      <w:r w:rsidR="00D96247" w:rsidRPr="00013BDC">
        <w:rPr>
          <w:rFonts w:eastAsia="Calibri"/>
          <w:noProof/>
          <w:lang w:val="en-IE" w:eastAsia="en-GB"/>
        </w:rPr>
        <w:t>reuse</w:t>
      </w:r>
      <w:r w:rsidR="008A0215" w:rsidRPr="00013BDC">
        <w:rPr>
          <w:rFonts w:eastAsia="Calibri"/>
          <w:noProof/>
          <w:lang w:val="en-IE" w:eastAsia="en-GB"/>
        </w:rPr>
        <w:t xml:space="preserve"> targets and</w:t>
      </w:r>
      <w:r w:rsidR="001A68FD" w:rsidRPr="00013BDC">
        <w:rPr>
          <w:rFonts w:eastAsia="Calibri"/>
          <w:noProof/>
          <w:lang w:val="en-IE" w:eastAsia="en-GB"/>
        </w:rPr>
        <w:t xml:space="preserve"> to improve separate collection systems</w:t>
      </w:r>
      <w:r w:rsidR="008A0215" w:rsidRPr="00013BDC">
        <w:rPr>
          <w:rFonts w:eastAsia="Calibri"/>
          <w:noProof/>
          <w:lang w:val="en-IE" w:eastAsia="en-GB"/>
        </w:rPr>
        <w:t>.</w:t>
      </w:r>
      <w:r w:rsidR="001A68FD" w:rsidRPr="00013BDC">
        <w:rPr>
          <w:rFonts w:eastAsia="Calibri"/>
          <w:noProof/>
          <w:lang w:val="en-IE" w:eastAsia="en-GB"/>
        </w:rPr>
        <w:t xml:space="preserve"> </w:t>
      </w:r>
      <w:r w:rsidR="00D27830" w:rsidRPr="00013BDC">
        <w:rPr>
          <w:rFonts w:eastAsia="Calibri"/>
          <w:noProof/>
          <w:lang w:val="en-IE" w:eastAsia="en-GB"/>
        </w:rPr>
        <w:t xml:space="preserve">SMEs </w:t>
      </w:r>
      <w:r w:rsidR="00E07AD5" w:rsidRPr="00013BDC">
        <w:rPr>
          <w:rFonts w:eastAsia="Calibri"/>
          <w:noProof/>
          <w:lang w:val="en-IE" w:eastAsia="en-GB"/>
        </w:rPr>
        <w:t xml:space="preserve">noted </w:t>
      </w:r>
      <w:r w:rsidR="001A68FD" w:rsidRPr="00013BDC">
        <w:rPr>
          <w:rFonts w:eastAsia="Calibri"/>
          <w:noProof/>
          <w:lang w:val="en-IE" w:eastAsia="en-GB"/>
        </w:rPr>
        <w:t xml:space="preserve">that EPR schemes </w:t>
      </w:r>
      <w:r w:rsidR="00E07AD5" w:rsidRPr="00013BDC">
        <w:rPr>
          <w:rFonts w:eastAsia="Calibri"/>
          <w:noProof/>
          <w:lang w:val="en-IE" w:eastAsia="en-GB"/>
        </w:rPr>
        <w:t xml:space="preserve">should </w:t>
      </w:r>
      <w:r w:rsidR="001A68FD" w:rsidRPr="00013BDC">
        <w:rPr>
          <w:rFonts w:eastAsia="Calibri"/>
          <w:noProof/>
          <w:lang w:val="en-IE" w:eastAsia="en-GB"/>
        </w:rPr>
        <w:t xml:space="preserve">enforce the waste hierarchy by setting quantitative targets for waste prevention and preparation for </w:t>
      </w:r>
      <w:r w:rsidR="00D96247" w:rsidRPr="00013BDC">
        <w:rPr>
          <w:rFonts w:eastAsia="Calibri"/>
          <w:noProof/>
          <w:lang w:val="en-IE" w:eastAsia="en-GB"/>
        </w:rPr>
        <w:t>reuse</w:t>
      </w:r>
      <w:r w:rsidR="001A68FD" w:rsidRPr="00013BDC">
        <w:rPr>
          <w:rFonts w:eastAsia="Calibri"/>
          <w:noProof/>
          <w:lang w:val="en-IE" w:eastAsia="en-GB"/>
        </w:rPr>
        <w:t xml:space="preserve">, </w:t>
      </w:r>
      <w:r w:rsidR="008A0215" w:rsidRPr="00013BDC">
        <w:rPr>
          <w:rFonts w:eastAsia="Calibri"/>
          <w:noProof/>
          <w:lang w:val="en-IE" w:eastAsia="en-GB"/>
        </w:rPr>
        <w:t xml:space="preserve">ensure </w:t>
      </w:r>
      <w:r w:rsidR="00E07AD5" w:rsidRPr="00013BDC">
        <w:rPr>
          <w:rFonts w:eastAsia="Calibri"/>
          <w:noProof/>
          <w:lang w:val="en-IE" w:eastAsia="en-GB"/>
        </w:rPr>
        <w:t>the</w:t>
      </w:r>
      <w:r w:rsidR="008A0215" w:rsidRPr="00013BDC">
        <w:rPr>
          <w:rFonts w:eastAsia="Calibri"/>
          <w:noProof/>
          <w:lang w:val="en-IE" w:eastAsia="en-GB"/>
        </w:rPr>
        <w:t xml:space="preserve"> eco-modulation of fees and fair competition in recycling markets, </w:t>
      </w:r>
      <w:r w:rsidR="001A68FD" w:rsidRPr="00013BDC">
        <w:rPr>
          <w:rFonts w:eastAsia="Calibri"/>
          <w:noProof/>
          <w:lang w:val="en-IE" w:eastAsia="en-GB"/>
        </w:rPr>
        <w:t>granting access to the waste stream to</w:t>
      </w:r>
      <w:r w:rsidR="008A0215" w:rsidRPr="00013BDC">
        <w:rPr>
          <w:rFonts w:eastAsia="Calibri"/>
          <w:noProof/>
          <w:lang w:val="en-IE" w:eastAsia="en-GB"/>
        </w:rPr>
        <w:t xml:space="preserve"> preparing for </w:t>
      </w:r>
      <w:r w:rsidR="00D96247" w:rsidRPr="00013BDC">
        <w:rPr>
          <w:rFonts w:eastAsia="Calibri"/>
          <w:noProof/>
          <w:lang w:val="en-IE" w:eastAsia="en-GB"/>
        </w:rPr>
        <w:t>reuse</w:t>
      </w:r>
      <w:r w:rsidR="008A0215" w:rsidRPr="00013BDC">
        <w:rPr>
          <w:rFonts w:eastAsia="Calibri"/>
          <w:noProof/>
          <w:lang w:val="en-IE" w:eastAsia="en-GB"/>
        </w:rPr>
        <w:t xml:space="preserve"> operators, </w:t>
      </w:r>
      <w:r w:rsidR="001A68FD" w:rsidRPr="00013BDC">
        <w:rPr>
          <w:rFonts w:eastAsia="Calibri"/>
          <w:noProof/>
          <w:lang w:val="en-IE" w:eastAsia="en-GB"/>
        </w:rPr>
        <w:t xml:space="preserve">while also involving social enterprises as key stakeholders in the development, governance and functioning of these schemes. </w:t>
      </w:r>
      <w:r w:rsidR="00E07AD5" w:rsidRPr="00013BDC">
        <w:rPr>
          <w:rFonts w:eastAsia="Calibri"/>
          <w:noProof/>
          <w:lang w:val="en-IE" w:eastAsia="en-GB"/>
        </w:rPr>
        <w:t>They also advocated</w:t>
      </w:r>
      <w:r w:rsidR="0002295F" w:rsidRPr="00013BDC">
        <w:rPr>
          <w:noProof/>
          <w:lang w:val="en-IE"/>
        </w:rPr>
        <w:t xml:space="preserve"> </w:t>
      </w:r>
      <w:r w:rsidR="001F53C4" w:rsidRPr="00013BDC">
        <w:rPr>
          <w:rFonts w:eastAsia="Calibri"/>
          <w:noProof/>
          <w:lang w:val="en-IE" w:eastAsia="en-GB"/>
        </w:rPr>
        <w:t>consistency with other regulatory initiatives, such as the ESPR and WSR</w:t>
      </w:r>
      <w:r w:rsidR="001F53C4" w:rsidRPr="00013BDC">
        <w:rPr>
          <w:noProof/>
          <w:lang w:val="en-IE"/>
        </w:rPr>
        <w:t xml:space="preserve"> and</w:t>
      </w:r>
      <w:r w:rsidR="0002295F" w:rsidRPr="00013BDC">
        <w:rPr>
          <w:noProof/>
          <w:lang w:val="en-IE"/>
        </w:rPr>
        <w:t xml:space="preserve"> t</w:t>
      </w:r>
      <w:r w:rsidR="005706A9" w:rsidRPr="00013BDC">
        <w:rPr>
          <w:noProof/>
          <w:lang w:val="en-IE"/>
        </w:rPr>
        <w:t>he harmonisation of end-of-waste criteria at EU-level</w:t>
      </w:r>
      <w:r w:rsidR="00D27830" w:rsidRPr="00013BDC">
        <w:rPr>
          <w:noProof/>
          <w:lang w:val="en-IE"/>
        </w:rPr>
        <w:t>,</w:t>
      </w:r>
      <w:r w:rsidR="005706A9" w:rsidRPr="00013BDC">
        <w:rPr>
          <w:noProof/>
          <w:lang w:val="en-IE"/>
        </w:rPr>
        <w:t xml:space="preserve"> </w:t>
      </w:r>
      <w:r w:rsidR="00AD0205" w:rsidRPr="00013BDC">
        <w:rPr>
          <w:rFonts w:eastAsia="Calibri"/>
          <w:noProof/>
          <w:lang w:val="en-IE" w:eastAsia="en-GB"/>
        </w:rPr>
        <w:t>which was also endorsed by the recycling industry</w:t>
      </w:r>
      <w:r w:rsidR="001A68FD" w:rsidRPr="00013BDC">
        <w:rPr>
          <w:rFonts w:eastAsia="Calibri"/>
          <w:noProof/>
          <w:lang w:val="en-IE" w:eastAsia="en-GB"/>
        </w:rPr>
        <w:t xml:space="preserve">. </w:t>
      </w:r>
      <w:r w:rsidR="001F53C4" w:rsidRPr="00013BDC">
        <w:rPr>
          <w:rFonts w:eastAsia="Calibri"/>
          <w:noProof/>
          <w:lang w:val="en-IE" w:eastAsia="en-GB"/>
        </w:rPr>
        <w:t>SMEs also</w:t>
      </w:r>
      <w:r w:rsidR="001A68FD" w:rsidRPr="00013BDC">
        <w:rPr>
          <w:rFonts w:eastAsia="Calibri"/>
          <w:noProof/>
          <w:lang w:val="en-IE" w:eastAsia="en-GB"/>
        </w:rPr>
        <w:t xml:space="preserve"> pointed out </w:t>
      </w:r>
      <w:r w:rsidR="001F53C4" w:rsidRPr="00013BDC">
        <w:rPr>
          <w:rFonts w:eastAsia="Calibri"/>
          <w:noProof/>
          <w:lang w:val="en-IE" w:eastAsia="en-GB"/>
        </w:rPr>
        <w:t>the need for</w:t>
      </w:r>
      <w:r w:rsidR="001A68FD" w:rsidRPr="00013BDC">
        <w:rPr>
          <w:rFonts w:eastAsia="Calibri"/>
          <w:noProof/>
          <w:lang w:val="en-IE" w:eastAsia="en-GB"/>
        </w:rPr>
        <w:t xml:space="preserve"> guidance to achieve high levels of separate collection of textile</w:t>
      </w:r>
      <w:r w:rsidR="00D52D46" w:rsidRPr="00013BDC">
        <w:rPr>
          <w:rFonts w:eastAsia="Calibri"/>
          <w:noProof/>
          <w:lang w:val="en-IE" w:eastAsia="en-GB"/>
        </w:rPr>
        <w:t>s</w:t>
      </w:r>
      <w:r w:rsidR="001A68FD" w:rsidRPr="00013BDC">
        <w:rPr>
          <w:rFonts w:eastAsia="Calibri"/>
          <w:noProof/>
          <w:lang w:val="en-IE" w:eastAsia="en-GB"/>
        </w:rPr>
        <w:t xml:space="preserve"> </w:t>
      </w:r>
      <w:r w:rsidR="00207241" w:rsidRPr="00013BDC">
        <w:rPr>
          <w:rFonts w:eastAsia="Calibri"/>
          <w:noProof/>
          <w:lang w:val="en-IE" w:eastAsia="en-GB"/>
        </w:rPr>
        <w:t xml:space="preserve">and that </w:t>
      </w:r>
      <w:r w:rsidR="001A68FD" w:rsidRPr="00013BDC">
        <w:rPr>
          <w:rFonts w:eastAsia="Calibri"/>
          <w:noProof/>
          <w:lang w:val="en-IE" w:eastAsia="en-GB"/>
        </w:rPr>
        <w:t>matur</w:t>
      </w:r>
      <w:r w:rsidR="00207241" w:rsidRPr="00013BDC">
        <w:rPr>
          <w:rFonts w:eastAsia="Calibri"/>
          <w:noProof/>
          <w:lang w:val="en-IE" w:eastAsia="en-GB"/>
        </w:rPr>
        <w:t>e</w:t>
      </w:r>
      <w:r w:rsidR="001A68FD" w:rsidRPr="00013BDC">
        <w:rPr>
          <w:rFonts w:eastAsia="Calibri"/>
          <w:noProof/>
          <w:lang w:val="en-IE" w:eastAsia="en-GB"/>
        </w:rPr>
        <w:t xml:space="preserve"> fib</w:t>
      </w:r>
      <w:r w:rsidR="007423BD" w:rsidRPr="00013BDC">
        <w:rPr>
          <w:rFonts w:eastAsia="Calibri"/>
          <w:noProof/>
          <w:lang w:val="en-IE" w:eastAsia="en-GB"/>
        </w:rPr>
        <w:t>re</w:t>
      </w:r>
      <w:r w:rsidR="001A68FD" w:rsidRPr="00013BDC">
        <w:rPr>
          <w:rFonts w:eastAsia="Calibri"/>
          <w:noProof/>
          <w:lang w:val="en-IE" w:eastAsia="en-GB"/>
        </w:rPr>
        <w:t xml:space="preserve"> sorting and pre-processing is critical to scale the recycling of post-consumer waste.</w:t>
      </w:r>
      <w:r w:rsidR="765017E8" w:rsidRPr="00013BDC">
        <w:rPr>
          <w:rFonts w:eastAsia="Calibri"/>
          <w:noProof/>
          <w:lang w:val="en-IE" w:eastAsia="en-GB"/>
        </w:rPr>
        <w:t xml:space="preserve"> </w:t>
      </w:r>
      <w:r w:rsidR="765017E8" w:rsidRPr="00013BDC">
        <w:rPr>
          <w:noProof/>
          <w:lang w:val="en-IE"/>
        </w:rPr>
        <w:t>Some</w:t>
      </w:r>
      <w:r w:rsidR="00207241" w:rsidRPr="00013BDC">
        <w:rPr>
          <w:noProof/>
          <w:lang w:val="en-IE"/>
        </w:rPr>
        <w:t xml:space="preserve"> position papers</w:t>
      </w:r>
      <w:r w:rsidR="20209242" w:rsidRPr="00013BDC">
        <w:rPr>
          <w:noProof/>
          <w:lang w:val="en-IE"/>
        </w:rPr>
        <w:t xml:space="preserve"> </w:t>
      </w:r>
      <w:r w:rsidR="4C2B4FE1" w:rsidRPr="00013BDC">
        <w:rPr>
          <w:noProof/>
          <w:lang w:val="en-IE"/>
        </w:rPr>
        <w:t>reflect</w:t>
      </w:r>
      <w:r w:rsidR="20209242" w:rsidRPr="00013BDC">
        <w:rPr>
          <w:noProof/>
          <w:lang w:val="en-IE"/>
        </w:rPr>
        <w:t xml:space="preserve"> </w:t>
      </w:r>
      <w:r w:rsidR="2F95BB8D" w:rsidRPr="00013BDC">
        <w:rPr>
          <w:noProof/>
          <w:lang w:val="en-IE"/>
        </w:rPr>
        <w:t>o</w:t>
      </w:r>
      <w:r w:rsidR="20209242" w:rsidRPr="00013BDC">
        <w:rPr>
          <w:noProof/>
          <w:lang w:val="en-IE"/>
        </w:rPr>
        <w:t>n a</w:t>
      </w:r>
      <w:r w:rsidR="4E8CC58B" w:rsidRPr="00013BDC">
        <w:rPr>
          <w:noProof/>
          <w:lang w:val="en-IE"/>
        </w:rPr>
        <w:t xml:space="preserve"> harmonised definition of textile waste.</w:t>
      </w:r>
    </w:p>
    <w:p w14:paraId="3B85AE51" w14:textId="23789858" w:rsidR="00E353BA" w:rsidRPr="00013BDC" w:rsidRDefault="003B604D" w:rsidP="00E353BA">
      <w:pPr>
        <w:pStyle w:val="TextRMC"/>
        <w:spacing w:line="240" w:lineRule="auto"/>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Many </w:t>
      </w:r>
      <w:r w:rsidR="00207241" w:rsidRPr="00013BDC">
        <w:rPr>
          <w:rFonts w:ascii="Times New Roman" w:hAnsi="Times New Roman" w:cs="Times New Roman"/>
          <w:noProof/>
          <w:sz w:val="24"/>
          <w:szCs w:val="24"/>
          <w:lang w:val="en-IE"/>
        </w:rPr>
        <w:t>position papers</w:t>
      </w:r>
      <w:r w:rsidRPr="00013BDC">
        <w:rPr>
          <w:rFonts w:ascii="Times New Roman" w:hAnsi="Times New Roman" w:cs="Times New Roman"/>
          <w:noProof/>
          <w:sz w:val="24"/>
          <w:szCs w:val="24"/>
          <w:lang w:val="en-IE"/>
        </w:rPr>
        <w:t xml:space="preserve"> recommended to set waste prevention related targets, including </w:t>
      </w:r>
      <w:r w:rsidR="00CC42ED" w:rsidRPr="00013BDC">
        <w:rPr>
          <w:rFonts w:ascii="Times New Roman" w:hAnsi="Times New Roman" w:cs="Times New Roman"/>
          <w:noProof/>
          <w:sz w:val="24"/>
          <w:szCs w:val="24"/>
          <w:lang w:val="en-IE"/>
        </w:rPr>
        <w:t>ones on</w:t>
      </w:r>
      <w:r w:rsidRPr="00013BDC">
        <w:rPr>
          <w:rFonts w:ascii="Times New Roman" w:hAnsi="Times New Roman" w:cs="Times New Roman"/>
          <w:noProof/>
          <w:sz w:val="24"/>
          <w:szCs w:val="24"/>
          <w:lang w:val="en-IE"/>
        </w:rPr>
        <w:t xml:space="preserve"> waste prevention for individual product groups and </w:t>
      </w:r>
      <w:r w:rsidR="00CC42ED" w:rsidRPr="00013BDC">
        <w:rPr>
          <w:rFonts w:ascii="Times New Roman" w:hAnsi="Times New Roman" w:cs="Times New Roman"/>
          <w:noProof/>
          <w:sz w:val="24"/>
          <w:szCs w:val="24"/>
          <w:lang w:val="en-IE"/>
        </w:rPr>
        <w:t>ones</w:t>
      </w:r>
      <w:r w:rsidRPr="00013BDC">
        <w:rPr>
          <w:rFonts w:ascii="Times New Roman" w:hAnsi="Times New Roman" w:cs="Times New Roman"/>
          <w:noProof/>
          <w:sz w:val="24"/>
          <w:szCs w:val="24"/>
          <w:lang w:val="en-IE"/>
        </w:rPr>
        <w:t xml:space="preserve"> for durability and repairability of new clothes. However, others pointed out that </w:t>
      </w:r>
      <w:r w:rsidR="00CC42ED" w:rsidRPr="00013BDC">
        <w:rPr>
          <w:rFonts w:ascii="Times New Roman" w:hAnsi="Times New Roman" w:cs="Times New Roman"/>
          <w:noProof/>
          <w:sz w:val="24"/>
          <w:szCs w:val="24"/>
          <w:lang w:val="en-IE"/>
        </w:rPr>
        <w:t>while setting targets has been an effective means to create a more circular economy, they are</w:t>
      </w:r>
      <w:r w:rsidRPr="00013BDC">
        <w:rPr>
          <w:rFonts w:ascii="Times New Roman" w:hAnsi="Times New Roman" w:cs="Times New Roman"/>
          <w:noProof/>
          <w:sz w:val="24"/>
          <w:szCs w:val="24"/>
          <w:lang w:val="en-IE"/>
        </w:rPr>
        <w:t xml:space="preserve"> not </w:t>
      </w:r>
      <w:r w:rsidR="00CC42ED" w:rsidRPr="00013BDC">
        <w:rPr>
          <w:rFonts w:ascii="Times New Roman" w:hAnsi="Times New Roman" w:cs="Times New Roman"/>
          <w:noProof/>
          <w:sz w:val="24"/>
          <w:szCs w:val="24"/>
          <w:lang w:val="en-IE"/>
        </w:rPr>
        <w:t xml:space="preserve">sufficient. </w:t>
      </w:r>
      <w:r w:rsidR="00607595" w:rsidRPr="00013BDC">
        <w:rPr>
          <w:rFonts w:ascii="Times New Roman" w:hAnsi="Times New Roman" w:cs="Times New Roman"/>
          <w:noProof/>
          <w:sz w:val="24"/>
          <w:szCs w:val="24"/>
          <w:lang w:val="en-IE"/>
        </w:rPr>
        <w:t>They</w:t>
      </w:r>
      <w:r w:rsidRPr="00013BDC">
        <w:rPr>
          <w:rFonts w:ascii="Times New Roman" w:hAnsi="Times New Roman" w:cs="Times New Roman"/>
          <w:noProof/>
          <w:sz w:val="24"/>
          <w:szCs w:val="24"/>
          <w:lang w:val="en-IE"/>
        </w:rPr>
        <w:t xml:space="preserve"> stress</w:t>
      </w:r>
      <w:r w:rsidR="00607595" w:rsidRPr="00013BDC">
        <w:rPr>
          <w:rFonts w:ascii="Times New Roman" w:hAnsi="Times New Roman" w:cs="Times New Roman"/>
          <w:noProof/>
          <w:sz w:val="24"/>
          <w:szCs w:val="24"/>
          <w:lang w:val="en-IE"/>
        </w:rPr>
        <w:t>ed</w:t>
      </w:r>
      <w:r w:rsidRPr="00013BDC">
        <w:rPr>
          <w:rFonts w:ascii="Times New Roman" w:hAnsi="Times New Roman" w:cs="Times New Roman"/>
          <w:noProof/>
          <w:sz w:val="24"/>
          <w:szCs w:val="24"/>
          <w:lang w:val="en-IE"/>
        </w:rPr>
        <w:t xml:space="preserve"> the need for more economic and legislative incentives to promote waste prevention and reuse, such as tax incentives, innovation grants or financial support schemes</w:t>
      </w:r>
      <w:r w:rsidR="00607595" w:rsidRPr="00013BDC">
        <w:rPr>
          <w:rFonts w:ascii="Times New Roman" w:hAnsi="Times New Roman" w:cs="Times New Roman"/>
          <w:noProof/>
          <w:sz w:val="24"/>
          <w:szCs w:val="24"/>
          <w:lang w:val="en-IE"/>
        </w:rPr>
        <w:t>.</w:t>
      </w:r>
      <w:r w:rsidRPr="00013BDC">
        <w:rPr>
          <w:rFonts w:ascii="Times New Roman" w:hAnsi="Times New Roman" w:cs="Times New Roman"/>
          <w:noProof/>
          <w:sz w:val="24"/>
          <w:szCs w:val="24"/>
          <w:lang w:val="en-IE"/>
        </w:rPr>
        <w:t xml:space="preserve"> For example, many pointed out that repairers should be granted a VAT exemption or reduction and be legally allowed to remove spare parts from waste streams. </w:t>
      </w:r>
      <w:r w:rsidR="00E353BA" w:rsidRPr="00013BDC">
        <w:rPr>
          <w:rFonts w:ascii="Times New Roman" w:hAnsi="Times New Roman" w:cs="Times New Roman"/>
          <w:noProof/>
          <w:sz w:val="24"/>
          <w:szCs w:val="24"/>
          <w:lang w:val="en-IE"/>
        </w:rPr>
        <w:t>Many respondents highlighted the need to reduce VAT on sale of second-hand clothes and introduce a circular tax credit for brands that carry out projects integrating the circular economy, such as take-back schemes or the offering of repairs for life. The need to differentiate support for durable high quality fashion items was stressed.</w:t>
      </w:r>
    </w:p>
    <w:p w14:paraId="356AA4DB" w14:textId="2FF98E38" w:rsidR="003B604D" w:rsidRPr="00013BDC" w:rsidRDefault="003B604D" w:rsidP="003B604D">
      <w:pPr>
        <w:pStyle w:val="TextRMC"/>
        <w:spacing w:line="240" w:lineRule="auto"/>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Respondents disagreed on the </w:t>
      </w:r>
      <w:r w:rsidR="00607595" w:rsidRPr="00013BDC">
        <w:rPr>
          <w:rFonts w:ascii="Times New Roman" w:hAnsi="Times New Roman" w:cs="Times New Roman"/>
          <w:noProof/>
          <w:sz w:val="24"/>
          <w:szCs w:val="24"/>
          <w:lang w:val="en-IE"/>
        </w:rPr>
        <w:t>application</w:t>
      </w:r>
      <w:r w:rsidRPr="00013BDC">
        <w:rPr>
          <w:rFonts w:ascii="Times New Roman" w:hAnsi="Times New Roman" w:cs="Times New Roman"/>
          <w:noProof/>
          <w:sz w:val="24"/>
          <w:szCs w:val="24"/>
          <w:lang w:val="en-IE"/>
        </w:rPr>
        <w:t xml:space="preserve"> of the waste hierarchy. While many stressed the need to prioritise waste prevention and reuse, others pointed out that in some cases recycling and reuse could not be placed in a strict hierarchy, such as in the case of packaging. </w:t>
      </w:r>
      <w:r w:rsidR="00607595" w:rsidRPr="00013BDC">
        <w:rPr>
          <w:rFonts w:ascii="Times New Roman" w:hAnsi="Times New Roman" w:cs="Times New Roman"/>
          <w:noProof/>
          <w:sz w:val="24"/>
          <w:szCs w:val="24"/>
          <w:lang w:val="en-IE"/>
        </w:rPr>
        <w:t>O</w:t>
      </w:r>
      <w:r w:rsidRPr="00013BDC">
        <w:rPr>
          <w:rFonts w:ascii="Times New Roman" w:hAnsi="Times New Roman" w:cs="Times New Roman"/>
          <w:noProof/>
          <w:sz w:val="24"/>
          <w:szCs w:val="24"/>
          <w:lang w:val="en-IE"/>
        </w:rPr>
        <w:t xml:space="preserve">thers claimed that recycling was the key solution, as reuse will </w:t>
      </w:r>
      <w:r w:rsidR="00607595" w:rsidRPr="00013BDC">
        <w:rPr>
          <w:rFonts w:ascii="Times New Roman" w:hAnsi="Times New Roman" w:cs="Times New Roman"/>
          <w:noProof/>
          <w:sz w:val="24"/>
          <w:szCs w:val="24"/>
          <w:lang w:val="en-IE"/>
        </w:rPr>
        <w:t>inevitably</w:t>
      </w:r>
      <w:r w:rsidR="00EF0B2C" w:rsidRPr="00013BDC">
        <w:rPr>
          <w:rFonts w:ascii="Times New Roman" w:hAnsi="Times New Roman" w:cs="Times New Roman"/>
          <w:noProof/>
          <w:sz w:val="24"/>
          <w:szCs w:val="24"/>
          <w:lang w:val="en-IE"/>
        </w:rPr>
        <w:t xml:space="preserve"> end</w:t>
      </w:r>
      <w:r w:rsidRPr="00013BDC">
        <w:rPr>
          <w:rFonts w:ascii="Times New Roman" w:hAnsi="Times New Roman" w:cs="Times New Roman"/>
          <w:noProof/>
          <w:sz w:val="24"/>
          <w:szCs w:val="24"/>
          <w:lang w:val="en-IE"/>
        </w:rPr>
        <w:t xml:space="preserve"> after a number of </w:t>
      </w:r>
      <w:r w:rsidR="00EF0B2C" w:rsidRPr="00013BDC">
        <w:rPr>
          <w:rFonts w:ascii="Times New Roman" w:hAnsi="Times New Roman" w:cs="Times New Roman"/>
          <w:noProof/>
          <w:sz w:val="24"/>
          <w:szCs w:val="24"/>
          <w:lang w:val="en-IE"/>
        </w:rPr>
        <w:t>(re)</w:t>
      </w:r>
      <w:r w:rsidRPr="00013BDC">
        <w:rPr>
          <w:rFonts w:ascii="Times New Roman" w:hAnsi="Times New Roman" w:cs="Times New Roman"/>
          <w:noProof/>
          <w:sz w:val="24"/>
          <w:szCs w:val="24"/>
          <w:lang w:val="en-IE"/>
        </w:rPr>
        <w:t xml:space="preserve">uses. Several argued that the hierarchy should be </w:t>
      </w:r>
      <w:r w:rsidR="00EF0B2C" w:rsidRPr="00013BDC">
        <w:rPr>
          <w:rFonts w:ascii="Times New Roman" w:hAnsi="Times New Roman" w:cs="Times New Roman"/>
          <w:noProof/>
          <w:sz w:val="24"/>
          <w:szCs w:val="24"/>
          <w:lang w:val="en-IE"/>
        </w:rPr>
        <w:t xml:space="preserve">adapted to promote </w:t>
      </w:r>
      <w:r w:rsidRPr="00013BDC">
        <w:rPr>
          <w:rFonts w:ascii="Times New Roman" w:hAnsi="Times New Roman" w:cs="Times New Roman"/>
          <w:noProof/>
          <w:sz w:val="24"/>
          <w:szCs w:val="24"/>
          <w:lang w:val="en-IE"/>
        </w:rPr>
        <w:t>high</w:t>
      </w:r>
      <w:r w:rsidR="00EF0B2C" w:rsidRPr="00013BDC">
        <w:rPr>
          <w:rFonts w:ascii="Times New Roman" w:hAnsi="Times New Roman" w:cs="Times New Roman"/>
          <w:noProof/>
          <w:sz w:val="24"/>
          <w:szCs w:val="24"/>
          <w:lang w:val="en-IE"/>
        </w:rPr>
        <w:t>-</w:t>
      </w:r>
      <w:r w:rsidRPr="00013BDC">
        <w:rPr>
          <w:rFonts w:ascii="Times New Roman" w:hAnsi="Times New Roman" w:cs="Times New Roman"/>
          <w:noProof/>
          <w:sz w:val="24"/>
          <w:szCs w:val="24"/>
          <w:lang w:val="en-IE"/>
        </w:rPr>
        <w:t xml:space="preserve">quality recycling and reuse solutions. </w:t>
      </w:r>
      <w:r w:rsidR="003F5A19" w:rsidRPr="00013BDC">
        <w:rPr>
          <w:rFonts w:ascii="Times New Roman" w:hAnsi="Times New Roman" w:cs="Times New Roman"/>
          <w:noProof/>
          <w:sz w:val="24"/>
          <w:szCs w:val="24"/>
          <w:lang w:val="en-IE"/>
        </w:rPr>
        <w:t>Many advocated for adding nuances to clarify the increase of impacts occurring as you go down the steps, differentiating between high quality recycling with preservation of all or almost all properties, recycling with reversible loss of properties, recycling with irreversible loss of properties and recycling to a product that is not circular.</w:t>
      </w:r>
    </w:p>
    <w:p w14:paraId="0889A908" w14:textId="19E2F0FD" w:rsidR="00D144A0" w:rsidRPr="00013BDC" w:rsidRDefault="004B2B0C" w:rsidP="00D144A0">
      <w:pPr>
        <w:pStyle w:val="TextRMC"/>
        <w:spacing w:line="240" w:lineRule="auto"/>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Many </w:t>
      </w:r>
      <w:r w:rsidR="00EF0B2C" w:rsidRPr="00013BDC">
        <w:rPr>
          <w:rFonts w:ascii="Times New Roman" w:hAnsi="Times New Roman" w:cs="Times New Roman"/>
          <w:noProof/>
          <w:sz w:val="24"/>
          <w:szCs w:val="24"/>
          <w:lang w:val="en-IE"/>
        </w:rPr>
        <w:t xml:space="preserve">position papers </w:t>
      </w:r>
      <w:r w:rsidRPr="00013BDC">
        <w:rPr>
          <w:rFonts w:ascii="Times New Roman" w:hAnsi="Times New Roman" w:cs="Times New Roman"/>
          <w:noProof/>
          <w:sz w:val="24"/>
          <w:szCs w:val="24"/>
          <w:lang w:val="en-IE"/>
        </w:rPr>
        <w:t>highlighted that the Waste Framework Directive should include a transparency provision for public access to nationally reported waste data. Several respondents noted in the response papers that they were in favour of introducing mandatory mixed waste sorting prior to landfilling and incineration to prevent used products from being damaged, thus safeguarding the reusability of products. They also indicated that unwanted products with a high reuse potential should not be mixed with other items. For that reason, clear information on where and how to discard them should be provided to consumers.</w:t>
      </w:r>
      <w:r w:rsidR="00E353BA" w:rsidRPr="00013BDC">
        <w:rPr>
          <w:rFonts w:ascii="Times New Roman" w:hAnsi="Times New Roman" w:cs="Times New Roman"/>
          <w:noProof/>
          <w:sz w:val="24"/>
          <w:szCs w:val="24"/>
          <w:lang w:val="en-IE"/>
        </w:rPr>
        <w:t xml:space="preserve"> </w:t>
      </w:r>
      <w:r w:rsidR="00D144A0" w:rsidRPr="00013BDC">
        <w:rPr>
          <w:rFonts w:ascii="Times New Roman" w:hAnsi="Times New Roman" w:cs="Times New Roman"/>
          <w:noProof/>
          <w:sz w:val="24"/>
          <w:szCs w:val="24"/>
          <w:lang w:val="en-IE"/>
        </w:rPr>
        <w:t xml:space="preserve">Some </w:t>
      </w:r>
      <w:r w:rsidR="001F6CAB" w:rsidRPr="00013BDC">
        <w:rPr>
          <w:rFonts w:ascii="Times New Roman" w:hAnsi="Times New Roman" w:cs="Times New Roman"/>
          <w:noProof/>
          <w:sz w:val="24"/>
          <w:szCs w:val="24"/>
          <w:lang w:val="en-IE"/>
        </w:rPr>
        <w:t>position</w:t>
      </w:r>
      <w:r w:rsidR="00D144A0" w:rsidRPr="00013BDC">
        <w:rPr>
          <w:rFonts w:ascii="Times New Roman" w:hAnsi="Times New Roman" w:cs="Times New Roman"/>
          <w:noProof/>
          <w:sz w:val="24"/>
          <w:szCs w:val="24"/>
          <w:lang w:val="en-IE"/>
        </w:rPr>
        <w:t xml:space="preserve"> papers pointed out that it was essential for the directive to enhance its focus on recycling. In line with this point of view, several respondents pointed out that more targets should be developed to promote recycling. As a matter of example, it was considered essential to set mandatory targets for recycling of textile waste to pursue an ambitious implementation of the </w:t>
      </w:r>
      <w:r w:rsidR="00D144A0" w:rsidRPr="00013BDC">
        <w:rPr>
          <w:rFonts w:ascii="Times New Roman" w:eastAsia="Times New Roman" w:hAnsi="Times New Roman" w:cs="Times New Roman"/>
          <w:noProof/>
          <w:sz w:val="24"/>
          <w:szCs w:val="24"/>
          <w:lang w:val="en-IE"/>
        </w:rPr>
        <w:t>‘EU Strategy for Sustainable and Circular Textiles’</w:t>
      </w:r>
      <w:r w:rsidR="00D144A0" w:rsidRPr="00013BDC">
        <w:rPr>
          <w:rFonts w:ascii="Times New Roman" w:eastAsia="Times New Roman" w:hAnsi="Times New Roman" w:cs="Times New Roman"/>
          <w:noProof/>
          <w:sz w:val="24"/>
          <w:szCs w:val="24"/>
          <w:vertAlign w:val="superscript"/>
          <w:lang w:val="en-IE"/>
        </w:rPr>
        <w:t xml:space="preserve"> </w:t>
      </w:r>
      <w:r w:rsidR="00D144A0" w:rsidRPr="00013BDC">
        <w:rPr>
          <w:rFonts w:ascii="Times New Roman" w:eastAsia="Times New Roman" w:hAnsi="Times New Roman" w:cs="Times New Roman"/>
          <w:noProof/>
          <w:sz w:val="24"/>
          <w:szCs w:val="24"/>
          <w:lang w:val="en-IE"/>
        </w:rPr>
        <w:t>(EU Textiles Strategy)</w:t>
      </w:r>
      <w:bookmarkStart w:id="119" w:name="_Ref133594304"/>
      <w:r w:rsidR="00D144A0" w:rsidRPr="00013BDC">
        <w:rPr>
          <w:rFonts w:ascii="Times New Roman" w:eastAsia="Times New Roman" w:hAnsi="Times New Roman" w:cs="Times New Roman"/>
          <w:noProof/>
          <w:sz w:val="24"/>
          <w:szCs w:val="24"/>
          <w:vertAlign w:val="superscript"/>
          <w:lang w:val="en-IE"/>
        </w:rPr>
        <w:footnoteReference w:id="25"/>
      </w:r>
      <w:bookmarkEnd w:id="119"/>
      <w:r w:rsidR="00D144A0" w:rsidRPr="00013BDC">
        <w:rPr>
          <w:rFonts w:ascii="Times New Roman" w:hAnsi="Times New Roman" w:cs="Times New Roman"/>
          <w:noProof/>
          <w:sz w:val="24"/>
          <w:szCs w:val="24"/>
          <w:lang w:val="en-IE"/>
        </w:rPr>
        <w:t>.</w:t>
      </w:r>
    </w:p>
    <w:p w14:paraId="24265919" w14:textId="16A14AE2" w:rsidR="00D144A0" w:rsidRPr="00013BDC" w:rsidRDefault="001F6CAB" w:rsidP="00D144A0">
      <w:pPr>
        <w:pStyle w:val="TextRMC"/>
        <w:spacing w:line="240" w:lineRule="auto"/>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Many position papers </w:t>
      </w:r>
      <w:r w:rsidR="003F5A19" w:rsidRPr="00013BDC">
        <w:rPr>
          <w:rFonts w:ascii="Times New Roman" w:hAnsi="Times New Roman" w:cs="Times New Roman"/>
          <w:noProof/>
          <w:sz w:val="24"/>
          <w:szCs w:val="24"/>
          <w:lang w:val="en-IE"/>
        </w:rPr>
        <w:t>advocated for support to and i</w:t>
      </w:r>
      <w:r w:rsidR="00D144A0" w:rsidRPr="00013BDC">
        <w:rPr>
          <w:rFonts w:ascii="Times New Roman" w:hAnsi="Times New Roman" w:cs="Times New Roman"/>
          <w:noProof/>
          <w:sz w:val="24"/>
          <w:szCs w:val="24"/>
          <w:lang w:val="en-IE"/>
        </w:rPr>
        <w:t>nvestment in better waste treatment infrastructure, such as modern recycling facilities</w:t>
      </w:r>
      <w:r w:rsidR="003F5A19" w:rsidRPr="00013BDC">
        <w:rPr>
          <w:rFonts w:ascii="Times New Roman" w:hAnsi="Times New Roman" w:cs="Times New Roman"/>
          <w:noProof/>
          <w:sz w:val="24"/>
          <w:szCs w:val="24"/>
          <w:lang w:val="en-IE"/>
        </w:rPr>
        <w:t xml:space="preserve"> and</w:t>
      </w:r>
      <w:r w:rsidR="00D144A0" w:rsidRPr="00013BDC">
        <w:rPr>
          <w:rFonts w:ascii="Times New Roman" w:hAnsi="Times New Roman" w:cs="Times New Roman"/>
          <w:noProof/>
          <w:sz w:val="24"/>
          <w:szCs w:val="24"/>
          <w:lang w:val="en-IE"/>
        </w:rPr>
        <w:t xml:space="preserve"> new recycling technologies and excellence centres across member states</w:t>
      </w:r>
      <w:r w:rsidR="003F5A19" w:rsidRPr="00013BDC">
        <w:rPr>
          <w:rFonts w:ascii="Times New Roman" w:hAnsi="Times New Roman" w:cs="Times New Roman"/>
          <w:noProof/>
          <w:sz w:val="24"/>
          <w:szCs w:val="24"/>
          <w:lang w:val="en-IE"/>
        </w:rPr>
        <w:t>, in particular</w:t>
      </w:r>
      <w:r w:rsidR="00D144A0" w:rsidRPr="00013BDC">
        <w:rPr>
          <w:rFonts w:ascii="Times New Roman" w:hAnsi="Times New Roman" w:cs="Times New Roman"/>
          <w:noProof/>
          <w:sz w:val="24"/>
          <w:szCs w:val="24"/>
          <w:lang w:val="en-IE"/>
        </w:rPr>
        <w:t xml:space="preserve"> high</w:t>
      </w:r>
      <w:r w:rsidR="003F5A19" w:rsidRPr="00013BDC">
        <w:rPr>
          <w:rFonts w:ascii="Times New Roman" w:hAnsi="Times New Roman" w:cs="Times New Roman"/>
          <w:noProof/>
          <w:sz w:val="24"/>
          <w:szCs w:val="24"/>
          <w:lang w:val="en-IE"/>
        </w:rPr>
        <w:t>-</w:t>
      </w:r>
      <w:r w:rsidR="00D144A0" w:rsidRPr="00013BDC">
        <w:rPr>
          <w:rFonts w:ascii="Times New Roman" w:hAnsi="Times New Roman" w:cs="Times New Roman"/>
          <w:noProof/>
          <w:sz w:val="24"/>
          <w:szCs w:val="24"/>
          <w:lang w:val="en-IE"/>
        </w:rPr>
        <w:t xml:space="preserve">quality recycling. </w:t>
      </w:r>
    </w:p>
    <w:p w14:paraId="1FFBD6B2" w14:textId="4460B900" w:rsidR="00FF1BA2" w:rsidRPr="00013BDC" w:rsidRDefault="00FF1BA2" w:rsidP="00FF1BA2">
      <w:pPr>
        <w:pStyle w:val="TextRMC"/>
        <w:spacing w:line="240" w:lineRule="auto"/>
        <w:rPr>
          <w:rFonts w:ascii="Times New Roman" w:hAnsi="Times New Roman"/>
          <w:noProof/>
          <w:sz w:val="24"/>
          <w:lang w:val="en-IE"/>
        </w:rPr>
      </w:pPr>
      <w:r w:rsidRPr="00013BDC">
        <w:rPr>
          <w:rFonts w:ascii="Times New Roman" w:hAnsi="Times New Roman" w:cs="Times New Roman"/>
          <w:noProof/>
          <w:sz w:val="24"/>
          <w:szCs w:val="24"/>
          <w:lang w:val="en-IE"/>
        </w:rPr>
        <w:t xml:space="preserve">Among dissatisfactions, many response papers stressed the need to prevent fashion waste export. To address this issue, some recommended to designate EPR funds to support waste management in the </w:t>
      </w:r>
      <w:r w:rsidR="003F5A19" w:rsidRPr="00013BDC">
        <w:rPr>
          <w:rFonts w:ascii="Times New Roman" w:hAnsi="Times New Roman" w:cs="Times New Roman"/>
          <w:noProof/>
          <w:sz w:val="24"/>
          <w:szCs w:val="24"/>
          <w:lang w:val="en-IE"/>
        </w:rPr>
        <w:t>importing</w:t>
      </w:r>
      <w:r w:rsidR="005E4761" w:rsidRPr="00013BDC">
        <w:rPr>
          <w:rFonts w:ascii="Times New Roman" w:hAnsi="Times New Roman" w:cs="Times New Roman"/>
          <w:noProof/>
          <w:sz w:val="24"/>
          <w:szCs w:val="24"/>
          <w:lang w:val="en-IE"/>
        </w:rPr>
        <w:t xml:space="preserve"> locations</w:t>
      </w:r>
      <w:r w:rsidRPr="00013BDC">
        <w:rPr>
          <w:rFonts w:ascii="Times New Roman" w:hAnsi="Times New Roman" w:cs="Times New Roman"/>
          <w:noProof/>
          <w:sz w:val="24"/>
          <w:szCs w:val="24"/>
          <w:lang w:val="en-IE"/>
        </w:rPr>
        <w:t xml:space="preserve">; ensure the sorting of collected material according to quality specifications to keep clothes at a higher value; mandate the utilisation of digital product passports for all agreed products; and encourage local </w:t>
      </w:r>
      <w:r w:rsidR="00D96247" w:rsidRPr="00013BDC">
        <w:rPr>
          <w:rFonts w:ascii="Times New Roman" w:hAnsi="Times New Roman" w:cs="Times New Roman"/>
          <w:noProof/>
          <w:sz w:val="24"/>
          <w:szCs w:val="24"/>
          <w:lang w:val="en-IE"/>
        </w:rPr>
        <w:t>reuse</w:t>
      </w:r>
      <w:r w:rsidRPr="00013BDC">
        <w:rPr>
          <w:rFonts w:ascii="Times New Roman" w:hAnsi="Times New Roman" w:cs="Times New Roman"/>
          <w:noProof/>
          <w:sz w:val="24"/>
          <w:szCs w:val="24"/>
          <w:lang w:val="en-IE"/>
        </w:rPr>
        <w:t xml:space="preserve"> and recycling of collected textiles based on the EU proximity principle. Furthermore, in keeping with the call for evidence general support for EPR was provided by public authorities, business associations, NGOs and companies businesses. However, </w:t>
      </w:r>
      <w:r w:rsidR="00351571" w:rsidRPr="00013BDC">
        <w:rPr>
          <w:rFonts w:ascii="Times New Roman" w:hAnsi="Times New Roman" w:cs="Times New Roman"/>
          <w:noProof/>
          <w:sz w:val="24"/>
          <w:szCs w:val="24"/>
          <w:lang w:val="en-IE"/>
        </w:rPr>
        <w:t>the</w:t>
      </w:r>
      <w:r w:rsidRPr="00013BDC">
        <w:rPr>
          <w:rFonts w:ascii="Times New Roman" w:hAnsi="Times New Roman" w:cs="Times New Roman"/>
          <w:noProof/>
          <w:sz w:val="24"/>
          <w:szCs w:val="24"/>
          <w:lang w:val="en-IE"/>
        </w:rPr>
        <w:t xml:space="preserve"> industry</w:t>
      </w:r>
      <w:r w:rsidR="00351571" w:rsidRPr="00013BDC">
        <w:rPr>
          <w:rFonts w:ascii="Times New Roman" w:hAnsi="Times New Roman" w:cs="Times New Roman"/>
          <w:noProof/>
          <w:sz w:val="24"/>
          <w:szCs w:val="24"/>
          <w:lang w:val="en-IE"/>
        </w:rPr>
        <w:t>, other business and company representatives</w:t>
      </w:r>
      <w:r w:rsidRPr="00013BDC">
        <w:rPr>
          <w:rFonts w:ascii="Times New Roman" w:hAnsi="Times New Roman" w:cs="Times New Roman"/>
          <w:noProof/>
          <w:sz w:val="24"/>
          <w:szCs w:val="24"/>
          <w:lang w:val="en-IE"/>
        </w:rPr>
        <w:t xml:space="preserve"> </w:t>
      </w:r>
      <w:r w:rsidR="00351571" w:rsidRPr="00013BDC">
        <w:rPr>
          <w:rFonts w:ascii="Times New Roman" w:hAnsi="Times New Roman" w:cs="Times New Roman"/>
          <w:noProof/>
          <w:sz w:val="24"/>
          <w:szCs w:val="24"/>
          <w:lang w:val="en-IE"/>
        </w:rPr>
        <w:t xml:space="preserve">and some SMEs </w:t>
      </w:r>
      <w:r w:rsidRPr="00013BDC">
        <w:rPr>
          <w:rFonts w:ascii="Times New Roman" w:hAnsi="Times New Roman" w:cs="Times New Roman"/>
          <w:noProof/>
          <w:sz w:val="24"/>
          <w:szCs w:val="24"/>
          <w:lang w:val="en-IE"/>
        </w:rPr>
        <w:t xml:space="preserve">cautioned the application of EPR, identifying some </w:t>
      </w:r>
      <w:r w:rsidR="00351571" w:rsidRPr="00013BDC">
        <w:rPr>
          <w:rFonts w:ascii="Times New Roman" w:hAnsi="Times New Roman" w:cs="Times New Roman"/>
          <w:noProof/>
          <w:sz w:val="24"/>
          <w:szCs w:val="24"/>
          <w:lang w:val="en-IE"/>
        </w:rPr>
        <w:t>specific</w:t>
      </w:r>
      <w:r w:rsidRPr="00013BDC">
        <w:rPr>
          <w:rFonts w:ascii="Times New Roman" w:hAnsi="Times New Roman" w:cs="Times New Roman"/>
          <w:noProof/>
          <w:sz w:val="24"/>
          <w:szCs w:val="24"/>
          <w:lang w:val="en-IE"/>
        </w:rPr>
        <w:t xml:space="preserve"> challenges to be addressed in application of EPR to textiles. </w:t>
      </w:r>
    </w:p>
    <w:p w14:paraId="1888E392" w14:textId="63302B4D" w:rsidR="00CA67DF" w:rsidRPr="00013BDC" w:rsidRDefault="00CA67DF" w:rsidP="000F0D9F">
      <w:pPr>
        <w:rPr>
          <w:rFonts w:eastAsia="Calibri"/>
          <w:noProof/>
          <w:lang w:val="en-IE" w:eastAsia="en-GB"/>
        </w:rPr>
      </w:pPr>
      <w:r w:rsidRPr="00013BDC">
        <w:rPr>
          <w:rFonts w:eastAsia="Calibri"/>
          <w:b/>
          <w:noProof/>
          <w:lang w:val="en-IE" w:eastAsia="en-GB"/>
        </w:rPr>
        <w:t>53 position papers focused on food waste or included considerations on this topic</w:t>
      </w:r>
      <w:r w:rsidRPr="00013BDC">
        <w:rPr>
          <w:rFonts w:eastAsia="Calibri"/>
          <w:noProof/>
          <w:lang w:val="en-IE" w:eastAsia="en-GB"/>
        </w:rPr>
        <w:t xml:space="preserve">. </w:t>
      </w:r>
      <w:r w:rsidR="0D9EF27B" w:rsidRPr="00013BDC">
        <w:rPr>
          <w:rFonts w:eastAsia="Calibri"/>
          <w:noProof/>
          <w:lang w:val="en-IE" w:eastAsia="en-GB"/>
        </w:rPr>
        <w:t>26 papers including</w:t>
      </w:r>
      <w:r w:rsidR="0D9EF27B" w:rsidRPr="00013BDC">
        <w:rPr>
          <w:rFonts w:eastAsia="Times New Roman"/>
          <w:noProof/>
          <w:lang w:val="en-IE"/>
        </w:rPr>
        <w:t xml:space="preserve"> comments on food waste were received from business associations, 12 from non-profit organizations, 8 from companies and 7 from public authorities. </w:t>
      </w:r>
      <w:r w:rsidR="7FE5FB44" w:rsidRPr="00013BDC">
        <w:rPr>
          <w:rFonts w:eastAsia="Calibri"/>
          <w:noProof/>
          <w:lang w:val="en-IE" w:eastAsia="en-GB"/>
        </w:rPr>
        <w:t xml:space="preserve">Among </w:t>
      </w:r>
      <w:r w:rsidR="01C92103" w:rsidRPr="00013BDC">
        <w:rPr>
          <w:rFonts w:eastAsia="Calibri"/>
          <w:noProof/>
          <w:lang w:val="en-IE" w:eastAsia="en-GB"/>
        </w:rPr>
        <w:t xml:space="preserve">the 8 </w:t>
      </w:r>
      <w:r w:rsidR="7FE5FB44" w:rsidRPr="00013BDC">
        <w:rPr>
          <w:rFonts w:eastAsia="Calibri"/>
          <w:noProof/>
          <w:lang w:val="en-IE" w:eastAsia="en-GB"/>
        </w:rPr>
        <w:t>companies</w:t>
      </w:r>
      <w:r w:rsidRPr="00013BDC">
        <w:rPr>
          <w:rFonts w:eastAsia="Calibri"/>
          <w:noProof/>
          <w:lang w:val="en-IE" w:eastAsia="en-GB"/>
        </w:rPr>
        <w:t xml:space="preserve">, one </w:t>
      </w:r>
      <w:r w:rsidR="12B98D0D" w:rsidRPr="00013BDC">
        <w:rPr>
          <w:rFonts w:eastAsia="Calibri"/>
          <w:noProof/>
          <w:lang w:val="en-IE" w:eastAsia="en-GB"/>
        </w:rPr>
        <w:t>has</w:t>
      </w:r>
      <w:r w:rsidRPr="00013BDC">
        <w:rPr>
          <w:rFonts w:eastAsia="Calibri"/>
          <w:noProof/>
          <w:lang w:val="en-IE" w:eastAsia="en-GB"/>
        </w:rPr>
        <w:t xml:space="preserve"> </w:t>
      </w:r>
      <w:r w:rsidR="77C8444F" w:rsidRPr="00013BDC">
        <w:rPr>
          <w:rFonts w:eastAsia="Calibri"/>
          <w:noProof/>
          <w:lang w:val="en-IE" w:eastAsia="en-GB"/>
        </w:rPr>
        <w:t xml:space="preserve">a </w:t>
      </w:r>
      <w:r w:rsidRPr="00013BDC">
        <w:rPr>
          <w:rFonts w:eastAsia="Calibri"/>
          <w:noProof/>
          <w:lang w:val="en-IE" w:eastAsia="en-GB"/>
        </w:rPr>
        <w:t xml:space="preserve">medium size and 7 </w:t>
      </w:r>
      <w:r w:rsidR="20D691D5" w:rsidRPr="00013BDC">
        <w:rPr>
          <w:rFonts w:eastAsia="Calibri"/>
          <w:noProof/>
          <w:lang w:val="en-IE" w:eastAsia="en-GB"/>
        </w:rPr>
        <w:t xml:space="preserve">are </w:t>
      </w:r>
      <w:r w:rsidRPr="00013BDC">
        <w:rPr>
          <w:rFonts w:eastAsia="Calibri"/>
          <w:noProof/>
          <w:lang w:val="en-IE" w:eastAsia="en-GB"/>
        </w:rPr>
        <w:t xml:space="preserve">large companies. Most of the position papers expressed agreement on the setting of food waste reduction targets, with 10 papers advocating the need for ambitious targets (50% reduction) and 18 papers in favour of applying targets in all the steps of the supply chain. However, two </w:t>
      </w:r>
      <w:r w:rsidR="6A2E5BE0" w:rsidRPr="00013BDC">
        <w:rPr>
          <w:rFonts w:eastAsia="Calibri"/>
          <w:noProof/>
          <w:lang w:val="en-IE" w:eastAsia="en-GB"/>
        </w:rPr>
        <w:t>business organizations</w:t>
      </w:r>
      <w:r w:rsidRPr="00013BDC">
        <w:rPr>
          <w:rFonts w:eastAsia="Calibri"/>
          <w:noProof/>
          <w:lang w:val="en-IE" w:eastAsia="en-GB"/>
        </w:rPr>
        <w:t xml:space="preserve"> disagreed on setting targets at the primary production stage, due to the imbalance of power in the supply chain and market dynamics that cannot be controlled by farmers (e.g.</w:t>
      </w:r>
      <w:r w:rsidR="00BF7F70" w:rsidRPr="00013BDC">
        <w:rPr>
          <w:rFonts w:eastAsia="Calibri"/>
          <w:noProof/>
          <w:lang w:val="en-IE" w:eastAsia="en-GB"/>
        </w:rPr>
        <w:t>,</w:t>
      </w:r>
      <w:r w:rsidRPr="00013BDC">
        <w:rPr>
          <w:rFonts w:eastAsia="Calibri"/>
          <w:noProof/>
          <w:lang w:val="en-IE" w:eastAsia="en-GB"/>
        </w:rPr>
        <w:t xml:space="preserve"> price dynamics, cancellation of orders, etc.). Six papers </w:t>
      </w:r>
      <w:r w:rsidR="168A3195" w:rsidRPr="00013BDC">
        <w:rPr>
          <w:rFonts w:eastAsia="Calibri"/>
          <w:noProof/>
          <w:lang w:val="en-IE" w:eastAsia="en-GB"/>
        </w:rPr>
        <w:t>from business associations</w:t>
      </w:r>
      <w:r w:rsidRPr="00013BDC">
        <w:rPr>
          <w:rFonts w:eastAsia="Calibri"/>
          <w:noProof/>
          <w:lang w:val="en-IE" w:eastAsia="en-GB"/>
        </w:rPr>
        <w:t xml:space="preserve"> stressed the need to take into account previous efforts made to reduce food waste. Concerning waste prevention actions, </w:t>
      </w:r>
      <w:r w:rsidR="2249FD0F" w:rsidRPr="00013BDC">
        <w:rPr>
          <w:rFonts w:eastAsia="Calibri"/>
          <w:noProof/>
          <w:lang w:val="en-IE" w:eastAsia="en-GB"/>
        </w:rPr>
        <w:t>two papers from business associations, one from an NGO and one from a company</w:t>
      </w:r>
      <w:r w:rsidRPr="00013BDC">
        <w:rPr>
          <w:rFonts w:eastAsia="Calibri"/>
          <w:noProof/>
          <w:lang w:val="en-IE" w:eastAsia="en-GB"/>
        </w:rPr>
        <w:t xml:space="preserve"> stressed the importance of prioritizing those actions with the greatest environmental or climate impact, using a food use hierarchy approach. The role of packaging in preventing food waste, including use of innovative/high performance packaging with the potential to extend the life of food products and compostable and bio-based packaging, was stressed by 17 position papers, mainly from business associations. Concerning the actions and policy initiatives that the EU should undertake, rules on date marking and actions related to awareness raising and education were the most mentioned. The need for a harmonized food waste definition and a better monitoring system was also stressed</w:t>
      </w:r>
      <w:r w:rsidR="79DA36BE" w:rsidRPr="00013BDC">
        <w:rPr>
          <w:rFonts w:eastAsia="Calibri"/>
          <w:noProof/>
          <w:lang w:val="en-IE" w:eastAsia="en-GB"/>
        </w:rPr>
        <w:t xml:space="preserve"> by five business </w:t>
      </w:r>
      <w:r w:rsidR="002F1020" w:rsidRPr="00013BDC">
        <w:rPr>
          <w:rFonts w:eastAsia="Calibri"/>
          <w:noProof/>
          <w:lang w:val="en-IE" w:eastAsia="en-GB"/>
        </w:rPr>
        <w:t>associations</w:t>
      </w:r>
      <w:r w:rsidR="79DA36BE" w:rsidRPr="00013BDC">
        <w:rPr>
          <w:rFonts w:eastAsia="Calibri"/>
          <w:noProof/>
          <w:lang w:val="en-IE" w:eastAsia="en-GB"/>
        </w:rPr>
        <w:t xml:space="preserve"> and tw</w:t>
      </w:r>
      <w:r w:rsidR="002F1020" w:rsidRPr="00013BDC">
        <w:rPr>
          <w:rFonts w:eastAsia="Calibri"/>
          <w:noProof/>
          <w:lang w:val="en-IE" w:eastAsia="en-GB"/>
        </w:rPr>
        <w:t>o</w:t>
      </w:r>
      <w:r w:rsidR="79DA36BE" w:rsidRPr="00013BDC">
        <w:rPr>
          <w:rFonts w:eastAsia="Calibri"/>
          <w:noProof/>
          <w:lang w:val="en-IE" w:eastAsia="en-GB"/>
        </w:rPr>
        <w:t xml:space="preserve"> NGOs</w:t>
      </w:r>
      <w:r w:rsidRPr="00013BDC">
        <w:rPr>
          <w:rFonts w:eastAsia="Calibri"/>
          <w:noProof/>
          <w:lang w:val="en-IE" w:eastAsia="en-GB"/>
        </w:rPr>
        <w:t xml:space="preserve">, and four stakeholders </w:t>
      </w:r>
      <w:r w:rsidR="6576B36A" w:rsidRPr="00013BDC">
        <w:rPr>
          <w:rFonts w:eastAsia="Calibri"/>
          <w:noProof/>
          <w:lang w:val="en-IE" w:eastAsia="en-GB"/>
        </w:rPr>
        <w:t xml:space="preserve">(two business organizations, one company and one NGOs) </w:t>
      </w:r>
      <w:r w:rsidRPr="00013BDC">
        <w:rPr>
          <w:rFonts w:eastAsia="Calibri"/>
          <w:noProof/>
          <w:lang w:val="en-IE" w:eastAsia="en-GB"/>
        </w:rPr>
        <w:t>suggested to provide fiscal incentives to spur food waste prevention and incentivize food donation. Policy coherence between food waste and other related policies (e.g.</w:t>
      </w:r>
      <w:r w:rsidR="00912BD7" w:rsidRPr="00013BDC">
        <w:rPr>
          <w:rFonts w:eastAsia="Calibri"/>
          <w:noProof/>
          <w:lang w:val="en-IE" w:eastAsia="en-GB"/>
        </w:rPr>
        <w:t>,</w:t>
      </w:r>
      <w:r w:rsidRPr="00013BDC">
        <w:rPr>
          <w:rFonts w:eastAsia="Calibri"/>
          <w:noProof/>
          <w:lang w:val="en-IE" w:eastAsia="en-GB"/>
        </w:rPr>
        <w:t xml:space="preserve"> labelling, climate action, Common Agricultural Policy) was also recommended</w:t>
      </w:r>
      <w:r w:rsidR="223BC3F5" w:rsidRPr="00013BDC">
        <w:rPr>
          <w:rFonts w:eastAsia="Calibri"/>
          <w:noProof/>
          <w:lang w:val="en-IE" w:eastAsia="en-GB"/>
        </w:rPr>
        <w:t xml:space="preserve"> by two NGOs, one company and one public authority</w:t>
      </w:r>
      <w:r w:rsidRPr="00013BDC">
        <w:rPr>
          <w:rFonts w:eastAsia="Calibri"/>
          <w:noProof/>
          <w:lang w:val="en-IE" w:eastAsia="en-GB"/>
        </w:rPr>
        <w:t>.</w:t>
      </w:r>
    </w:p>
    <w:p w14:paraId="132A7872" w14:textId="4DFB1B7A" w:rsidR="00C0191A" w:rsidRPr="00013BDC" w:rsidRDefault="42048B62" w:rsidP="578F1FE5">
      <w:pPr>
        <w:pStyle w:val="Heading3"/>
        <w:keepLines/>
        <w:rPr>
          <w:noProof/>
          <w:u w:val="single"/>
          <w:lang w:val="en-IE"/>
        </w:rPr>
      </w:pPr>
      <w:bookmarkStart w:id="120" w:name="_Toc124777280"/>
      <w:bookmarkStart w:id="121" w:name="_Toc608171762"/>
      <w:bookmarkStart w:id="122" w:name="_Toc1703475744"/>
      <w:bookmarkStart w:id="123" w:name="_Toc539019074"/>
      <w:bookmarkStart w:id="124" w:name="_Toc1390502881"/>
      <w:bookmarkStart w:id="125" w:name="_Toc2084731924"/>
      <w:bookmarkStart w:id="126" w:name="_Toc1845463816"/>
      <w:bookmarkStart w:id="127" w:name="_Toc1077253213"/>
      <w:bookmarkStart w:id="128" w:name="_Toc139032937"/>
      <w:r w:rsidRPr="00013BDC">
        <w:rPr>
          <w:noProof/>
          <w:lang w:val="en-IE"/>
        </w:rPr>
        <w:t>Targeted consultations</w:t>
      </w:r>
      <w:bookmarkEnd w:id="120"/>
      <w:bookmarkEnd w:id="121"/>
      <w:bookmarkEnd w:id="122"/>
      <w:bookmarkEnd w:id="123"/>
      <w:bookmarkEnd w:id="124"/>
      <w:bookmarkEnd w:id="125"/>
      <w:bookmarkEnd w:id="126"/>
      <w:bookmarkEnd w:id="127"/>
      <w:bookmarkEnd w:id="128"/>
    </w:p>
    <w:p w14:paraId="4E355727" w14:textId="441E4006" w:rsidR="4279571F" w:rsidRPr="00013BDC" w:rsidRDefault="4ED0E4C6" w:rsidP="40EC65EA">
      <w:pPr>
        <w:rPr>
          <w:noProof/>
          <w:lang w:val="en-IE"/>
        </w:rPr>
      </w:pPr>
      <w:r w:rsidRPr="00013BDC">
        <w:rPr>
          <w:noProof/>
          <w:lang w:val="en-IE"/>
        </w:rPr>
        <w:t>Targeted consultation</w:t>
      </w:r>
      <w:r w:rsidR="6DDA5142" w:rsidRPr="00013BDC">
        <w:rPr>
          <w:noProof/>
          <w:lang w:val="en-IE"/>
        </w:rPr>
        <w:t xml:space="preserve"> for used textiles and textile waste</w:t>
      </w:r>
      <w:r w:rsidRPr="00013BDC">
        <w:rPr>
          <w:noProof/>
          <w:lang w:val="en-IE"/>
        </w:rPr>
        <w:t xml:space="preserve"> took the form of four virtual stakeholder workshops as detailed below using group discussions as a whole as well as break-out groups and use of digital white boards.  Additionally, a meeting of the WFD Expert Group (Member States), interviews and a conference on the future of Europe were used to obtain more targeted evidence. Details on each of these are presented below. The white boards </w:t>
      </w:r>
      <w:r w:rsidR="2DC96B24" w:rsidRPr="00013BDC">
        <w:rPr>
          <w:noProof/>
          <w:lang w:val="en-IE"/>
        </w:rPr>
        <w:t xml:space="preserve">that </w:t>
      </w:r>
      <w:r w:rsidRPr="00013BDC">
        <w:rPr>
          <w:noProof/>
          <w:lang w:val="en-IE"/>
        </w:rPr>
        <w:t>operated during the workshops allowed anonymous comments to be made meaning that in several cases comments received could not be attributed to any particular stakeholder group.</w:t>
      </w:r>
      <w:r w:rsidR="51A118EB" w:rsidRPr="00013BDC">
        <w:rPr>
          <w:noProof/>
          <w:lang w:val="en-IE"/>
        </w:rPr>
        <w:t xml:space="preserve"> </w:t>
      </w:r>
    </w:p>
    <w:p w14:paraId="5F5B7618" w14:textId="7474D838" w:rsidR="00C0191A" w:rsidRPr="00013BDC" w:rsidRDefault="00C0191A" w:rsidP="000F6800">
      <w:pPr>
        <w:tabs>
          <w:tab w:val="left" w:pos="0"/>
          <w:tab w:val="left" w:pos="1920"/>
        </w:tabs>
        <w:spacing w:after="120"/>
        <w:ind w:left="720" w:hanging="720"/>
        <w:rPr>
          <w:noProof/>
          <w:lang w:val="en-IE"/>
        </w:rPr>
      </w:pPr>
      <w:r w:rsidRPr="00013BDC">
        <w:rPr>
          <w:rFonts w:eastAsia="Times New Roman"/>
          <w:b/>
          <w:noProof/>
          <w:lang w:val="en-IE"/>
        </w:rPr>
        <w:t>Waste prevention, preparation for reuse and recycling and used textiles and textile waste</w:t>
      </w:r>
    </w:p>
    <w:p w14:paraId="510F02F2" w14:textId="4BA81DA2" w:rsidR="00C0191A" w:rsidRPr="00013BDC" w:rsidRDefault="00C0191A" w:rsidP="7B79872D">
      <w:pPr>
        <w:tabs>
          <w:tab w:val="left" w:pos="1920"/>
        </w:tabs>
        <w:spacing w:after="120"/>
        <w:ind w:left="720" w:hanging="720"/>
        <w:rPr>
          <w:b/>
          <w:i/>
          <w:noProof/>
          <w:lang w:val="en-IE"/>
        </w:rPr>
      </w:pPr>
      <w:r w:rsidRPr="00013BDC">
        <w:rPr>
          <w:b/>
          <w:i/>
          <w:noProof/>
          <w:lang w:val="en-IE"/>
        </w:rPr>
        <w:t>Stakeholder workshops</w:t>
      </w:r>
      <w:r w:rsidRPr="00013BDC">
        <w:rPr>
          <w:rFonts w:eastAsia="Times New Roman"/>
          <w:b/>
          <w:i/>
          <w:noProof/>
          <w:lang w:val="en-IE"/>
        </w:rPr>
        <w:t xml:space="preserve"> </w:t>
      </w:r>
    </w:p>
    <w:p w14:paraId="47F0E970" w14:textId="439DE782" w:rsidR="00C0191A" w:rsidRPr="00013BDC" w:rsidRDefault="00C0191A" w:rsidP="000F6800">
      <w:pPr>
        <w:spacing w:after="120" w:line="257" w:lineRule="auto"/>
        <w:rPr>
          <w:noProof/>
          <w:lang w:val="en-IE"/>
        </w:rPr>
      </w:pPr>
      <w:r w:rsidRPr="00013BDC">
        <w:rPr>
          <w:rFonts w:eastAsia="Times New Roman"/>
          <w:b/>
          <w:noProof/>
          <w:lang w:val="en-IE"/>
        </w:rPr>
        <w:t>Workshop One concerned preparation for reuse and recycling</w:t>
      </w:r>
      <w:r w:rsidRPr="00013BDC">
        <w:rPr>
          <w:rFonts w:eastAsia="Times New Roman"/>
          <w:noProof/>
          <w:lang w:val="en-IE"/>
        </w:rPr>
        <w:t xml:space="preserve"> and was held 30 March 2022.  It focused on the preparation for reuse and recycling of bulky waste, hazardous household waste, construction and demolition waste from households, wood packaging, ceramics packaging, WEEE and batteries. Attendees included 20 Member State representatives (including government ministries and competent authorities), 19 company/business organisations, 8 Environmental NGOs and 3 Academia and research organisations. Numerous stakeholders’ statements expressed their views regarding a lack of binding waste prevention targets at EU level in the WFD. Hereby a lack of ambitious mandatory waste reduction targets (overall for municipal solid waste and waste stream specific waste reduction targets) was frequently mentioned. Stakeholders from across all stakeholder </w:t>
      </w:r>
      <w:r w:rsidR="00AA16FD" w:rsidRPr="00013BDC">
        <w:rPr>
          <w:rFonts w:eastAsia="Times New Roman"/>
          <w:noProof/>
          <w:lang w:val="en-IE"/>
        </w:rPr>
        <w:t>groups</w:t>
      </w:r>
      <w:r w:rsidRPr="00013BDC">
        <w:rPr>
          <w:rFonts w:eastAsia="Times New Roman"/>
          <w:noProof/>
          <w:lang w:val="en-IE"/>
        </w:rPr>
        <w:t xml:space="preserve"> also stated the need for a sound monitoring system for waste prevention. The</w:t>
      </w:r>
      <w:r w:rsidR="00AA16FD" w:rsidRPr="00013BDC">
        <w:rPr>
          <w:rFonts w:eastAsia="Times New Roman"/>
          <w:noProof/>
          <w:lang w:val="en-IE"/>
        </w:rPr>
        <w:t>re</w:t>
      </w:r>
      <w:r w:rsidRPr="00013BDC">
        <w:rPr>
          <w:rFonts w:eastAsia="Times New Roman"/>
          <w:noProof/>
          <w:lang w:val="en-IE"/>
        </w:rPr>
        <w:t xml:space="preserve"> was no dispute amongst the stakeholders demanding EPR requirements and fee modulation to be better aligned with waste prevention (for example design, </w:t>
      </w:r>
      <w:r w:rsidR="00D96247" w:rsidRPr="00013BDC">
        <w:rPr>
          <w:rFonts w:eastAsia="Times New Roman"/>
          <w:noProof/>
          <w:lang w:val="en-IE"/>
        </w:rPr>
        <w:t>reuse</w:t>
      </w:r>
      <w:r w:rsidRPr="00013BDC">
        <w:rPr>
          <w:rFonts w:eastAsia="Times New Roman"/>
          <w:noProof/>
          <w:lang w:val="en-IE"/>
        </w:rPr>
        <w:t xml:space="preserve"> and repair). Several general statements were issued by stakeholders on the need of changing the modes of (linear) production and (over-)consumption patterns and on the missing decoupling of economic growth and waste production. In this context, the legal framework was still perceived as too "linear" and that the concept of "waste" should be conceived in a more circular way. </w:t>
      </w:r>
    </w:p>
    <w:p w14:paraId="00383A45" w14:textId="4508C853" w:rsidR="00C0191A" w:rsidRPr="00013BDC" w:rsidRDefault="00C0191A" w:rsidP="005143B5">
      <w:pPr>
        <w:spacing w:after="120" w:line="257" w:lineRule="auto"/>
        <w:rPr>
          <w:noProof/>
          <w:lang w:val="en-IE"/>
        </w:rPr>
      </w:pPr>
      <w:r w:rsidRPr="00013BDC">
        <w:rPr>
          <w:rFonts w:eastAsia="Times New Roman"/>
          <w:noProof/>
          <w:lang w:val="en-IE"/>
        </w:rPr>
        <w:t xml:space="preserve">Stakeholders from across the stakeholder groups agreed on the problem of low demand for repaired / refurbished products, existing market disincentives for more durable products and new products being too cheap, caused by the absence of a tax on virgin materials. Individual stakeholders, particularly NGOs emphasized the problem of control and enforcement of authorities, the problem of landfilling being the cheapest option for waste management and lack of incentives to promote the implementation of the waste hierarchy, with business representatives nothing the problem of soiled recyclables in the collection phase hampering further recycling / </w:t>
      </w:r>
      <w:r w:rsidR="00D96247" w:rsidRPr="00013BDC">
        <w:rPr>
          <w:rFonts w:eastAsia="Times New Roman"/>
          <w:noProof/>
          <w:lang w:val="en-IE"/>
        </w:rPr>
        <w:t>reuse</w:t>
      </w:r>
      <w:r w:rsidRPr="00013BDC">
        <w:rPr>
          <w:rFonts w:eastAsia="Times New Roman"/>
          <w:noProof/>
          <w:lang w:val="en-IE"/>
        </w:rPr>
        <w:t>.</w:t>
      </w:r>
    </w:p>
    <w:p w14:paraId="08200E9C" w14:textId="6BC76996" w:rsidR="00C0191A" w:rsidRPr="00013BDC" w:rsidRDefault="00C0191A" w:rsidP="005143B5">
      <w:pPr>
        <w:spacing w:after="120"/>
        <w:rPr>
          <w:noProof/>
          <w:lang w:val="en-IE"/>
        </w:rPr>
      </w:pPr>
      <w:r w:rsidRPr="00013BDC">
        <w:rPr>
          <w:rFonts w:eastAsia="Times New Roman"/>
          <w:b/>
          <w:noProof/>
          <w:lang w:val="en-IE"/>
        </w:rPr>
        <w:t xml:space="preserve">Workshop Two concerning used textile and textile waste </w:t>
      </w:r>
      <w:r w:rsidRPr="00013BDC">
        <w:rPr>
          <w:rFonts w:eastAsia="Times New Roman"/>
          <w:noProof/>
          <w:lang w:val="en-IE"/>
        </w:rPr>
        <w:t xml:space="preserve">was held on 31 March 2022. The half-day workshop focussed on determining the problems concerning used textile and textile waste, their associated drivers and their likely impacts. Attendees were comprised of 20 Member State representatives, including government ministries and competent authorities, 19 Company / business organisations, </w:t>
      </w:r>
      <w:r w:rsidR="2F3C7D80" w:rsidRPr="00013BDC">
        <w:rPr>
          <w:rFonts w:eastAsia="Times New Roman"/>
          <w:noProof/>
          <w:lang w:val="en-IE"/>
        </w:rPr>
        <w:t xml:space="preserve">8 </w:t>
      </w:r>
      <w:r w:rsidR="7599F64B" w:rsidRPr="00013BDC">
        <w:rPr>
          <w:rFonts w:eastAsia="Times New Roman"/>
          <w:noProof/>
          <w:lang w:val="en-IE"/>
        </w:rPr>
        <w:t>Environmental</w:t>
      </w:r>
      <w:r w:rsidRPr="00013BDC">
        <w:rPr>
          <w:rFonts w:eastAsia="Times New Roman"/>
          <w:noProof/>
          <w:lang w:val="en-IE"/>
        </w:rPr>
        <w:t xml:space="preserve"> NGOs and </w:t>
      </w:r>
      <w:r w:rsidR="63B0F6E1" w:rsidRPr="00013BDC">
        <w:rPr>
          <w:rFonts w:eastAsia="Times New Roman"/>
          <w:noProof/>
          <w:lang w:val="en-IE"/>
        </w:rPr>
        <w:t>5</w:t>
      </w:r>
      <w:r w:rsidRPr="00013BDC">
        <w:rPr>
          <w:rFonts w:eastAsia="Times New Roman"/>
          <w:noProof/>
          <w:lang w:val="en-IE"/>
        </w:rPr>
        <w:t xml:space="preserve"> Academia and research organisations.  Comments were made on the need to standardise definitions, rules, targets and EPR schemes across the EU. Stakeholders also mentioned the need to regulate the design of textiles, through eco-design measures and through consideration of eco modulation in the case of EPR. Some stakeholders, particularly business associations and NGOs indicated the need to facilitate changes in consumer behaviour, and some felt that regulations should address this issue. Comments indicated that priority for the management of textile should be given to sorting for reuse and then to recycling. Focus should also be given on reintroducing recycled textile into new textile products. </w:t>
      </w:r>
    </w:p>
    <w:p w14:paraId="50DD2A39" w14:textId="5C147531" w:rsidR="00C0191A" w:rsidRPr="00013BDC" w:rsidRDefault="00C0191A" w:rsidP="005143B5">
      <w:pPr>
        <w:spacing w:after="120"/>
        <w:rPr>
          <w:noProof/>
          <w:lang w:val="en-IE"/>
        </w:rPr>
      </w:pPr>
      <w:r w:rsidRPr="00013BDC">
        <w:rPr>
          <w:rFonts w:eastAsia="Times New Roman"/>
          <w:noProof/>
          <w:lang w:val="en-IE"/>
        </w:rPr>
        <w:t xml:space="preserve">Specifically concerning recycling of textiles, industry stakeholders regretted the lack of economic attractiveness of recycled textile fibres, considering the very low cost of new fibres. It was considered that regulatory incentives could help reverse this pattern.  Comments were also echoed across all stakeholder groups on the lack of infrastructure to absorb the volumes of textile waste and on the low quality and durability of textiles due to fast-fashion trends, which result in short product lifetime. Stakeholders, particularly industry stakeholders, identified that some of the main barriers to high quality recycling were due to the diverse mix of materials, coatings, dyes, and non-textile elements that make up garments, which are not designed for reuse or recycling. </w:t>
      </w:r>
    </w:p>
    <w:p w14:paraId="4FA9B3B9" w14:textId="31428B16" w:rsidR="00C0191A" w:rsidRPr="00013BDC" w:rsidRDefault="00C0191A" w:rsidP="005143B5">
      <w:pPr>
        <w:spacing w:after="120"/>
        <w:rPr>
          <w:noProof/>
          <w:lang w:val="en-IE"/>
        </w:rPr>
      </w:pPr>
      <w:r w:rsidRPr="00013BDC">
        <w:rPr>
          <w:rFonts w:eastAsia="Times New Roman"/>
          <w:noProof/>
          <w:lang w:val="en-IE"/>
        </w:rPr>
        <w:t>Stakeholders overall agreed that the option of no further policy intervention was not sufficient to ensure the collected textiles be sustainably managed. They indicated that the separate collection obligation as of 2025 should be accompanied by other measures (targets). They also pointed out the current lack of harmonised definitions and whilst there was agreement that best practices should be shared, the need for more harmonisation of definitions across Member States was considered of primary importance.</w:t>
      </w:r>
    </w:p>
    <w:p w14:paraId="3C60A7C2" w14:textId="513941CF" w:rsidR="00C0191A" w:rsidRPr="00013BDC" w:rsidRDefault="00C0191A" w:rsidP="005143B5">
      <w:pPr>
        <w:spacing w:after="120"/>
        <w:rPr>
          <w:noProof/>
          <w:lang w:val="en-IE"/>
        </w:rPr>
      </w:pPr>
      <w:r w:rsidRPr="00013BDC">
        <w:rPr>
          <w:rFonts w:eastAsia="Times New Roman"/>
          <w:noProof/>
          <w:lang w:val="en-IE"/>
        </w:rPr>
        <w:t xml:space="preserve">Different aspects of EPR for textiles were highlighted. Stakeholders, particularly NGOs, mentioned that a focus should be given to repair and reuse, and that an EPR scheme should not incentivize recycling over </w:t>
      </w:r>
      <w:r w:rsidR="00D96247" w:rsidRPr="00013BDC">
        <w:rPr>
          <w:rFonts w:eastAsia="Times New Roman"/>
          <w:noProof/>
          <w:lang w:val="en-IE"/>
        </w:rPr>
        <w:t>reuse</w:t>
      </w:r>
      <w:r w:rsidRPr="00013BDC">
        <w:rPr>
          <w:rFonts w:eastAsia="Times New Roman"/>
          <w:noProof/>
          <w:lang w:val="en-IE"/>
        </w:rPr>
        <w:t>. All stakeholders agreed that collection, sorting and recycling infrastructures needs to be dramatically scaled up, and that EPR could provide the necessary funding to make that happen. However, in the interest of consistency there would also be a need for clear guidance on specific aspects of EPR schemes, such as the responsibilities of actors and governance if there were to be additional measures on EPR at EU level. Finally, the need to consider the overall regulatory framework when thinking of new measures was highlighted.</w:t>
      </w:r>
    </w:p>
    <w:p w14:paraId="6310985D" w14:textId="37BE0F64" w:rsidR="00C0191A" w:rsidRPr="00013BDC" w:rsidRDefault="00C0191A" w:rsidP="005143B5">
      <w:pPr>
        <w:spacing w:after="120"/>
        <w:rPr>
          <w:rFonts w:eastAsia="Times New Roman"/>
          <w:noProof/>
          <w:lang w:val="en-IE"/>
        </w:rPr>
      </w:pPr>
      <w:r w:rsidRPr="00013BDC">
        <w:rPr>
          <w:rFonts w:eastAsia="Times New Roman"/>
          <w:noProof/>
          <w:lang w:val="en-IE"/>
        </w:rPr>
        <w:t>Different opinions emerged on the topic of targets and restrictions. Industry stakeholders mentioned the importance to consider available capacity (i.e.</w:t>
      </w:r>
      <w:r w:rsidR="005C21B6" w:rsidRPr="00013BDC">
        <w:rPr>
          <w:rFonts w:eastAsia="Times New Roman"/>
          <w:noProof/>
          <w:lang w:val="en-IE"/>
        </w:rPr>
        <w:t>,</w:t>
      </w:r>
      <w:r w:rsidRPr="00013BDC">
        <w:rPr>
          <w:rFonts w:eastAsia="Times New Roman"/>
          <w:noProof/>
          <w:lang w:val="en-IE"/>
        </w:rPr>
        <w:t xml:space="preserve"> for sorting, recycling) when setting targets, and to include industry experts in the discussion. Binding targets on the use of recycled content in new textiles were also mentioned, as well as distinct targets between (preparation for) reuse and recycling. Some stakeholders, particularly </w:t>
      </w:r>
      <w:r w:rsidR="48D4FD35" w:rsidRPr="00013BDC">
        <w:rPr>
          <w:rFonts w:eastAsia="Times New Roman"/>
          <w:noProof/>
          <w:lang w:val="en-IE"/>
        </w:rPr>
        <w:t>NG</w:t>
      </w:r>
      <w:r w:rsidR="01AC925D" w:rsidRPr="00013BDC">
        <w:rPr>
          <w:rFonts w:eastAsia="Times New Roman"/>
          <w:noProof/>
          <w:lang w:val="en-IE"/>
        </w:rPr>
        <w:t>O</w:t>
      </w:r>
      <w:r w:rsidR="48D4FD35" w:rsidRPr="00013BDC">
        <w:rPr>
          <w:rFonts w:eastAsia="Times New Roman"/>
          <w:noProof/>
          <w:lang w:val="en-IE"/>
        </w:rPr>
        <w:t>s</w:t>
      </w:r>
      <w:r w:rsidRPr="00013BDC">
        <w:rPr>
          <w:rFonts w:eastAsia="Times New Roman"/>
          <w:noProof/>
          <w:lang w:val="en-IE"/>
        </w:rPr>
        <w:t>, suggested separate targets for household and for commercial/industrial waste.  Some concerns were also raised, on necessary monitoring and reporting to monitor targets, on the risk of misaligned application of targets in EU Member States, and on the importance to consider the current status of the different Member States with regards to management of used textile and textile waste when defining targets. Stakeholders mentioned that targets on prevention could also be considered.</w:t>
      </w:r>
    </w:p>
    <w:p w14:paraId="0EB20E4A" w14:textId="1E0AD8F4" w:rsidR="00C0191A" w:rsidRPr="00013BDC" w:rsidRDefault="00C0191A" w:rsidP="005143B5">
      <w:pPr>
        <w:spacing w:after="120"/>
        <w:rPr>
          <w:noProof/>
          <w:lang w:val="en-IE"/>
        </w:rPr>
      </w:pPr>
      <w:r w:rsidRPr="00013BDC">
        <w:rPr>
          <w:rFonts w:eastAsia="Times New Roman"/>
          <w:b/>
          <w:noProof/>
          <w:lang w:val="en-IE"/>
        </w:rPr>
        <w:t>Workshop Three concerning waste prevention</w:t>
      </w:r>
      <w:r w:rsidRPr="00013BDC">
        <w:rPr>
          <w:rFonts w:eastAsia="Times New Roman"/>
          <w:noProof/>
          <w:lang w:val="en-IE"/>
        </w:rPr>
        <w:t xml:space="preserve"> was held on 5 Ap</w:t>
      </w:r>
      <w:r w:rsidR="00AB3925" w:rsidRPr="00013BDC">
        <w:rPr>
          <w:rFonts w:eastAsia="Times New Roman"/>
          <w:noProof/>
          <w:lang w:val="en-IE"/>
        </w:rPr>
        <w:t>ril 2022.</w:t>
      </w:r>
      <w:r w:rsidRPr="00013BDC">
        <w:rPr>
          <w:rFonts w:eastAsia="Times New Roman"/>
          <w:noProof/>
          <w:lang w:val="en-IE"/>
        </w:rPr>
        <w:t xml:space="preserve"> The attendees were comprised of 20 Member State representatives, including government ministries and competent authorities, 19 Company / business organisations, </w:t>
      </w:r>
      <w:r w:rsidR="6B287F73" w:rsidRPr="00013BDC">
        <w:rPr>
          <w:rFonts w:eastAsia="Times New Roman"/>
          <w:noProof/>
          <w:lang w:val="en-IE"/>
        </w:rPr>
        <w:t xml:space="preserve">8 </w:t>
      </w:r>
      <w:r w:rsidR="179BA072" w:rsidRPr="00013BDC">
        <w:rPr>
          <w:rFonts w:eastAsia="Times New Roman"/>
          <w:noProof/>
          <w:lang w:val="en-IE"/>
        </w:rPr>
        <w:t>Environmental</w:t>
      </w:r>
      <w:r w:rsidRPr="00013BDC">
        <w:rPr>
          <w:rFonts w:eastAsia="Times New Roman"/>
          <w:noProof/>
          <w:lang w:val="en-IE"/>
        </w:rPr>
        <w:t xml:space="preserve"> NGO and </w:t>
      </w:r>
      <w:r w:rsidR="66DC86F8" w:rsidRPr="00013BDC">
        <w:rPr>
          <w:rFonts w:eastAsia="Times New Roman"/>
          <w:noProof/>
          <w:lang w:val="en-IE"/>
        </w:rPr>
        <w:t>5</w:t>
      </w:r>
      <w:r w:rsidRPr="00013BDC">
        <w:rPr>
          <w:rFonts w:eastAsia="Times New Roman"/>
          <w:noProof/>
          <w:lang w:val="en-IE"/>
        </w:rPr>
        <w:t xml:space="preserve"> Academia and research organisations. Whilst the workshop focussed on Municipal solid waste / Total Waste, Food / Bio waste, Bulky waste, Construction and demolition waste, WEEE, Textile Waste, End-of-Life Vehicles (ELV) and End-of-Life Tyres (ELT) Task 1(b) the input from the workshop was, on the one hand very diversified and covered a wide range of aspects, but in relation to stakeholder feedback had a clear focus on bulky waste. However, as part of the discussions it must be emphasised that in general there were no strong different </w:t>
      </w:r>
      <w:r w:rsidR="00001EFB" w:rsidRPr="00013BDC">
        <w:rPr>
          <w:rFonts w:eastAsia="Times New Roman"/>
          <w:noProof/>
          <w:lang w:val="en-IE"/>
        </w:rPr>
        <w:t>opinions from different groups.</w:t>
      </w:r>
      <w:r w:rsidRPr="00013BDC">
        <w:rPr>
          <w:rFonts w:eastAsia="Times New Roman"/>
          <w:noProof/>
          <w:lang w:val="en-IE"/>
        </w:rPr>
        <w:t xml:space="preserve"> A further overriding theme from all stakeholders related to data limitations in respect to the problems and drivers related to </w:t>
      </w:r>
      <w:r w:rsidR="00001EFB" w:rsidRPr="00013BDC">
        <w:rPr>
          <w:rFonts w:eastAsia="Times New Roman"/>
          <w:noProof/>
          <w:lang w:val="en-IE"/>
        </w:rPr>
        <w:t>waste prevention.</w:t>
      </w:r>
      <w:r w:rsidRPr="00013BDC">
        <w:rPr>
          <w:rFonts w:eastAsia="Times New Roman"/>
          <w:noProof/>
          <w:lang w:val="en-IE"/>
        </w:rPr>
        <w:t xml:space="preserve"> </w:t>
      </w:r>
      <w:r w:rsidR="001603D5" w:rsidRPr="00013BDC">
        <w:rPr>
          <w:rFonts w:eastAsia="Times New Roman"/>
          <w:noProof/>
          <w:lang w:val="en-IE"/>
        </w:rPr>
        <w:t>All</w:t>
      </w:r>
      <w:r w:rsidRPr="00013BDC">
        <w:rPr>
          <w:rFonts w:eastAsia="Times New Roman"/>
          <w:noProof/>
          <w:lang w:val="en-IE"/>
        </w:rPr>
        <w:t xml:space="preserve"> stakeholders </w:t>
      </w:r>
      <w:r w:rsidR="001603D5" w:rsidRPr="00013BDC">
        <w:rPr>
          <w:rFonts w:eastAsia="Times New Roman"/>
          <w:noProof/>
          <w:lang w:val="en-IE"/>
        </w:rPr>
        <w:t>agreed</w:t>
      </w:r>
      <w:r w:rsidRPr="00013BDC">
        <w:rPr>
          <w:rFonts w:eastAsia="Times New Roman"/>
          <w:noProof/>
          <w:lang w:val="en-IE"/>
        </w:rPr>
        <w:t xml:space="preserve"> that current practices were insufficient to promote preparation for reuse and recycling </w:t>
      </w:r>
      <w:r w:rsidR="001603D5" w:rsidRPr="00013BDC">
        <w:rPr>
          <w:rFonts w:eastAsia="Times New Roman"/>
          <w:noProof/>
          <w:lang w:val="en-IE"/>
        </w:rPr>
        <w:t>and that this can be</w:t>
      </w:r>
      <w:r w:rsidRPr="00013BDC">
        <w:rPr>
          <w:rFonts w:eastAsia="Times New Roman"/>
          <w:noProof/>
          <w:lang w:val="en-IE"/>
        </w:rPr>
        <w:t xml:space="preserve"> address</w:t>
      </w:r>
      <w:r w:rsidR="001603D5" w:rsidRPr="00013BDC">
        <w:rPr>
          <w:rFonts w:eastAsia="Times New Roman"/>
          <w:noProof/>
          <w:lang w:val="en-IE"/>
        </w:rPr>
        <w:t>ed</w:t>
      </w:r>
      <w:r w:rsidR="00413FC1" w:rsidRPr="00013BDC">
        <w:rPr>
          <w:rFonts w:eastAsia="Times New Roman"/>
          <w:noProof/>
          <w:lang w:val="en-IE"/>
        </w:rPr>
        <w:t xml:space="preserve"> through</w:t>
      </w:r>
      <w:r w:rsidRPr="00013BDC">
        <w:rPr>
          <w:rFonts w:eastAsia="Times New Roman"/>
          <w:noProof/>
          <w:lang w:val="en-IE"/>
        </w:rPr>
        <w:t xml:space="preserve"> a mix of measures</w:t>
      </w:r>
      <w:r w:rsidR="00001EFB" w:rsidRPr="00013BDC">
        <w:rPr>
          <w:rFonts w:eastAsia="Times New Roman"/>
          <w:noProof/>
          <w:lang w:val="en-IE"/>
        </w:rPr>
        <w:t>.</w:t>
      </w:r>
      <w:r w:rsidRPr="00013BDC">
        <w:rPr>
          <w:rFonts w:eastAsia="Times New Roman"/>
          <w:noProof/>
          <w:lang w:val="en-IE"/>
        </w:rPr>
        <w:t xml:space="preserve"> There were universal calls for greater assistance in interpreting existing measures alongside any new provisions.</w:t>
      </w:r>
    </w:p>
    <w:p w14:paraId="5FDAF2F0" w14:textId="4C45FE7F" w:rsidR="00C0191A" w:rsidRPr="00013BDC" w:rsidRDefault="00C0191A" w:rsidP="00DF250F">
      <w:pPr>
        <w:rPr>
          <w:rFonts w:eastAsia="Times New Roman"/>
          <w:noProof/>
          <w:lang w:val="en-IE"/>
        </w:rPr>
      </w:pPr>
      <w:r w:rsidRPr="00013BDC">
        <w:rPr>
          <w:rFonts w:eastAsia="Times New Roman"/>
          <w:b/>
          <w:noProof/>
          <w:lang w:val="en-IE"/>
        </w:rPr>
        <w:t>Workshop Four concerning used textiles and textile waste</w:t>
      </w:r>
      <w:r w:rsidRPr="00013BDC">
        <w:rPr>
          <w:rFonts w:eastAsia="Times New Roman"/>
          <w:noProof/>
          <w:lang w:val="en-IE"/>
        </w:rPr>
        <w:t xml:space="preserve"> was held on 7 July 2022. Attendees at the workshop were comprised of 44 Member State representatives, including government ministries, national and regional competent authorities, 31 Company / business organisations, 19 Environmental NGOs and </w:t>
      </w:r>
      <w:r w:rsidR="4DB61707" w:rsidRPr="00013BDC">
        <w:rPr>
          <w:rFonts w:eastAsia="Times New Roman"/>
          <w:noProof/>
          <w:lang w:val="en-IE"/>
        </w:rPr>
        <w:t>2</w:t>
      </w:r>
      <w:r w:rsidRPr="00013BDC">
        <w:rPr>
          <w:rFonts w:eastAsia="Times New Roman"/>
          <w:noProof/>
          <w:lang w:val="en-IE"/>
        </w:rPr>
        <w:t xml:space="preserve"> Academia and research organisations. Attendees were presented with the options to address used textiles and textile waste under consideration with lower levels of support for lower ambition measures and </w:t>
      </w:r>
      <w:r w:rsidR="00001EFB" w:rsidRPr="00013BDC">
        <w:rPr>
          <w:rFonts w:eastAsia="Times New Roman"/>
          <w:noProof/>
          <w:lang w:val="en-IE"/>
        </w:rPr>
        <w:t>higher levels of support for more ambitious measures.</w:t>
      </w:r>
      <w:r w:rsidRPr="00013BDC">
        <w:rPr>
          <w:rFonts w:eastAsia="Times New Roman"/>
          <w:noProof/>
          <w:lang w:val="en-IE"/>
        </w:rPr>
        <w:t xml:space="preserve"> Common themes reported by all stakeholder groups included the need to greater consistency in determining the scope of textiles under the WFD and the need to support infrastructure development to manag</w:t>
      </w:r>
      <w:r w:rsidR="00001EFB" w:rsidRPr="00013BDC">
        <w:rPr>
          <w:rFonts w:eastAsia="Times New Roman"/>
          <w:noProof/>
          <w:lang w:val="en-IE"/>
        </w:rPr>
        <w:t>e the textile wastes generated.</w:t>
      </w:r>
      <w:r w:rsidRPr="00013BDC">
        <w:rPr>
          <w:rFonts w:eastAsia="Times New Roman"/>
          <w:noProof/>
          <w:lang w:val="en-IE"/>
        </w:rPr>
        <w:t xml:space="preserve"> Correctly targeted and consistent application of EPR was seen as an important measure in this regard.  Furthermore, in the context of EPR a Member State noted the need to include consideration of the needs of smaller Member States that may rely on neighbouring Member States when it comes to textile waste treatment.</w:t>
      </w:r>
    </w:p>
    <w:p w14:paraId="6DA6DB05" w14:textId="700363C1" w:rsidR="00C0191A" w:rsidRPr="00013BDC" w:rsidRDefault="00087DB8" w:rsidP="7B79872D">
      <w:pPr>
        <w:tabs>
          <w:tab w:val="left" w:pos="1920"/>
        </w:tabs>
        <w:spacing w:after="120"/>
        <w:ind w:left="720" w:hanging="720"/>
        <w:rPr>
          <w:b/>
          <w:i/>
          <w:noProof/>
          <w:lang w:val="en-IE"/>
        </w:rPr>
      </w:pPr>
      <w:r w:rsidRPr="00013BDC">
        <w:rPr>
          <w:b/>
          <w:i/>
          <w:noProof/>
          <w:lang w:val="en-IE"/>
        </w:rPr>
        <w:t xml:space="preserve">Waste Framework Directive Member States Expert Group meeting. </w:t>
      </w:r>
      <w:r w:rsidR="00C0191A" w:rsidRPr="00013BDC">
        <w:rPr>
          <w:b/>
          <w:i/>
          <w:noProof/>
          <w:lang w:val="en-IE"/>
        </w:rPr>
        <w:t>– 19 October 2022.</w:t>
      </w:r>
    </w:p>
    <w:p w14:paraId="352D35FE" w14:textId="3130BF7C" w:rsidR="00C0191A" w:rsidRPr="00013BDC" w:rsidRDefault="00C0191A" w:rsidP="005143B5">
      <w:pPr>
        <w:rPr>
          <w:rFonts w:eastAsia="Times New Roman"/>
          <w:noProof/>
          <w:lang w:val="en-IE"/>
        </w:rPr>
      </w:pPr>
      <w:r w:rsidRPr="00013BDC">
        <w:rPr>
          <w:rFonts w:eastAsia="Calibri"/>
          <w:noProof/>
          <w:lang w:val="en-IE"/>
        </w:rPr>
        <w:t xml:space="preserve">Several presentations were given at a virtual meeting of the WFD Member State Expert Group, two of which concerned the topics of this initiative: textiles and food waste. In relation to textiles, Member State representatives were presented with the problems identified, the objectives to be achieved, the policy options that could be applied to achieve the objectives including the specific proposed measures contained therein and a list of the preliminary impacts of the intervention. </w:t>
      </w:r>
      <w:r w:rsidRPr="00013BDC">
        <w:rPr>
          <w:rFonts w:eastAsia="Times New Roman"/>
          <w:noProof/>
          <w:lang w:val="en-IE"/>
        </w:rPr>
        <w:t>Member States generally considered that a mix of policy measures were required to address used textiles and textile wastes, with clarification of definitions, establishing minimum requirements on separate collection, mandating the use of EPR for textiles and banning the landfilling of textile wastes seen as the key priority measures to be applied.</w:t>
      </w:r>
      <w:r w:rsidR="36E66BA2" w:rsidRPr="00013BDC">
        <w:rPr>
          <w:rFonts w:eastAsia="Times New Roman"/>
          <w:noProof/>
          <w:lang w:val="en-IE"/>
        </w:rPr>
        <w:t xml:space="preserve"> In relation to food waste, Member States were presented with the set up for policy options and the results of public consultations. As data on food waste generation were not available yet (published on 25 October 2022), discussion on food waste was short and limited to clarification of elements presented.</w:t>
      </w:r>
    </w:p>
    <w:p w14:paraId="6949F888" w14:textId="147EEED4" w:rsidR="1EFFACEA" w:rsidRPr="00013BDC" w:rsidRDefault="1EFFACEA" w:rsidP="267EB124">
      <w:pPr>
        <w:tabs>
          <w:tab w:val="left" w:pos="1920"/>
        </w:tabs>
        <w:spacing w:after="120"/>
        <w:ind w:left="720" w:hanging="720"/>
        <w:rPr>
          <w:rFonts w:eastAsia="Times New Roman"/>
          <w:b/>
          <w:noProof/>
          <w:lang w:val="en-IE"/>
        </w:rPr>
      </w:pPr>
      <w:r w:rsidRPr="00013BDC">
        <w:rPr>
          <w:rFonts w:eastAsia="Times New Roman"/>
          <w:b/>
          <w:i/>
          <w:noProof/>
          <w:lang w:val="en-IE"/>
        </w:rPr>
        <w:t>Interviews</w:t>
      </w:r>
    </w:p>
    <w:p w14:paraId="39D16442" w14:textId="4DD75673" w:rsidR="267EB124" w:rsidRPr="00013BDC" w:rsidRDefault="1EFFACEA" w:rsidP="267EB124">
      <w:pPr>
        <w:spacing w:after="120"/>
        <w:rPr>
          <w:rFonts w:eastAsia="Calibri"/>
          <w:noProof/>
          <w:lang w:val="en-IE"/>
        </w:rPr>
      </w:pPr>
      <w:r w:rsidRPr="00013BDC">
        <w:rPr>
          <w:rFonts w:eastAsia="Calibri"/>
          <w:noProof/>
          <w:lang w:val="en-IE"/>
        </w:rPr>
        <w:t>In April and May 2022 interviews were organised with selected stakeholders from across all stakeholder groups primarily focussing on a broader scope at first and then later focussing on used textile and textile waste. Twenty-seven one-to-one interviews / one-to-group interviews were held with regard to problem identification, the scope of the objectives and evidence gathering with regard to the impacts of options and measures. According to the stakeholders, an EU-wide EPR framework should include specific elements in order to be efficient. Measures on re-use, repair and separate collection need to include enforceable, binding targets to stimulate producers to make the transition to circularity. As regards the scope of the initiative, some of the stakeholders suggested that the collection should include textile waste generated by households and professionals that is comparable to household textiles such as clothes, home and interior textiles, bags made from textiles and textile accessories; however, they raised concerns on shoes and technical textiles. They also suggested to limit the scope at the beginning and to expand over time when the infrastructure is in place and to use the Customs Tariff CN codes to define the textiles covered by the suggested EPR scheme. The stakeholders expressed different views on the issue of guidance. In terms of targets, the stakeholders recommended that targets</w:t>
      </w:r>
      <w:r w:rsidR="005833CE" w:rsidRPr="00013BDC">
        <w:rPr>
          <w:rFonts w:eastAsia="Calibri"/>
          <w:noProof/>
          <w:lang w:val="en-IE"/>
        </w:rPr>
        <w:t xml:space="preserve"> with a gradual increase in their level of ambition over time</w:t>
      </w:r>
      <w:r w:rsidRPr="00013BDC">
        <w:rPr>
          <w:rFonts w:eastAsia="Calibri"/>
          <w:noProof/>
          <w:lang w:val="en-IE"/>
        </w:rPr>
        <w:t xml:space="preserve"> should be developed, depending on the levels of consumption, as well as enforceable resource reduction targets for textile production, by e.g., a recycled-content target. They also highlighted the fact that any targets should be combined with the scaling up of recycling technologies in the Member States and that the re-use targets should ensure that reuse is actually taking place. They noted that it is important to consider that targets for preparation for reuse and recycling of textile waste should be based on the waste hierarchy.</w:t>
      </w:r>
    </w:p>
    <w:p w14:paraId="2F9359B9" w14:textId="42D195DD" w:rsidR="00C64BA4" w:rsidRPr="00013BDC" w:rsidRDefault="008D751C" w:rsidP="7B79872D">
      <w:pPr>
        <w:tabs>
          <w:tab w:val="left" w:pos="1920"/>
        </w:tabs>
        <w:spacing w:after="120"/>
        <w:ind w:left="720" w:hanging="720"/>
        <w:rPr>
          <w:noProof/>
          <w:lang w:val="en-IE"/>
        </w:rPr>
      </w:pPr>
      <w:r w:rsidRPr="00013BDC">
        <w:rPr>
          <w:rFonts w:eastAsia="Times New Roman"/>
          <w:b/>
          <w:noProof/>
          <w:lang w:val="en-IE"/>
        </w:rPr>
        <w:t>P</w:t>
      </w:r>
      <w:r w:rsidR="00C64BA4" w:rsidRPr="00013BDC">
        <w:rPr>
          <w:rFonts w:eastAsia="Times New Roman"/>
          <w:b/>
          <w:noProof/>
          <w:lang w:val="en-IE"/>
        </w:rPr>
        <w:t>revention</w:t>
      </w:r>
      <w:r w:rsidRPr="00013BDC">
        <w:rPr>
          <w:rFonts w:eastAsia="Times New Roman"/>
          <w:b/>
          <w:noProof/>
          <w:lang w:val="en-IE"/>
        </w:rPr>
        <w:t xml:space="preserve"> and management of food waste</w:t>
      </w:r>
      <w:r w:rsidR="00C64BA4" w:rsidRPr="00013BDC">
        <w:rPr>
          <w:rFonts w:eastAsia="Times New Roman"/>
          <w:b/>
          <w:noProof/>
          <w:lang w:val="en-IE"/>
        </w:rPr>
        <w:t xml:space="preserve"> </w:t>
      </w:r>
    </w:p>
    <w:p w14:paraId="227D2FC3" w14:textId="2238B5B6" w:rsidR="008B70FE" w:rsidRPr="00013BDC" w:rsidRDefault="008B70FE" w:rsidP="00DA2170">
      <w:pPr>
        <w:tabs>
          <w:tab w:val="left" w:pos="0"/>
          <w:tab w:val="left" w:pos="1920"/>
        </w:tabs>
        <w:spacing w:after="120"/>
        <w:ind w:left="720" w:hanging="720"/>
        <w:rPr>
          <w:b/>
          <w:i/>
          <w:noProof/>
          <w:lang w:val="en-IE"/>
        </w:rPr>
      </w:pPr>
      <w:r w:rsidRPr="00013BDC">
        <w:rPr>
          <w:b/>
          <w:i/>
          <w:noProof/>
          <w:lang w:val="en-IE"/>
        </w:rPr>
        <w:t>Surveys on food waste prevention initiatives</w:t>
      </w:r>
    </w:p>
    <w:p w14:paraId="65060E68" w14:textId="40B41B76" w:rsidR="008B70FE" w:rsidRPr="00013BDC" w:rsidRDefault="008B70FE" w:rsidP="000F07F6">
      <w:pPr>
        <w:spacing w:after="120"/>
        <w:rPr>
          <w:rFonts w:eastAsia="Calibri"/>
          <w:noProof/>
          <w:lang w:val="en-IE"/>
        </w:rPr>
      </w:pPr>
      <w:r w:rsidRPr="00013BDC">
        <w:rPr>
          <w:rFonts w:eastAsia="Calibri"/>
          <w:noProof/>
          <w:lang w:val="en-IE"/>
        </w:rPr>
        <w:t>Targeted consultations on food waste prevention initiatives were carried out by means of two surveys sent to Member State experts and stakeholders in the food value chain</w:t>
      </w:r>
      <w:r w:rsidR="0053306C" w:rsidRPr="00013BDC">
        <w:rPr>
          <w:rStyle w:val="FootnoteReference"/>
          <w:rFonts w:eastAsia="Calibri"/>
          <w:noProof/>
          <w:lang w:val="en-IE"/>
        </w:rPr>
        <w:footnoteReference w:id="26"/>
      </w:r>
      <w:r w:rsidRPr="00013BDC">
        <w:rPr>
          <w:rFonts w:eastAsia="Calibri"/>
          <w:noProof/>
          <w:lang w:val="en-IE"/>
        </w:rPr>
        <w:t>. Both surveys aimed at collecting quantitative data on costs of the waste prevention initiatives and amounts of food waste prevented.</w:t>
      </w:r>
      <w:r w:rsidR="00D107CB" w:rsidRPr="00013BDC">
        <w:rPr>
          <w:rFonts w:eastAsia="Calibri"/>
          <w:noProof/>
          <w:lang w:val="en-IE"/>
        </w:rPr>
        <w:t xml:space="preserve"> </w:t>
      </w:r>
      <w:r w:rsidRPr="00013BDC">
        <w:rPr>
          <w:rFonts w:eastAsia="Calibri"/>
          <w:noProof/>
          <w:lang w:val="en-IE"/>
        </w:rPr>
        <w:t xml:space="preserve">The survey for Member States (MS) was </w:t>
      </w:r>
      <w:r w:rsidR="00D107CB" w:rsidRPr="00013BDC">
        <w:rPr>
          <w:rFonts w:eastAsia="Calibri"/>
          <w:noProof/>
          <w:lang w:val="en-IE"/>
        </w:rPr>
        <w:t>open</w:t>
      </w:r>
      <w:r w:rsidRPr="00013BDC">
        <w:rPr>
          <w:rFonts w:eastAsia="Calibri"/>
          <w:noProof/>
          <w:lang w:val="en-IE"/>
        </w:rPr>
        <w:t xml:space="preserve"> March </w:t>
      </w:r>
      <w:r w:rsidR="00D107CB" w:rsidRPr="00013BDC">
        <w:rPr>
          <w:rFonts w:eastAsia="Calibri"/>
          <w:noProof/>
          <w:lang w:val="en-IE"/>
        </w:rPr>
        <w:t xml:space="preserve">- </w:t>
      </w:r>
      <w:r w:rsidRPr="00013BDC">
        <w:rPr>
          <w:rFonts w:eastAsia="Calibri"/>
          <w:noProof/>
          <w:lang w:val="en-IE"/>
        </w:rPr>
        <w:t>May 2022. Based on the country profiles published in the EU Food Loss and Waste Prevention Hub</w:t>
      </w:r>
      <w:r w:rsidRPr="00013BDC">
        <w:rPr>
          <w:rFonts w:eastAsia="Calibri"/>
          <w:noProof/>
          <w:vertAlign w:val="superscript"/>
          <w:lang w:val="en-IE"/>
        </w:rPr>
        <w:footnoteReference w:id="27"/>
      </w:r>
      <w:r w:rsidRPr="00013BDC">
        <w:rPr>
          <w:rFonts w:eastAsia="Calibri"/>
          <w:noProof/>
          <w:lang w:val="en-IE"/>
        </w:rPr>
        <w:t>, the survey listed all the relevant food loss and waste prevention initiatives carried out by Member States. The survey requested to complete this information with general information on the initiatives, amount and value of food waste reduced, links to websites, and data on costs of the initiatives. Contributions were received from 20 countries, with a total of 145 initiatives reported. Data on the overall costs was provided for 18% of the initiatives reported, with 13% including data on the amounts of food waste reduced and 6% providing information both on costs of the initiatives and amounts of reduced food waste.</w:t>
      </w:r>
    </w:p>
    <w:p w14:paraId="46A2697E" w14:textId="01CCD99D" w:rsidR="3034BED6" w:rsidRPr="00013BDC" w:rsidRDefault="008B70FE" w:rsidP="000F07F6">
      <w:pPr>
        <w:spacing w:after="120"/>
        <w:rPr>
          <w:rFonts w:eastAsia="Calibri"/>
          <w:noProof/>
          <w:lang w:val="en-IE"/>
        </w:rPr>
      </w:pPr>
      <w:r w:rsidRPr="00013BDC">
        <w:rPr>
          <w:rFonts w:eastAsia="Calibri"/>
          <w:noProof/>
          <w:lang w:val="en-IE"/>
        </w:rPr>
        <w:t>The questionnaire for stakeholders involved in food waste prevention initiatives was published as an EU survey in April 2022 and promoted through various channels, including the EU Food Loss and Waste Prevention Hub. The survey closed in June 2022, with</w:t>
      </w:r>
      <w:r w:rsidR="008809B2" w:rsidRPr="00013BDC">
        <w:rPr>
          <w:rFonts w:eastAsia="Calibri"/>
          <w:noProof/>
          <w:lang w:val="en-IE"/>
        </w:rPr>
        <w:t xml:space="preserve"> </w:t>
      </w:r>
      <w:r w:rsidRPr="00013BDC">
        <w:rPr>
          <w:rFonts w:eastAsia="Calibri"/>
          <w:noProof/>
          <w:lang w:val="en-IE"/>
        </w:rPr>
        <w:t>62 replies received. The survey included a part that requested general information, including questions on the aim of the initiative, its geographical scope, typology, stakeholders involved, phases of the supply chain addressed, etc. The second part aimed at receiving quantitative data on costs of the initiative and amount of avoided food waste. The last part focused on social benefits, e.g.</w:t>
      </w:r>
      <w:r w:rsidR="00D52D46" w:rsidRPr="00013BDC">
        <w:rPr>
          <w:rFonts w:eastAsia="Calibri"/>
          <w:noProof/>
          <w:lang w:val="en-IE"/>
        </w:rPr>
        <w:t>,</w:t>
      </w:r>
      <w:r w:rsidRPr="00013BDC">
        <w:rPr>
          <w:rFonts w:eastAsia="Calibri"/>
          <w:noProof/>
          <w:lang w:val="en-IE"/>
        </w:rPr>
        <w:t xml:space="preserve"> on possible jobs created by the initiatives, training opportunities and volunteer work. Some respondents were contacted by email in order to request further explanations or to confirm the information provided. When a website of the initiative was available, data reported in the survey was compared with information published online. </w:t>
      </w:r>
    </w:p>
    <w:p w14:paraId="55D09EC6" w14:textId="325C1EAA" w:rsidR="3034BED6" w:rsidRPr="00013BDC" w:rsidRDefault="008B70FE" w:rsidP="4B22A141">
      <w:pPr>
        <w:spacing w:after="120"/>
        <w:rPr>
          <w:rFonts w:eastAsia="Calibri"/>
          <w:noProof/>
          <w:lang w:val="en-IE"/>
        </w:rPr>
      </w:pPr>
      <w:r w:rsidRPr="00013BDC">
        <w:rPr>
          <w:rFonts w:eastAsia="Calibri"/>
          <w:noProof/>
          <w:lang w:val="en-IE"/>
        </w:rPr>
        <w:t>The survey for stakeholders allowed to collect quantitative data for about 50% of the initiatives reported. For these initiatives it was possible to calculate an average cost of food waste avoided for the various types of initiatives (the largest share of initiatives reported related to surplus food redistribution).</w:t>
      </w:r>
      <w:r w:rsidR="2F54D022" w:rsidRPr="00013BDC">
        <w:rPr>
          <w:rFonts w:eastAsia="Calibri"/>
          <w:noProof/>
          <w:lang w:val="en-IE"/>
        </w:rPr>
        <w:t xml:space="preserve"> The average costs per unit of avoided food waste</w:t>
      </w:r>
      <w:r w:rsidR="006A6605" w:rsidRPr="00013BDC">
        <w:rPr>
          <w:rFonts w:eastAsia="Calibri"/>
          <w:noProof/>
          <w:lang w:val="en-IE"/>
        </w:rPr>
        <w:t xml:space="preserve"> (986 EUR/tonne)</w:t>
      </w:r>
      <w:r w:rsidR="2F54D022" w:rsidRPr="00013BDC">
        <w:rPr>
          <w:rFonts w:eastAsia="Calibri"/>
          <w:noProof/>
          <w:lang w:val="en-IE"/>
        </w:rPr>
        <w:t xml:space="preserve"> are high, compared to figures derived from the literature and previous estimates. Possible reasons for the high value can be found in the fact that some initiatives have other (or additional) objectives, like the support to disadvantage people and households for which they receive funds.</w:t>
      </w:r>
      <w:r w:rsidR="4938150F" w:rsidRPr="00013BDC">
        <w:rPr>
          <w:rFonts w:eastAsia="Calibri"/>
          <w:noProof/>
          <w:lang w:val="en-IE"/>
        </w:rPr>
        <w:t xml:space="preserve"> The group of food redistribution initiatives showed lower average costs compared to the other types (475 </w:t>
      </w:r>
      <w:r w:rsidR="00D92E60" w:rsidRPr="00013BDC">
        <w:rPr>
          <w:rFonts w:eastAsia="Calibri"/>
          <w:noProof/>
          <w:lang w:val="en-IE"/>
        </w:rPr>
        <w:t>EUR</w:t>
      </w:r>
      <w:r w:rsidR="4938150F" w:rsidRPr="00013BDC">
        <w:rPr>
          <w:rFonts w:eastAsia="Calibri"/>
          <w:noProof/>
          <w:lang w:val="en-IE"/>
        </w:rPr>
        <w:t xml:space="preserve">/tonne). </w:t>
      </w:r>
      <w:r w:rsidR="7D3F5D69" w:rsidRPr="00013BDC">
        <w:rPr>
          <w:rFonts w:eastAsia="Calibri"/>
          <w:noProof/>
          <w:lang w:val="en-IE"/>
        </w:rPr>
        <w:t>Concerning the type of stakeholders running the initiatives, r</w:t>
      </w:r>
      <w:r w:rsidR="4BCC651C" w:rsidRPr="00013BDC">
        <w:rPr>
          <w:rFonts w:eastAsia="Calibri"/>
          <w:noProof/>
          <w:lang w:val="en-IE"/>
        </w:rPr>
        <w:t>etailers, municipalities and consumers were the most selected options.</w:t>
      </w:r>
      <w:r w:rsidR="097CB8C9" w:rsidRPr="00013BDC">
        <w:rPr>
          <w:rFonts w:eastAsia="Calibri"/>
          <w:noProof/>
          <w:lang w:val="en-IE"/>
        </w:rPr>
        <w:t xml:space="preserve"> The most represented type </w:t>
      </w:r>
      <w:r w:rsidR="5B1A4CFD" w:rsidRPr="00013BDC">
        <w:rPr>
          <w:rFonts w:eastAsia="Calibri"/>
          <w:noProof/>
          <w:lang w:val="en-IE"/>
        </w:rPr>
        <w:t>of initiative was</w:t>
      </w:r>
      <w:r w:rsidR="097CB8C9" w:rsidRPr="00013BDC">
        <w:rPr>
          <w:rFonts w:eastAsia="Calibri"/>
          <w:noProof/>
          <w:lang w:val="en-IE"/>
        </w:rPr>
        <w:t xml:space="preserve"> the surplus food redistribution, but most of the initiatives have various purposes and reduce food waste in various stages of the supply chain. </w:t>
      </w:r>
      <w:r w:rsidR="6AD02341" w:rsidRPr="00013BDC">
        <w:rPr>
          <w:rFonts w:eastAsia="Calibri"/>
          <w:noProof/>
          <w:lang w:val="en-IE"/>
        </w:rPr>
        <w:t xml:space="preserve">Concerning the social benefits, on average each initiative involved 23 volunteers and </w:t>
      </w:r>
      <w:r w:rsidR="00EB4512" w:rsidRPr="00013BDC">
        <w:rPr>
          <w:rFonts w:eastAsia="Calibri"/>
          <w:noProof/>
          <w:lang w:val="en-IE"/>
        </w:rPr>
        <w:t>created 20</w:t>
      </w:r>
      <w:r w:rsidR="3C643709" w:rsidRPr="00013BDC">
        <w:rPr>
          <w:rFonts w:eastAsia="Calibri"/>
          <w:noProof/>
          <w:lang w:val="en-IE"/>
        </w:rPr>
        <w:t xml:space="preserve"> jobs. </w:t>
      </w:r>
      <w:r w:rsidR="534363F2" w:rsidRPr="00013BDC">
        <w:rPr>
          <w:rFonts w:eastAsia="Calibri"/>
          <w:noProof/>
          <w:lang w:val="en-IE"/>
        </w:rPr>
        <w:t>Concerning the additional social benefits created by the initiatives, food security, poverty reduction, awareness raising, education and social cohesion were th</w:t>
      </w:r>
      <w:r w:rsidR="0A0E6D6F" w:rsidRPr="00013BDC">
        <w:rPr>
          <w:rFonts w:eastAsia="Calibri"/>
          <w:noProof/>
          <w:lang w:val="en-IE"/>
        </w:rPr>
        <w:t>e most mentioned by respondents</w:t>
      </w:r>
      <w:r w:rsidR="534363F2" w:rsidRPr="00013BDC">
        <w:rPr>
          <w:rFonts w:eastAsia="Calibri"/>
          <w:noProof/>
          <w:lang w:val="en-IE"/>
        </w:rPr>
        <w:t>.</w:t>
      </w:r>
    </w:p>
    <w:p w14:paraId="69F15540" w14:textId="77777777" w:rsidR="00C0191A" w:rsidRPr="00013BDC" w:rsidRDefault="00C0191A" w:rsidP="000F07F6">
      <w:pPr>
        <w:tabs>
          <w:tab w:val="left" w:pos="0"/>
          <w:tab w:val="left" w:pos="1920"/>
        </w:tabs>
        <w:spacing w:after="120"/>
        <w:ind w:left="720" w:hanging="720"/>
        <w:rPr>
          <w:b/>
          <w:i/>
          <w:noProof/>
          <w:lang w:val="en-IE"/>
        </w:rPr>
      </w:pPr>
      <w:r w:rsidRPr="00013BDC">
        <w:rPr>
          <w:b/>
          <w:i/>
          <w:noProof/>
          <w:lang w:val="en-IE"/>
        </w:rPr>
        <w:t>Interviews</w:t>
      </w:r>
    </w:p>
    <w:p w14:paraId="0B1DE732" w14:textId="131120CC" w:rsidR="00135FFB" w:rsidRPr="00013BDC" w:rsidRDefault="008B70FE" w:rsidP="50C4AD82">
      <w:pPr>
        <w:spacing w:after="160"/>
        <w:rPr>
          <w:rFonts w:eastAsia="Times New Roman"/>
          <w:noProof/>
          <w:color w:val="000000" w:themeColor="text1"/>
          <w:lang w:val="en-IE"/>
        </w:rPr>
      </w:pPr>
      <w:r w:rsidRPr="00013BDC">
        <w:rPr>
          <w:rFonts w:eastAsia="Times New Roman"/>
          <w:noProof/>
          <w:color w:val="000000" w:themeColor="text1"/>
          <w:lang w:val="en-IE"/>
        </w:rPr>
        <w:t xml:space="preserve">In the context of the targeted consultations on food waste, </w:t>
      </w:r>
      <w:r w:rsidR="2D37585E" w:rsidRPr="00013BDC">
        <w:rPr>
          <w:rFonts w:eastAsia="Times New Roman"/>
          <w:noProof/>
          <w:color w:val="000000" w:themeColor="text1"/>
          <w:lang w:val="en-IE"/>
        </w:rPr>
        <w:t>four</w:t>
      </w:r>
      <w:r w:rsidRPr="00013BDC">
        <w:rPr>
          <w:rFonts w:eastAsia="Times New Roman"/>
          <w:noProof/>
          <w:color w:val="000000" w:themeColor="text1"/>
          <w:lang w:val="en-IE"/>
        </w:rPr>
        <w:t xml:space="preserve"> interviews were held with selected stakeholders who replied to the survey</w:t>
      </w:r>
      <w:r w:rsidR="1EE2677D" w:rsidRPr="00013BDC">
        <w:rPr>
          <w:rFonts w:eastAsia="Times New Roman"/>
          <w:noProof/>
          <w:color w:val="000000" w:themeColor="text1"/>
          <w:lang w:val="en-IE"/>
        </w:rPr>
        <w:t xml:space="preserve"> (two companies, a no profit organization and a public authority)</w:t>
      </w:r>
      <w:r w:rsidR="12AADFCE" w:rsidRPr="00013BDC">
        <w:rPr>
          <w:rFonts w:eastAsia="Times New Roman"/>
          <w:noProof/>
          <w:color w:val="000000" w:themeColor="text1"/>
          <w:lang w:val="en-IE"/>
        </w:rPr>
        <w:t xml:space="preserve">. The interviews took place between May and August 2022 </w:t>
      </w:r>
      <w:r w:rsidRPr="00013BDC">
        <w:rPr>
          <w:rFonts w:eastAsia="Times New Roman"/>
          <w:noProof/>
          <w:color w:val="000000" w:themeColor="text1"/>
          <w:lang w:val="en-IE"/>
        </w:rPr>
        <w:t>with the aim of collecting additional data and insights on their initiatives, or to clarify the information that they provided</w:t>
      </w:r>
      <w:r w:rsidR="437F2F50" w:rsidRPr="00013BDC">
        <w:rPr>
          <w:rFonts w:eastAsia="Times New Roman"/>
          <w:noProof/>
          <w:color w:val="000000" w:themeColor="text1"/>
          <w:lang w:val="en-IE"/>
        </w:rPr>
        <w:t xml:space="preserve"> in the survey</w:t>
      </w:r>
      <w:r w:rsidRPr="00013BDC">
        <w:rPr>
          <w:rFonts w:eastAsia="Times New Roman"/>
          <w:noProof/>
          <w:color w:val="000000" w:themeColor="text1"/>
          <w:lang w:val="en-IE"/>
        </w:rPr>
        <w:t xml:space="preserve">. Two additional interviews with WRAP and Wageningen University have been conducted in order to receive feedback on the data collected through the Member State and stakeholder surveys </w:t>
      </w:r>
      <w:r w:rsidR="6C37370F" w:rsidRPr="00013BDC">
        <w:rPr>
          <w:rFonts w:eastAsia="Times New Roman"/>
          <w:noProof/>
          <w:color w:val="000000" w:themeColor="text1"/>
          <w:lang w:val="en-IE"/>
        </w:rPr>
        <w:t xml:space="preserve">conducted as part of the targeted consultation </w:t>
      </w:r>
      <w:r w:rsidRPr="00013BDC">
        <w:rPr>
          <w:rFonts w:eastAsia="Times New Roman"/>
          <w:noProof/>
          <w:color w:val="000000" w:themeColor="text1"/>
          <w:lang w:val="en-IE"/>
        </w:rPr>
        <w:t>(in particular, the quantitative data received on cost of the initiatives and on the representativeness of the type of initiatives reported through the survey). According to these stakeholders, the survey findings lack data from large-scale initiatives, which have a higher impact on the EU food system as well as data from food waste prevention initiatives undertaken by food businesses. An interview was conducted with a researcher of the Thünen Institute of Market Analysis, in order to compare data from the survey on food waste amounts and costs of initiatives with those from case studies run by the institute, aiming at improving supply chain efficiency at the manufacturing/processing level. Given that results of these studies are not published yet, they could not be used for the bottom-up assessment.</w:t>
      </w:r>
      <w:r w:rsidR="00C0191A" w:rsidRPr="00013BDC">
        <w:rPr>
          <w:rFonts w:eastAsia="Times New Roman"/>
          <w:noProof/>
          <w:color w:val="000000" w:themeColor="text1"/>
          <w:lang w:val="en-IE"/>
        </w:rPr>
        <w:t xml:space="preserve"> </w:t>
      </w:r>
    </w:p>
    <w:p w14:paraId="5EA765EA" w14:textId="14497C92" w:rsidR="002741B4" w:rsidRPr="00013BDC" w:rsidRDefault="289FC174" w:rsidP="0EFD8210">
      <w:pPr>
        <w:spacing w:after="160"/>
        <w:rPr>
          <w:rFonts w:eastAsia="Times New Roman"/>
          <w:b/>
          <w:i/>
          <w:noProof/>
          <w:color w:val="000000" w:themeColor="text1"/>
          <w:lang w:val="en-IE"/>
        </w:rPr>
      </w:pPr>
      <w:r w:rsidRPr="00013BDC">
        <w:rPr>
          <w:rFonts w:eastAsia="Times New Roman"/>
          <w:b/>
          <w:i/>
          <w:noProof/>
          <w:color w:val="000000" w:themeColor="text1"/>
          <w:lang w:val="en-IE"/>
        </w:rPr>
        <w:t>Meetings of the EU Platform on Food Losses and Food Waste (FLW)</w:t>
      </w:r>
      <w:r w:rsidR="432C6AA3" w:rsidRPr="00013BDC">
        <w:rPr>
          <w:rFonts w:eastAsia="Times New Roman"/>
          <w:b/>
          <w:i/>
          <w:noProof/>
          <w:color w:val="000000" w:themeColor="text1"/>
          <w:lang w:val="en-IE"/>
        </w:rPr>
        <w:t xml:space="preserve"> and other </w:t>
      </w:r>
      <w:r w:rsidR="7378190D" w:rsidRPr="00013BDC">
        <w:rPr>
          <w:rFonts w:eastAsia="Times New Roman"/>
          <w:b/>
          <w:i/>
          <w:noProof/>
          <w:color w:val="000000" w:themeColor="text1"/>
          <w:lang w:val="en-IE"/>
        </w:rPr>
        <w:t>E</w:t>
      </w:r>
      <w:r w:rsidR="714F8BA8" w:rsidRPr="00013BDC">
        <w:rPr>
          <w:rFonts w:eastAsia="Times New Roman"/>
          <w:b/>
          <w:i/>
          <w:noProof/>
          <w:color w:val="000000" w:themeColor="text1"/>
          <w:lang w:val="en-IE"/>
        </w:rPr>
        <w:t>xpert</w:t>
      </w:r>
      <w:r w:rsidR="432C6AA3" w:rsidRPr="00013BDC">
        <w:rPr>
          <w:rFonts w:eastAsia="Times New Roman"/>
          <w:b/>
          <w:i/>
          <w:noProof/>
          <w:color w:val="000000" w:themeColor="text1"/>
          <w:lang w:val="en-IE"/>
        </w:rPr>
        <w:t xml:space="preserve"> groups</w:t>
      </w:r>
    </w:p>
    <w:p w14:paraId="2CC2531F" w14:textId="77777777" w:rsidR="002741B4" w:rsidRPr="00013BDC" w:rsidRDefault="002741B4" w:rsidP="002741B4">
      <w:pPr>
        <w:pStyle w:val="WDBody"/>
        <w:spacing w:after="120"/>
        <w:jc w:val="both"/>
        <w:rPr>
          <w:rFonts w:ascii="Times New Roman" w:eastAsia="Times New Roman" w:hAnsi="Times New Roman" w:cs="Times New Roman"/>
          <w:noProof/>
          <w:sz w:val="24"/>
          <w:szCs w:val="24"/>
          <w:lang w:val="en-IE"/>
        </w:rPr>
      </w:pPr>
      <w:r w:rsidRPr="00013BDC">
        <w:rPr>
          <w:rFonts w:ascii="Times New Roman" w:eastAsia="Times New Roman" w:hAnsi="Times New Roman" w:cs="Times New Roman"/>
          <w:noProof/>
          <w:sz w:val="24"/>
          <w:szCs w:val="24"/>
          <w:lang w:val="en-IE"/>
        </w:rPr>
        <w:t xml:space="preserve">The targeted consultation meetings of the </w:t>
      </w:r>
      <w:hyperlink r:id="rId47">
        <w:r w:rsidRPr="00013BDC">
          <w:rPr>
            <w:rStyle w:val="Hyperlink"/>
            <w:rFonts w:ascii="Times New Roman" w:eastAsia="Times New Roman" w:hAnsi="Times New Roman" w:cs="Times New Roman"/>
            <w:noProof/>
            <w:sz w:val="24"/>
            <w:szCs w:val="24"/>
            <w:lang w:val="en-IE"/>
          </w:rPr>
          <w:t>EU Platform on FLW</w:t>
        </w:r>
      </w:hyperlink>
      <w:r w:rsidRPr="00013BDC">
        <w:rPr>
          <w:rFonts w:ascii="Times New Roman" w:eastAsia="Times New Roman" w:hAnsi="Times New Roman" w:cs="Times New Roman"/>
          <w:noProof/>
          <w:sz w:val="24"/>
          <w:szCs w:val="24"/>
          <w:lang w:val="en-IE"/>
        </w:rPr>
        <w:t xml:space="preserve"> included a dedicated meeting on 22 October 2021, and subsequent discussions with members at 3 plenary meetings held on: 18 November 2021, 17 February and 20 October 2022. The EU Platform on FLW includes international organisations, EU institutions, Member States’ experts and stakeholders from the food supply chain including farmers, industry, environmental-, consumer- and other NGOs (including food banks and other charities). Private sector organisations in the food value chain represent SMEs for their specific sector of activity (e.g., food manufacturing, retail, food services etc.) </w:t>
      </w:r>
    </w:p>
    <w:p w14:paraId="35FB94F1" w14:textId="77777777" w:rsidR="002741B4" w:rsidRPr="00013BDC" w:rsidRDefault="002741B4" w:rsidP="002741B4">
      <w:pPr>
        <w:pStyle w:val="WDBody"/>
        <w:spacing w:after="120"/>
        <w:jc w:val="both"/>
        <w:rPr>
          <w:rFonts w:ascii="Times New Roman" w:eastAsia="Times New Roman" w:hAnsi="Times New Roman" w:cs="Times New Roman"/>
          <w:noProof/>
          <w:sz w:val="24"/>
          <w:szCs w:val="24"/>
          <w:lang w:val="en-IE"/>
        </w:rPr>
      </w:pPr>
      <w:r w:rsidRPr="00013BDC">
        <w:rPr>
          <w:rFonts w:ascii="Times New Roman" w:eastAsia="Times New Roman" w:hAnsi="Times New Roman" w:cs="Times New Roman"/>
          <w:noProof/>
          <w:sz w:val="24"/>
          <w:szCs w:val="24"/>
          <w:lang w:val="en-IE"/>
        </w:rPr>
        <w:t>The most frequent issues raised by stakeholders consist in the inclusion of all the steps of the supply chain in the scope of the targets, with some comments on the importance of monitoring and integrating food losses; the importance of taking into account food and feed safety (expressed especially by private sector organizations); the concern regarding the choice of 2020 as baseline due to the impact of COVID19 (highlighted by some Member States and NGOs); the possibility to differentiate and take into account edible and non-edible food waste (mentioned by private sector organizations); and to consider the results already achieved by Member States when setting the baseline, highlighted by Member States and private sector organizations. Some Platform members also highlighted the need to ensure coherence between the food waste reduction targets and the future reduction targets for municipal waste.</w:t>
      </w:r>
    </w:p>
    <w:p w14:paraId="14507D61" w14:textId="77777777" w:rsidR="00BB2D02" w:rsidRPr="00013BDC" w:rsidRDefault="56F421AE" w:rsidP="50C4AD82">
      <w:pPr>
        <w:spacing w:after="160"/>
        <w:rPr>
          <w:rFonts w:eastAsia="Times New Roman"/>
          <w:noProof/>
          <w:lang w:val="en-IE"/>
        </w:rPr>
      </w:pPr>
      <w:r w:rsidRPr="00013BDC">
        <w:rPr>
          <w:rFonts w:eastAsia="Times New Roman"/>
          <w:noProof/>
          <w:lang w:val="en-IE"/>
        </w:rPr>
        <w:t xml:space="preserve">In the context of finalising the impact assessment, the Commission </w:t>
      </w:r>
      <w:r w:rsidR="3F2A9D00" w:rsidRPr="00013BDC">
        <w:rPr>
          <w:rFonts w:eastAsia="Times New Roman"/>
          <w:noProof/>
          <w:lang w:val="en-IE"/>
        </w:rPr>
        <w:t>further convened a meeting of the Member States Expert Group on Food Losses and Food Waste (7 March 2023) and a joint meeting of the EU Platform on FLW and the Advisory Group on Sustainab</w:t>
      </w:r>
      <w:r w:rsidR="7713C636" w:rsidRPr="00013BDC">
        <w:rPr>
          <w:rFonts w:eastAsia="Times New Roman"/>
          <w:noProof/>
          <w:lang w:val="en-IE"/>
        </w:rPr>
        <w:t xml:space="preserve">ility of </w:t>
      </w:r>
      <w:r w:rsidR="3F2A9D00" w:rsidRPr="00013BDC">
        <w:rPr>
          <w:rFonts w:eastAsia="Times New Roman"/>
          <w:noProof/>
          <w:lang w:val="en-IE"/>
        </w:rPr>
        <w:t xml:space="preserve">Food Systems </w:t>
      </w:r>
      <w:r w:rsidR="7713C636" w:rsidRPr="00013BDC">
        <w:rPr>
          <w:rFonts w:eastAsia="Times New Roman"/>
          <w:noProof/>
          <w:lang w:val="en-IE"/>
        </w:rPr>
        <w:t xml:space="preserve">(13 March 2023). </w:t>
      </w:r>
      <w:r w:rsidR="732C6734" w:rsidRPr="00013BDC">
        <w:rPr>
          <w:rFonts w:eastAsia="Times New Roman"/>
          <w:noProof/>
          <w:color w:val="000000"/>
          <w:lang w:val="en-IE"/>
        </w:rPr>
        <w:t xml:space="preserve">In the meeting with national authorities, </w:t>
      </w:r>
      <w:r w:rsidR="7ED035E0" w:rsidRPr="00013BDC">
        <w:rPr>
          <w:rFonts w:eastAsia="Times New Roman"/>
          <w:noProof/>
          <w:lang w:val="en-IE"/>
        </w:rPr>
        <w:t>s</w:t>
      </w:r>
      <w:r w:rsidR="732C6734" w:rsidRPr="00013BDC">
        <w:rPr>
          <w:rFonts w:eastAsia="Times New Roman"/>
          <w:noProof/>
          <w:color w:val="000000"/>
          <w:lang w:val="en-IE"/>
        </w:rPr>
        <w:t xml:space="preserve">ome </w:t>
      </w:r>
      <w:r w:rsidR="7AE01AC0" w:rsidRPr="00013BDC">
        <w:rPr>
          <w:rFonts w:eastAsia="Times New Roman"/>
          <w:noProof/>
          <w:lang w:val="en-IE"/>
        </w:rPr>
        <w:t xml:space="preserve">countries </w:t>
      </w:r>
      <w:r w:rsidR="732C6734" w:rsidRPr="00013BDC">
        <w:rPr>
          <w:rFonts w:eastAsia="Times New Roman"/>
          <w:noProof/>
          <w:color w:val="000000"/>
          <w:lang w:val="en-IE"/>
        </w:rPr>
        <w:t>(B</w:t>
      </w:r>
      <w:r w:rsidR="00111209" w:rsidRPr="00013BDC">
        <w:rPr>
          <w:rFonts w:eastAsia="Times New Roman"/>
          <w:noProof/>
          <w:color w:val="000000"/>
          <w:lang w:val="en-IE"/>
        </w:rPr>
        <w:t>elgium, The Netherlands</w:t>
      </w:r>
      <w:r w:rsidR="732C6734" w:rsidRPr="00013BDC">
        <w:rPr>
          <w:rFonts w:eastAsia="Times New Roman"/>
          <w:noProof/>
          <w:color w:val="000000"/>
          <w:lang w:val="en-IE"/>
        </w:rPr>
        <w:t xml:space="preserve">) questioned whether it would be possible to set a target different from SDG 12.3, highlighting communications issues given </w:t>
      </w:r>
      <w:r w:rsidR="00FE5B91" w:rsidRPr="00013BDC">
        <w:rPr>
          <w:rFonts w:eastAsia="Times New Roman"/>
          <w:noProof/>
          <w:color w:val="000000"/>
          <w:lang w:val="en-IE"/>
        </w:rPr>
        <w:t>the</w:t>
      </w:r>
      <w:r w:rsidR="732C6734" w:rsidRPr="00013BDC">
        <w:rPr>
          <w:rFonts w:eastAsia="Times New Roman"/>
          <w:noProof/>
          <w:color w:val="000000"/>
          <w:lang w:val="en-IE"/>
        </w:rPr>
        <w:t xml:space="preserve"> commitments made</w:t>
      </w:r>
      <w:r w:rsidR="00AC2EB2" w:rsidRPr="00013BDC">
        <w:rPr>
          <w:rFonts w:eastAsia="Times New Roman"/>
          <w:noProof/>
          <w:color w:val="000000"/>
          <w:lang w:val="en-IE"/>
        </w:rPr>
        <w:t xml:space="preserve"> to</w:t>
      </w:r>
      <w:r w:rsidR="732C6734" w:rsidRPr="00013BDC">
        <w:rPr>
          <w:rFonts w:eastAsia="Times New Roman"/>
          <w:noProof/>
          <w:color w:val="000000"/>
          <w:lang w:val="en-IE"/>
        </w:rPr>
        <w:t xml:space="preserve"> the </w:t>
      </w:r>
      <w:r w:rsidR="00AC2EB2" w:rsidRPr="00013BDC">
        <w:rPr>
          <w:rFonts w:eastAsia="Times New Roman"/>
          <w:noProof/>
          <w:color w:val="000000"/>
          <w:lang w:val="en-IE"/>
        </w:rPr>
        <w:t>Sustainable Development Agenda since 2015</w:t>
      </w:r>
      <w:r w:rsidR="732C6734" w:rsidRPr="00013BDC">
        <w:rPr>
          <w:rFonts w:eastAsia="Times New Roman"/>
          <w:noProof/>
          <w:color w:val="000000"/>
          <w:lang w:val="en-IE"/>
        </w:rPr>
        <w:t xml:space="preserve">, whilst, at the same time, underlining difficulties in achieving such a target covering both edible and inedible </w:t>
      </w:r>
      <w:r w:rsidR="63972291" w:rsidRPr="00013BDC">
        <w:rPr>
          <w:rFonts w:eastAsia="Times New Roman"/>
          <w:noProof/>
          <w:lang w:val="en-IE"/>
        </w:rPr>
        <w:t xml:space="preserve">fractions </w:t>
      </w:r>
      <w:r w:rsidR="732C6734" w:rsidRPr="00013BDC">
        <w:rPr>
          <w:rFonts w:eastAsia="Times New Roman"/>
          <w:noProof/>
          <w:color w:val="000000"/>
          <w:lang w:val="en-IE"/>
        </w:rPr>
        <w:t>(the latter being difficult for households to reduce). B</w:t>
      </w:r>
      <w:r w:rsidR="00111209" w:rsidRPr="00013BDC">
        <w:rPr>
          <w:rFonts w:eastAsia="Times New Roman"/>
          <w:noProof/>
          <w:color w:val="000000"/>
          <w:lang w:val="en-IE"/>
        </w:rPr>
        <w:t>elgium</w:t>
      </w:r>
      <w:r w:rsidR="732C6734" w:rsidRPr="00013BDC">
        <w:rPr>
          <w:rFonts w:eastAsia="Times New Roman"/>
          <w:noProof/>
          <w:color w:val="000000"/>
          <w:lang w:val="en-IE"/>
        </w:rPr>
        <w:t xml:space="preserve"> pointed out that </w:t>
      </w:r>
      <w:r w:rsidR="6BAA70D2" w:rsidRPr="00013BDC">
        <w:rPr>
          <w:rFonts w:eastAsia="Times New Roman"/>
          <w:noProof/>
          <w:lang w:val="en-IE"/>
        </w:rPr>
        <w:t xml:space="preserve">the </w:t>
      </w:r>
      <w:r w:rsidR="732C6734" w:rsidRPr="00013BDC">
        <w:rPr>
          <w:rFonts w:eastAsia="Times New Roman"/>
          <w:noProof/>
          <w:color w:val="000000"/>
          <w:lang w:val="en-IE"/>
        </w:rPr>
        <w:t>valorisation of food waste (</w:t>
      </w:r>
      <w:r w:rsidR="4D080A67" w:rsidRPr="00013BDC">
        <w:rPr>
          <w:rFonts w:eastAsia="Times New Roman"/>
          <w:noProof/>
          <w:lang w:val="en-IE"/>
        </w:rPr>
        <w:t xml:space="preserve">the </w:t>
      </w:r>
      <w:r w:rsidR="732C6734" w:rsidRPr="00013BDC">
        <w:rPr>
          <w:rFonts w:eastAsia="Times New Roman"/>
          <w:noProof/>
          <w:color w:val="000000"/>
          <w:lang w:val="en-IE"/>
        </w:rPr>
        <w:t xml:space="preserve">inedible fraction) was not the same as avoiding food being lost and that </w:t>
      </w:r>
      <w:r w:rsidR="4FEF5E07" w:rsidRPr="00013BDC">
        <w:rPr>
          <w:rFonts w:eastAsia="Times New Roman"/>
          <w:noProof/>
          <w:lang w:val="en-IE"/>
        </w:rPr>
        <w:t xml:space="preserve">the </w:t>
      </w:r>
      <w:r w:rsidR="732C6734" w:rsidRPr="00013BDC">
        <w:rPr>
          <w:rFonts w:eastAsia="Times New Roman"/>
          <w:noProof/>
          <w:color w:val="000000"/>
          <w:lang w:val="en-IE"/>
        </w:rPr>
        <w:t xml:space="preserve">inclusion of inedible </w:t>
      </w:r>
      <w:r w:rsidR="6C52A0D0" w:rsidRPr="00013BDC">
        <w:rPr>
          <w:rFonts w:eastAsia="Times New Roman"/>
          <w:noProof/>
          <w:lang w:val="en-IE"/>
        </w:rPr>
        <w:t xml:space="preserve">parts of food </w:t>
      </w:r>
      <w:r w:rsidR="732C6734" w:rsidRPr="00013BDC">
        <w:rPr>
          <w:rFonts w:eastAsia="Times New Roman"/>
          <w:noProof/>
          <w:color w:val="000000"/>
          <w:lang w:val="en-IE"/>
        </w:rPr>
        <w:t>will necessarily affect the target’s level of ambition.</w:t>
      </w:r>
      <w:r w:rsidR="65BE4E46" w:rsidRPr="00013BDC">
        <w:rPr>
          <w:rFonts w:eastAsia="Times New Roman"/>
          <w:noProof/>
          <w:lang w:val="en-IE"/>
        </w:rPr>
        <w:t xml:space="preserve"> </w:t>
      </w:r>
      <w:r w:rsidR="732C6734" w:rsidRPr="00013BDC">
        <w:rPr>
          <w:rFonts w:eastAsia="Times New Roman"/>
          <w:noProof/>
          <w:color w:val="000000"/>
          <w:lang w:val="en-IE"/>
        </w:rPr>
        <w:t>Several M</w:t>
      </w:r>
      <w:r w:rsidR="641A3D69" w:rsidRPr="00013BDC">
        <w:rPr>
          <w:rFonts w:eastAsia="Times New Roman"/>
          <w:noProof/>
          <w:lang w:val="en-IE"/>
        </w:rPr>
        <w:t xml:space="preserve">ember </w:t>
      </w:r>
      <w:r w:rsidR="732C6734" w:rsidRPr="00013BDC">
        <w:rPr>
          <w:rFonts w:eastAsia="Times New Roman"/>
          <w:noProof/>
          <w:color w:val="000000"/>
          <w:lang w:val="en-IE"/>
        </w:rPr>
        <w:t>S</w:t>
      </w:r>
      <w:r w:rsidR="3FC8B7DC" w:rsidRPr="00013BDC">
        <w:rPr>
          <w:rFonts w:eastAsia="Times New Roman"/>
          <w:noProof/>
          <w:lang w:val="en-IE"/>
        </w:rPr>
        <w:t>tates</w:t>
      </w:r>
      <w:r w:rsidR="732C6734" w:rsidRPr="00013BDC">
        <w:rPr>
          <w:rFonts w:eastAsia="Times New Roman"/>
          <w:noProof/>
          <w:color w:val="000000"/>
          <w:lang w:val="en-IE"/>
        </w:rPr>
        <w:t xml:space="preserve"> (A</w:t>
      </w:r>
      <w:r w:rsidR="00111209" w:rsidRPr="00013BDC">
        <w:rPr>
          <w:rFonts w:eastAsia="Times New Roman"/>
          <w:noProof/>
          <w:color w:val="000000"/>
          <w:lang w:val="en-IE"/>
        </w:rPr>
        <w:t>ustria, Croatia, Finland and Portugal</w:t>
      </w:r>
      <w:r w:rsidR="732C6734" w:rsidRPr="00013BDC">
        <w:rPr>
          <w:rFonts w:eastAsia="Times New Roman"/>
          <w:noProof/>
          <w:color w:val="000000"/>
          <w:lang w:val="en-IE"/>
        </w:rPr>
        <w:t xml:space="preserve">) questioned whether the 2020 </w:t>
      </w:r>
      <w:r w:rsidR="003215A8" w:rsidRPr="00013BDC">
        <w:rPr>
          <w:rFonts w:eastAsia="Times New Roman"/>
          <w:noProof/>
          <w:color w:val="000000"/>
          <w:lang w:val="en-IE"/>
        </w:rPr>
        <w:t xml:space="preserve">food waste </w:t>
      </w:r>
      <w:r w:rsidR="732C6734" w:rsidRPr="00013BDC">
        <w:rPr>
          <w:rFonts w:eastAsia="Times New Roman"/>
          <w:noProof/>
          <w:color w:val="000000"/>
          <w:lang w:val="en-IE"/>
        </w:rPr>
        <w:t>dataset was sufficiently representative to be used as a basis for setting targets, with F</w:t>
      </w:r>
      <w:r w:rsidR="003215A8" w:rsidRPr="00013BDC">
        <w:rPr>
          <w:rFonts w:eastAsia="Times New Roman"/>
          <w:noProof/>
          <w:color w:val="000000"/>
          <w:lang w:val="en-IE"/>
        </w:rPr>
        <w:t>inland</w:t>
      </w:r>
      <w:r w:rsidR="732C6734" w:rsidRPr="00013BDC">
        <w:rPr>
          <w:rFonts w:eastAsia="Times New Roman"/>
          <w:noProof/>
          <w:color w:val="000000"/>
          <w:lang w:val="en-IE"/>
        </w:rPr>
        <w:t xml:space="preserve"> suggesting the setting of non-binding targets as a possible first approach. Some </w:t>
      </w:r>
      <w:r w:rsidR="271EB8A6" w:rsidRPr="00013BDC">
        <w:rPr>
          <w:rFonts w:eastAsia="Times New Roman"/>
          <w:noProof/>
          <w:lang w:val="en-IE"/>
        </w:rPr>
        <w:t xml:space="preserve">countries </w:t>
      </w:r>
      <w:r w:rsidR="732C6734" w:rsidRPr="00013BDC">
        <w:rPr>
          <w:rFonts w:eastAsia="Times New Roman"/>
          <w:noProof/>
          <w:color w:val="000000"/>
          <w:lang w:val="en-IE"/>
        </w:rPr>
        <w:t>argued for greater simplicity (</w:t>
      </w:r>
      <w:r w:rsidR="003215A8" w:rsidRPr="00013BDC">
        <w:rPr>
          <w:rFonts w:eastAsia="Times New Roman"/>
          <w:noProof/>
          <w:color w:val="000000"/>
          <w:lang w:val="en-IE"/>
        </w:rPr>
        <w:t>Latvia, Portugal</w:t>
      </w:r>
      <w:r w:rsidR="732C6734" w:rsidRPr="00013BDC">
        <w:rPr>
          <w:rFonts w:eastAsia="Times New Roman"/>
          <w:noProof/>
          <w:color w:val="000000"/>
          <w:lang w:val="en-IE"/>
        </w:rPr>
        <w:t>), suggesting</w:t>
      </w:r>
      <w:r w:rsidR="003215A8" w:rsidRPr="00013BDC">
        <w:rPr>
          <w:rFonts w:eastAsia="Times New Roman"/>
          <w:noProof/>
          <w:color w:val="000000"/>
          <w:lang w:val="en-IE"/>
        </w:rPr>
        <w:t>,</w:t>
      </w:r>
      <w:r w:rsidR="732C6734" w:rsidRPr="00013BDC">
        <w:rPr>
          <w:rFonts w:eastAsia="Times New Roman"/>
          <w:noProof/>
          <w:color w:val="000000"/>
          <w:lang w:val="en-IE"/>
        </w:rPr>
        <w:t xml:space="preserve"> for instance</w:t>
      </w:r>
      <w:r w:rsidR="003215A8" w:rsidRPr="00013BDC">
        <w:rPr>
          <w:rFonts w:eastAsia="Times New Roman"/>
          <w:noProof/>
          <w:color w:val="000000"/>
          <w:lang w:val="en-IE"/>
        </w:rPr>
        <w:t>,</w:t>
      </w:r>
      <w:r w:rsidR="732C6734" w:rsidRPr="00013BDC">
        <w:rPr>
          <w:rFonts w:eastAsia="Times New Roman"/>
          <w:noProof/>
          <w:color w:val="000000"/>
          <w:lang w:val="en-IE"/>
        </w:rPr>
        <w:t xml:space="preserve"> the setting of one target covering the whole food supply chain.</w:t>
      </w:r>
      <w:r w:rsidR="3A668376" w:rsidRPr="00013BDC">
        <w:rPr>
          <w:rFonts w:eastAsia="Times New Roman"/>
          <w:noProof/>
          <w:lang w:val="en-IE"/>
        </w:rPr>
        <w:t xml:space="preserve"> </w:t>
      </w:r>
      <w:r w:rsidR="732C6734" w:rsidRPr="00013BDC">
        <w:rPr>
          <w:rFonts w:eastAsia="Times New Roman"/>
          <w:noProof/>
          <w:color w:val="000000"/>
          <w:lang w:val="en-IE"/>
        </w:rPr>
        <w:t xml:space="preserve">Several </w:t>
      </w:r>
      <w:r w:rsidR="06A6F7DA" w:rsidRPr="00013BDC">
        <w:rPr>
          <w:rFonts w:eastAsia="Times New Roman"/>
          <w:noProof/>
          <w:lang w:val="en-IE"/>
        </w:rPr>
        <w:t xml:space="preserve">public authorities </w:t>
      </w:r>
      <w:r w:rsidR="732C6734" w:rsidRPr="00013BDC">
        <w:rPr>
          <w:rFonts w:eastAsia="Times New Roman"/>
          <w:noProof/>
          <w:color w:val="000000"/>
          <w:lang w:val="en-IE"/>
        </w:rPr>
        <w:t>(A</w:t>
      </w:r>
      <w:r w:rsidR="003215A8" w:rsidRPr="00013BDC">
        <w:rPr>
          <w:rFonts w:eastAsia="Times New Roman"/>
          <w:noProof/>
          <w:color w:val="000000"/>
          <w:lang w:val="en-IE"/>
        </w:rPr>
        <w:t>ustria, Belgium, Croatia, Denmark and Finland</w:t>
      </w:r>
      <w:r w:rsidR="732C6734" w:rsidRPr="00013BDC">
        <w:rPr>
          <w:rFonts w:eastAsia="Times New Roman"/>
          <w:noProof/>
          <w:color w:val="000000"/>
          <w:lang w:val="en-IE"/>
        </w:rPr>
        <w:t>) questioned setting the same target for all M</w:t>
      </w:r>
      <w:r w:rsidR="3734F606" w:rsidRPr="00013BDC">
        <w:rPr>
          <w:rFonts w:eastAsia="Times New Roman"/>
          <w:noProof/>
          <w:lang w:val="en-IE"/>
        </w:rPr>
        <w:t xml:space="preserve">ember </w:t>
      </w:r>
      <w:r w:rsidR="732C6734" w:rsidRPr="00013BDC">
        <w:rPr>
          <w:rFonts w:eastAsia="Times New Roman"/>
          <w:noProof/>
          <w:color w:val="000000"/>
          <w:lang w:val="en-IE"/>
        </w:rPr>
        <w:t>S</w:t>
      </w:r>
      <w:r w:rsidR="619085C9" w:rsidRPr="00013BDC">
        <w:rPr>
          <w:rFonts w:eastAsia="Times New Roman"/>
          <w:noProof/>
          <w:lang w:val="en-IE"/>
        </w:rPr>
        <w:t>tates</w:t>
      </w:r>
      <w:r w:rsidR="732C6734" w:rsidRPr="00013BDC">
        <w:rPr>
          <w:rFonts w:eastAsia="Times New Roman"/>
          <w:noProof/>
          <w:color w:val="000000"/>
          <w:lang w:val="en-IE"/>
        </w:rPr>
        <w:t xml:space="preserve"> (given different national situations) and asked whether efforts made by “early achievers” could be recognised (e.g., via an earlier baseline).</w:t>
      </w:r>
      <w:r w:rsidR="3AD874C8" w:rsidRPr="00013BDC">
        <w:rPr>
          <w:rFonts w:eastAsia="Times New Roman"/>
          <w:noProof/>
          <w:lang w:val="en-IE"/>
        </w:rPr>
        <w:t xml:space="preserve"> </w:t>
      </w:r>
    </w:p>
    <w:p w14:paraId="1CA69DEA" w14:textId="0EABFA7D" w:rsidR="002741B4" w:rsidRPr="00013BDC" w:rsidRDefault="16FB66B5" w:rsidP="50C4AD82">
      <w:pPr>
        <w:spacing w:after="160"/>
        <w:rPr>
          <w:rFonts w:eastAsia="Times New Roman"/>
          <w:noProof/>
          <w:color w:val="000000" w:themeColor="text1"/>
          <w:lang w:val="en-IE"/>
        </w:rPr>
      </w:pPr>
      <w:r w:rsidRPr="00013BDC">
        <w:rPr>
          <w:rFonts w:eastAsiaTheme="minorEastAsia"/>
          <w:noProof/>
          <w:color w:val="000000" w:themeColor="text1"/>
          <w:lang w:val="en-IE"/>
        </w:rPr>
        <w:t>In the joint meeting with the two expert groups,</w:t>
      </w:r>
      <w:r w:rsidR="00BB2D02" w:rsidRPr="00013BDC">
        <w:rPr>
          <w:rFonts w:eastAsiaTheme="minorEastAsia"/>
          <w:noProof/>
          <w:color w:val="000000" w:themeColor="text1"/>
          <w:lang w:val="en-IE"/>
        </w:rPr>
        <w:t xml:space="preserve"> held on 13 March 2023</w:t>
      </w:r>
      <w:r w:rsidRPr="00013BDC">
        <w:rPr>
          <w:rFonts w:eastAsiaTheme="minorEastAsia"/>
          <w:noProof/>
          <w:color w:val="000000" w:themeColor="text1"/>
          <w:lang w:val="en-IE"/>
        </w:rPr>
        <w:t xml:space="preserve">, </w:t>
      </w:r>
      <w:r w:rsidR="649A6646" w:rsidRPr="00013BDC">
        <w:rPr>
          <w:rFonts w:eastAsiaTheme="minorEastAsia"/>
          <w:noProof/>
          <w:color w:val="000000" w:themeColor="text1"/>
          <w:lang w:val="en-IE"/>
        </w:rPr>
        <w:t>several</w:t>
      </w:r>
      <w:r w:rsidRPr="00013BDC">
        <w:rPr>
          <w:rFonts w:eastAsiaTheme="minorEastAsia"/>
          <w:noProof/>
          <w:color w:val="000000" w:themeColor="text1"/>
          <w:lang w:val="en-IE"/>
        </w:rPr>
        <w:t xml:space="preserve"> stakeholders (</w:t>
      </w:r>
      <w:r w:rsidR="7D0C48AD" w:rsidRPr="00013BDC">
        <w:rPr>
          <w:rFonts w:eastAsiaTheme="minorEastAsia"/>
          <w:noProof/>
          <w:color w:val="000000" w:themeColor="text1"/>
          <w:lang w:val="en-IE"/>
        </w:rPr>
        <w:t>an international organisation, representatives of veterinarians in Europe and food services</w:t>
      </w:r>
      <w:r w:rsidRPr="00013BDC">
        <w:rPr>
          <w:rFonts w:eastAsiaTheme="minorEastAsia"/>
          <w:noProof/>
          <w:color w:val="000000" w:themeColor="text1"/>
          <w:lang w:val="en-IE"/>
        </w:rPr>
        <w:t>) raised concerns about the comparability of Eurostat data with earlier estimates (FUSIONS, 2016), highlighting that setting targets based on data (which some considered) of questionable quality would be risky.</w:t>
      </w:r>
      <w:r w:rsidR="696E317E" w:rsidRPr="00013BDC">
        <w:rPr>
          <w:rFonts w:eastAsiaTheme="minorEastAsia"/>
          <w:noProof/>
          <w:color w:val="000000" w:themeColor="text1"/>
          <w:lang w:val="en-IE"/>
        </w:rPr>
        <w:t xml:space="preserve"> </w:t>
      </w:r>
      <w:r w:rsidR="54190BA6" w:rsidRPr="00013BDC">
        <w:rPr>
          <w:rFonts w:eastAsiaTheme="minorEastAsia"/>
          <w:noProof/>
          <w:color w:val="000000" w:themeColor="text1"/>
          <w:lang w:val="en-IE"/>
        </w:rPr>
        <w:t xml:space="preserve">A few also doubted considering 2020 as the baseline year for the targets </w:t>
      </w:r>
      <w:r w:rsidR="1F72EDEF" w:rsidRPr="00013BDC">
        <w:rPr>
          <w:rFonts w:eastAsiaTheme="minorEastAsia"/>
          <w:noProof/>
          <w:color w:val="000000" w:themeColor="text1"/>
          <w:lang w:val="en-IE"/>
        </w:rPr>
        <w:t>due to the impact of the Covid-19 pandemic on the food supply chain</w:t>
      </w:r>
      <w:r w:rsidR="3DCC1D35" w:rsidRPr="00013BDC">
        <w:rPr>
          <w:rFonts w:eastAsiaTheme="minorEastAsia"/>
          <w:noProof/>
          <w:color w:val="000000" w:themeColor="text1"/>
          <w:lang w:val="en-IE"/>
        </w:rPr>
        <w:t xml:space="preserve"> (representatives of retail and an NGO)</w:t>
      </w:r>
      <w:r w:rsidR="1F72EDEF" w:rsidRPr="00013BDC">
        <w:rPr>
          <w:rFonts w:eastAsiaTheme="minorEastAsia"/>
          <w:noProof/>
          <w:color w:val="000000" w:themeColor="text1"/>
          <w:lang w:val="en-IE"/>
        </w:rPr>
        <w:t>.</w:t>
      </w:r>
      <w:r w:rsidR="6A248FF8" w:rsidRPr="00013BDC">
        <w:rPr>
          <w:rFonts w:eastAsiaTheme="minorEastAsia"/>
          <w:noProof/>
          <w:color w:val="000000" w:themeColor="text1"/>
          <w:lang w:val="en-IE"/>
        </w:rPr>
        <w:t xml:space="preserve"> Other stakeholders (representing academia and research, a consumer organisation and </w:t>
      </w:r>
      <w:r w:rsidR="293F3B3B" w:rsidRPr="00013BDC">
        <w:rPr>
          <w:rFonts w:eastAsiaTheme="minorEastAsia"/>
          <w:noProof/>
          <w:color w:val="000000" w:themeColor="text1"/>
          <w:lang w:val="en-IE"/>
        </w:rPr>
        <w:t>a regional NGO</w:t>
      </w:r>
      <w:r w:rsidR="6A248FF8" w:rsidRPr="00013BDC">
        <w:rPr>
          <w:rFonts w:eastAsiaTheme="minorEastAsia"/>
          <w:noProof/>
          <w:color w:val="000000" w:themeColor="text1"/>
          <w:lang w:val="en-IE"/>
        </w:rPr>
        <w:t>) expressed the wish to differentiate between edible and non-edible parts of food; moreover, due to differences in dietary patterns across Member States, this may introduce significant biases when setting targets across the EU.</w:t>
      </w:r>
      <w:r w:rsidR="607E1259" w:rsidRPr="00013BDC">
        <w:rPr>
          <w:rFonts w:eastAsiaTheme="minorEastAsia"/>
          <w:noProof/>
          <w:color w:val="000000" w:themeColor="text1"/>
          <w:lang w:val="en-IE"/>
        </w:rPr>
        <w:t xml:space="preserve"> </w:t>
      </w:r>
      <w:r w:rsidR="0444A0F4" w:rsidRPr="00013BDC">
        <w:rPr>
          <w:rFonts w:eastAsiaTheme="minorEastAsia"/>
          <w:noProof/>
          <w:color w:val="000000" w:themeColor="text1"/>
          <w:lang w:val="en-IE"/>
        </w:rPr>
        <w:t xml:space="preserve">Concerning the expression of the targets, </w:t>
      </w:r>
      <w:r w:rsidR="47CBB65F" w:rsidRPr="00013BDC">
        <w:rPr>
          <w:rFonts w:eastAsiaTheme="minorEastAsia"/>
          <w:noProof/>
          <w:color w:val="000000" w:themeColor="text1"/>
          <w:lang w:val="en-IE"/>
        </w:rPr>
        <w:t>some</w:t>
      </w:r>
      <w:r w:rsidR="07722B18" w:rsidRPr="00013BDC">
        <w:rPr>
          <w:rFonts w:eastAsiaTheme="minorEastAsia"/>
          <w:noProof/>
          <w:color w:val="000000" w:themeColor="text1"/>
          <w:lang w:val="en-IE"/>
        </w:rPr>
        <w:t xml:space="preserve"> </w:t>
      </w:r>
      <w:r w:rsidR="0444A0F4" w:rsidRPr="00013BDC">
        <w:rPr>
          <w:rFonts w:eastAsiaTheme="minorEastAsia"/>
          <w:noProof/>
          <w:color w:val="000000" w:themeColor="text1"/>
          <w:lang w:val="en-IE"/>
        </w:rPr>
        <w:t>stakeholders</w:t>
      </w:r>
      <w:r w:rsidR="1B2F8635" w:rsidRPr="00013BDC">
        <w:rPr>
          <w:rFonts w:eastAsiaTheme="minorEastAsia"/>
          <w:noProof/>
          <w:color w:val="000000" w:themeColor="text1"/>
          <w:lang w:val="en-IE"/>
        </w:rPr>
        <w:t xml:space="preserve"> representing food services and a regional NGO</w:t>
      </w:r>
      <w:r w:rsidR="0444A0F4" w:rsidRPr="00013BDC">
        <w:rPr>
          <w:rFonts w:eastAsiaTheme="minorEastAsia"/>
          <w:noProof/>
          <w:color w:val="000000" w:themeColor="text1"/>
          <w:lang w:val="en-IE"/>
        </w:rPr>
        <w:t xml:space="preserve"> </w:t>
      </w:r>
      <w:r w:rsidR="6955A093" w:rsidRPr="00013BDC">
        <w:rPr>
          <w:rFonts w:eastAsiaTheme="minorEastAsia"/>
          <w:noProof/>
          <w:color w:val="000000" w:themeColor="text1"/>
          <w:lang w:val="en-IE"/>
        </w:rPr>
        <w:t>advocated for</w:t>
      </w:r>
      <w:r w:rsidR="0444A0F4" w:rsidRPr="00013BDC">
        <w:rPr>
          <w:rFonts w:eastAsiaTheme="minorEastAsia"/>
          <w:noProof/>
          <w:color w:val="000000" w:themeColor="text1"/>
          <w:lang w:val="en-IE"/>
        </w:rPr>
        <w:t xml:space="preserve"> </w:t>
      </w:r>
      <w:r w:rsidR="00091C50" w:rsidRPr="00013BDC">
        <w:rPr>
          <w:rFonts w:eastAsiaTheme="minorEastAsia"/>
          <w:noProof/>
          <w:color w:val="000000" w:themeColor="text1"/>
          <w:lang w:val="en-IE"/>
        </w:rPr>
        <w:t xml:space="preserve">expressing </w:t>
      </w:r>
      <w:r w:rsidR="004A62CE" w:rsidRPr="00013BDC">
        <w:rPr>
          <w:rFonts w:eastAsiaTheme="minorEastAsia"/>
          <w:noProof/>
          <w:color w:val="000000" w:themeColor="text1"/>
          <w:lang w:val="en-IE"/>
        </w:rPr>
        <w:t>reduction</w:t>
      </w:r>
      <w:r w:rsidR="0444A0F4" w:rsidRPr="00013BDC">
        <w:rPr>
          <w:rFonts w:eastAsiaTheme="minorEastAsia"/>
          <w:noProof/>
          <w:color w:val="000000" w:themeColor="text1"/>
          <w:lang w:val="en-IE"/>
        </w:rPr>
        <w:t xml:space="preserve"> targets in </w:t>
      </w:r>
      <w:r w:rsidR="004A62CE" w:rsidRPr="00013BDC">
        <w:rPr>
          <w:rFonts w:eastAsiaTheme="minorEastAsia"/>
          <w:noProof/>
          <w:color w:val="000000" w:themeColor="text1"/>
          <w:lang w:val="en-IE"/>
        </w:rPr>
        <w:t xml:space="preserve">absolute amounts (i.e., </w:t>
      </w:r>
      <w:r w:rsidR="0444A0F4" w:rsidRPr="00013BDC">
        <w:rPr>
          <w:rFonts w:eastAsiaTheme="minorEastAsia"/>
          <w:noProof/>
          <w:color w:val="000000" w:themeColor="text1"/>
          <w:lang w:val="en-IE"/>
        </w:rPr>
        <w:t>kg per capita</w:t>
      </w:r>
      <w:r w:rsidR="004A62CE" w:rsidRPr="00013BDC">
        <w:rPr>
          <w:rFonts w:eastAsiaTheme="minorEastAsia"/>
          <w:noProof/>
          <w:color w:val="000000" w:themeColor="text1"/>
          <w:lang w:val="en-IE"/>
        </w:rPr>
        <w:t>)</w:t>
      </w:r>
      <w:r w:rsidR="192AEA13" w:rsidRPr="00013BDC">
        <w:rPr>
          <w:rFonts w:eastAsiaTheme="minorEastAsia"/>
          <w:noProof/>
          <w:color w:val="000000" w:themeColor="text1"/>
          <w:lang w:val="en-IE"/>
        </w:rPr>
        <w:t>.</w:t>
      </w:r>
      <w:r w:rsidR="6BCE3699" w:rsidRPr="00013BDC">
        <w:rPr>
          <w:rFonts w:eastAsiaTheme="minorEastAsia"/>
          <w:noProof/>
          <w:color w:val="000000" w:themeColor="text1"/>
          <w:lang w:val="en-IE"/>
        </w:rPr>
        <w:t xml:space="preserve"> </w:t>
      </w:r>
      <w:r w:rsidR="2B1676D6" w:rsidRPr="00013BDC">
        <w:rPr>
          <w:rFonts w:eastAsiaTheme="minorEastAsia"/>
          <w:noProof/>
          <w:color w:val="000000" w:themeColor="text1"/>
          <w:lang w:val="en-IE"/>
        </w:rPr>
        <w:t>Several environmental NGOs</w:t>
      </w:r>
      <w:r w:rsidR="004A62CE" w:rsidRPr="00013BDC">
        <w:rPr>
          <w:rFonts w:eastAsiaTheme="minorEastAsia"/>
          <w:noProof/>
          <w:color w:val="000000" w:themeColor="text1"/>
          <w:lang w:val="en-IE"/>
        </w:rPr>
        <w:t>,</w:t>
      </w:r>
      <w:r w:rsidR="2B1676D6" w:rsidRPr="00013BDC">
        <w:rPr>
          <w:rFonts w:eastAsiaTheme="minorEastAsia"/>
          <w:noProof/>
          <w:color w:val="000000" w:themeColor="text1"/>
          <w:lang w:val="en-IE"/>
        </w:rPr>
        <w:t xml:space="preserve"> as well as representatives of a social NGO and the food services sector</w:t>
      </w:r>
      <w:r w:rsidR="004A62CE" w:rsidRPr="00013BDC">
        <w:rPr>
          <w:rFonts w:eastAsiaTheme="minorEastAsia"/>
          <w:noProof/>
          <w:color w:val="000000" w:themeColor="text1"/>
          <w:lang w:val="en-IE"/>
        </w:rPr>
        <w:t>,</w:t>
      </w:r>
      <w:r w:rsidR="2B1676D6" w:rsidRPr="00013BDC">
        <w:rPr>
          <w:rFonts w:eastAsiaTheme="minorEastAsia"/>
          <w:noProof/>
          <w:color w:val="000000" w:themeColor="text1"/>
          <w:lang w:val="en-IE"/>
        </w:rPr>
        <w:t xml:space="preserve"> noted that the target options considered in the Impact Assessment were not ambitious enough in the light of the global SDG Target 12.3. </w:t>
      </w:r>
      <w:r w:rsidR="5F254A62" w:rsidRPr="00013BDC">
        <w:rPr>
          <w:rFonts w:eastAsiaTheme="minorEastAsia"/>
          <w:noProof/>
          <w:color w:val="000000" w:themeColor="text1"/>
          <w:lang w:val="en-IE"/>
        </w:rPr>
        <w:t xml:space="preserve">As regards the </w:t>
      </w:r>
      <w:r w:rsidR="004A62CE" w:rsidRPr="00013BDC">
        <w:rPr>
          <w:rFonts w:eastAsiaTheme="minorEastAsia"/>
          <w:noProof/>
          <w:color w:val="000000" w:themeColor="text1"/>
          <w:lang w:val="en-IE"/>
        </w:rPr>
        <w:t xml:space="preserve">targets’ </w:t>
      </w:r>
      <w:r w:rsidR="5F254A62" w:rsidRPr="00013BDC">
        <w:rPr>
          <w:rFonts w:eastAsiaTheme="minorEastAsia"/>
          <w:noProof/>
          <w:color w:val="000000" w:themeColor="text1"/>
          <w:lang w:val="en-IE"/>
        </w:rPr>
        <w:t xml:space="preserve">coverage of the </w:t>
      </w:r>
      <w:r w:rsidR="004A62CE" w:rsidRPr="00013BDC">
        <w:rPr>
          <w:rFonts w:eastAsiaTheme="minorEastAsia"/>
          <w:noProof/>
          <w:color w:val="000000" w:themeColor="text1"/>
          <w:lang w:val="en-IE"/>
        </w:rPr>
        <w:t>food supply chain</w:t>
      </w:r>
      <w:r w:rsidR="5F254A62" w:rsidRPr="00013BDC">
        <w:rPr>
          <w:rFonts w:eastAsiaTheme="minorEastAsia"/>
          <w:noProof/>
          <w:color w:val="000000" w:themeColor="text1"/>
          <w:lang w:val="en-IE"/>
        </w:rPr>
        <w:t>, a few stakeholders (from an environmental NGO, a research institute and food services sec</w:t>
      </w:r>
      <w:r w:rsidR="665A6530" w:rsidRPr="00013BDC">
        <w:rPr>
          <w:rFonts w:eastAsiaTheme="minorEastAsia"/>
          <w:noProof/>
          <w:color w:val="000000" w:themeColor="text1"/>
          <w:lang w:val="en-IE"/>
        </w:rPr>
        <w:t xml:space="preserve">tor) asked </w:t>
      </w:r>
      <w:r w:rsidR="004A62CE" w:rsidRPr="00013BDC">
        <w:rPr>
          <w:rFonts w:eastAsiaTheme="minorEastAsia"/>
          <w:noProof/>
          <w:color w:val="000000" w:themeColor="text1"/>
          <w:lang w:val="en-IE"/>
        </w:rPr>
        <w:t>to cover the whole</w:t>
      </w:r>
      <w:r w:rsidR="665A6530" w:rsidRPr="00013BDC">
        <w:rPr>
          <w:rFonts w:eastAsiaTheme="minorEastAsia"/>
          <w:noProof/>
          <w:color w:val="000000" w:themeColor="text1"/>
          <w:lang w:val="en-IE"/>
        </w:rPr>
        <w:t xml:space="preserve"> the food supply chain </w:t>
      </w:r>
      <w:r w:rsidR="004A62CE" w:rsidRPr="00013BDC">
        <w:rPr>
          <w:rFonts w:eastAsiaTheme="minorEastAsia"/>
          <w:noProof/>
          <w:color w:val="000000" w:themeColor="text1"/>
          <w:lang w:val="en-IE"/>
        </w:rPr>
        <w:t>in order</w:t>
      </w:r>
      <w:r w:rsidR="665A6530" w:rsidRPr="00013BDC">
        <w:rPr>
          <w:rFonts w:eastAsiaTheme="minorEastAsia"/>
          <w:noProof/>
          <w:color w:val="000000" w:themeColor="text1"/>
          <w:lang w:val="en-IE"/>
        </w:rPr>
        <w:t xml:space="preserve"> to avoid shifting food waste from one stage to another, while oth</w:t>
      </w:r>
      <w:r w:rsidR="396E91DF" w:rsidRPr="00013BDC">
        <w:rPr>
          <w:rFonts w:eastAsiaTheme="minorEastAsia"/>
          <w:noProof/>
          <w:color w:val="000000" w:themeColor="text1"/>
          <w:lang w:val="en-IE"/>
        </w:rPr>
        <w:t xml:space="preserve">er stakeholders warned that </w:t>
      </w:r>
      <w:r w:rsidR="1164FE57" w:rsidRPr="00013BDC">
        <w:rPr>
          <w:rFonts w:eastAsiaTheme="minorEastAsia"/>
          <w:noProof/>
          <w:color w:val="000000" w:themeColor="text1"/>
          <w:lang w:val="en-IE"/>
        </w:rPr>
        <w:t>setting targets for selected stages only could create silo actions (</w:t>
      </w:r>
      <w:r w:rsidR="26C8500D" w:rsidRPr="00013BDC">
        <w:rPr>
          <w:rFonts w:eastAsiaTheme="minorEastAsia"/>
          <w:noProof/>
          <w:color w:val="000000" w:themeColor="text1"/>
          <w:lang w:val="en-IE"/>
        </w:rPr>
        <w:t>industry representatives and a research institute</w:t>
      </w:r>
      <w:r w:rsidR="1164FE57" w:rsidRPr="00013BDC">
        <w:rPr>
          <w:rFonts w:eastAsiaTheme="minorEastAsia"/>
          <w:noProof/>
          <w:color w:val="000000" w:themeColor="text1"/>
          <w:lang w:val="en-IE"/>
        </w:rPr>
        <w:t>)</w:t>
      </w:r>
      <w:r w:rsidR="1435AEF0" w:rsidRPr="00013BDC">
        <w:rPr>
          <w:rFonts w:eastAsiaTheme="minorEastAsia"/>
          <w:noProof/>
          <w:color w:val="000000" w:themeColor="text1"/>
          <w:lang w:val="en-IE"/>
        </w:rPr>
        <w:t>. Stakeholders expressed opposing views concerning setting targets for primary production</w:t>
      </w:r>
      <w:r w:rsidR="7B078E9E" w:rsidRPr="00013BDC">
        <w:rPr>
          <w:rFonts w:eastAsiaTheme="minorEastAsia"/>
          <w:noProof/>
          <w:color w:val="000000" w:themeColor="text1"/>
          <w:lang w:val="en-IE"/>
        </w:rPr>
        <w:t>: representative</w:t>
      </w:r>
      <w:r w:rsidR="0C97EC69" w:rsidRPr="00013BDC">
        <w:rPr>
          <w:rFonts w:eastAsiaTheme="minorEastAsia"/>
          <w:noProof/>
          <w:color w:val="000000" w:themeColor="text1"/>
          <w:lang w:val="en-IE"/>
        </w:rPr>
        <w:t xml:space="preserve">s from two </w:t>
      </w:r>
      <w:r w:rsidR="7B078E9E" w:rsidRPr="00013BDC">
        <w:rPr>
          <w:rFonts w:eastAsiaTheme="minorEastAsia"/>
          <w:noProof/>
          <w:color w:val="000000" w:themeColor="text1"/>
          <w:lang w:val="en-IE"/>
        </w:rPr>
        <w:t xml:space="preserve">environmental NGOs and </w:t>
      </w:r>
      <w:r w:rsidR="481045D6" w:rsidRPr="00013BDC">
        <w:rPr>
          <w:rFonts w:eastAsiaTheme="minorEastAsia"/>
          <w:noProof/>
          <w:color w:val="000000" w:themeColor="text1"/>
          <w:lang w:val="en-IE"/>
        </w:rPr>
        <w:t xml:space="preserve">from the </w:t>
      </w:r>
      <w:r w:rsidR="7B078E9E" w:rsidRPr="00013BDC">
        <w:rPr>
          <w:rFonts w:eastAsiaTheme="minorEastAsia"/>
          <w:noProof/>
          <w:color w:val="000000" w:themeColor="text1"/>
          <w:lang w:val="en-IE"/>
        </w:rPr>
        <w:t xml:space="preserve">retail sector </w:t>
      </w:r>
      <w:r w:rsidR="17C8105D" w:rsidRPr="00013BDC">
        <w:rPr>
          <w:rFonts w:eastAsiaTheme="minorEastAsia"/>
          <w:noProof/>
          <w:color w:val="000000" w:themeColor="text1"/>
          <w:lang w:val="en-IE"/>
        </w:rPr>
        <w:t xml:space="preserve">were in </w:t>
      </w:r>
      <w:r w:rsidR="6F471E48" w:rsidRPr="00013BDC">
        <w:rPr>
          <w:rFonts w:eastAsiaTheme="minorEastAsia"/>
          <w:noProof/>
          <w:color w:val="000000" w:themeColor="text1"/>
          <w:lang w:val="en-IE"/>
        </w:rPr>
        <w:t>favour</w:t>
      </w:r>
      <w:r w:rsidR="17C8105D" w:rsidRPr="00013BDC">
        <w:rPr>
          <w:rFonts w:eastAsiaTheme="minorEastAsia"/>
          <w:noProof/>
          <w:color w:val="000000" w:themeColor="text1"/>
          <w:lang w:val="en-IE"/>
        </w:rPr>
        <w:t xml:space="preserve">, while </w:t>
      </w:r>
      <w:r w:rsidR="1435AEF0" w:rsidRPr="00013BDC">
        <w:rPr>
          <w:rFonts w:eastAsiaTheme="minorEastAsia"/>
          <w:noProof/>
          <w:color w:val="000000" w:themeColor="text1"/>
          <w:lang w:val="en-IE"/>
        </w:rPr>
        <w:t>representatives of primary producers argue</w:t>
      </w:r>
      <w:r w:rsidR="00FA16C6" w:rsidRPr="00013BDC">
        <w:rPr>
          <w:rFonts w:eastAsiaTheme="minorEastAsia"/>
          <w:noProof/>
          <w:color w:val="000000" w:themeColor="text1"/>
          <w:lang w:val="en-IE"/>
        </w:rPr>
        <w:t>d</w:t>
      </w:r>
      <w:r w:rsidR="1435AEF0" w:rsidRPr="00013BDC">
        <w:rPr>
          <w:rFonts w:eastAsiaTheme="minorEastAsia"/>
          <w:noProof/>
          <w:color w:val="000000" w:themeColor="text1"/>
          <w:lang w:val="en-IE"/>
        </w:rPr>
        <w:t xml:space="preserve"> against, </w:t>
      </w:r>
      <w:r w:rsidR="007E7FE2" w:rsidRPr="00013BDC">
        <w:rPr>
          <w:rFonts w:eastAsiaTheme="minorEastAsia"/>
          <w:noProof/>
          <w:color w:val="000000" w:themeColor="text1"/>
          <w:lang w:val="en-IE"/>
        </w:rPr>
        <w:t>referring to</w:t>
      </w:r>
      <w:r w:rsidR="56544355" w:rsidRPr="00013BDC">
        <w:rPr>
          <w:rFonts w:eastAsiaTheme="minorEastAsia"/>
          <w:noProof/>
          <w:color w:val="000000" w:themeColor="text1"/>
          <w:lang w:val="en-IE"/>
        </w:rPr>
        <w:t xml:space="preserve"> </w:t>
      </w:r>
      <w:r w:rsidR="4CA56F57" w:rsidRPr="00013BDC">
        <w:rPr>
          <w:rFonts w:eastAsiaTheme="minorEastAsia"/>
          <w:noProof/>
          <w:color w:val="000000" w:themeColor="text1"/>
          <w:lang w:val="en-IE"/>
        </w:rPr>
        <w:t xml:space="preserve">the absence of an agreed definition for food losses and </w:t>
      </w:r>
      <w:r w:rsidR="56544355" w:rsidRPr="00013BDC">
        <w:rPr>
          <w:rFonts w:eastAsiaTheme="minorEastAsia"/>
          <w:noProof/>
          <w:color w:val="000000" w:themeColor="text1"/>
          <w:lang w:val="en-IE"/>
        </w:rPr>
        <w:t>that</w:t>
      </w:r>
      <w:r w:rsidR="007E7FE2" w:rsidRPr="00013BDC">
        <w:rPr>
          <w:rFonts w:eastAsiaTheme="minorEastAsia"/>
          <w:noProof/>
          <w:color w:val="000000" w:themeColor="text1"/>
          <w:lang w:val="en-IE"/>
        </w:rPr>
        <w:t>,</w:t>
      </w:r>
      <w:r w:rsidR="56544355" w:rsidRPr="00013BDC">
        <w:rPr>
          <w:rFonts w:eastAsiaTheme="minorEastAsia"/>
          <w:noProof/>
          <w:color w:val="000000" w:themeColor="text1"/>
          <w:lang w:val="en-IE"/>
        </w:rPr>
        <w:t xml:space="preserve"> </w:t>
      </w:r>
      <w:r w:rsidR="1435AEF0" w:rsidRPr="00013BDC">
        <w:rPr>
          <w:rFonts w:eastAsiaTheme="minorEastAsia"/>
          <w:noProof/>
          <w:color w:val="000000" w:themeColor="text1"/>
          <w:lang w:val="en-IE"/>
        </w:rPr>
        <w:t>in this sector</w:t>
      </w:r>
      <w:r w:rsidR="007E7FE2" w:rsidRPr="00013BDC">
        <w:rPr>
          <w:rFonts w:eastAsiaTheme="minorEastAsia"/>
          <w:noProof/>
          <w:color w:val="000000" w:themeColor="text1"/>
          <w:lang w:val="en-IE"/>
        </w:rPr>
        <w:t>,</w:t>
      </w:r>
      <w:r w:rsidR="1435AEF0" w:rsidRPr="00013BDC">
        <w:rPr>
          <w:rFonts w:eastAsiaTheme="minorEastAsia"/>
          <w:noProof/>
          <w:color w:val="000000" w:themeColor="text1"/>
          <w:lang w:val="en-IE"/>
        </w:rPr>
        <w:t xml:space="preserve"> waste may occur due to factors beyond producers’ control.</w:t>
      </w:r>
      <w:r w:rsidR="665A6530" w:rsidRPr="00013BDC">
        <w:rPr>
          <w:rFonts w:eastAsiaTheme="minorEastAsia"/>
          <w:noProof/>
          <w:color w:val="000000" w:themeColor="text1"/>
          <w:lang w:val="en-IE"/>
        </w:rPr>
        <w:t xml:space="preserve"> </w:t>
      </w:r>
      <w:r w:rsidR="2E15BC80" w:rsidRPr="00013BDC">
        <w:rPr>
          <w:rFonts w:eastAsiaTheme="minorEastAsia"/>
          <w:noProof/>
          <w:color w:val="000000" w:themeColor="text1"/>
          <w:lang w:val="en-IE"/>
        </w:rPr>
        <w:t>Representatives of the retail sector warned against setting a common target for consumption covering both retail and households, arguing th</w:t>
      </w:r>
      <w:r w:rsidR="5A8E93F0" w:rsidRPr="00013BDC">
        <w:rPr>
          <w:rFonts w:eastAsiaTheme="minorEastAsia"/>
          <w:noProof/>
          <w:color w:val="000000" w:themeColor="text1"/>
          <w:lang w:val="en-IE"/>
        </w:rPr>
        <w:t xml:space="preserve">at </w:t>
      </w:r>
      <w:r w:rsidR="79D573FF" w:rsidRPr="00013BDC">
        <w:rPr>
          <w:rFonts w:eastAsiaTheme="minorEastAsia"/>
          <w:noProof/>
          <w:color w:val="000000" w:themeColor="text1"/>
          <w:lang w:val="en-IE"/>
        </w:rPr>
        <w:t>reducing consumer food waste would be more difficul</w:t>
      </w:r>
      <w:r w:rsidR="27980B86" w:rsidRPr="00013BDC">
        <w:rPr>
          <w:rFonts w:eastAsiaTheme="minorEastAsia"/>
          <w:noProof/>
          <w:color w:val="000000" w:themeColor="text1"/>
          <w:lang w:val="en-IE"/>
        </w:rPr>
        <w:t xml:space="preserve">t and could shift the burden to retailers. </w:t>
      </w:r>
    </w:p>
    <w:p w14:paraId="6DC88BB0" w14:textId="78CE700A" w:rsidR="00135FFB" w:rsidRPr="00013BDC" w:rsidRDefault="00F64258" w:rsidP="00F64258">
      <w:pPr>
        <w:pStyle w:val="Heading2"/>
        <w:rPr>
          <w:rFonts w:eastAsia="Calibri"/>
          <w:noProof/>
          <w:lang w:val="en-IE"/>
        </w:rPr>
      </w:pPr>
      <w:bookmarkStart w:id="129" w:name="_Toc1738344058"/>
      <w:bookmarkStart w:id="130" w:name="_Toc93877371"/>
      <w:bookmarkStart w:id="131" w:name="_Toc1020348874"/>
      <w:bookmarkStart w:id="132" w:name="_Toc1276091374"/>
      <w:bookmarkStart w:id="133" w:name="_Toc1050357277"/>
      <w:bookmarkStart w:id="134" w:name="_Toc1469443884"/>
      <w:bookmarkStart w:id="135" w:name="_Toc1540645339"/>
      <w:bookmarkStart w:id="136" w:name="_Toc1136614018"/>
      <w:bookmarkStart w:id="137" w:name="_Toc139032938"/>
      <w:bookmarkStart w:id="138" w:name="_Toc124777278"/>
      <w:r w:rsidRPr="00F64258">
        <w:t>3-</w:t>
      </w:r>
      <w:r w:rsidRPr="00F64258">
        <w:tab/>
      </w:r>
      <w:r w:rsidR="208B4662" w:rsidRPr="00013BDC">
        <w:rPr>
          <w:noProof/>
          <w:lang w:val="en-IE"/>
        </w:rPr>
        <w:t>Use of the information gathered</w:t>
      </w:r>
      <w:bookmarkEnd w:id="129"/>
      <w:bookmarkEnd w:id="130"/>
      <w:bookmarkEnd w:id="131"/>
      <w:bookmarkEnd w:id="132"/>
      <w:bookmarkEnd w:id="133"/>
      <w:bookmarkEnd w:id="134"/>
      <w:bookmarkEnd w:id="135"/>
      <w:bookmarkEnd w:id="136"/>
      <w:bookmarkEnd w:id="137"/>
      <w:r w:rsidR="208B4662" w:rsidRPr="00013BDC">
        <w:rPr>
          <w:noProof/>
          <w:lang w:val="en-IE"/>
        </w:rPr>
        <w:t xml:space="preserve"> </w:t>
      </w:r>
      <w:bookmarkEnd w:id="138"/>
    </w:p>
    <w:p w14:paraId="715644EE" w14:textId="56D4C37C" w:rsidR="00857923" w:rsidRPr="00013BDC" w:rsidRDefault="007C7F99" w:rsidP="000F07F6">
      <w:pPr>
        <w:spacing w:after="120"/>
        <w:rPr>
          <w:rFonts w:eastAsia="Calibri"/>
          <w:noProof/>
          <w:lang w:val="en-IE"/>
        </w:rPr>
      </w:pPr>
      <w:r w:rsidRPr="00013BDC">
        <w:rPr>
          <w:rFonts w:eastAsia="Calibri"/>
          <w:noProof/>
          <w:lang w:val="en-IE"/>
        </w:rPr>
        <w:t xml:space="preserve">The </w:t>
      </w:r>
      <w:r w:rsidR="00857923" w:rsidRPr="00013BDC">
        <w:rPr>
          <w:rFonts w:eastAsia="Calibri"/>
          <w:noProof/>
          <w:lang w:val="en-IE"/>
        </w:rPr>
        <w:t xml:space="preserve">information gathered as part of the </w:t>
      </w:r>
      <w:r w:rsidRPr="00013BDC">
        <w:rPr>
          <w:rFonts w:eastAsia="Calibri"/>
          <w:noProof/>
          <w:lang w:val="en-IE"/>
        </w:rPr>
        <w:t>consultations</w:t>
      </w:r>
      <w:r w:rsidR="00857923" w:rsidRPr="00013BDC">
        <w:rPr>
          <w:rFonts w:eastAsia="Calibri"/>
          <w:noProof/>
          <w:lang w:val="en-IE"/>
        </w:rPr>
        <w:t xml:space="preserve"> </w:t>
      </w:r>
      <w:r w:rsidRPr="00013BDC">
        <w:rPr>
          <w:rFonts w:eastAsia="Calibri"/>
          <w:noProof/>
          <w:lang w:val="en-IE"/>
        </w:rPr>
        <w:t xml:space="preserve">and in the context of the support studies </w:t>
      </w:r>
      <w:r w:rsidR="00857923" w:rsidRPr="00013BDC">
        <w:rPr>
          <w:rFonts w:eastAsia="Calibri"/>
          <w:noProof/>
          <w:lang w:val="en-IE"/>
        </w:rPr>
        <w:t>was combined</w:t>
      </w:r>
      <w:r w:rsidRPr="00013BDC">
        <w:rPr>
          <w:rFonts w:eastAsia="Calibri"/>
          <w:noProof/>
          <w:lang w:val="en-IE"/>
        </w:rPr>
        <w:t xml:space="preserve"> to </w:t>
      </w:r>
      <w:r w:rsidR="001369FC" w:rsidRPr="00013BDC">
        <w:rPr>
          <w:rFonts w:eastAsia="Calibri"/>
          <w:noProof/>
          <w:lang w:val="en-IE"/>
        </w:rPr>
        <w:t xml:space="preserve">identify </w:t>
      </w:r>
      <w:r w:rsidR="00857923" w:rsidRPr="00013BDC">
        <w:rPr>
          <w:rFonts w:eastAsia="Calibri"/>
          <w:noProof/>
          <w:lang w:val="en-IE"/>
        </w:rPr>
        <w:t xml:space="preserve">the problems, </w:t>
      </w:r>
      <w:r w:rsidR="001369FC" w:rsidRPr="00013BDC">
        <w:rPr>
          <w:rFonts w:eastAsia="Calibri"/>
          <w:noProof/>
          <w:lang w:val="en-IE"/>
        </w:rPr>
        <w:t xml:space="preserve">set the </w:t>
      </w:r>
      <w:r w:rsidR="00857923" w:rsidRPr="00013BDC">
        <w:rPr>
          <w:rFonts w:eastAsia="Calibri"/>
          <w:noProof/>
          <w:lang w:val="en-IE"/>
        </w:rPr>
        <w:t>objectives</w:t>
      </w:r>
      <w:r w:rsidR="001369FC" w:rsidRPr="00013BDC">
        <w:rPr>
          <w:rFonts w:eastAsia="Calibri"/>
          <w:noProof/>
          <w:lang w:val="en-IE"/>
        </w:rPr>
        <w:t xml:space="preserve"> and </w:t>
      </w:r>
      <w:r w:rsidR="00857923" w:rsidRPr="00013BDC">
        <w:rPr>
          <w:rFonts w:eastAsia="Calibri"/>
          <w:noProof/>
          <w:lang w:val="en-IE"/>
        </w:rPr>
        <w:t>identif</w:t>
      </w:r>
      <w:r w:rsidR="001369FC" w:rsidRPr="00013BDC">
        <w:rPr>
          <w:rFonts w:eastAsia="Calibri"/>
          <w:noProof/>
          <w:lang w:val="en-IE"/>
        </w:rPr>
        <w:t xml:space="preserve">y relevant </w:t>
      </w:r>
      <w:r w:rsidR="00857923" w:rsidRPr="00013BDC">
        <w:rPr>
          <w:rFonts w:eastAsia="Calibri"/>
          <w:noProof/>
          <w:lang w:val="en-IE"/>
        </w:rPr>
        <w:t xml:space="preserve">measures. </w:t>
      </w:r>
      <w:r w:rsidR="001369FC" w:rsidRPr="00013BDC">
        <w:rPr>
          <w:rFonts w:eastAsia="Calibri"/>
          <w:noProof/>
          <w:lang w:val="en-IE"/>
        </w:rPr>
        <w:t>The evidence</w:t>
      </w:r>
      <w:r w:rsidR="00857923" w:rsidRPr="00013BDC">
        <w:rPr>
          <w:rFonts w:eastAsia="Calibri"/>
          <w:noProof/>
          <w:lang w:val="en-IE"/>
        </w:rPr>
        <w:t xml:space="preserve"> was analysed to identify contradictory or </w:t>
      </w:r>
      <w:r w:rsidR="001369FC" w:rsidRPr="00013BDC">
        <w:rPr>
          <w:rFonts w:eastAsia="Calibri"/>
          <w:noProof/>
          <w:lang w:val="en-IE"/>
        </w:rPr>
        <w:t xml:space="preserve">consensual views and </w:t>
      </w:r>
      <w:r w:rsidR="00857923" w:rsidRPr="00013BDC">
        <w:rPr>
          <w:rFonts w:eastAsia="Calibri"/>
          <w:noProof/>
          <w:lang w:val="en-IE"/>
        </w:rPr>
        <w:t xml:space="preserve">to reach the conclusions contained in </w:t>
      </w:r>
      <w:r w:rsidR="001369FC" w:rsidRPr="00013BDC">
        <w:rPr>
          <w:rFonts w:eastAsia="Calibri"/>
          <w:noProof/>
          <w:lang w:val="en-IE"/>
        </w:rPr>
        <w:t>this report</w:t>
      </w:r>
      <w:r w:rsidR="00857923" w:rsidRPr="00013BDC">
        <w:rPr>
          <w:rFonts w:eastAsia="Calibri"/>
          <w:noProof/>
          <w:lang w:val="en-IE"/>
        </w:rPr>
        <w:t>. In this context, all widely supported views are entirely considered, with less widely supported views identified as such.</w:t>
      </w:r>
    </w:p>
    <w:p w14:paraId="75619433" w14:textId="605A6AEB" w:rsidR="00892253" w:rsidRPr="00013BDC" w:rsidRDefault="00857923" w:rsidP="00044E48">
      <w:pPr>
        <w:spacing w:after="120"/>
        <w:rPr>
          <w:rFonts w:eastAsia="Calibri"/>
          <w:noProof/>
          <w:lang w:val="en-IE"/>
        </w:rPr>
      </w:pPr>
      <w:r w:rsidRPr="00013BDC">
        <w:rPr>
          <w:rFonts w:eastAsia="Calibri"/>
          <w:noProof/>
          <w:lang w:val="en-IE"/>
        </w:rPr>
        <w:t xml:space="preserve">The preliminary </w:t>
      </w:r>
      <w:r w:rsidR="00C35510" w:rsidRPr="00013BDC">
        <w:rPr>
          <w:rFonts w:eastAsia="Calibri"/>
          <w:noProof/>
          <w:lang w:val="en-IE"/>
        </w:rPr>
        <w:t>steps</w:t>
      </w:r>
      <w:r w:rsidRPr="00013BDC">
        <w:rPr>
          <w:rFonts w:eastAsia="Calibri"/>
          <w:noProof/>
          <w:lang w:val="en-IE"/>
        </w:rPr>
        <w:t xml:space="preserve">, including the </w:t>
      </w:r>
      <w:r w:rsidR="00C35510" w:rsidRPr="00013BDC">
        <w:rPr>
          <w:rFonts w:eastAsia="Calibri"/>
          <w:noProof/>
          <w:lang w:val="en-IE"/>
        </w:rPr>
        <w:t>CfE</w:t>
      </w:r>
      <w:r w:rsidRPr="00013BDC">
        <w:rPr>
          <w:rFonts w:eastAsia="Calibri"/>
          <w:noProof/>
          <w:lang w:val="en-IE"/>
        </w:rPr>
        <w:t xml:space="preserve">, the initial interviews and the first three stakeholder workshops </w:t>
      </w:r>
      <w:r w:rsidR="006941F4" w:rsidRPr="00013BDC">
        <w:rPr>
          <w:rFonts w:eastAsia="Calibri"/>
          <w:noProof/>
          <w:lang w:val="en-IE"/>
        </w:rPr>
        <w:t xml:space="preserve">conducted through the support study, </w:t>
      </w:r>
      <w:r w:rsidRPr="00013BDC">
        <w:rPr>
          <w:rFonts w:eastAsia="Calibri"/>
          <w:noProof/>
          <w:lang w:val="en-IE"/>
        </w:rPr>
        <w:t xml:space="preserve">covered a broad scope addressing waste prevention, preparation for reuse and recycling, used textile and textile waste and food waste. </w:t>
      </w:r>
      <w:r w:rsidR="000932E4" w:rsidRPr="00013BDC">
        <w:rPr>
          <w:rFonts w:eastAsia="Calibri"/>
          <w:noProof/>
          <w:lang w:val="en-IE"/>
        </w:rPr>
        <w:t xml:space="preserve">The </w:t>
      </w:r>
      <w:r w:rsidRPr="00013BDC">
        <w:rPr>
          <w:rFonts w:eastAsia="Calibri"/>
          <w:noProof/>
          <w:lang w:val="en-IE"/>
        </w:rPr>
        <w:t xml:space="preserve">analysis of these materials </w:t>
      </w:r>
      <w:r w:rsidR="000932E4" w:rsidRPr="00013BDC">
        <w:rPr>
          <w:rFonts w:eastAsia="Calibri"/>
          <w:noProof/>
          <w:lang w:val="en-IE"/>
        </w:rPr>
        <w:t xml:space="preserve">was conducted </w:t>
      </w:r>
      <w:r w:rsidRPr="00013BDC">
        <w:rPr>
          <w:rFonts w:eastAsia="Calibri"/>
          <w:noProof/>
          <w:lang w:val="en-IE"/>
        </w:rPr>
        <w:t>up to June 2022</w:t>
      </w:r>
      <w:r w:rsidR="000932E4" w:rsidRPr="00013BDC">
        <w:rPr>
          <w:rFonts w:eastAsia="Calibri"/>
          <w:noProof/>
          <w:lang w:val="en-IE"/>
        </w:rPr>
        <w:t>. T</w:t>
      </w:r>
      <w:r w:rsidRPr="00013BDC">
        <w:rPr>
          <w:rFonts w:eastAsia="Calibri"/>
          <w:noProof/>
          <w:lang w:val="en-IE"/>
        </w:rPr>
        <w:t xml:space="preserve">aking into account the ongoing efforts across the EU to implement “the 2018 waste package” and the variety of new and ongoing initiatives by the Commission (including the review of the </w:t>
      </w:r>
      <w:r w:rsidR="000B66F1" w:rsidRPr="00013BDC">
        <w:rPr>
          <w:noProof/>
          <w:lang w:val="en-IE"/>
        </w:rPr>
        <w:t xml:space="preserve">Directive 94/62/EC on packaging </w:t>
      </w:r>
      <w:r w:rsidRPr="00013BDC">
        <w:rPr>
          <w:noProof/>
          <w:lang w:val="en-IE"/>
        </w:rPr>
        <w:t xml:space="preserve">and packaging waste </w:t>
      </w:r>
      <w:r w:rsidR="000B66F1" w:rsidRPr="00013BDC">
        <w:rPr>
          <w:noProof/>
          <w:lang w:val="en-IE"/>
        </w:rPr>
        <w:t xml:space="preserve">(PPWD) </w:t>
      </w:r>
      <w:r w:rsidR="000B66F1" w:rsidRPr="00013BDC">
        <w:rPr>
          <w:rStyle w:val="FootnoteReference"/>
          <w:noProof/>
          <w:lang w:val="en-IE"/>
        </w:rPr>
        <w:footnoteReference w:id="28"/>
      </w:r>
      <w:r w:rsidRPr="00013BDC">
        <w:rPr>
          <w:rFonts w:eastAsia="Calibri"/>
          <w:noProof/>
          <w:lang w:val="en-IE"/>
        </w:rPr>
        <w:t xml:space="preserve">, Batteries Regulation, Industrial Emission Directive, Eco-design for Sustainable Products regulation (ESPR)), the Commission </w:t>
      </w:r>
      <w:r w:rsidR="000932E4" w:rsidRPr="00013BDC">
        <w:rPr>
          <w:rFonts w:eastAsia="Calibri"/>
          <w:noProof/>
          <w:lang w:val="en-IE"/>
        </w:rPr>
        <w:t xml:space="preserve">then </w:t>
      </w:r>
      <w:r w:rsidRPr="00013BDC">
        <w:rPr>
          <w:rFonts w:eastAsia="Calibri"/>
          <w:noProof/>
          <w:lang w:val="en-IE"/>
        </w:rPr>
        <w:t>refined the scope of the policy initiative. The refined scope focus</w:t>
      </w:r>
      <w:r w:rsidR="00D2665D" w:rsidRPr="00013BDC">
        <w:rPr>
          <w:rFonts w:eastAsia="Calibri"/>
          <w:noProof/>
          <w:lang w:val="en-IE"/>
        </w:rPr>
        <w:t>es</w:t>
      </w:r>
      <w:r w:rsidRPr="00013BDC">
        <w:rPr>
          <w:rFonts w:eastAsia="Calibri"/>
          <w:noProof/>
          <w:lang w:val="en-IE"/>
        </w:rPr>
        <w:t xml:space="preserve"> on used textiles and textile waste as well as an assessment of the feasibility of setting food waste reduction targets to implement the Union’s commitments under the UN Sustainable Development Goals and the Farm to Fork Strategy and limit the food supply chain’s impact on the environment and climate.</w:t>
      </w:r>
    </w:p>
    <w:p w14:paraId="5F867A68" w14:textId="23517F9D" w:rsidR="00857923" w:rsidRPr="00013BDC" w:rsidRDefault="00892253" w:rsidP="00044E48">
      <w:pPr>
        <w:spacing w:after="120"/>
        <w:rPr>
          <w:rFonts w:eastAsia="Calibri"/>
          <w:noProof/>
          <w:lang w:val="en-IE"/>
        </w:rPr>
      </w:pPr>
      <w:r w:rsidRPr="00013BDC">
        <w:rPr>
          <w:rFonts w:eastAsia="Calibri"/>
          <w:noProof/>
          <w:lang w:val="en-IE"/>
        </w:rPr>
        <w:t>Hence, the</w:t>
      </w:r>
      <w:r w:rsidR="00857923" w:rsidRPr="00013BDC">
        <w:rPr>
          <w:rFonts w:eastAsia="Calibri"/>
          <w:noProof/>
          <w:lang w:val="en-IE"/>
        </w:rPr>
        <w:t xml:space="preserve"> stakeholder consultations after June 2022 focused on textiles. </w:t>
      </w:r>
      <w:r w:rsidRPr="00013BDC">
        <w:rPr>
          <w:rFonts w:eastAsia="Calibri"/>
          <w:noProof/>
          <w:lang w:val="en-IE"/>
        </w:rPr>
        <w:t>Most of</w:t>
      </w:r>
      <w:r w:rsidR="00857923" w:rsidRPr="00013BDC">
        <w:rPr>
          <w:rFonts w:eastAsia="Calibri"/>
          <w:noProof/>
          <w:lang w:val="en-IE"/>
        </w:rPr>
        <w:t xml:space="preserve"> </w:t>
      </w:r>
      <w:r w:rsidR="0038695C" w:rsidRPr="00013BDC">
        <w:rPr>
          <w:rFonts w:eastAsia="Calibri"/>
          <w:noProof/>
          <w:lang w:val="en-IE"/>
        </w:rPr>
        <w:t xml:space="preserve">the views on </w:t>
      </w:r>
      <w:r w:rsidR="00857923" w:rsidRPr="00013BDC">
        <w:rPr>
          <w:rFonts w:eastAsia="Calibri"/>
          <w:noProof/>
          <w:lang w:val="en-IE"/>
        </w:rPr>
        <w:t xml:space="preserve">textiles </w:t>
      </w:r>
      <w:r w:rsidR="00582DA1" w:rsidRPr="00013BDC">
        <w:rPr>
          <w:rFonts w:eastAsia="Calibri"/>
          <w:noProof/>
          <w:lang w:val="en-IE"/>
        </w:rPr>
        <w:t xml:space="preserve">point to the </w:t>
      </w:r>
      <w:r w:rsidR="00857923" w:rsidRPr="00013BDC">
        <w:rPr>
          <w:rFonts w:eastAsia="Calibri"/>
          <w:noProof/>
          <w:lang w:val="en-IE"/>
        </w:rPr>
        <w:t xml:space="preserve">challenges in understanding the nature of used textile and textile waste, the collection, sorting, reuse, recycling and disposal of textile waste and the relationship between the measures foreseen under the ESPR proposal and the expected impacts on textiles at their point of discard. The largest challenge </w:t>
      </w:r>
      <w:r w:rsidR="008149B6" w:rsidRPr="00013BDC">
        <w:rPr>
          <w:rFonts w:eastAsia="Calibri"/>
          <w:noProof/>
          <w:lang w:val="en-IE"/>
        </w:rPr>
        <w:t xml:space="preserve">regarding </w:t>
      </w:r>
      <w:r w:rsidR="00857923" w:rsidRPr="00013BDC">
        <w:rPr>
          <w:rFonts w:eastAsia="Calibri"/>
          <w:noProof/>
          <w:lang w:val="en-IE"/>
        </w:rPr>
        <w:t xml:space="preserve">used textile and textile waste </w:t>
      </w:r>
      <w:r w:rsidR="008149B6" w:rsidRPr="00013BDC">
        <w:rPr>
          <w:rFonts w:eastAsia="Calibri"/>
          <w:noProof/>
          <w:lang w:val="en-IE"/>
        </w:rPr>
        <w:t xml:space="preserve">is identified as the scarce </w:t>
      </w:r>
      <w:r w:rsidR="00857923" w:rsidRPr="00013BDC">
        <w:rPr>
          <w:rFonts w:eastAsia="Calibri"/>
          <w:noProof/>
          <w:lang w:val="en-IE"/>
        </w:rPr>
        <w:t>data on generation of textile waste and the infrastructure that exists for its subsequent treatment.</w:t>
      </w:r>
    </w:p>
    <w:p w14:paraId="1C8F8210" w14:textId="2B9D8547" w:rsidR="00857923" w:rsidRPr="00013BDC" w:rsidRDefault="008149B6" w:rsidP="000F07F6">
      <w:pPr>
        <w:spacing w:after="120"/>
        <w:rPr>
          <w:rFonts w:eastAsia="Calibri"/>
          <w:noProof/>
          <w:lang w:val="en-IE"/>
        </w:rPr>
      </w:pPr>
      <w:r w:rsidRPr="00013BDC">
        <w:rPr>
          <w:rFonts w:eastAsia="Calibri"/>
          <w:noProof/>
          <w:lang w:val="en-IE"/>
        </w:rPr>
        <w:t xml:space="preserve">Stakeholders provided information </w:t>
      </w:r>
      <w:r w:rsidR="009E3249" w:rsidRPr="00013BDC">
        <w:rPr>
          <w:rFonts w:eastAsia="Calibri"/>
          <w:noProof/>
          <w:lang w:val="en-IE"/>
        </w:rPr>
        <w:t xml:space="preserve">on the policy measures that was used to </w:t>
      </w:r>
      <w:r w:rsidR="00857923" w:rsidRPr="00013BDC">
        <w:rPr>
          <w:rFonts w:eastAsia="Calibri"/>
          <w:noProof/>
          <w:lang w:val="en-IE"/>
        </w:rPr>
        <w:t xml:space="preserve">expand the scope </w:t>
      </w:r>
      <w:r w:rsidR="009E3249" w:rsidRPr="00013BDC">
        <w:rPr>
          <w:rFonts w:eastAsia="Calibri"/>
          <w:noProof/>
          <w:lang w:val="en-IE"/>
        </w:rPr>
        <w:t>to asses</w:t>
      </w:r>
      <w:r w:rsidR="00392E9B" w:rsidRPr="00013BDC">
        <w:rPr>
          <w:rFonts w:eastAsia="Calibri"/>
          <w:noProof/>
          <w:lang w:val="en-IE"/>
        </w:rPr>
        <w:t>s</w:t>
      </w:r>
      <w:r w:rsidR="009E3249" w:rsidRPr="00013BDC">
        <w:rPr>
          <w:rFonts w:eastAsia="Calibri"/>
          <w:noProof/>
          <w:lang w:val="en-IE"/>
        </w:rPr>
        <w:t xml:space="preserve"> </w:t>
      </w:r>
      <w:r w:rsidR="00857923" w:rsidRPr="00013BDC">
        <w:rPr>
          <w:rFonts w:eastAsia="Calibri"/>
          <w:noProof/>
          <w:lang w:val="en-IE"/>
        </w:rPr>
        <w:t>matters such as online sales of textiles and end-of-waste provisions that</w:t>
      </w:r>
      <w:r w:rsidR="00213AB8" w:rsidRPr="00013BDC">
        <w:rPr>
          <w:rFonts w:eastAsia="Calibri"/>
          <w:noProof/>
          <w:lang w:val="en-IE"/>
        </w:rPr>
        <w:t xml:space="preserve"> were not </w:t>
      </w:r>
      <w:r w:rsidR="00857923" w:rsidRPr="00013BDC">
        <w:rPr>
          <w:rFonts w:eastAsia="Calibri"/>
          <w:noProof/>
          <w:lang w:val="en-IE"/>
        </w:rPr>
        <w:t>part of the original inception impact assessment</w:t>
      </w:r>
      <w:r w:rsidR="00213AB8" w:rsidRPr="00013BDC">
        <w:rPr>
          <w:rFonts w:eastAsia="Calibri"/>
          <w:noProof/>
          <w:lang w:val="en-IE"/>
        </w:rPr>
        <w:t>.</w:t>
      </w:r>
      <w:r w:rsidR="00857923" w:rsidRPr="00013BDC">
        <w:rPr>
          <w:rFonts w:eastAsia="Calibri"/>
          <w:noProof/>
          <w:lang w:val="en-IE"/>
        </w:rPr>
        <w:t xml:space="preserve"> Further, </w:t>
      </w:r>
      <w:r w:rsidR="00213AB8" w:rsidRPr="00013BDC">
        <w:rPr>
          <w:rFonts w:eastAsia="Calibri"/>
          <w:noProof/>
          <w:lang w:val="en-IE"/>
        </w:rPr>
        <w:t xml:space="preserve">stakeholders raised </w:t>
      </w:r>
      <w:r w:rsidR="00857923" w:rsidRPr="00013BDC">
        <w:rPr>
          <w:rFonts w:eastAsia="Calibri"/>
          <w:noProof/>
          <w:lang w:val="en-IE"/>
        </w:rPr>
        <w:t xml:space="preserve">concerns with regard to the impacts of EU discarded textiles on third countries </w:t>
      </w:r>
      <w:r w:rsidR="000E5B64" w:rsidRPr="00013BDC">
        <w:rPr>
          <w:rFonts w:eastAsia="Calibri"/>
          <w:noProof/>
          <w:lang w:val="en-IE"/>
        </w:rPr>
        <w:t xml:space="preserve">and this was considered when designing the proposed </w:t>
      </w:r>
      <w:r w:rsidR="00F76D52" w:rsidRPr="00013BDC">
        <w:rPr>
          <w:rFonts w:eastAsia="Calibri"/>
          <w:noProof/>
          <w:lang w:val="en-IE"/>
        </w:rPr>
        <w:t>measures.</w:t>
      </w:r>
      <w:r w:rsidR="00857923" w:rsidRPr="00013BDC">
        <w:rPr>
          <w:rFonts w:eastAsia="Calibri"/>
          <w:noProof/>
          <w:lang w:val="en-IE"/>
        </w:rPr>
        <w:t xml:space="preserve"> </w:t>
      </w:r>
      <w:r w:rsidR="0001450E" w:rsidRPr="00013BDC">
        <w:rPr>
          <w:rFonts w:eastAsia="Calibri"/>
          <w:noProof/>
          <w:lang w:val="en-IE"/>
        </w:rPr>
        <w:t>Finally</w:t>
      </w:r>
      <w:r w:rsidR="00857923" w:rsidRPr="00013BDC">
        <w:rPr>
          <w:rFonts w:eastAsia="Calibri"/>
          <w:noProof/>
          <w:lang w:val="en-IE"/>
        </w:rPr>
        <w:t xml:space="preserve">, all stakeholders </w:t>
      </w:r>
      <w:r w:rsidR="0001450E" w:rsidRPr="00013BDC">
        <w:rPr>
          <w:rFonts w:eastAsia="Calibri"/>
          <w:noProof/>
          <w:lang w:val="en-IE"/>
        </w:rPr>
        <w:t xml:space="preserve">advocate for </w:t>
      </w:r>
      <w:r w:rsidR="00857923" w:rsidRPr="00013BDC">
        <w:rPr>
          <w:rFonts w:eastAsia="Calibri"/>
          <w:noProof/>
          <w:lang w:val="en-IE"/>
        </w:rPr>
        <w:t xml:space="preserve">greater consistency in </w:t>
      </w:r>
      <w:r w:rsidR="007B45CC" w:rsidRPr="00013BDC">
        <w:rPr>
          <w:rFonts w:eastAsia="Calibri"/>
          <w:noProof/>
          <w:lang w:val="en-IE"/>
        </w:rPr>
        <w:t xml:space="preserve">Member States’ </w:t>
      </w:r>
      <w:r w:rsidR="00857923" w:rsidRPr="00013BDC">
        <w:rPr>
          <w:rFonts w:eastAsia="Calibri"/>
          <w:noProof/>
          <w:lang w:val="en-IE"/>
        </w:rPr>
        <w:t xml:space="preserve">approach </w:t>
      </w:r>
      <w:r w:rsidR="007B45CC" w:rsidRPr="00013BDC">
        <w:rPr>
          <w:rFonts w:eastAsia="Calibri"/>
          <w:noProof/>
          <w:lang w:val="en-IE"/>
        </w:rPr>
        <w:t>to textiles waste management</w:t>
      </w:r>
      <w:r w:rsidR="00857923" w:rsidRPr="00013BDC">
        <w:rPr>
          <w:rFonts w:eastAsia="Calibri"/>
          <w:noProof/>
          <w:lang w:val="en-IE"/>
        </w:rPr>
        <w:t>.</w:t>
      </w:r>
      <w:r w:rsidR="007B45CC" w:rsidRPr="00013BDC">
        <w:rPr>
          <w:rFonts w:eastAsia="Calibri"/>
          <w:noProof/>
          <w:lang w:val="en-IE"/>
        </w:rPr>
        <w:t xml:space="preserve"> </w:t>
      </w:r>
      <w:r w:rsidR="00827F5D" w:rsidRPr="00013BDC">
        <w:rPr>
          <w:rFonts w:eastAsia="Calibri"/>
          <w:noProof/>
          <w:lang w:val="en-IE"/>
        </w:rPr>
        <w:t>There</w:t>
      </w:r>
      <w:r w:rsidR="00857923" w:rsidRPr="00013BDC">
        <w:rPr>
          <w:rFonts w:eastAsia="Calibri"/>
          <w:noProof/>
          <w:lang w:val="en-IE"/>
        </w:rPr>
        <w:t xml:space="preserve"> were also number of matters raised by stakeholders that fall outside of the scope of the WFD, most notably in respect to </w:t>
      </w:r>
      <w:r w:rsidR="00827F5D" w:rsidRPr="00013BDC">
        <w:rPr>
          <w:rFonts w:eastAsia="Calibri"/>
          <w:noProof/>
          <w:lang w:val="en-IE"/>
        </w:rPr>
        <w:t xml:space="preserve">textiles </w:t>
      </w:r>
      <w:r w:rsidR="00857923" w:rsidRPr="00013BDC">
        <w:rPr>
          <w:rFonts w:eastAsia="Calibri"/>
          <w:noProof/>
          <w:lang w:val="en-IE"/>
        </w:rPr>
        <w:t xml:space="preserve">design for circularity that is better addressed by the ongoing work </w:t>
      </w:r>
      <w:r w:rsidR="00E42DEC" w:rsidRPr="00013BDC">
        <w:rPr>
          <w:rFonts w:eastAsia="Calibri"/>
          <w:noProof/>
          <w:lang w:val="en-IE"/>
        </w:rPr>
        <w:t xml:space="preserve">on </w:t>
      </w:r>
      <w:r w:rsidR="00857923" w:rsidRPr="00013BDC">
        <w:rPr>
          <w:rFonts w:eastAsia="Calibri"/>
          <w:noProof/>
          <w:lang w:val="en-IE"/>
        </w:rPr>
        <w:t>ecodesign under the EU Strategy for Sustainable and Circular Textiles</w:t>
      </w:r>
      <w:r w:rsidR="00857923" w:rsidRPr="00013BDC">
        <w:rPr>
          <w:rFonts w:eastAsia="Calibri"/>
          <w:noProof/>
          <w:vertAlign w:val="superscript"/>
          <w:lang w:val="en-IE"/>
        </w:rPr>
        <w:footnoteReference w:id="29"/>
      </w:r>
      <w:r w:rsidR="00857923" w:rsidRPr="00013BDC">
        <w:rPr>
          <w:rFonts w:eastAsia="Calibri"/>
          <w:noProof/>
          <w:lang w:val="en-IE"/>
        </w:rPr>
        <w:t>.</w:t>
      </w:r>
    </w:p>
    <w:p w14:paraId="3208E7EB" w14:textId="6266BCFA" w:rsidR="006A39BF" w:rsidRPr="00013BDC" w:rsidRDefault="009C68A1" w:rsidP="000C2FD3">
      <w:pPr>
        <w:rPr>
          <w:rFonts w:eastAsia="Calibri"/>
          <w:noProof/>
          <w:lang w:val="en-IE"/>
        </w:rPr>
      </w:pPr>
      <w:r w:rsidRPr="00013BDC">
        <w:rPr>
          <w:rFonts w:eastAsia="Calibri"/>
          <w:noProof/>
          <w:lang w:val="en-IE"/>
        </w:rPr>
        <w:t>Information gathered during stakeholder consultations (IIA, targeted and meetings of the EU Platform on FLW) helped inform the definition of policy options</w:t>
      </w:r>
      <w:r w:rsidR="00197548" w:rsidRPr="00013BDC">
        <w:rPr>
          <w:rFonts w:eastAsia="Calibri"/>
          <w:noProof/>
          <w:lang w:val="en-IE"/>
        </w:rPr>
        <w:t xml:space="preserve">, in particular that targets not be limited to the consumption and retail stages but that they cover the food supply chain more broadly. </w:t>
      </w:r>
      <w:r w:rsidR="00857923" w:rsidRPr="00013BDC">
        <w:rPr>
          <w:rFonts w:eastAsia="Calibri"/>
          <w:noProof/>
          <w:lang w:val="en-IE"/>
        </w:rPr>
        <w:t xml:space="preserve">The data on costs of food waste prevention collected through the survey for stakeholders showed a high variability and were generally higher than values found in the literature. Therefore, they were not </w:t>
      </w:r>
      <w:r w:rsidR="00F76D52" w:rsidRPr="00013BDC">
        <w:rPr>
          <w:rFonts w:eastAsia="Calibri"/>
          <w:noProof/>
          <w:lang w:val="en-IE"/>
        </w:rPr>
        <w:t>directly</w:t>
      </w:r>
      <w:r w:rsidR="00857923" w:rsidRPr="00013BDC">
        <w:rPr>
          <w:rFonts w:eastAsia="Calibri"/>
          <w:noProof/>
          <w:lang w:val="en-IE"/>
        </w:rPr>
        <w:t xml:space="preserve"> used in the model to calculate the macro-economic impacts of targets. </w:t>
      </w:r>
    </w:p>
    <w:p w14:paraId="6A3E4D36" w14:textId="77A2CDA8" w:rsidR="00E319C2" w:rsidRPr="00013BDC" w:rsidRDefault="3AED7DCB" w:rsidP="004A0ACC">
      <w:pPr>
        <w:pStyle w:val="AnnexTitle"/>
        <w:rPr>
          <w:noProof/>
          <w:lang w:val="en-IE"/>
        </w:rPr>
      </w:pPr>
      <w:bookmarkStart w:id="139" w:name="_Toc264252444"/>
      <w:bookmarkStart w:id="140" w:name="_Toc105959392"/>
      <w:bookmarkStart w:id="141" w:name="_Toc1403541370"/>
      <w:bookmarkStart w:id="142" w:name="_Toc1122183770"/>
      <w:bookmarkStart w:id="143" w:name="_Toc817217883"/>
      <w:bookmarkStart w:id="144" w:name="_Toc954782674"/>
      <w:bookmarkStart w:id="145" w:name="_Toc1964423564"/>
      <w:bookmarkStart w:id="146" w:name="_Toc117004509"/>
      <w:bookmarkStart w:id="147" w:name="_Toc118014793"/>
      <w:bookmarkStart w:id="148" w:name="_Toc120782537"/>
      <w:bookmarkStart w:id="149" w:name="_Toc124777281"/>
      <w:bookmarkStart w:id="150" w:name="_Toc132761281"/>
      <w:bookmarkStart w:id="151" w:name="_Toc1450508832"/>
      <w:bookmarkStart w:id="152" w:name="_Toc139032939"/>
      <w:r w:rsidRPr="00013BDC">
        <w:rPr>
          <w:noProof/>
          <w:lang w:val="en-IE"/>
        </w:rPr>
        <w:t>Annex 3: Who is affected and how?</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4E7C562" w14:textId="0A2CEEB6" w:rsidR="00E64044" w:rsidRPr="00013BDC" w:rsidRDefault="00F64258" w:rsidP="00F64258">
      <w:pPr>
        <w:pStyle w:val="Heading2"/>
        <w:rPr>
          <w:noProof/>
          <w:lang w:val="en-IE"/>
        </w:rPr>
      </w:pPr>
      <w:bookmarkStart w:id="153" w:name="_Toc963650984"/>
      <w:bookmarkStart w:id="154" w:name="_Toc1639525516"/>
      <w:bookmarkStart w:id="155" w:name="_Toc989226842"/>
      <w:bookmarkStart w:id="156" w:name="_Toc298235142"/>
      <w:bookmarkStart w:id="157" w:name="_Toc1111012404"/>
      <w:bookmarkStart w:id="158" w:name="_Toc90552610"/>
      <w:bookmarkStart w:id="159" w:name="_Toc265302074"/>
      <w:bookmarkStart w:id="160" w:name="_Toc2033684123"/>
      <w:bookmarkStart w:id="161" w:name="_Toc139032940"/>
      <w:bookmarkStart w:id="162" w:name="_Toc117004510"/>
      <w:bookmarkStart w:id="163" w:name="_Toc118014794"/>
      <w:bookmarkStart w:id="164" w:name="_Toc120782538"/>
      <w:bookmarkStart w:id="165" w:name="_Toc124777282"/>
      <w:r w:rsidRPr="00F64258">
        <w:t>1-</w:t>
      </w:r>
      <w:r w:rsidRPr="00F64258">
        <w:tab/>
      </w:r>
      <w:r w:rsidR="00E64044" w:rsidRPr="00013BDC">
        <w:rPr>
          <w:noProof/>
          <w:lang w:val="en-IE"/>
        </w:rPr>
        <w:t>Introduction</w:t>
      </w:r>
      <w:bookmarkEnd w:id="153"/>
      <w:bookmarkEnd w:id="154"/>
      <w:bookmarkEnd w:id="155"/>
      <w:bookmarkEnd w:id="156"/>
      <w:bookmarkEnd w:id="157"/>
      <w:bookmarkEnd w:id="158"/>
      <w:bookmarkEnd w:id="159"/>
      <w:bookmarkEnd w:id="160"/>
      <w:bookmarkEnd w:id="161"/>
    </w:p>
    <w:p w14:paraId="5F499F56" w14:textId="47CD1F0B" w:rsidR="00E64044" w:rsidRPr="00013BDC" w:rsidRDefault="00E64044" w:rsidP="00E64044">
      <w:pPr>
        <w:rPr>
          <w:noProof/>
          <w:lang w:val="en-IE"/>
        </w:rPr>
      </w:pPr>
      <w:r w:rsidRPr="00013BDC">
        <w:rPr>
          <w:noProof/>
          <w:lang w:val="en-IE"/>
        </w:rPr>
        <w:t xml:space="preserve">This annex sets out the practical implications of the preferred policy package for the </w:t>
      </w:r>
      <w:r w:rsidR="003C1E74" w:rsidRPr="00013BDC">
        <w:rPr>
          <w:noProof/>
          <w:lang w:val="en-IE"/>
        </w:rPr>
        <w:t xml:space="preserve">different </w:t>
      </w:r>
      <w:r w:rsidRPr="00013BDC">
        <w:rPr>
          <w:noProof/>
          <w:lang w:val="en-IE"/>
        </w:rPr>
        <w:t xml:space="preserve">stakeholders concerned. It describes the actions that </w:t>
      </w:r>
      <w:r w:rsidR="003354B3" w:rsidRPr="00013BDC">
        <w:rPr>
          <w:noProof/>
          <w:lang w:val="en-IE"/>
        </w:rPr>
        <w:t>different stakeholders</w:t>
      </w:r>
      <w:r w:rsidRPr="00013BDC">
        <w:rPr>
          <w:noProof/>
          <w:lang w:val="en-IE"/>
        </w:rPr>
        <w:t xml:space="preserve"> </w:t>
      </w:r>
      <w:r w:rsidR="00A92781" w:rsidRPr="00013BDC">
        <w:rPr>
          <w:noProof/>
          <w:lang w:val="en-IE"/>
        </w:rPr>
        <w:t>would</w:t>
      </w:r>
      <w:r w:rsidRPr="00013BDC">
        <w:rPr>
          <w:noProof/>
          <w:lang w:val="en-IE"/>
        </w:rPr>
        <w:t xml:space="preserve"> need to take to comply with the obligations under the revised legislation and indicates the likely costs to be incurred in meeting those obligations, or where quantitative information is not available, the nature and </w:t>
      </w:r>
      <w:r w:rsidR="007E7632" w:rsidRPr="00013BDC">
        <w:rPr>
          <w:noProof/>
          <w:lang w:val="en-IE"/>
        </w:rPr>
        <w:t xml:space="preserve">order of </w:t>
      </w:r>
      <w:r w:rsidRPr="00013BDC">
        <w:rPr>
          <w:noProof/>
          <w:lang w:val="en-IE"/>
        </w:rPr>
        <w:t>magnitude of such costs. It also presents the implications for the public.</w:t>
      </w:r>
    </w:p>
    <w:p w14:paraId="73250FC5" w14:textId="28ACD9D1" w:rsidR="00E319C2" w:rsidRPr="00013BDC" w:rsidRDefault="00F64258" w:rsidP="00F64258">
      <w:pPr>
        <w:pStyle w:val="Heading2"/>
        <w:rPr>
          <w:noProof/>
          <w:lang w:val="en-IE"/>
        </w:rPr>
      </w:pPr>
      <w:bookmarkStart w:id="166" w:name="_Toc419276973"/>
      <w:bookmarkStart w:id="167" w:name="_Toc1863275472"/>
      <w:bookmarkStart w:id="168" w:name="_Toc1807853916"/>
      <w:bookmarkStart w:id="169" w:name="_Toc648108535"/>
      <w:bookmarkStart w:id="170" w:name="_Toc263790403"/>
      <w:bookmarkStart w:id="171" w:name="_Toc273394552"/>
      <w:bookmarkStart w:id="172" w:name="_Toc817841013"/>
      <w:bookmarkStart w:id="173" w:name="_Toc139032941"/>
      <w:r w:rsidRPr="00F64258">
        <w:t>2-</w:t>
      </w:r>
      <w:r w:rsidRPr="00F64258">
        <w:tab/>
      </w:r>
      <w:r w:rsidR="65687973" w:rsidRPr="00013BDC">
        <w:rPr>
          <w:noProof/>
          <w:lang w:val="en-IE"/>
        </w:rPr>
        <w:t>Practical implications of the initiative</w:t>
      </w:r>
      <w:bookmarkEnd w:id="162"/>
      <w:bookmarkEnd w:id="163"/>
      <w:bookmarkEnd w:id="164"/>
      <w:bookmarkEnd w:id="165"/>
      <w:bookmarkEnd w:id="166"/>
      <w:bookmarkEnd w:id="167"/>
      <w:bookmarkEnd w:id="168"/>
      <w:bookmarkEnd w:id="169"/>
      <w:bookmarkEnd w:id="170"/>
      <w:bookmarkEnd w:id="171"/>
      <w:bookmarkEnd w:id="172"/>
      <w:r w:rsidR="009A5117" w:rsidRPr="00013BDC">
        <w:rPr>
          <w:noProof/>
          <w:lang w:val="en-IE"/>
        </w:rPr>
        <w:t>: for textiles and textile waste</w:t>
      </w:r>
      <w:bookmarkEnd w:id="173"/>
    </w:p>
    <w:p w14:paraId="365B4EB0" w14:textId="4A972912" w:rsidR="00E64044" w:rsidRPr="00013BDC" w:rsidRDefault="00E64044" w:rsidP="00BF36AF">
      <w:pPr>
        <w:pStyle w:val="Text2"/>
        <w:spacing w:after="120"/>
        <w:ind w:left="0"/>
        <w:rPr>
          <w:noProof/>
          <w:lang w:val="en-IE"/>
        </w:rPr>
      </w:pPr>
      <w:r w:rsidRPr="00013BDC">
        <w:rPr>
          <w:b/>
          <w:noProof/>
          <w:lang w:val="en-IE"/>
        </w:rPr>
        <w:t>Producers of textiles</w:t>
      </w:r>
      <w:r w:rsidR="00BF36AF" w:rsidRPr="00013BDC">
        <w:rPr>
          <w:b/>
          <w:noProof/>
          <w:lang w:val="en-IE"/>
        </w:rPr>
        <w:t xml:space="preserve">: </w:t>
      </w:r>
      <w:r w:rsidR="05DBFE15" w:rsidRPr="00013BDC">
        <w:rPr>
          <w:noProof/>
          <w:lang w:val="en-IE"/>
        </w:rPr>
        <w:t xml:space="preserve">Upon </w:t>
      </w:r>
      <w:r w:rsidRPr="00013BDC">
        <w:rPr>
          <w:noProof/>
          <w:lang w:val="en-IE"/>
        </w:rPr>
        <w:t xml:space="preserve">the </w:t>
      </w:r>
      <w:r w:rsidR="05DBFE15" w:rsidRPr="00013BDC">
        <w:rPr>
          <w:noProof/>
          <w:lang w:val="en-IE"/>
        </w:rPr>
        <w:t xml:space="preserve">date of application of the provisions on </w:t>
      </w:r>
      <w:r w:rsidR="0F595D81" w:rsidRPr="00013BDC">
        <w:rPr>
          <w:noProof/>
          <w:lang w:val="en-IE"/>
        </w:rPr>
        <w:t>extended producer responsibility (</w:t>
      </w:r>
      <w:r w:rsidR="05DBFE15" w:rsidRPr="00013BDC">
        <w:rPr>
          <w:noProof/>
          <w:lang w:val="en-IE"/>
        </w:rPr>
        <w:t>EPR</w:t>
      </w:r>
      <w:r w:rsidR="66147A28" w:rsidRPr="00013BDC">
        <w:rPr>
          <w:noProof/>
          <w:lang w:val="en-IE"/>
        </w:rPr>
        <w:t>)</w:t>
      </w:r>
      <w:r w:rsidR="00A655FB" w:rsidRPr="00013BDC">
        <w:rPr>
          <w:noProof/>
          <w:lang w:val="en-IE"/>
        </w:rPr>
        <w:t xml:space="preserve"> (</w:t>
      </w:r>
      <w:r w:rsidR="00AC09FD" w:rsidRPr="00013BDC">
        <w:rPr>
          <w:noProof/>
          <w:lang w:val="en-IE"/>
        </w:rPr>
        <w:t>i.e.</w:t>
      </w:r>
      <w:r w:rsidR="00A655FB" w:rsidRPr="00013BDC">
        <w:rPr>
          <w:noProof/>
          <w:lang w:val="en-IE"/>
        </w:rPr>
        <w:t xml:space="preserve"> </w:t>
      </w:r>
      <w:r w:rsidR="3DC7E743" w:rsidRPr="00013BDC">
        <w:rPr>
          <w:noProof/>
          <w:lang w:val="en-IE"/>
        </w:rPr>
        <w:t xml:space="preserve">at or after the </w:t>
      </w:r>
      <w:r w:rsidR="00A655FB" w:rsidRPr="00013BDC">
        <w:rPr>
          <w:noProof/>
          <w:lang w:val="en-IE"/>
        </w:rPr>
        <w:t xml:space="preserve">transposition date for the </w:t>
      </w:r>
      <w:r w:rsidR="1B97D7EC" w:rsidRPr="00013BDC">
        <w:rPr>
          <w:noProof/>
          <w:lang w:val="en-IE"/>
        </w:rPr>
        <w:t xml:space="preserve">targeted </w:t>
      </w:r>
      <w:r w:rsidR="4464BDC1" w:rsidRPr="00013BDC">
        <w:rPr>
          <w:noProof/>
          <w:lang w:val="en-IE"/>
        </w:rPr>
        <w:t>amendments</w:t>
      </w:r>
      <w:r w:rsidR="1B97D7EC" w:rsidRPr="00013BDC">
        <w:rPr>
          <w:noProof/>
          <w:lang w:val="en-IE"/>
        </w:rPr>
        <w:t xml:space="preserve"> to the </w:t>
      </w:r>
      <w:r w:rsidR="00A655FB" w:rsidRPr="00013BDC">
        <w:rPr>
          <w:noProof/>
          <w:lang w:val="en-IE"/>
        </w:rPr>
        <w:t>WFD</w:t>
      </w:r>
      <w:r w:rsidR="00875B61" w:rsidRPr="00013BDC">
        <w:rPr>
          <w:noProof/>
          <w:lang w:val="en-IE"/>
        </w:rPr>
        <w:t xml:space="preserve">) producers will </w:t>
      </w:r>
      <w:r w:rsidR="005B4E2F" w:rsidRPr="00013BDC">
        <w:rPr>
          <w:noProof/>
          <w:lang w:val="en-IE"/>
        </w:rPr>
        <w:t xml:space="preserve">be required to </w:t>
      </w:r>
      <w:r w:rsidR="001D708D" w:rsidRPr="00013BDC">
        <w:rPr>
          <w:noProof/>
          <w:lang w:val="en-IE"/>
        </w:rPr>
        <w:t xml:space="preserve">provide information </w:t>
      </w:r>
      <w:r w:rsidR="003354B3" w:rsidRPr="00013BDC">
        <w:rPr>
          <w:noProof/>
          <w:lang w:val="en-IE"/>
        </w:rPr>
        <w:t xml:space="preserve">on </w:t>
      </w:r>
      <w:r w:rsidR="001D708D" w:rsidRPr="00013BDC">
        <w:rPr>
          <w:noProof/>
          <w:lang w:val="en-IE"/>
        </w:rPr>
        <w:t xml:space="preserve">the quantity of </w:t>
      </w:r>
      <w:r w:rsidR="57C36A91" w:rsidRPr="00013BDC">
        <w:rPr>
          <w:noProof/>
          <w:lang w:val="en-IE"/>
        </w:rPr>
        <w:t xml:space="preserve">textile </w:t>
      </w:r>
      <w:r w:rsidR="001D708D" w:rsidRPr="00013BDC">
        <w:rPr>
          <w:noProof/>
          <w:lang w:val="en-IE"/>
        </w:rPr>
        <w:t xml:space="preserve">goods subject to the </w:t>
      </w:r>
      <w:r w:rsidR="00941E95" w:rsidRPr="00013BDC">
        <w:rPr>
          <w:noProof/>
          <w:lang w:val="en-IE"/>
        </w:rPr>
        <w:t>EPR obligations</w:t>
      </w:r>
      <w:r w:rsidR="007E7632" w:rsidRPr="00013BDC">
        <w:rPr>
          <w:noProof/>
          <w:lang w:val="en-IE"/>
        </w:rPr>
        <w:t xml:space="preserve"> that are placed on the market</w:t>
      </w:r>
      <w:r w:rsidR="00941E95" w:rsidRPr="00013BDC">
        <w:rPr>
          <w:noProof/>
          <w:lang w:val="en-IE"/>
        </w:rPr>
        <w:t xml:space="preserve">. Furthermore, as Member States enact their </w:t>
      </w:r>
      <w:r w:rsidR="005B773A" w:rsidRPr="00013BDC">
        <w:rPr>
          <w:noProof/>
          <w:lang w:val="en-IE"/>
        </w:rPr>
        <w:t xml:space="preserve">EPR systems in compliance with the </w:t>
      </w:r>
      <w:r w:rsidR="7D81D932" w:rsidRPr="00013BDC">
        <w:rPr>
          <w:noProof/>
          <w:lang w:val="en-IE"/>
        </w:rPr>
        <w:t xml:space="preserve">harmonised </w:t>
      </w:r>
      <w:r w:rsidR="005806E2" w:rsidRPr="00013BDC">
        <w:rPr>
          <w:noProof/>
          <w:lang w:val="en-IE"/>
        </w:rPr>
        <w:t xml:space="preserve">framework set out </w:t>
      </w:r>
      <w:r w:rsidR="000D4997" w:rsidRPr="00013BDC">
        <w:rPr>
          <w:noProof/>
          <w:lang w:val="en-IE"/>
        </w:rPr>
        <w:t>in the revised Directive</w:t>
      </w:r>
      <w:r w:rsidR="007B5C98" w:rsidRPr="00013BDC">
        <w:rPr>
          <w:noProof/>
          <w:lang w:val="en-IE"/>
        </w:rPr>
        <w:t>,</w:t>
      </w:r>
      <w:r w:rsidR="000D4997" w:rsidRPr="00013BDC">
        <w:rPr>
          <w:noProof/>
          <w:lang w:val="en-IE"/>
        </w:rPr>
        <w:t xml:space="preserve"> </w:t>
      </w:r>
      <w:r w:rsidR="00517B82" w:rsidRPr="00013BDC">
        <w:rPr>
          <w:noProof/>
          <w:lang w:val="en-IE"/>
        </w:rPr>
        <w:t xml:space="preserve">producers will </w:t>
      </w:r>
      <w:r w:rsidR="001816FC" w:rsidRPr="00013BDC">
        <w:rPr>
          <w:noProof/>
          <w:lang w:val="en-IE"/>
        </w:rPr>
        <w:t xml:space="preserve">have to pay </w:t>
      </w:r>
      <w:r w:rsidR="000D4997" w:rsidRPr="00013BDC">
        <w:rPr>
          <w:noProof/>
          <w:lang w:val="en-IE"/>
        </w:rPr>
        <w:t xml:space="preserve">fees </w:t>
      </w:r>
      <w:r w:rsidR="001816FC" w:rsidRPr="00013BDC">
        <w:rPr>
          <w:noProof/>
          <w:lang w:val="en-IE"/>
        </w:rPr>
        <w:t>into the respective producer responsibility organisations</w:t>
      </w:r>
      <w:r w:rsidR="0085483A" w:rsidRPr="00013BDC">
        <w:rPr>
          <w:noProof/>
          <w:lang w:val="en-IE"/>
        </w:rPr>
        <w:t xml:space="preserve"> (PRO)</w:t>
      </w:r>
      <w:r w:rsidR="001816FC" w:rsidRPr="00013BDC">
        <w:rPr>
          <w:noProof/>
          <w:lang w:val="en-IE"/>
        </w:rPr>
        <w:t xml:space="preserve"> to cover the costs of collection, sorting, preparation for </w:t>
      </w:r>
      <w:r w:rsidR="00D96247" w:rsidRPr="00013BDC">
        <w:rPr>
          <w:noProof/>
          <w:lang w:val="en-IE"/>
        </w:rPr>
        <w:t>reuse</w:t>
      </w:r>
      <w:r w:rsidR="001816FC" w:rsidRPr="00013BDC">
        <w:rPr>
          <w:noProof/>
          <w:lang w:val="en-IE"/>
        </w:rPr>
        <w:t xml:space="preserve">, recycling, energy recovery </w:t>
      </w:r>
      <w:r w:rsidR="7B915256" w:rsidRPr="00013BDC">
        <w:rPr>
          <w:noProof/>
          <w:lang w:val="en-IE"/>
        </w:rPr>
        <w:t xml:space="preserve">and disposal of textile waste as well as other </w:t>
      </w:r>
      <w:r w:rsidR="686AF405" w:rsidRPr="00013BDC">
        <w:rPr>
          <w:noProof/>
          <w:lang w:val="en-IE"/>
        </w:rPr>
        <w:t>defined costs</w:t>
      </w:r>
      <w:r w:rsidR="7ABCAC0D" w:rsidRPr="00013BDC">
        <w:rPr>
          <w:noProof/>
          <w:lang w:val="en-IE"/>
        </w:rPr>
        <w:t xml:space="preserve"> on reporting, awareness raising, R&amp;D</w:t>
      </w:r>
      <w:r w:rsidR="0085483A" w:rsidRPr="00013BDC">
        <w:rPr>
          <w:noProof/>
          <w:lang w:val="en-IE"/>
        </w:rPr>
        <w:t>.</w:t>
      </w:r>
    </w:p>
    <w:p w14:paraId="1A30B079" w14:textId="68B7CB8B" w:rsidR="009F6030" w:rsidRPr="00013BDC" w:rsidRDefault="002A2EBB" w:rsidP="43823C20">
      <w:pPr>
        <w:pStyle w:val="Text2"/>
        <w:spacing w:after="120"/>
        <w:ind w:left="0"/>
        <w:rPr>
          <w:noProof/>
          <w:lang w:val="en-IE"/>
        </w:rPr>
      </w:pPr>
      <w:r w:rsidRPr="00013BDC">
        <w:rPr>
          <w:b/>
          <w:noProof/>
          <w:lang w:val="en-IE"/>
        </w:rPr>
        <w:t>Producer</w:t>
      </w:r>
      <w:r w:rsidR="00AB5B65" w:rsidRPr="00013BDC">
        <w:rPr>
          <w:b/>
          <w:noProof/>
          <w:lang w:val="en-IE"/>
        </w:rPr>
        <w:t xml:space="preserve"> responsibility organisations</w:t>
      </w:r>
      <w:r w:rsidR="004E6463" w:rsidRPr="00013BDC">
        <w:rPr>
          <w:b/>
          <w:noProof/>
          <w:lang w:val="en-IE"/>
        </w:rPr>
        <w:t xml:space="preserve"> (PROs)</w:t>
      </w:r>
      <w:r w:rsidR="00955918" w:rsidRPr="00013BDC">
        <w:rPr>
          <w:b/>
          <w:noProof/>
          <w:lang w:val="en-IE"/>
        </w:rPr>
        <w:t xml:space="preserve">: </w:t>
      </w:r>
      <w:r w:rsidR="5E5F6837" w:rsidRPr="00013BDC">
        <w:rPr>
          <w:noProof/>
          <w:lang w:val="en-IE"/>
        </w:rPr>
        <w:t>The implementation of an EPR scheme would require the setting up of new PROs or the expansion of the activities into the textile sector for existing PROs.</w:t>
      </w:r>
      <w:r w:rsidR="004E6463" w:rsidRPr="00013BDC">
        <w:rPr>
          <w:noProof/>
          <w:lang w:val="en-IE"/>
        </w:rPr>
        <w:t xml:space="preserve"> PROs will be required to ensure that the scope of textiles </w:t>
      </w:r>
      <w:r w:rsidR="00A467A7" w:rsidRPr="00013BDC">
        <w:rPr>
          <w:noProof/>
          <w:lang w:val="en-IE"/>
        </w:rPr>
        <w:t>covers</w:t>
      </w:r>
      <w:r w:rsidR="004E6463" w:rsidRPr="00013BDC">
        <w:rPr>
          <w:noProof/>
          <w:lang w:val="en-IE"/>
        </w:rPr>
        <w:t xml:space="preserve"> </w:t>
      </w:r>
      <w:r w:rsidR="00A467A7" w:rsidRPr="00013BDC">
        <w:rPr>
          <w:noProof/>
          <w:lang w:val="en-IE"/>
        </w:rPr>
        <w:t xml:space="preserve">at least </w:t>
      </w:r>
      <w:r w:rsidR="004E6463" w:rsidRPr="00013BDC">
        <w:rPr>
          <w:noProof/>
          <w:lang w:val="en-IE"/>
        </w:rPr>
        <w:t xml:space="preserve">the scope set at the EU level </w:t>
      </w:r>
      <w:r w:rsidR="00A467A7" w:rsidRPr="00013BDC">
        <w:rPr>
          <w:noProof/>
          <w:lang w:val="en-IE"/>
        </w:rPr>
        <w:t xml:space="preserve">and </w:t>
      </w:r>
      <w:r w:rsidR="0082037C" w:rsidRPr="00013BDC">
        <w:rPr>
          <w:noProof/>
          <w:lang w:val="en-IE"/>
        </w:rPr>
        <w:t>to comply with</w:t>
      </w:r>
      <w:r w:rsidR="004E6463" w:rsidRPr="00013BDC">
        <w:rPr>
          <w:noProof/>
          <w:lang w:val="en-IE"/>
        </w:rPr>
        <w:t xml:space="preserve"> the </w:t>
      </w:r>
      <w:r w:rsidR="009F6030" w:rsidRPr="00013BDC">
        <w:rPr>
          <w:noProof/>
          <w:lang w:val="en-IE"/>
        </w:rPr>
        <w:t>minimum</w:t>
      </w:r>
      <w:r w:rsidR="004E6463" w:rsidRPr="00013BDC">
        <w:rPr>
          <w:noProof/>
          <w:lang w:val="en-IE"/>
        </w:rPr>
        <w:t xml:space="preserve"> </w:t>
      </w:r>
      <w:r w:rsidR="00382743" w:rsidRPr="00013BDC">
        <w:rPr>
          <w:noProof/>
          <w:lang w:val="en-IE"/>
        </w:rPr>
        <w:t xml:space="preserve">obligations set </w:t>
      </w:r>
      <w:r w:rsidR="009F6030" w:rsidRPr="00013BDC">
        <w:rPr>
          <w:noProof/>
          <w:lang w:val="en-IE"/>
        </w:rPr>
        <w:t>in the revised legislation. This includes report</w:t>
      </w:r>
      <w:r w:rsidR="00B75111" w:rsidRPr="00013BDC">
        <w:rPr>
          <w:noProof/>
          <w:lang w:val="en-IE"/>
        </w:rPr>
        <w:t>ing</w:t>
      </w:r>
      <w:r w:rsidR="009F6030" w:rsidRPr="00013BDC">
        <w:rPr>
          <w:noProof/>
          <w:lang w:val="en-IE"/>
        </w:rPr>
        <w:t xml:space="preserve"> on the operation</w:t>
      </w:r>
      <w:r w:rsidR="00B75111" w:rsidRPr="00013BDC">
        <w:rPr>
          <w:noProof/>
          <w:lang w:val="en-IE"/>
        </w:rPr>
        <w:t>s</w:t>
      </w:r>
      <w:r w:rsidR="009F6030" w:rsidRPr="00013BDC">
        <w:rPr>
          <w:noProof/>
          <w:lang w:val="en-IE"/>
        </w:rPr>
        <w:t xml:space="preserve"> of the EPR scheme</w:t>
      </w:r>
      <w:r w:rsidR="00B75111" w:rsidRPr="00013BDC">
        <w:rPr>
          <w:noProof/>
          <w:lang w:val="en-IE"/>
        </w:rPr>
        <w:t xml:space="preserve"> put</w:t>
      </w:r>
      <w:r w:rsidR="009F6030" w:rsidRPr="00013BDC">
        <w:rPr>
          <w:noProof/>
          <w:lang w:val="en-IE"/>
        </w:rPr>
        <w:t xml:space="preserve"> in place</w:t>
      </w:r>
      <w:r w:rsidR="00382743" w:rsidRPr="00013BDC">
        <w:rPr>
          <w:noProof/>
          <w:lang w:val="en-IE"/>
        </w:rPr>
        <w:t>.</w:t>
      </w:r>
      <w:r w:rsidR="00912DDB" w:rsidRPr="00013BDC">
        <w:rPr>
          <w:noProof/>
          <w:lang w:val="en-IE"/>
        </w:rPr>
        <w:t xml:space="preserve"> </w:t>
      </w:r>
      <w:r w:rsidR="3E8EF94A" w:rsidRPr="00013BDC">
        <w:rPr>
          <w:noProof/>
          <w:lang w:val="en-IE"/>
        </w:rPr>
        <w:t>PROs</w:t>
      </w:r>
      <w:r w:rsidR="70644743" w:rsidRPr="00013BDC">
        <w:rPr>
          <w:noProof/>
          <w:lang w:val="en-IE"/>
        </w:rPr>
        <w:t>, based on fees collected from producers,</w:t>
      </w:r>
      <w:r w:rsidR="00744F4D" w:rsidRPr="00013BDC">
        <w:rPr>
          <w:noProof/>
          <w:lang w:val="en-IE"/>
        </w:rPr>
        <w:t xml:space="preserve"> will </w:t>
      </w:r>
      <w:r w:rsidR="453C7238" w:rsidRPr="00013BDC">
        <w:rPr>
          <w:noProof/>
          <w:lang w:val="en-IE"/>
        </w:rPr>
        <w:t>fund</w:t>
      </w:r>
      <w:r w:rsidR="512EBF06" w:rsidRPr="00013BDC">
        <w:rPr>
          <w:noProof/>
          <w:lang w:val="en-IE"/>
        </w:rPr>
        <w:t xml:space="preserve"> the</w:t>
      </w:r>
      <w:r w:rsidR="009F6030" w:rsidRPr="00013BDC">
        <w:rPr>
          <w:noProof/>
          <w:lang w:val="en-IE"/>
        </w:rPr>
        <w:t xml:space="preserve"> waste management enterprises, including social enterprises</w:t>
      </w:r>
      <w:r w:rsidR="004E296F" w:rsidRPr="00013BDC">
        <w:rPr>
          <w:noProof/>
          <w:lang w:val="en-IE"/>
        </w:rPr>
        <w:t xml:space="preserve">, </w:t>
      </w:r>
      <w:r w:rsidR="00912DDB" w:rsidRPr="00013BDC">
        <w:rPr>
          <w:noProof/>
          <w:lang w:val="en-IE"/>
        </w:rPr>
        <w:t xml:space="preserve">to </w:t>
      </w:r>
      <w:r w:rsidR="004E296F" w:rsidRPr="00013BDC">
        <w:rPr>
          <w:noProof/>
          <w:lang w:val="en-IE"/>
        </w:rPr>
        <w:t>finance the collection, sorting and treatment of textile waste as well as in waste prevention activities at the national level.</w:t>
      </w:r>
    </w:p>
    <w:p w14:paraId="73F024D1" w14:textId="424D8F90" w:rsidR="00E4164B" w:rsidRPr="00013BDC" w:rsidRDefault="006D4943" w:rsidP="00DF251F">
      <w:pPr>
        <w:pStyle w:val="Text2"/>
        <w:spacing w:after="120"/>
        <w:ind w:left="0"/>
        <w:rPr>
          <w:noProof/>
          <w:lang w:val="en-IE"/>
        </w:rPr>
      </w:pPr>
      <w:r w:rsidRPr="00013BDC">
        <w:rPr>
          <w:b/>
          <w:noProof/>
          <w:lang w:val="en-IE"/>
        </w:rPr>
        <w:t>Waste management enterprises including social enterprises</w:t>
      </w:r>
      <w:r w:rsidR="00955918" w:rsidRPr="00013BDC">
        <w:rPr>
          <w:b/>
          <w:noProof/>
          <w:lang w:val="en-IE"/>
        </w:rPr>
        <w:t xml:space="preserve">: </w:t>
      </w:r>
      <w:r w:rsidR="00413FC1" w:rsidRPr="00013BDC">
        <w:rPr>
          <w:noProof/>
          <w:lang w:val="en-IE"/>
        </w:rPr>
        <w:t xml:space="preserve">Upon the date of application of the </w:t>
      </w:r>
      <w:r w:rsidRPr="00013BDC">
        <w:rPr>
          <w:noProof/>
          <w:lang w:val="en-IE"/>
        </w:rPr>
        <w:t>revised legislation (</w:t>
      </w:r>
      <w:r w:rsidR="00912DDB" w:rsidRPr="00013BDC">
        <w:rPr>
          <w:noProof/>
          <w:lang w:val="en-IE"/>
        </w:rPr>
        <w:t>i.e.,</w:t>
      </w:r>
      <w:r w:rsidRPr="00013BDC">
        <w:rPr>
          <w:noProof/>
          <w:lang w:val="en-IE"/>
        </w:rPr>
        <w:t xml:space="preserve"> transposition date for the WFD and entry into force at the national level) waste management enterprises</w:t>
      </w:r>
      <w:r w:rsidR="0063216C" w:rsidRPr="00013BDC">
        <w:rPr>
          <w:noProof/>
          <w:lang w:val="en-IE"/>
        </w:rPr>
        <w:t xml:space="preserve"> will be required to </w:t>
      </w:r>
      <w:r w:rsidR="0002648C" w:rsidRPr="00013BDC">
        <w:rPr>
          <w:noProof/>
          <w:lang w:val="en-IE"/>
        </w:rPr>
        <w:t>comply with the revised provisions on textiles waste management</w:t>
      </w:r>
      <w:r w:rsidR="35B68D75" w:rsidRPr="00013BDC">
        <w:rPr>
          <w:noProof/>
          <w:lang w:val="en-IE"/>
        </w:rPr>
        <w:t>.</w:t>
      </w:r>
      <w:r w:rsidR="00ED2A1A" w:rsidRPr="00013BDC">
        <w:rPr>
          <w:noProof/>
          <w:lang w:val="en-IE"/>
        </w:rPr>
        <w:t xml:space="preserve"> It is expected that these obligations will take </w:t>
      </w:r>
      <w:r w:rsidR="00D60FCC" w:rsidRPr="00013BDC">
        <w:rPr>
          <w:noProof/>
          <w:lang w:val="en-IE"/>
        </w:rPr>
        <w:t>several</w:t>
      </w:r>
      <w:r w:rsidR="00ED2A1A" w:rsidRPr="00013BDC">
        <w:rPr>
          <w:noProof/>
          <w:lang w:val="en-IE"/>
        </w:rPr>
        <w:t xml:space="preserve"> years to set up given </w:t>
      </w:r>
      <w:r w:rsidR="004315B0" w:rsidRPr="00013BDC">
        <w:rPr>
          <w:noProof/>
          <w:lang w:val="en-IE"/>
        </w:rPr>
        <w:t>the timeframe of the relevant</w:t>
      </w:r>
      <w:r w:rsidR="00ED2A1A" w:rsidRPr="00013BDC">
        <w:rPr>
          <w:noProof/>
          <w:lang w:val="en-IE"/>
        </w:rPr>
        <w:t xml:space="preserve"> infrastructure investment</w:t>
      </w:r>
      <w:r w:rsidR="004315B0" w:rsidRPr="00013BDC">
        <w:rPr>
          <w:noProof/>
          <w:lang w:val="en-IE"/>
        </w:rPr>
        <w:t>s</w:t>
      </w:r>
      <w:r w:rsidR="00ED2A1A" w:rsidRPr="00013BDC">
        <w:rPr>
          <w:noProof/>
          <w:lang w:val="en-IE"/>
        </w:rPr>
        <w:t>. The most important aspects in relation to investment in collection, sorting and treatment infrastructure will be to mak</w:t>
      </w:r>
      <w:r w:rsidR="009B46F1" w:rsidRPr="00013BDC">
        <w:rPr>
          <w:noProof/>
          <w:lang w:val="en-IE"/>
        </w:rPr>
        <w:t>e</w:t>
      </w:r>
      <w:r w:rsidR="00ED2A1A" w:rsidRPr="00013BDC">
        <w:rPr>
          <w:noProof/>
          <w:lang w:val="en-IE"/>
        </w:rPr>
        <w:t xml:space="preserve"> sure that full scope of textiles defined at the EU level</w:t>
      </w:r>
      <w:r w:rsidR="008B6410" w:rsidRPr="00013BDC">
        <w:rPr>
          <w:noProof/>
          <w:lang w:val="en-IE"/>
        </w:rPr>
        <w:t xml:space="preserve"> is managed effectively.</w:t>
      </w:r>
      <w:r w:rsidR="00DF251F" w:rsidRPr="00013BDC">
        <w:rPr>
          <w:noProof/>
          <w:lang w:val="en-IE"/>
        </w:rPr>
        <w:t xml:space="preserve"> </w:t>
      </w:r>
    </w:p>
    <w:p w14:paraId="72CFB782" w14:textId="43D87E8D" w:rsidR="00DF251F" w:rsidRPr="00013BDC" w:rsidRDefault="00DF251F" w:rsidP="00DF251F">
      <w:pPr>
        <w:pStyle w:val="Text2"/>
        <w:spacing w:after="120"/>
        <w:ind w:left="0"/>
        <w:rPr>
          <w:noProof/>
          <w:lang w:val="en-IE"/>
        </w:rPr>
      </w:pPr>
      <w:r w:rsidRPr="00013BDC">
        <w:rPr>
          <w:noProof/>
          <w:lang w:val="en-IE"/>
        </w:rPr>
        <w:t xml:space="preserve">Social enterprises, one of the key stakeholder groups in the collection, sorting and </w:t>
      </w:r>
      <w:r w:rsidR="00D96247" w:rsidRPr="00013BDC">
        <w:rPr>
          <w:noProof/>
          <w:lang w:val="en-IE"/>
        </w:rPr>
        <w:t>reuse</w:t>
      </w:r>
      <w:r w:rsidRPr="00013BDC">
        <w:rPr>
          <w:noProof/>
          <w:lang w:val="en-IE"/>
        </w:rPr>
        <w:t xml:space="preserve"> of textiles and textile waste in the EU, will be provided with a clearly defined role in the application of the new measures, ensuring that Member States and PROs engage with those enterprises to ensure the ongoing viability of their operating models. The obligations proposed on separate collection of </w:t>
      </w:r>
      <w:r w:rsidR="00AC2C1A" w:rsidRPr="00013BDC">
        <w:rPr>
          <w:noProof/>
          <w:lang w:val="en-IE"/>
        </w:rPr>
        <w:t>textile</w:t>
      </w:r>
      <w:r w:rsidRPr="00013BDC">
        <w:rPr>
          <w:noProof/>
          <w:lang w:val="en-IE"/>
        </w:rPr>
        <w:t xml:space="preserve"> waste should improve the quantity and quality of textile streams suitable for recycling, to the benefit of recyclers. Funding via the EPR scheme will be directed to innovation and the creation of closed loop recycling infrastructure.</w:t>
      </w:r>
    </w:p>
    <w:p w14:paraId="621361DF" w14:textId="152369EE" w:rsidR="006240C6" w:rsidRPr="00013BDC" w:rsidRDefault="008B6410" w:rsidP="00DF251F">
      <w:pPr>
        <w:pStyle w:val="Text2"/>
        <w:spacing w:after="120"/>
        <w:ind w:left="0"/>
        <w:rPr>
          <w:noProof/>
          <w:lang w:val="en-IE"/>
        </w:rPr>
      </w:pPr>
      <w:r w:rsidRPr="00013BDC">
        <w:rPr>
          <w:noProof/>
          <w:lang w:val="en-IE"/>
        </w:rPr>
        <w:t xml:space="preserve">Additionally, reporting on certain aspects of waste management activities </w:t>
      </w:r>
      <w:r w:rsidR="007726C1" w:rsidRPr="00013BDC">
        <w:rPr>
          <w:noProof/>
          <w:lang w:val="en-IE"/>
        </w:rPr>
        <w:t xml:space="preserve">will be required </w:t>
      </w:r>
      <w:r w:rsidR="00061AC5" w:rsidRPr="00013BDC">
        <w:rPr>
          <w:noProof/>
          <w:lang w:val="en-IE"/>
        </w:rPr>
        <w:t>in terms of collection, sorting and treatment of textiles</w:t>
      </w:r>
      <w:r w:rsidR="000E3E20" w:rsidRPr="00013BDC">
        <w:rPr>
          <w:noProof/>
          <w:lang w:val="en-IE"/>
        </w:rPr>
        <w:t xml:space="preserve">. In </w:t>
      </w:r>
      <w:r w:rsidR="009B46F1" w:rsidRPr="00013BDC">
        <w:rPr>
          <w:noProof/>
          <w:lang w:val="en-IE"/>
        </w:rPr>
        <w:t>most</w:t>
      </w:r>
      <w:r w:rsidR="000E3E20" w:rsidRPr="00013BDC">
        <w:rPr>
          <w:noProof/>
          <w:lang w:val="en-IE"/>
        </w:rPr>
        <w:t xml:space="preserve"> cases this reporting is in </w:t>
      </w:r>
      <w:r w:rsidR="0091585E" w:rsidRPr="00013BDC">
        <w:rPr>
          <w:noProof/>
          <w:lang w:val="en-IE"/>
        </w:rPr>
        <w:t>place</w:t>
      </w:r>
      <w:r w:rsidR="000E3E20" w:rsidRPr="00013BDC">
        <w:rPr>
          <w:noProof/>
          <w:lang w:val="en-IE"/>
        </w:rPr>
        <w:t xml:space="preserve"> and the provisions of the initiative will add clarity to those provisions, rationalising reporting across the EU and reducing administrative burden. In a small number of cases</w:t>
      </w:r>
      <w:r w:rsidR="1B1B566C" w:rsidRPr="00013BDC">
        <w:rPr>
          <w:noProof/>
          <w:lang w:val="en-IE"/>
        </w:rPr>
        <w:t>,</w:t>
      </w:r>
      <w:r w:rsidR="000E3E20" w:rsidRPr="00013BDC">
        <w:rPr>
          <w:noProof/>
          <w:lang w:val="en-IE"/>
        </w:rPr>
        <w:t xml:space="preserve"> additional reporting would be required </w:t>
      </w:r>
      <w:r w:rsidR="0091585E" w:rsidRPr="00013BDC">
        <w:rPr>
          <w:noProof/>
          <w:lang w:val="en-IE"/>
        </w:rPr>
        <w:t>e.g.,</w:t>
      </w:r>
      <w:r w:rsidR="000E3E20" w:rsidRPr="00013BDC">
        <w:rPr>
          <w:noProof/>
          <w:lang w:val="en-IE"/>
        </w:rPr>
        <w:t xml:space="preserve"> in relation to collection and sorting</w:t>
      </w:r>
      <w:r w:rsidR="6A358D7B" w:rsidRPr="00013BDC">
        <w:rPr>
          <w:noProof/>
          <w:lang w:val="en-IE"/>
        </w:rPr>
        <w:t xml:space="preserve"> and subsequent treatment</w:t>
      </w:r>
      <w:r w:rsidR="000E3E20" w:rsidRPr="00013BDC">
        <w:rPr>
          <w:noProof/>
          <w:lang w:val="en-IE"/>
        </w:rPr>
        <w:t>, to ensure that the obligations set at the EU level are complied with</w:t>
      </w:r>
      <w:r w:rsidR="4964276C" w:rsidRPr="00013BDC">
        <w:rPr>
          <w:noProof/>
          <w:lang w:val="en-IE"/>
        </w:rPr>
        <w:t xml:space="preserve"> and the monitoring framework overall is improved and future proof</w:t>
      </w:r>
      <w:r w:rsidR="567D2BD1" w:rsidRPr="00013BDC">
        <w:rPr>
          <w:noProof/>
          <w:lang w:val="en-IE"/>
        </w:rPr>
        <w:t>.</w:t>
      </w:r>
      <w:r w:rsidR="00DF251F" w:rsidRPr="00013BDC">
        <w:rPr>
          <w:noProof/>
          <w:lang w:val="en-IE"/>
        </w:rPr>
        <w:t xml:space="preserve"> </w:t>
      </w:r>
      <w:r w:rsidR="006240C6" w:rsidRPr="00013BDC">
        <w:rPr>
          <w:noProof/>
          <w:lang w:val="en-IE"/>
        </w:rPr>
        <w:t xml:space="preserve">Enterprises that are involved in the shipment of used textiles </w:t>
      </w:r>
      <w:r w:rsidR="475BCF4E" w:rsidRPr="00013BDC">
        <w:rPr>
          <w:noProof/>
          <w:lang w:val="en-IE"/>
        </w:rPr>
        <w:t xml:space="preserve">will face additional data recording </w:t>
      </w:r>
      <w:r w:rsidR="6AC28E4C" w:rsidRPr="00013BDC">
        <w:rPr>
          <w:noProof/>
          <w:lang w:val="en-IE"/>
        </w:rPr>
        <w:t xml:space="preserve">obligations </w:t>
      </w:r>
      <w:r w:rsidR="475BCF4E" w:rsidRPr="00013BDC">
        <w:rPr>
          <w:noProof/>
          <w:lang w:val="en-IE"/>
        </w:rPr>
        <w:t xml:space="preserve">to </w:t>
      </w:r>
      <w:r w:rsidR="6C498328" w:rsidRPr="00013BDC">
        <w:rPr>
          <w:noProof/>
          <w:lang w:val="en-IE"/>
        </w:rPr>
        <w:t>prevent</w:t>
      </w:r>
      <w:r w:rsidR="475BCF4E" w:rsidRPr="00013BDC">
        <w:rPr>
          <w:noProof/>
          <w:lang w:val="en-IE"/>
        </w:rPr>
        <w:t xml:space="preserve"> </w:t>
      </w:r>
      <w:r w:rsidR="6C498328" w:rsidRPr="00013BDC">
        <w:rPr>
          <w:noProof/>
          <w:lang w:val="en-IE"/>
        </w:rPr>
        <w:t>illegal shipments</w:t>
      </w:r>
      <w:r w:rsidR="475BCF4E" w:rsidRPr="00013BDC">
        <w:rPr>
          <w:noProof/>
          <w:lang w:val="en-IE"/>
        </w:rPr>
        <w:t>.</w:t>
      </w:r>
    </w:p>
    <w:p w14:paraId="5030EA9E" w14:textId="242CA911" w:rsidR="006B5BE7" w:rsidRPr="00013BDC" w:rsidRDefault="008B6410" w:rsidP="00804115">
      <w:pPr>
        <w:pStyle w:val="Text2"/>
        <w:spacing w:after="120"/>
        <w:ind w:left="0"/>
        <w:rPr>
          <w:noProof/>
          <w:lang w:val="en-IE"/>
        </w:rPr>
      </w:pPr>
      <w:r w:rsidRPr="00013BDC">
        <w:rPr>
          <w:b/>
          <w:noProof/>
          <w:lang w:val="en-IE"/>
        </w:rPr>
        <w:t>Competent authorities</w:t>
      </w:r>
      <w:r w:rsidR="00955918" w:rsidRPr="00013BDC">
        <w:rPr>
          <w:b/>
          <w:noProof/>
          <w:lang w:val="en-IE"/>
        </w:rPr>
        <w:t xml:space="preserve">: </w:t>
      </w:r>
      <w:r w:rsidR="0003170B" w:rsidRPr="00013BDC">
        <w:rPr>
          <w:noProof/>
          <w:lang w:val="en-IE"/>
        </w:rPr>
        <w:t xml:space="preserve">Competent authorities will have increased responsibilities </w:t>
      </w:r>
      <w:r w:rsidR="006B5BE7" w:rsidRPr="00013BDC">
        <w:rPr>
          <w:noProof/>
          <w:lang w:val="en-IE"/>
        </w:rPr>
        <w:t>in ensuring the management of used textiles and textile waste. This will include:</w:t>
      </w:r>
    </w:p>
    <w:p w14:paraId="35834AD0" w14:textId="2929666C" w:rsidR="006D4943" w:rsidRPr="00013BDC" w:rsidRDefault="006B5BE7" w:rsidP="00CF0DFB">
      <w:pPr>
        <w:pStyle w:val="Text2"/>
        <w:numPr>
          <w:ilvl w:val="0"/>
          <w:numId w:val="107"/>
        </w:numPr>
        <w:spacing w:after="0"/>
        <w:rPr>
          <w:noProof/>
          <w:lang w:val="en-IE"/>
        </w:rPr>
      </w:pPr>
      <w:r w:rsidRPr="00013BDC">
        <w:rPr>
          <w:noProof/>
          <w:lang w:val="en-IE"/>
        </w:rPr>
        <w:t xml:space="preserve">the setting up of EPR schemes and </w:t>
      </w:r>
      <w:r w:rsidR="13EC594E" w:rsidRPr="00013BDC">
        <w:rPr>
          <w:noProof/>
          <w:lang w:val="en-IE"/>
        </w:rPr>
        <w:t>permitting</w:t>
      </w:r>
      <w:r w:rsidRPr="00013BDC">
        <w:rPr>
          <w:noProof/>
          <w:lang w:val="en-IE"/>
        </w:rPr>
        <w:t xml:space="preserve"> of PROs</w:t>
      </w:r>
      <w:r w:rsidR="00AA51F0" w:rsidRPr="00013BDC">
        <w:rPr>
          <w:noProof/>
          <w:lang w:val="en-IE"/>
        </w:rPr>
        <w:t>.</w:t>
      </w:r>
    </w:p>
    <w:p w14:paraId="63CD0B5B" w14:textId="58661934" w:rsidR="00AA51F0" w:rsidRPr="00013BDC" w:rsidRDefault="00AA51F0" w:rsidP="00CF0DFB">
      <w:pPr>
        <w:pStyle w:val="Text2"/>
        <w:numPr>
          <w:ilvl w:val="0"/>
          <w:numId w:val="107"/>
        </w:numPr>
        <w:spacing w:after="0"/>
        <w:rPr>
          <w:noProof/>
          <w:lang w:val="en-IE"/>
        </w:rPr>
      </w:pPr>
      <w:r w:rsidRPr="00013BDC">
        <w:rPr>
          <w:noProof/>
          <w:lang w:val="en-IE"/>
        </w:rPr>
        <w:t>ensuring that the necessary infrastructure is in place to comply with the collection target set.</w:t>
      </w:r>
    </w:p>
    <w:p w14:paraId="1A30EC5D" w14:textId="603819EE" w:rsidR="006B5BE7" w:rsidRPr="00013BDC" w:rsidRDefault="0EC8AC1D" w:rsidP="00CF0DFB">
      <w:pPr>
        <w:pStyle w:val="Text2"/>
        <w:numPr>
          <w:ilvl w:val="0"/>
          <w:numId w:val="107"/>
        </w:numPr>
        <w:spacing w:after="0"/>
        <w:rPr>
          <w:noProof/>
          <w:lang w:val="en-IE"/>
        </w:rPr>
      </w:pPr>
      <w:r w:rsidRPr="00013BDC">
        <w:rPr>
          <w:noProof/>
          <w:lang w:val="en-IE"/>
        </w:rPr>
        <w:t>a</w:t>
      </w:r>
      <w:r w:rsidR="331F69ED" w:rsidRPr="00013BDC">
        <w:rPr>
          <w:noProof/>
          <w:lang w:val="en-IE"/>
        </w:rPr>
        <w:t>dapting the waste prevention programmes to monitor textile waste prevention based on harmonised EU indicators</w:t>
      </w:r>
      <w:r w:rsidR="5AA6F868" w:rsidRPr="00013BDC">
        <w:rPr>
          <w:noProof/>
          <w:lang w:val="en-IE"/>
        </w:rPr>
        <w:t>.</w:t>
      </w:r>
    </w:p>
    <w:p w14:paraId="7DE638BF" w14:textId="659E39D4" w:rsidR="006240C6" w:rsidRPr="00013BDC" w:rsidRDefault="00574A7F" w:rsidP="00CF0DFB">
      <w:pPr>
        <w:pStyle w:val="Text2"/>
        <w:numPr>
          <w:ilvl w:val="0"/>
          <w:numId w:val="107"/>
        </w:numPr>
        <w:spacing w:after="0"/>
        <w:rPr>
          <w:noProof/>
          <w:lang w:val="en-IE"/>
        </w:rPr>
      </w:pPr>
      <w:r w:rsidRPr="00013BDC">
        <w:rPr>
          <w:noProof/>
          <w:lang w:val="en-IE"/>
        </w:rPr>
        <w:t xml:space="preserve">applying the </w:t>
      </w:r>
      <w:r w:rsidR="009606A4" w:rsidRPr="00013BDC">
        <w:rPr>
          <w:noProof/>
          <w:lang w:val="en-IE"/>
        </w:rPr>
        <w:t xml:space="preserve">necessary compliance / inspection regimes in relation to </w:t>
      </w:r>
      <w:r w:rsidR="00F1086E" w:rsidRPr="00013BDC">
        <w:rPr>
          <w:noProof/>
          <w:lang w:val="en-IE"/>
        </w:rPr>
        <w:t>collection</w:t>
      </w:r>
      <w:r w:rsidR="298CACB7" w:rsidRPr="00013BDC">
        <w:rPr>
          <w:noProof/>
          <w:lang w:val="en-IE"/>
        </w:rPr>
        <w:t xml:space="preserve">, </w:t>
      </w:r>
      <w:r w:rsidR="009606A4" w:rsidRPr="00013BDC">
        <w:rPr>
          <w:noProof/>
          <w:lang w:val="en-IE"/>
        </w:rPr>
        <w:t xml:space="preserve">sorting </w:t>
      </w:r>
      <w:r w:rsidR="092A84E8" w:rsidRPr="00013BDC">
        <w:rPr>
          <w:noProof/>
          <w:lang w:val="en-IE"/>
        </w:rPr>
        <w:t xml:space="preserve">and shipments </w:t>
      </w:r>
      <w:r w:rsidR="009606A4" w:rsidRPr="00013BDC">
        <w:rPr>
          <w:noProof/>
          <w:lang w:val="en-IE"/>
        </w:rPr>
        <w:t xml:space="preserve">of </w:t>
      </w:r>
      <w:r w:rsidR="092A84E8" w:rsidRPr="00013BDC">
        <w:rPr>
          <w:noProof/>
          <w:lang w:val="en-IE"/>
        </w:rPr>
        <w:t>used</w:t>
      </w:r>
      <w:r w:rsidR="00FC5B57" w:rsidRPr="00013BDC">
        <w:rPr>
          <w:noProof/>
          <w:lang w:val="en-IE"/>
        </w:rPr>
        <w:t xml:space="preserve"> textiles.</w:t>
      </w:r>
    </w:p>
    <w:p w14:paraId="55C6239B" w14:textId="77995E83" w:rsidR="009B09AF" w:rsidRPr="00013BDC" w:rsidRDefault="009B09AF" w:rsidP="00CF0DFB">
      <w:pPr>
        <w:pStyle w:val="Text2"/>
        <w:numPr>
          <w:ilvl w:val="0"/>
          <w:numId w:val="107"/>
        </w:numPr>
        <w:spacing w:after="0"/>
        <w:rPr>
          <w:noProof/>
          <w:lang w:val="en-IE"/>
        </w:rPr>
      </w:pPr>
      <w:r w:rsidRPr="00013BDC">
        <w:rPr>
          <w:noProof/>
          <w:lang w:val="en-IE"/>
        </w:rPr>
        <w:t xml:space="preserve">providing </w:t>
      </w:r>
      <w:r w:rsidR="002D7570" w:rsidRPr="00013BDC">
        <w:rPr>
          <w:noProof/>
          <w:lang w:val="en-IE"/>
        </w:rPr>
        <w:t>revised and additional data in relation to textile waste management within their territory.</w:t>
      </w:r>
    </w:p>
    <w:p w14:paraId="6BBEDB67" w14:textId="0D725610" w:rsidR="004D3F1C" w:rsidRPr="00013BDC" w:rsidRDefault="6007B8E0" w:rsidP="00CF0DFB">
      <w:pPr>
        <w:pStyle w:val="Text2"/>
        <w:numPr>
          <w:ilvl w:val="0"/>
          <w:numId w:val="107"/>
        </w:numPr>
        <w:rPr>
          <w:noProof/>
          <w:lang w:val="en-IE"/>
        </w:rPr>
      </w:pPr>
      <w:r w:rsidRPr="00013BDC">
        <w:rPr>
          <w:noProof/>
          <w:lang w:val="en-IE"/>
        </w:rPr>
        <w:t xml:space="preserve">support the development of the implementing acts to be developed by the European Commission. </w:t>
      </w:r>
    </w:p>
    <w:p w14:paraId="4F43C423" w14:textId="19924927" w:rsidR="008600C9" w:rsidRPr="00013BDC" w:rsidRDefault="008600C9" w:rsidP="00BF36AF">
      <w:pPr>
        <w:pStyle w:val="Text2"/>
        <w:spacing w:after="120"/>
        <w:ind w:left="0"/>
        <w:rPr>
          <w:noProof/>
          <w:lang w:val="en-IE"/>
        </w:rPr>
      </w:pPr>
      <w:r w:rsidRPr="00013BDC">
        <w:rPr>
          <w:b/>
          <w:noProof/>
          <w:lang w:val="en-IE"/>
        </w:rPr>
        <w:t>The public</w:t>
      </w:r>
      <w:r w:rsidR="00955918" w:rsidRPr="00013BDC">
        <w:rPr>
          <w:b/>
          <w:noProof/>
          <w:lang w:val="en-IE"/>
        </w:rPr>
        <w:t xml:space="preserve">: </w:t>
      </w:r>
      <w:r w:rsidR="00700912" w:rsidRPr="00013BDC">
        <w:rPr>
          <w:noProof/>
          <w:lang w:val="en-IE"/>
        </w:rPr>
        <w:t xml:space="preserve">The new legal provisions should result in additional </w:t>
      </w:r>
      <w:r w:rsidR="00A87119" w:rsidRPr="00013BDC">
        <w:rPr>
          <w:noProof/>
          <w:lang w:val="en-IE"/>
        </w:rPr>
        <w:t xml:space="preserve">separate </w:t>
      </w:r>
      <w:r w:rsidR="00700912" w:rsidRPr="00013BDC">
        <w:rPr>
          <w:noProof/>
          <w:lang w:val="en-IE"/>
        </w:rPr>
        <w:t>textile collection infrastructure</w:t>
      </w:r>
      <w:r w:rsidR="00A87119" w:rsidRPr="00013BDC">
        <w:rPr>
          <w:noProof/>
          <w:lang w:val="en-IE"/>
        </w:rPr>
        <w:t xml:space="preserve"> being made available to the public, making collection easier</w:t>
      </w:r>
      <w:r w:rsidR="00A33D9D" w:rsidRPr="00013BDC">
        <w:rPr>
          <w:noProof/>
          <w:lang w:val="en-IE"/>
        </w:rPr>
        <w:t xml:space="preserve">. This will </w:t>
      </w:r>
      <w:r w:rsidR="00A87119" w:rsidRPr="00013BDC">
        <w:rPr>
          <w:noProof/>
          <w:lang w:val="en-IE"/>
        </w:rPr>
        <w:t>better feed t</w:t>
      </w:r>
      <w:r w:rsidR="00361BC7" w:rsidRPr="00013BDC">
        <w:rPr>
          <w:noProof/>
          <w:lang w:val="en-IE"/>
        </w:rPr>
        <w:t>he</w:t>
      </w:r>
      <w:r w:rsidR="00A87119" w:rsidRPr="00013BDC">
        <w:rPr>
          <w:noProof/>
          <w:lang w:val="en-IE"/>
        </w:rPr>
        <w:t xml:space="preserve"> </w:t>
      </w:r>
      <w:r w:rsidR="00D96247" w:rsidRPr="00013BDC">
        <w:rPr>
          <w:noProof/>
          <w:lang w:val="en-IE"/>
        </w:rPr>
        <w:t>reuse</w:t>
      </w:r>
      <w:r w:rsidR="00A87119" w:rsidRPr="00013BDC">
        <w:rPr>
          <w:noProof/>
          <w:lang w:val="en-IE"/>
        </w:rPr>
        <w:t xml:space="preserve"> market</w:t>
      </w:r>
      <w:r w:rsidR="00361BC7" w:rsidRPr="00013BDC">
        <w:rPr>
          <w:noProof/>
          <w:lang w:val="en-IE"/>
        </w:rPr>
        <w:t xml:space="preserve"> within the EU and </w:t>
      </w:r>
      <w:r w:rsidR="00A33D9D" w:rsidRPr="00013BDC">
        <w:rPr>
          <w:noProof/>
          <w:lang w:val="en-IE"/>
        </w:rPr>
        <w:t xml:space="preserve">provide additional </w:t>
      </w:r>
      <w:r w:rsidR="00361BC7" w:rsidRPr="00013BDC">
        <w:rPr>
          <w:noProof/>
          <w:lang w:val="en-IE"/>
        </w:rPr>
        <w:t xml:space="preserve">second-hand clothing </w:t>
      </w:r>
      <w:r w:rsidR="00A33D9D" w:rsidRPr="00013BDC">
        <w:rPr>
          <w:noProof/>
          <w:lang w:val="en-IE"/>
        </w:rPr>
        <w:t xml:space="preserve">for </w:t>
      </w:r>
      <w:r w:rsidR="00361BC7" w:rsidRPr="00013BDC">
        <w:rPr>
          <w:noProof/>
          <w:lang w:val="en-IE"/>
        </w:rPr>
        <w:t>sale</w:t>
      </w:r>
      <w:r w:rsidR="002332F0" w:rsidRPr="00013BDC">
        <w:rPr>
          <w:noProof/>
          <w:lang w:val="en-IE"/>
        </w:rPr>
        <w:t xml:space="preserve"> to </w:t>
      </w:r>
      <w:r w:rsidR="00361BC7" w:rsidRPr="00013BDC">
        <w:rPr>
          <w:noProof/>
          <w:lang w:val="en-IE"/>
        </w:rPr>
        <w:t xml:space="preserve">the public (in comparison to </w:t>
      </w:r>
      <w:r w:rsidR="001E302D" w:rsidRPr="00013BDC">
        <w:rPr>
          <w:noProof/>
          <w:lang w:val="en-IE"/>
        </w:rPr>
        <w:t>increased recycled fibres that will reach consumers through an indirect route).</w:t>
      </w:r>
    </w:p>
    <w:p w14:paraId="1C5D9311" w14:textId="4A6F56AB" w:rsidR="004A2265" w:rsidRPr="00013BDC" w:rsidRDefault="004A2265" w:rsidP="00BF36AF">
      <w:pPr>
        <w:pStyle w:val="Text2"/>
        <w:spacing w:after="120"/>
        <w:ind w:left="0"/>
        <w:rPr>
          <w:noProof/>
          <w:lang w:val="en-IE"/>
        </w:rPr>
      </w:pPr>
      <w:r w:rsidRPr="00013BDC">
        <w:rPr>
          <w:noProof/>
          <w:lang w:val="en-IE"/>
        </w:rPr>
        <w:t xml:space="preserve">Additionally, </w:t>
      </w:r>
      <w:r w:rsidR="00062967" w:rsidRPr="00013BDC">
        <w:rPr>
          <w:noProof/>
          <w:lang w:val="en-IE"/>
        </w:rPr>
        <w:t>via the EPR scheme,</w:t>
      </w:r>
      <w:r w:rsidRPr="00013BDC">
        <w:rPr>
          <w:noProof/>
          <w:lang w:val="en-IE"/>
        </w:rPr>
        <w:t xml:space="preserve"> the public should be better informed as to </w:t>
      </w:r>
      <w:r w:rsidR="002D706A" w:rsidRPr="00013BDC">
        <w:rPr>
          <w:noProof/>
          <w:lang w:val="en-IE"/>
        </w:rPr>
        <w:t xml:space="preserve">how they can contribute </w:t>
      </w:r>
      <w:r w:rsidR="00EF3100" w:rsidRPr="00013BDC">
        <w:rPr>
          <w:noProof/>
          <w:lang w:val="en-IE"/>
        </w:rPr>
        <w:t xml:space="preserve">better </w:t>
      </w:r>
      <w:r w:rsidR="002D706A" w:rsidRPr="00013BDC">
        <w:rPr>
          <w:noProof/>
          <w:lang w:val="en-IE"/>
        </w:rPr>
        <w:t xml:space="preserve">to </w:t>
      </w:r>
      <w:r w:rsidRPr="00013BDC">
        <w:rPr>
          <w:noProof/>
          <w:lang w:val="en-IE"/>
        </w:rPr>
        <w:t xml:space="preserve">textile waste prevention </w:t>
      </w:r>
      <w:r w:rsidR="005D120B" w:rsidRPr="00013BDC">
        <w:rPr>
          <w:noProof/>
          <w:lang w:val="en-IE"/>
        </w:rPr>
        <w:t>as wel</w:t>
      </w:r>
      <w:r w:rsidR="00783AAE" w:rsidRPr="00013BDC">
        <w:rPr>
          <w:noProof/>
          <w:lang w:val="en-IE"/>
        </w:rPr>
        <w:t xml:space="preserve">l as in relation to additional </w:t>
      </w:r>
      <w:r w:rsidR="00E4164B" w:rsidRPr="00013BDC">
        <w:rPr>
          <w:noProof/>
          <w:lang w:val="en-IE"/>
        </w:rPr>
        <w:t>information</w:t>
      </w:r>
      <w:r w:rsidR="00783AAE" w:rsidRPr="00013BDC">
        <w:rPr>
          <w:noProof/>
          <w:lang w:val="en-IE"/>
        </w:rPr>
        <w:t xml:space="preserve"> on waste prevention measures taken across the EU</w:t>
      </w:r>
      <w:r w:rsidR="00B144A4" w:rsidRPr="00013BDC">
        <w:rPr>
          <w:noProof/>
          <w:lang w:val="en-IE"/>
        </w:rPr>
        <w:t xml:space="preserve"> via the waste prevention indicators. Furthermore, data collected at the EU level in relation to used textile</w:t>
      </w:r>
      <w:r w:rsidR="00D6187E" w:rsidRPr="00013BDC">
        <w:rPr>
          <w:noProof/>
          <w:lang w:val="en-IE"/>
        </w:rPr>
        <w:t>s</w:t>
      </w:r>
      <w:r w:rsidR="00B144A4" w:rsidRPr="00013BDC">
        <w:rPr>
          <w:noProof/>
          <w:lang w:val="en-IE"/>
        </w:rPr>
        <w:t xml:space="preserve"> and textile waste management will lead to a better</w:t>
      </w:r>
      <w:r w:rsidR="00A33D9D" w:rsidRPr="00013BDC">
        <w:rPr>
          <w:noProof/>
          <w:lang w:val="en-IE"/>
        </w:rPr>
        <w:t>-</w:t>
      </w:r>
      <w:r w:rsidR="00B144A4" w:rsidRPr="00013BDC">
        <w:rPr>
          <w:noProof/>
          <w:lang w:val="en-IE"/>
        </w:rPr>
        <w:t>informed public on the textile challenge and</w:t>
      </w:r>
      <w:r w:rsidR="00BF331A" w:rsidRPr="00013BDC">
        <w:rPr>
          <w:noProof/>
          <w:lang w:val="en-IE"/>
        </w:rPr>
        <w:t xml:space="preserve"> the</w:t>
      </w:r>
      <w:r w:rsidR="00B144A4" w:rsidRPr="00013BDC">
        <w:rPr>
          <w:noProof/>
          <w:lang w:val="en-IE"/>
        </w:rPr>
        <w:t xml:space="preserve"> success of actions </w:t>
      </w:r>
      <w:r w:rsidR="00AE6BF0" w:rsidRPr="00013BDC">
        <w:rPr>
          <w:noProof/>
          <w:lang w:val="en-IE"/>
        </w:rPr>
        <w:t xml:space="preserve">put in place </w:t>
      </w:r>
      <w:r w:rsidR="00B144A4" w:rsidRPr="00013BDC">
        <w:rPr>
          <w:noProof/>
          <w:lang w:val="en-IE"/>
        </w:rPr>
        <w:t>to address that challe</w:t>
      </w:r>
      <w:r w:rsidR="00F57E33" w:rsidRPr="00013BDC">
        <w:rPr>
          <w:noProof/>
          <w:lang w:val="en-IE"/>
        </w:rPr>
        <w:t>nge.</w:t>
      </w:r>
    </w:p>
    <w:p w14:paraId="331BECC3" w14:textId="3F89654B" w:rsidR="00D80769" w:rsidRPr="00013BDC" w:rsidRDefault="00D80769" w:rsidP="1F22946F">
      <w:pPr>
        <w:rPr>
          <w:noProof/>
          <w:lang w:val="en-IE"/>
        </w:rPr>
      </w:pPr>
      <w:r w:rsidRPr="00013BDC">
        <w:rPr>
          <w:noProof/>
          <w:lang w:val="en-IE"/>
        </w:rPr>
        <w:t xml:space="preserve">The application of EPR fees is </w:t>
      </w:r>
      <w:r w:rsidR="5B492723" w:rsidRPr="00013BDC">
        <w:rPr>
          <w:noProof/>
          <w:lang w:val="en-IE"/>
        </w:rPr>
        <w:t>going</w:t>
      </w:r>
      <w:r w:rsidRPr="00013BDC">
        <w:rPr>
          <w:noProof/>
          <w:lang w:val="en-IE"/>
        </w:rPr>
        <w:t xml:space="preserve"> to </w:t>
      </w:r>
      <w:r w:rsidR="5B492723" w:rsidRPr="00013BDC">
        <w:rPr>
          <w:noProof/>
          <w:lang w:val="en-IE"/>
        </w:rPr>
        <w:t xml:space="preserve">increase </w:t>
      </w:r>
      <w:r w:rsidRPr="00013BDC">
        <w:rPr>
          <w:noProof/>
          <w:lang w:val="en-IE"/>
        </w:rPr>
        <w:t xml:space="preserve">the </w:t>
      </w:r>
      <w:r w:rsidR="5B492723" w:rsidRPr="00013BDC">
        <w:rPr>
          <w:noProof/>
          <w:lang w:val="en-IE"/>
        </w:rPr>
        <w:t>cost</w:t>
      </w:r>
      <w:r w:rsidRPr="00013BDC">
        <w:rPr>
          <w:noProof/>
          <w:lang w:val="en-IE"/>
        </w:rPr>
        <w:t xml:space="preserve"> of </w:t>
      </w:r>
      <w:r w:rsidR="5B492723" w:rsidRPr="00013BDC">
        <w:rPr>
          <w:noProof/>
          <w:lang w:val="en-IE"/>
        </w:rPr>
        <w:t xml:space="preserve">placing </w:t>
      </w:r>
      <w:r w:rsidRPr="00013BDC">
        <w:rPr>
          <w:noProof/>
          <w:lang w:val="en-IE"/>
        </w:rPr>
        <w:t>textiles</w:t>
      </w:r>
      <w:r w:rsidR="5B492723" w:rsidRPr="00013BDC">
        <w:rPr>
          <w:noProof/>
          <w:lang w:val="en-IE"/>
        </w:rPr>
        <w:t xml:space="preserve"> on the market. However, it is </w:t>
      </w:r>
      <w:r w:rsidR="7C580C70" w:rsidRPr="00013BDC">
        <w:rPr>
          <w:noProof/>
          <w:lang w:val="en-IE"/>
        </w:rPr>
        <w:t xml:space="preserve">not </w:t>
      </w:r>
      <w:r w:rsidR="5B492723" w:rsidRPr="00013BDC">
        <w:rPr>
          <w:noProof/>
          <w:lang w:val="en-IE"/>
        </w:rPr>
        <w:t>certain whether the producers will or to what extent pass these costs to consumers</w:t>
      </w:r>
      <w:r w:rsidR="48055FED" w:rsidRPr="00013BDC">
        <w:rPr>
          <w:noProof/>
          <w:lang w:val="en-IE"/>
        </w:rPr>
        <w:t xml:space="preserve">. </w:t>
      </w:r>
      <w:r w:rsidR="569BA99C" w:rsidRPr="00013BDC">
        <w:rPr>
          <w:rFonts w:eastAsia="Times New Roman"/>
          <w:noProof/>
          <w:lang w:val="en-IE"/>
        </w:rPr>
        <w:t xml:space="preserve">This increase in price is likely to be small – on average less than </w:t>
      </w:r>
      <w:r w:rsidR="00B32B31" w:rsidRPr="00013BDC">
        <w:rPr>
          <w:rFonts w:eastAsia="Times New Roman"/>
          <w:noProof/>
          <w:lang w:val="en-IE"/>
        </w:rPr>
        <w:t>0.6</w:t>
      </w:r>
      <w:r w:rsidR="569BA99C" w:rsidRPr="00013BDC">
        <w:rPr>
          <w:rFonts w:eastAsia="Times New Roman"/>
          <w:noProof/>
          <w:lang w:val="en-IE"/>
        </w:rPr>
        <w:t>%, depending on the specific costs of waste management in country where the EPR fees are being collected.</w:t>
      </w:r>
      <w:r w:rsidR="569BA99C" w:rsidRPr="00013BDC">
        <w:rPr>
          <w:noProof/>
          <w:lang w:val="en-IE"/>
        </w:rPr>
        <w:t xml:space="preserve"> </w:t>
      </w:r>
    </w:p>
    <w:p w14:paraId="360C34EE" w14:textId="59187AE9" w:rsidR="002561F2" w:rsidRPr="00013BDC" w:rsidRDefault="002561F2" w:rsidP="00955918">
      <w:pPr>
        <w:pStyle w:val="Text2"/>
        <w:spacing w:after="120"/>
        <w:ind w:left="0"/>
        <w:rPr>
          <w:noProof/>
          <w:lang w:val="en-IE"/>
        </w:rPr>
      </w:pPr>
      <w:r w:rsidRPr="00013BDC">
        <w:rPr>
          <w:b/>
          <w:noProof/>
          <w:lang w:val="en-IE"/>
        </w:rPr>
        <w:t>Other</w:t>
      </w:r>
      <w:r w:rsidR="00955918" w:rsidRPr="00013BDC">
        <w:rPr>
          <w:b/>
          <w:noProof/>
          <w:lang w:val="en-IE"/>
        </w:rPr>
        <w:t xml:space="preserve">: </w:t>
      </w:r>
      <w:r w:rsidR="392815FE" w:rsidRPr="00013BDC">
        <w:rPr>
          <w:noProof/>
          <w:lang w:val="en-IE"/>
        </w:rPr>
        <w:t>Under the preferred option, t</w:t>
      </w:r>
      <w:r w:rsidR="08CC1C90" w:rsidRPr="00013BDC">
        <w:rPr>
          <w:noProof/>
          <w:lang w:val="en-IE"/>
        </w:rPr>
        <w:t>he</w:t>
      </w:r>
      <w:r w:rsidRPr="00013BDC">
        <w:rPr>
          <w:noProof/>
          <w:lang w:val="en-IE"/>
        </w:rPr>
        <w:t xml:space="preserve"> European Commission will be required to:</w:t>
      </w:r>
    </w:p>
    <w:p w14:paraId="3938773B" w14:textId="446BAD6C" w:rsidR="00924774" w:rsidRPr="00013BDC" w:rsidRDefault="00924774" w:rsidP="00CF0DFB">
      <w:pPr>
        <w:pStyle w:val="Text2"/>
        <w:numPr>
          <w:ilvl w:val="0"/>
          <w:numId w:val="107"/>
        </w:numPr>
        <w:spacing w:after="0"/>
        <w:rPr>
          <w:noProof/>
          <w:lang w:val="en-IE"/>
        </w:rPr>
      </w:pPr>
      <w:r w:rsidRPr="00013BDC">
        <w:rPr>
          <w:noProof/>
          <w:lang w:val="en-IE"/>
        </w:rPr>
        <w:t>Develop</w:t>
      </w:r>
      <w:r w:rsidR="652272FF" w:rsidRPr="00013BDC">
        <w:rPr>
          <w:noProof/>
          <w:lang w:val="en-IE"/>
        </w:rPr>
        <w:t xml:space="preserve">, </w:t>
      </w:r>
      <w:r w:rsidR="001402A3" w:rsidRPr="00013BDC">
        <w:rPr>
          <w:noProof/>
          <w:lang w:val="en-IE"/>
        </w:rPr>
        <w:t xml:space="preserve">adopt </w:t>
      </w:r>
      <w:r w:rsidR="652272FF" w:rsidRPr="00013BDC">
        <w:rPr>
          <w:noProof/>
          <w:lang w:val="en-IE"/>
        </w:rPr>
        <w:t>and implement an implementing act setting out minimum sorting requirements for re-use and recycling</w:t>
      </w:r>
      <w:r w:rsidR="4539B4A2" w:rsidRPr="00013BDC">
        <w:rPr>
          <w:noProof/>
          <w:lang w:val="en-IE"/>
        </w:rPr>
        <w:t>;</w:t>
      </w:r>
    </w:p>
    <w:p w14:paraId="2DC0709E" w14:textId="6F17C72A" w:rsidR="00924774" w:rsidRPr="00013BDC" w:rsidRDefault="652272FF" w:rsidP="00CF0DFB">
      <w:pPr>
        <w:pStyle w:val="Text2"/>
        <w:numPr>
          <w:ilvl w:val="0"/>
          <w:numId w:val="107"/>
        </w:numPr>
        <w:spacing w:after="0"/>
        <w:rPr>
          <w:noProof/>
          <w:lang w:val="en-IE"/>
        </w:rPr>
      </w:pPr>
      <w:r w:rsidRPr="00013BDC">
        <w:rPr>
          <w:noProof/>
          <w:lang w:val="en-IE"/>
        </w:rPr>
        <w:t xml:space="preserve">Develop, adopt and implement an implementing act on </w:t>
      </w:r>
      <w:r w:rsidR="00924774" w:rsidRPr="00013BDC">
        <w:rPr>
          <w:noProof/>
          <w:lang w:val="en-IE"/>
        </w:rPr>
        <w:t>end-of-waste criteria at the EU level for waste textiles</w:t>
      </w:r>
      <w:r w:rsidR="4D83787F" w:rsidRPr="00013BDC">
        <w:rPr>
          <w:noProof/>
          <w:lang w:val="en-IE"/>
        </w:rPr>
        <w:t xml:space="preserve"> for re-use and recycling</w:t>
      </w:r>
      <w:r w:rsidR="4B203E7C" w:rsidRPr="00013BDC">
        <w:rPr>
          <w:noProof/>
          <w:lang w:val="en-IE"/>
        </w:rPr>
        <w:t>;</w:t>
      </w:r>
    </w:p>
    <w:p w14:paraId="3411BE50" w14:textId="19CB4673" w:rsidR="00924774" w:rsidRPr="00013BDC" w:rsidRDefault="67947981" w:rsidP="00CF0DFB">
      <w:pPr>
        <w:pStyle w:val="Text2"/>
        <w:numPr>
          <w:ilvl w:val="0"/>
          <w:numId w:val="107"/>
        </w:numPr>
        <w:spacing w:after="0"/>
        <w:rPr>
          <w:noProof/>
          <w:lang w:val="en-IE"/>
        </w:rPr>
      </w:pPr>
      <w:r w:rsidRPr="00013BDC">
        <w:rPr>
          <w:noProof/>
          <w:lang w:val="en-IE"/>
        </w:rPr>
        <w:t>Develop, adopt and implement an implementing act harmonising the reporting formats for reporting</w:t>
      </w:r>
      <w:r w:rsidR="6DB40422" w:rsidRPr="00013BDC">
        <w:rPr>
          <w:noProof/>
          <w:lang w:val="en-IE"/>
        </w:rPr>
        <w:t xml:space="preserve"> </w:t>
      </w:r>
      <w:r w:rsidRPr="00013BDC">
        <w:rPr>
          <w:noProof/>
          <w:lang w:val="en-IE"/>
        </w:rPr>
        <w:t>on textile waste management</w:t>
      </w:r>
      <w:r w:rsidR="03475534" w:rsidRPr="00013BDC">
        <w:rPr>
          <w:noProof/>
          <w:lang w:val="en-IE"/>
        </w:rPr>
        <w:t>;</w:t>
      </w:r>
    </w:p>
    <w:p w14:paraId="44E1A0A9" w14:textId="15208FA2" w:rsidR="5CC345AA" w:rsidRPr="00013BDC" w:rsidRDefault="5CC345AA" w:rsidP="6B3EF492">
      <w:pPr>
        <w:pStyle w:val="Text2"/>
        <w:numPr>
          <w:ilvl w:val="0"/>
          <w:numId w:val="107"/>
        </w:numPr>
        <w:spacing w:after="0"/>
        <w:rPr>
          <w:noProof/>
          <w:lang w:val="en-IE"/>
        </w:rPr>
      </w:pPr>
      <w:r w:rsidRPr="00013BDC">
        <w:rPr>
          <w:noProof/>
          <w:lang w:val="en-IE"/>
        </w:rPr>
        <w:t>Develop, adopt and implement an implementin</w:t>
      </w:r>
      <w:r w:rsidR="7812A0F1" w:rsidRPr="00013BDC">
        <w:rPr>
          <w:noProof/>
          <w:lang w:val="en-IE"/>
        </w:rPr>
        <w:t>g</w:t>
      </w:r>
      <w:r w:rsidRPr="00013BDC">
        <w:rPr>
          <w:noProof/>
          <w:lang w:val="en-IE"/>
        </w:rPr>
        <w:t xml:space="preserve"> act harmonising the fee modulation criteria under extended producer responsibility scheme</w:t>
      </w:r>
      <w:r w:rsidR="74E6218B" w:rsidRPr="00013BDC">
        <w:rPr>
          <w:noProof/>
          <w:lang w:val="en-IE"/>
        </w:rPr>
        <w:t>;</w:t>
      </w:r>
      <w:r w:rsidRPr="00013BDC">
        <w:rPr>
          <w:noProof/>
          <w:lang w:val="en-IE"/>
        </w:rPr>
        <w:t xml:space="preserve"> </w:t>
      </w:r>
    </w:p>
    <w:p w14:paraId="1C66DB4B" w14:textId="65F8336B" w:rsidR="00924774" w:rsidRPr="00013BDC" w:rsidRDefault="594F7161" w:rsidP="00CF0DFB">
      <w:pPr>
        <w:pStyle w:val="Text2"/>
        <w:numPr>
          <w:ilvl w:val="0"/>
          <w:numId w:val="107"/>
        </w:numPr>
        <w:spacing w:after="0"/>
        <w:rPr>
          <w:noProof/>
          <w:lang w:val="en-IE"/>
        </w:rPr>
      </w:pPr>
      <w:r w:rsidRPr="00013BDC">
        <w:rPr>
          <w:noProof/>
          <w:lang w:val="en-IE"/>
        </w:rPr>
        <w:t>Develop, adopt and implement an implementing act setting out a harmonised methodology for the calculation of the collection target</w:t>
      </w:r>
    </w:p>
    <w:p w14:paraId="02F43192" w14:textId="756642F1" w:rsidR="00924774" w:rsidRPr="00013BDC" w:rsidRDefault="1655DB64" w:rsidP="00CF0DFB">
      <w:pPr>
        <w:pStyle w:val="Text2"/>
        <w:numPr>
          <w:ilvl w:val="0"/>
          <w:numId w:val="107"/>
        </w:numPr>
        <w:spacing w:after="0"/>
        <w:rPr>
          <w:noProof/>
          <w:lang w:val="en-IE"/>
        </w:rPr>
      </w:pPr>
      <w:r w:rsidRPr="00013BDC">
        <w:rPr>
          <w:noProof/>
          <w:lang w:val="en-IE"/>
        </w:rPr>
        <w:t xml:space="preserve">Establish </w:t>
      </w:r>
      <w:r w:rsidR="183BFC37" w:rsidRPr="00013BDC">
        <w:rPr>
          <w:noProof/>
          <w:lang w:val="en-IE"/>
        </w:rPr>
        <w:t xml:space="preserve">and maintain a </w:t>
      </w:r>
      <w:r w:rsidRPr="00013BDC">
        <w:rPr>
          <w:noProof/>
          <w:lang w:val="en-IE"/>
        </w:rPr>
        <w:t xml:space="preserve">data flow management system for </w:t>
      </w:r>
      <w:r w:rsidR="4CABB6E8" w:rsidRPr="00013BDC">
        <w:rPr>
          <w:noProof/>
          <w:lang w:val="en-IE"/>
        </w:rPr>
        <w:t>re-use of products</w:t>
      </w:r>
      <w:r w:rsidR="75872965" w:rsidRPr="00013BDC">
        <w:rPr>
          <w:noProof/>
          <w:lang w:val="en-IE"/>
        </w:rPr>
        <w:t xml:space="preserve"> data</w:t>
      </w:r>
      <w:r w:rsidR="4CABB6E8" w:rsidRPr="00013BDC">
        <w:rPr>
          <w:noProof/>
          <w:lang w:val="en-IE"/>
        </w:rPr>
        <w:t xml:space="preserve">, including </w:t>
      </w:r>
      <w:r w:rsidR="7D17F45C" w:rsidRPr="00013BDC">
        <w:rPr>
          <w:noProof/>
          <w:lang w:val="en-IE"/>
        </w:rPr>
        <w:t>textiles</w:t>
      </w:r>
      <w:r w:rsidR="4CABB6E8" w:rsidRPr="00013BDC">
        <w:rPr>
          <w:noProof/>
          <w:lang w:val="en-IE"/>
        </w:rPr>
        <w:t xml:space="preserve"> (EEA</w:t>
      </w:r>
      <w:r w:rsidR="40018D60" w:rsidRPr="00013BDC">
        <w:rPr>
          <w:noProof/>
          <w:lang w:val="en-IE"/>
        </w:rPr>
        <w:t>)</w:t>
      </w:r>
      <w:r w:rsidR="4A5CD984" w:rsidRPr="00013BDC">
        <w:rPr>
          <w:noProof/>
          <w:lang w:val="en-IE"/>
        </w:rPr>
        <w:t>;</w:t>
      </w:r>
    </w:p>
    <w:p w14:paraId="7C85EACF" w14:textId="1496A9BC" w:rsidR="4A5CD984" w:rsidRPr="00013BDC" w:rsidRDefault="4A5CD984" w:rsidP="0BB3F6D2">
      <w:pPr>
        <w:pStyle w:val="Text2"/>
        <w:numPr>
          <w:ilvl w:val="0"/>
          <w:numId w:val="107"/>
        </w:numPr>
        <w:spacing w:after="0"/>
        <w:rPr>
          <w:noProof/>
          <w:szCs w:val="24"/>
          <w:lang w:val="en-IE"/>
        </w:rPr>
      </w:pPr>
      <w:r w:rsidRPr="00013BDC">
        <w:rPr>
          <w:noProof/>
          <w:lang w:val="en-IE"/>
        </w:rPr>
        <w:t>Establish and maintain a data flow management system for textile waste management (adaptation of the existing data flow management system on textiles);</w:t>
      </w:r>
    </w:p>
    <w:p w14:paraId="76FC9E88" w14:textId="272FAA25" w:rsidR="00924774" w:rsidRPr="00013BDC" w:rsidRDefault="59484103" w:rsidP="00CF0DFB">
      <w:pPr>
        <w:pStyle w:val="Text2"/>
        <w:numPr>
          <w:ilvl w:val="0"/>
          <w:numId w:val="107"/>
        </w:numPr>
        <w:spacing w:after="0"/>
        <w:rPr>
          <w:noProof/>
          <w:lang w:val="en-IE"/>
        </w:rPr>
      </w:pPr>
      <w:r w:rsidRPr="00013BDC">
        <w:rPr>
          <w:noProof/>
          <w:lang w:val="en-IE"/>
        </w:rPr>
        <w:t>S</w:t>
      </w:r>
      <w:r w:rsidR="2C084F5C" w:rsidRPr="00013BDC">
        <w:rPr>
          <w:noProof/>
          <w:lang w:val="en-IE"/>
        </w:rPr>
        <w:t xml:space="preserve">upport Member States in the </w:t>
      </w:r>
      <w:r w:rsidR="625E0448" w:rsidRPr="00013BDC">
        <w:rPr>
          <w:noProof/>
          <w:lang w:val="en-IE"/>
        </w:rPr>
        <w:t xml:space="preserve">transposition and the </w:t>
      </w:r>
      <w:r w:rsidR="2C084F5C" w:rsidRPr="00013BDC">
        <w:rPr>
          <w:noProof/>
          <w:lang w:val="en-IE"/>
        </w:rPr>
        <w:t>operation</w:t>
      </w:r>
      <w:r w:rsidR="0E2CC34A" w:rsidRPr="00013BDC">
        <w:rPr>
          <w:noProof/>
          <w:lang w:val="en-IE"/>
        </w:rPr>
        <w:t>alisation of the new obligations through the Waste Committee.</w:t>
      </w:r>
    </w:p>
    <w:p w14:paraId="04E736AB" w14:textId="0433AF1B" w:rsidR="00955918" w:rsidRPr="00013BDC" w:rsidRDefault="00955918">
      <w:pPr>
        <w:spacing w:after="200" w:line="276" w:lineRule="auto"/>
        <w:jc w:val="left"/>
        <w:rPr>
          <w:rFonts w:eastAsia="Times New Roman"/>
          <w:noProof/>
          <w:szCs w:val="20"/>
          <w:lang w:val="en-IE"/>
        </w:rPr>
      </w:pPr>
      <w:r w:rsidRPr="00013BDC">
        <w:rPr>
          <w:noProof/>
          <w:lang w:val="en-IE"/>
        </w:rPr>
        <w:br w:type="page"/>
      </w:r>
    </w:p>
    <w:p w14:paraId="3F1C0705" w14:textId="1134910A" w:rsidR="00E319C2" w:rsidRPr="00013BDC" w:rsidRDefault="00F64258" w:rsidP="00F64258">
      <w:pPr>
        <w:pStyle w:val="Heading2"/>
        <w:rPr>
          <w:noProof/>
          <w:lang w:val="en-IE"/>
        </w:rPr>
      </w:pPr>
      <w:bookmarkStart w:id="174" w:name="_Toc117004511"/>
      <w:bookmarkStart w:id="175" w:name="_Toc118014795"/>
      <w:bookmarkStart w:id="176" w:name="_Toc120782539"/>
      <w:bookmarkStart w:id="177" w:name="_Toc124777283"/>
      <w:bookmarkStart w:id="178" w:name="_Toc1746795341"/>
      <w:bookmarkStart w:id="179" w:name="_Toc1370881534"/>
      <w:bookmarkStart w:id="180" w:name="_Toc1486732204"/>
      <w:bookmarkStart w:id="181" w:name="_Toc2045342433"/>
      <w:bookmarkStart w:id="182" w:name="_Toc842956635"/>
      <w:bookmarkStart w:id="183" w:name="_Toc1386972792"/>
      <w:bookmarkStart w:id="184" w:name="_Toc590718594"/>
      <w:bookmarkStart w:id="185" w:name="_Toc139032942"/>
      <w:r w:rsidRPr="00F64258">
        <w:t>3-</w:t>
      </w:r>
      <w:r w:rsidRPr="00F64258">
        <w:tab/>
      </w:r>
      <w:r w:rsidR="65687973" w:rsidRPr="00013BDC">
        <w:rPr>
          <w:noProof/>
          <w:lang w:val="en-IE"/>
        </w:rPr>
        <w:t>Summary of costs and benefits</w:t>
      </w:r>
      <w:bookmarkEnd w:id="174"/>
      <w:bookmarkEnd w:id="175"/>
      <w:r w:rsidR="004C782C" w:rsidRPr="00013BDC">
        <w:rPr>
          <w:noProof/>
          <w:lang w:val="en-IE"/>
        </w:rPr>
        <w:t xml:space="preserve"> for textiles</w:t>
      </w:r>
      <w:r w:rsidR="00FF32B6" w:rsidRPr="00013BDC">
        <w:rPr>
          <w:noProof/>
          <w:lang w:val="en-IE"/>
        </w:rPr>
        <w:t xml:space="preserve"> and textiles waste</w:t>
      </w:r>
      <w:bookmarkEnd w:id="176"/>
      <w:bookmarkEnd w:id="177"/>
      <w:bookmarkEnd w:id="178"/>
      <w:bookmarkEnd w:id="179"/>
      <w:bookmarkEnd w:id="180"/>
      <w:bookmarkEnd w:id="181"/>
      <w:bookmarkEnd w:id="182"/>
      <w:bookmarkEnd w:id="183"/>
      <w:bookmarkEnd w:id="184"/>
      <w:bookmarkEnd w:id="185"/>
    </w:p>
    <w:p w14:paraId="5AD20E1D" w14:textId="12485CFE" w:rsidR="00A10A9E" w:rsidRPr="00013BDC" w:rsidRDefault="00A10A9E" w:rsidP="00A41134">
      <w:pPr>
        <w:pStyle w:val="Caption"/>
        <w:rPr>
          <w:noProof/>
          <w:color w:val="auto"/>
          <w:sz w:val="24"/>
          <w:szCs w:val="24"/>
          <w:lang w:val="en-IE"/>
        </w:rPr>
      </w:pPr>
      <w:bookmarkStart w:id="186" w:name="_Toc133229411"/>
      <w:bookmarkStart w:id="187" w:name="_Toc139033032"/>
      <w:r w:rsidRPr="00013BDC">
        <w:rPr>
          <w:noProof/>
          <w:color w:val="auto"/>
          <w:sz w:val="24"/>
          <w:szCs w:val="24"/>
          <w:lang w:val="en-IE"/>
        </w:rPr>
        <w:t xml:space="preserve">Table </w:t>
      </w:r>
      <w:r w:rsidR="004C5576">
        <w:rPr>
          <w:noProof/>
          <w:color w:val="auto"/>
          <w:sz w:val="24"/>
          <w:szCs w:val="24"/>
        </w:rPr>
        <w:t>2</w:t>
      </w:r>
      <w:r w:rsidRPr="00013BDC">
        <w:rPr>
          <w:noProof/>
          <w:color w:val="auto"/>
          <w:sz w:val="24"/>
          <w:szCs w:val="24"/>
          <w:lang w:val="en-IE"/>
        </w:rPr>
        <w:t xml:space="preserve"> – Overview of Benefits of the Preferred Option</w:t>
      </w:r>
      <w:bookmarkEnd w:id="186"/>
      <w:bookmarkEnd w:id="187"/>
    </w:p>
    <w:tbl>
      <w:tblPr>
        <w:tblStyle w:val="CV12"/>
        <w:tblW w:w="0" w:type="auto"/>
        <w:tblInd w:w="-5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46"/>
        <w:gridCol w:w="4432"/>
        <w:gridCol w:w="3360"/>
      </w:tblGrid>
      <w:tr w:rsidR="00586A5A" w:rsidRPr="00013BDC" w14:paraId="6871809E" w14:textId="77777777" w:rsidTr="00254273">
        <w:tc>
          <w:tcPr>
            <w:tcW w:w="0" w:type="auto"/>
            <w:gridSpan w:val="3"/>
            <w:tcBorders>
              <w:top w:val="double" w:sz="4" w:space="0" w:color="auto"/>
              <w:bottom w:val="single" w:sz="4" w:space="0" w:color="auto"/>
            </w:tcBorders>
            <w:shd w:val="clear" w:color="auto" w:fill="C6D9F1" w:themeFill="text2" w:themeFillTint="33"/>
          </w:tcPr>
          <w:p w14:paraId="61D2A0D9" w14:textId="77777777" w:rsidR="00E319C2" w:rsidRPr="00013BDC" w:rsidRDefault="00E319C2" w:rsidP="001B1E6E">
            <w:pPr>
              <w:spacing w:after="0"/>
              <w:rPr>
                <w:b/>
                <w:noProof/>
                <w:sz w:val="20"/>
                <w:lang w:val="en-IE"/>
              </w:rPr>
            </w:pPr>
            <w:r w:rsidRPr="00013BDC">
              <w:rPr>
                <w:b/>
                <w:noProof/>
                <w:sz w:val="20"/>
                <w:lang w:val="en-IE"/>
              </w:rPr>
              <w:t>I. Overview of Benefits (total for all provisions) – Preferred Option</w:t>
            </w:r>
          </w:p>
        </w:tc>
      </w:tr>
      <w:tr w:rsidR="00C046D4" w:rsidRPr="00013BDC" w14:paraId="06C9CCB8" w14:textId="77777777" w:rsidTr="00254273">
        <w:tc>
          <w:tcPr>
            <w:tcW w:w="0" w:type="auto"/>
            <w:tcBorders>
              <w:top w:val="single" w:sz="4" w:space="0" w:color="auto"/>
            </w:tcBorders>
            <w:shd w:val="clear" w:color="auto" w:fill="C6D9F1" w:themeFill="text2" w:themeFillTint="33"/>
          </w:tcPr>
          <w:p w14:paraId="65601ACB" w14:textId="77777777" w:rsidR="00E319C2" w:rsidRPr="00013BDC" w:rsidRDefault="00E319C2" w:rsidP="001B1E6E">
            <w:pPr>
              <w:spacing w:after="0"/>
              <w:jc w:val="center"/>
              <w:rPr>
                <w:b/>
                <w:i/>
                <w:noProof/>
                <w:sz w:val="20"/>
                <w:lang w:val="en-IE"/>
              </w:rPr>
            </w:pPr>
            <w:r w:rsidRPr="00013BDC">
              <w:rPr>
                <w:b/>
                <w:i/>
                <w:noProof/>
                <w:sz w:val="20"/>
                <w:lang w:val="en-IE"/>
              </w:rPr>
              <w:t>Description</w:t>
            </w:r>
          </w:p>
        </w:tc>
        <w:tc>
          <w:tcPr>
            <w:tcW w:w="0" w:type="auto"/>
            <w:tcBorders>
              <w:top w:val="single" w:sz="4" w:space="0" w:color="auto"/>
            </w:tcBorders>
            <w:shd w:val="clear" w:color="auto" w:fill="C6D9F1" w:themeFill="text2" w:themeFillTint="33"/>
          </w:tcPr>
          <w:p w14:paraId="32F0BF14" w14:textId="77777777" w:rsidR="00E319C2" w:rsidRPr="00013BDC" w:rsidRDefault="00E319C2" w:rsidP="001B1E6E">
            <w:pPr>
              <w:spacing w:after="0"/>
              <w:jc w:val="center"/>
              <w:rPr>
                <w:b/>
                <w:i/>
                <w:noProof/>
                <w:sz w:val="20"/>
                <w:lang w:val="en-IE"/>
              </w:rPr>
            </w:pPr>
            <w:r w:rsidRPr="00013BDC">
              <w:rPr>
                <w:b/>
                <w:i/>
                <w:noProof/>
                <w:sz w:val="20"/>
                <w:lang w:val="en-IE"/>
              </w:rPr>
              <w:t>Amount</w:t>
            </w:r>
          </w:p>
        </w:tc>
        <w:tc>
          <w:tcPr>
            <w:tcW w:w="0" w:type="auto"/>
            <w:tcBorders>
              <w:top w:val="single" w:sz="4" w:space="0" w:color="auto"/>
            </w:tcBorders>
            <w:shd w:val="clear" w:color="auto" w:fill="C6D9F1" w:themeFill="text2" w:themeFillTint="33"/>
            <w:tcMar>
              <w:top w:w="57" w:type="dxa"/>
              <w:left w:w="57" w:type="dxa"/>
              <w:bottom w:w="57" w:type="dxa"/>
              <w:right w:w="57" w:type="dxa"/>
            </w:tcMar>
          </w:tcPr>
          <w:p w14:paraId="58DF3A3B" w14:textId="77777777" w:rsidR="00E319C2" w:rsidRPr="00013BDC" w:rsidRDefault="00E319C2" w:rsidP="001B1E6E">
            <w:pPr>
              <w:spacing w:after="0"/>
              <w:jc w:val="center"/>
              <w:rPr>
                <w:b/>
                <w:i/>
                <w:noProof/>
                <w:sz w:val="20"/>
                <w:lang w:val="en-IE"/>
              </w:rPr>
            </w:pPr>
            <w:r w:rsidRPr="00013BDC">
              <w:rPr>
                <w:b/>
                <w:i/>
                <w:noProof/>
                <w:sz w:val="20"/>
                <w:lang w:val="en-IE"/>
              </w:rPr>
              <w:t>Comments</w:t>
            </w:r>
          </w:p>
        </w:tc>
      </w:tr>
      <w:tr w:rsidR="00522ACF" w:rsidRPr="00013BDC" w14:paraId="74D03236" w14:textId="77777777" w:rsidTr="00254273">
        <w:tc>
          <w:tcPr>
            <w:tcW w:w="0" w:type="auto"/>
            <w:gridSpan w:val="3"/>
            <w:tcBorders>
              <w:top w:val="double" w:sz="4" w:space="0" w:color="auto"/>
            </w:tcBorders>
            <w:shd w:val="clear" w:color="auto" w:fill="F2F2F2" w:themeFill="background1" w:themeFillShade="F2"/>
          </w:tcPr>
          <w:p w14:paraId="06BF55CF" w14:textId="77777777" w:rsidR="00E319C2" w:rsidRPr="00013BDC" w:rsidRDefault="00E319C2" w:rsidP="001B1E6E">
            <w:pPr>
              <w:spacing w:after="0"/>
              <w:jc w:val="center"/>
              <w:rPr>
                <w:b/>
                <w:i/>
                <w:noProof/>
                <w:sz w:val="20"/>
                <w:lang w:val="en-IE"/>
              </w:rPr>
            </w:pPr>
            <w:r w:rsidRPr="00013BDC">
              <w:rPr>
                <w:b/>
                <w:i/>
                <w:noProof/>
                <w:sz w:val="20"/>
                <w:lang w:val="en-IE"/>
              </w:rPr>
              <w:t>Direct benefits</w:t>
            </w:r>
          </w:p>
        </w:tc>
      </w:tr>
      <w:tr w:rsidR="00B73C8D" w:rsidRPr="00013BDC" w14:paraId="70544131" w14:textId="77777777" w:rsidTr="00254273">
        <w:tc>
          <w:tcPr>
            <w:tcW w:w="0" w:type="auto"/>
            <w:tcBorders>
              <w:top w:val="double" w:sz="4" w:space="0" w:color="auto"/>
            </w:tcBorders>
          </w:tcPr>
          <w:p w14:paraId="72EE3583" w14:textId="7B8F083E" w:rsidR="00E319C2" w:rsidRPr="00013BDC" w:rsidRDefault="007967B0" w:rsidP="001B1E6E">
            <w:pPr>
              <w:spacing w:after="0"/>
              <w:rPr>
                <w:noProof/>
                <w:sz w:val="20"/>
                <w:lang w:val="en-IE"/>
              </w:rPr>
            </w:pPr>
            <w:r w:rsidRPr="00013BDC">
              <w:rPr>
                <w:noProof/>
                <w:sz w:val="20"/>
                <w:lang w:val="en-IE"/>
              </w:rPr>
              <w:t xml:space="preserve">Application of the polluter pays principle through EPR </w:t>
            </w:r>
          </w:p>
        </w:tc>
        <w:tc>
          <w:tcPr>
            <w:tcW w:w="0" w:type="auto"/>
            <w:tcBorders>
              <w:top w:val="double" w:sz="4" w:space="0" w:color="auto"/>
            </w:tcBorders>
            <w:tcMar>
              <w:top w:w="57" w:type="dxa"/>
              <w:left w:w="57" w:type="dxa"/>
              <w:bottom w:w="57" w:type="dxa"/>
              <w:right w:w="57" w:type="dxa"/>
            </w:tcMar>
          </w:tcPr>
          <w:p w14:paraId="5E9A99C0" w14:textId="117E8355" w:rsidR="00E319C2" w:rsidRPr="00013BDC" w:rsidRDefault="00342273" w:rsidP="001B1E6E">
            <w:pPr>
              <w:spacing w:after="0"/>
              <w:rPr>
                <w:noProof/>
                <w:sz w:val="20"/>
                <w:lang w:val="en-IE"/>
              </w:rPr>
            </w:pPr>
            <w:r w:rsidRPr="00013BDC">
              <w:rPr>
                <w:noProof/>
                <w:sz w:val="20"/>
                <w:lang w:val="en-IE"/>
              </w:rPr>
              <w:t xml:space="preserve">Funding to address the collection, sorting and treatment costs of used textile and textile waste management </w:t>
            </w:r>
            <w:r w:rsidR="00FB5E6D" w:rsidRPr="00013BDC">
              <w:rPr>
                <w:noProof/>
                <w:sz w:val="20"/>
                <w:lang w:val="en-IE"/>
              </w:rPr>
              <w:t xml:space="preserve">to the value of </w:t>
            </w:r>
            <w:r w:rsidR="007C2D30" w:rsidRPr="00013BDC">
              <w:rPr>
                <w:noProof/>
                <w:sz w:val="20"/>
                <w:lang w:val="en-IE"/>
              </w:rPr>
              <w:t>2.2 billion</w:t>
            </w:r>
            <w:r w:rsidR="00FB5E6D" w:rsidRPr="00013BDC">
              <w:rPr>
                <w:noProof/>
                <w:sz w:val="20"/>
                <w:lang w:val="en-IE"/>
              </w:rPr>
              <w:t xml:space="preserve"> euro</w:t>
            </w:r>
            <w:r w:rsidR="00CE781E" w:rsidRPr="00013BDC">
              <w:rPr>
                <w:noProof/>
                <w:sz w:val="20"/>
                <w:lang w:val="en-IE"/>
              </w:rPr>
              <w:t xml:space="preserve"> for the EU overall</w:t>
            </w:r>
            <w:r w:rsidR="005E0478" w:rsidRPr="00013BDC">
              <w:rPr>
                <w:noProof/>
                <w:sz w:val="20"/>
                <w:lang w:val="en-IE"/>
              </w:rPr>
              <w:t>.</w:t>
            </w:r>
          </w:p>
          <w:p w14:paraId="3787E57E" w14:textId="5205258D" w:rsidR="00E319C2" w:rsidRPr="00013BDC" w:rsidRDefault="005E0478" w:rsidP="001B1E6E">
            <w:pPr>
              <w:spacing w:after="0"/>
              <w:rPr>
                <w:noProof/>
                <w:sz w:val="20"/>
                <w:lang w:val="en-IE"/>
              </w:rPr>
            </w:pPr>
            <w:r w:rsidRPr="00013BDC">
              <w:rPr>
                <w:noProof/>
                <w:sz w:val="20"/>
                <w:lang w:val="en-IE"/>
              </w:rPr>
              <w:t>Benefit to consumers reducing their volumes of mixed waste</w:t>
            </w:r>
          </w:p>
        </w:tc>
        <w:tc>
          <w:tcPr>
            <w:tcW w:w="0" w:type="auto"/>
            <w:tcBorders>
              <w:top w:val="double" w:sz="4" w:space="0" w:color="auto"/>
            </w:tcBorders>
            <w:tcMar>
              <w:top w:w="57" w:type="dxa"/>
              <w:left w:w="57" w:type="dxa"/>
              <w:bottom w:w="57" w:type="dxa"/>
              <w:right w:w="57" w:type="dxa"/>
            </w:tcMar>
          </w:tcPr>
          <w:p w14:paraId="737BD2D6" w14:textId="77777777" w:rsidR="00E319C2" w:rsidRPr="00013BDC" w:rsidRDefault="00E319C2" w:rsidP="001B1E6E">
            <w:pPr>
              <w:spacing w:after="0"/>
              <w:rPr>
                <w:noProof/>
                <w:sz w:val="20"/>
                <w:lang w:val="en-IE"/>
              </w:rPr>
            </w:pPr>
          </w:p>
        </w:tc>
      </w:tr>
      <w:tr w:rsidR="00B73C8D" w:rsidRPr="00013BDC" w14:paraId="240750B5" w14:textId="77777777" w:rsidTr="00254273">
        <w:tc>
          <w:tcPr>
            <w:tcW w:w="0" w:type="auto"/>
            <w:tcBorders>
              <w:bottom w:val="double" w:sz="4" w:space="0" w:color="auto"/>
            </w:tcBorders>
          </w:tcPr>
          <w:p w14:paraId="6B55F2E7" w14:textId="7382C962" w:rsidR="00E319C2" w:rsidRPr="00013BDC" w:rsidRDefault="00CE781E" w:rsidP="001B1E6E">
            <w:pPr>
              <w:spacing w:after="0"/>
              <w:rPr>
                <w:noProof/>
                <w:sz w:val="20"/>
                <w:lang w:val="en-IE"/>
              </w:rPr>
            </w:pPr>
            <w:r w:rsidRPr="00013BDC">
              <w:rPr>
                <w:noProof/>
                <w:sz w:val="20"/>
                <w:lang w:val="en-IE"/>
              </w:rPr>
              <w:t>Reduction of pollution resulting from the discard to used textiles and textile waste in residual waste streams</w:t>
            </w:r>
          </w:p>
        </w:tc>
        <w:tc>
          <w:tcPr>
            <w:tcW w:w="0" w:type="auto"/>
            <w:tcBorders>
              <w:bottom w:val="double" w:sz="4" w:space="0" w:color="auto"/>
            </w:tcBorders>
            <w:tcMar>
              <w:top w:w="57" w:type="dxa"/>
              <w:left w:w="57" w:type="dxa"/>
              <w:bottom w:w="57" w:type="dxa"/>
              <w:right w:w="57" w:type="dxa"/>
            </w:tcMar>
          </w:tcPr>
          <w:p w14:paraId="5B547CBB" w14:textId="714882CD" w:rsidR="00E319C2" w:rsidRPr="00013BDC" w:rsidRDefault="008859FC" w:rsidP="001B1E6E">
            <w:pPr>
              <w:spacing w:after="0"/>
              <w:rPr>
                <w:noProof/>
                <w:sz w:val="20"/>
                <w:lang w:val="en-IE"/>
              </w:rPr>
            </w:pPr>
            <w:r w:rsidRPr="00013BDC">
              <w:rPr>
                <w:noProof/>
                <w:sz w:val="20"/>
                <w:lang w:val="en-IE"/>
              </w:rPr>
              <w:t>The additional diversion of approximately 1</w:t>
            </w:r>
            <w:r w:rsidR="003817AF" w:rsidRPr="00013BDC">
              <w:rPr>
                <w:noProof/>
                <w:sz w:val="20"/>
                <w:lang w:val="en-IE"/>
              </w:rPr>
              <w:t>37</w:t>
            </w:r>
            <w:r w:rsidRPr="00013BDC">
              <w:rPr>
                <w:noProof/>
                <w:sz w:val="20"/>
                <w:lang w:val="en-IE"/>
              </w:rPr>
              <w:t xml:space="preserve"> 000 tonnes of waste from </w:t>
            </w:r>
            <w:r w:rsidR="003817AF" w:rsidRPr="00013BDC">
              <w:rPr>
                <w:noProof/>
                <w:sz w:val="20"/>
                <w:lang w:val="en-IE"/>
              </w:rPr>
              <w:t xml:space="preserve">incineration and landfill to treatment higher up the waste </w:t>
            </w:r>
            <w:r w:rsidR="00E76AE5" w:rsidRPr="00013BDC">
              <w:rPr>
                <w:noProof/>
                <w:sz w:val="20"/>
                <w:lang w:val="en-IE"/>
              </w:rPr>
              <w:t xml:space="preserve">hierarchy as a result of collection targets </w:t>
            </w:r>
            <w:r w:rsidR="006E51D6" w:rsidRPr="00013BDC">
              <w:rPr>
                <w:noProof/>
                <w:sz w:val="20"/>
                <w:lang w:val="en-IE"/>
              </w:rPr>
              <w:t>will reduce GHG emissions</w:t>
            </w:r>
            <w:r w:rsidR="00054CC6" w:rsidRPr="00013BDC">
              <w:rPr>
                <w:noProof/>
                <w:sz w:val="20"/>
                <w:lang w:val="en-IE"/>
              </w:rPr>
              <w:t xml:space="preserve"> as well as other emissions to air, water and land.</w:t>
            </w:r>
          </w:p>
        </w:tc>
        <w:tc>
          <w:tcPr>
            <w:tcW w:w="0" w:type="auto"/>
            <w:tcBorders>
              <w:bottom w:val="double" w:sz="4" w:space="0" w:color="auto"/>
            </w:tcBorders>
            <w:tcMar>
              <w:top w:w="57" w:type="dxa"/>
              <w:left w:w="57" w:type="dxa"/>
              <w:bottom w:w="57" w:type="dxa"/>
              <w:right w:w="57" w:type="dxa"/>
            </w:tcMar>
          </w:tcPr>
          <w:p w14:paraId="5341F2AA" w14:textId="1D181D1C" w:rsidR="00E319C2" w:rsidRPr="00013BDC" w:rsidRDefault="00D50575" w:rsidP="001B1E6E">
            <w:pPr>
              <w:spacing w:after="0"/>
              <w:rPr>
                <w:noProof/>
                <w:sz w:val="20"/>
                <w:lang w:val="en-IE"/>
              </w:rPr>
            </w:pPr>
            <w:r w:rsidRPr="00013BDC">
              <w:rPr>
                <w:noProof/>
                <w:sz w:val="20"/>
                <w:lang w:val="en-IE"/>
              </w:rPr>
              <w:t xml:space="preserve">Additional reductions through waste prevention measures are also expected. It has not been possible to quantify the benefits resulting from the waste prevention measures foreseen in relation to indicators or in relation to EPR prevention </w:t>
            </w:r>
            <w:r w:rsidR="001D5EDD" w:rsidRPr="00013BDC">
              <w:rPr>
                <w:noProof/>
                <w:sz w:val="20"/>
                <w:lang w:val="en-IE"/>
              </w:rPr>
              <w:t>measures employed at the national level.</w:t>
            </w:r>
          </w:p>
        </w:tc>
      </w:tr>
      <w:tr w:rsidR="00B73C8D" w:rsidRPr="00013BDC" w14:paraId="3F1B7E1A" w14:textId="77777777" w:rsidTr="00254273">
        <w:tc>
          <w:tcPr>
            <w:tcW w:w="0" w:type="auto"/>
            <w:tcBorders>
              <w:bottom w:val="double" w:sz="4" w:space="0" w:color="auto"/>
            </w:tcBorders>
          </w:tcPr>
          <w:p w14:paraId="06363472" w14:textId="256ECD29" w:rsidR="007F558F" w:rsidRPr="00013BDC" w:rsidRDefault="007F558F" w:rsidP="001B1E6E">
            <w:pPr>
              <w:spacing w:after="0"/>
              <w:rPr>
                <w:noProof/>
                <w:sz w:val="20"/>
                <w:lang w:val="en-IE"/>
              </w:rPr>
            </w:pPr>
            <w:r w:rsidRPr="00013BDC">
              <w:rPr>
                <w:noProof/>
                <w:sz w:val="20"/>
                <w:lang w:val="en-IE"/>
              </w:rPr>
              <w:t xml:space="preserve">Increases in </w:t>
            </w:r>
            <w:r w:rsidR="007E6E64" w:rsidRPr="00013BDC">
              <w:rPr>
                <w:noProof/>
                <w:sz w:val="20"/>
                <w:lang w:val="en-IE"/>
              </w:rPr>
              <w:t>employment</w:t>
            </w:r>
            <w:r w:rsidRPr="00013BDC">
              <w:rPr>
                <w:noProof/>
                <w:sz w:val="20"/>
                <w:lang w:val="en-IE"/>
              </w:rPr>
              <w:t xml:space="preserve"> infrastructure for waste manag</w:t>
            </w:r>
            <w:r w:rsidR="007E6E64" w:rsidRPr="00013BDC">
              <w:rPr>
                <w:noProof/>
                <w:sz w:val="20"/>
                <w:lang w:val="en-IE"/>
              </w:rPr>
              <w:t>ement</w:t>
            </w:r>
          </w:p>
        </w:tc>
        <w:tc>
          <w:tcPr>
            <w:tcW w:w="0" w:type="auto"/>
            <w:tcBorders>
              <w:bottom w:val="double" w:sz="4" w:space="0" w:color="auto"/>
            </w:tcBorders>
            <w:tcMar>
              <w:top w:w="57" w:type="dxa"/>
              <w:left w:w="57" w:type="dxa"/>
              <w:bottom w:w="57" w:type="dxa"/>
              <w:right w:w="57" w:type="dxa"/>
            </w:tcMar>
          </w:tcPr>
          <w:p w14:paraId="6886BA73" w14:textId="4B07F25A" w:rsidR="007F558F" w:rsidRPr="00013BDC" w:rsidRDefault="007E6E64" w:rsidP="001B1E6E">
            <w:pPr>
              <w:spacing w:after="0"/>
              <w:rPr>
                <w:noProof/>
                <w:sz w:val="20"/>
                <w:lang w:val="en-IE"/>
              </w:rPr>
            </w:pPr>
            <w:r w:rsidRPr="00013BDC">
              <w:rPr>
                <w:noProof/>
                <w:sz w:val="20"/>
                <w:lang w:val="en-IE"/>
              </w:rPr>
              <w:t xml:space="preserve">The additional obligations in relation to waste management would result in approximately </w:t>
            </w:r>
            <w:r w:rsidR="00D34B8F" w:rsidRPr="00013BDC">
              <w:rPr>
                <w:noProof/>
                <w:sz w:val="20"/>
                <w:lang w:val="en-IE"/>
              </w:rPr>
              <w:t>8 740</w:t>
            </w:r>
            <w:r w:rsidR="006D33FA" w:rsidRPr="00013BDC">
              <w:rPr>
                <w:noProof/>
                <w:sz w:val="20"/>
                <w:lang w:val="en-IE"/>
              </w:rPr>
              <w:t xml:space="preserve"> new jobs </w:t>
            </w:r>
            <w:r w:rsidR="0049719A" w:rsidRPr="00013BDC">
              <w:rPr>
                <w:noProof/>
                <w:sz w:val="20"/>
                <w:lang w:val="en-IE"/>
              </w:rPr>
              <w:t>being created in the collection, sorting and treatment of used and waste textiles.</w:t>
            </w:r>
          </w:p>
        </w:tc>
        <w:tc>
          <w:tcPr>
            <w:tcW w:w="0" w:type="auto"/>
            <w:tcBorders>
              <w:bottom w:val="double" w:sz="4" w:space="0" w:color="auto"/>
            </w:tcBorders>
            <w:tcMar>
              <w:top w:w="57" w:type="dxa"/>
              <w:left w:w="57" w:type="dxa"/>
              <w:bottom w:w="57" w:type="dxa"/>
              <w:right w:w="57" w:type="dxa"/>
            </w:tcMar>
          </w:tcPr>
          <w:p w14:paraId="13ABC118" w14:textId="77777777" w:rsidR="007F558F" w:rsidRPr="00013BDC" w:rsidRDefault="007F558F" w:rsidP="001B1E6E">
            <w:pPr>
              <w:spacing w:after="0"/>
              <w:rPr>
                <w:noProof/>
                <w:sz w:val="20"/>
                <w:lang w:val="en-IE"/>
              </w:rPr>
            </w:pPr>
          </w:p>
        </w:tc>
      </w:tr>
      <w:tr w:rsidR="00B73C8D" w:rsidRPr="00013BDC" w14:paraId="664E0A61" w14:textId="77777777" w:rsidTr="00254273">
        <w:tc>
          <w:tcPr>
            <w:tcW w:w="0" w:type="auto"/>
            <w:tcBorders>
              <w:bottom w:val="double" w:sz="4" w:space="0" w:color="auto"/>
            </w:tcBorders>
          </w:tcPr>
          <w:p w14:paraId="5D4784A1" w14:textId="5E55F231" w:rsidR="00085923" w:rsidRPr="00013BDC" w:rsidRDefault="00085923" w:rsidP="001B1E6E">
            <w:pPr>
              <w:spacing w:after="0"/>
              <w:rPr>
                <w:noProof/>
                <w:sz w:val="20"/>
                <w:lang w:val="en-IE"/>
              </w:rPr>
            </w:pPr>
            <w:r w:rsidRPr="00013BDC">
              <w:rPr>
                <w:noProof/>
                <w:sz w:val="20"/>
                <w:lang w:val="en-IE"/>
              </w:rPr>
              <w:t>Better data on used textile and textile waste generation</w:t>
            </w:r>
            <w:r w:rsidR="00F87112" w:rsidRPr="00013BDC">
              <w:rPr>
                <w:noProof/>
                <w:sz w:val="20"/>
                <w:lang w:val="en-IE"/>
              </w:rPr>
              <w:t xml:space="preserve"> across the EU</w:t>
            </w:r>
          </w:p>
        </w:tc>
        <w:tc>
          <w:tcPr>
            <w:tcW w:w="0" w:type="auto"/>
            <w:tcBorders>
              <w:bottom w:val="double" w:sz="4" w:space="0" w:color="auto"/>
            </w:tcBorders>
            <w:tcMar>
              <w:top w:w="57" w:type="dxa"/>
              <w:left w:w="57" w:type="dxa"/>
              <w:bottom w:w="57" w:type="dxa"/>
              <w:right w:w="57" w:type="dxa"/>
            </w:tcMar>
          </w:tcPr>
          <w:p w14:paraId="1BB7FC57" w14:textId="268AECBB" w:rsidR="00085923" w:rsidRPr="00013BDC" w:rsidRDefault="004C0C43" w:rsidP="001B1E6E">
            <w:pPr>
              <w:spacing w:after="0"/>
              <w:rPr>
                <w:noProof/>
                <w:sz w:val="20"/>
                <w:lang w:val="en-IE"/>
              </w:rPr>
            </w:pPr>
            <w:r w:rsidRPr="00013BDC">
              <w:rPr>
                <w:noProof/>
                <w:sz w:val="20"/>
                <w:lang w:val="en-IE"/>
              </w:rPr>
              <w:t xml:space="preserve">It has not been possible to quantify the benefits resulting from better data. However, the </w:t>
            </w:r>
            <w:r w:rsidR="00203D71" w:rsidRPr="00013BDC">
              <w:rPr>
                <w:noProof/>
                <w:sz w:val="20"/>
                <w:lang w:val="en-IE"/>
              </w:rPr>
              <w:t>comparability of the situation of different Member States in relation to used and waste textiles will be significantly improved in comparison to the status quo</w:t>
            </w:r>
            <w:r w:rsidR="00A3234A" w:rsidRPr="00013BDC">
              <w:rPr>
                <w:noProof/>
                <w:sz w:val="20"/>
                <w:lang w:val="en-IE"/>
              </w:rPr>
              <w:t>, with a</w:t>
            </w:r>
            <w:r w:rsidR="00D50575" w:rsidRPr="00013BDC">
              <w:rPr>
                <w:noProof/>
                <w:sz w:val="20"/>
                <w:lang w:val="en-IE"/>
              </w:rPr>
              <w:t>dditional information able to support development of new infrastructure, most notably in support of textile recycling.</w:t>
            </w:r>
          </w:p>
        </w:tc>
        <w:tc>
          <w:tcPr>
            <w:tcW w:w="0" w:type="auto"/>
            <w:tcBorders>
              <w:bottom w:val="double" w:sz="4" w:space="0" w:color="auto"/>
            </w:tcBorders>
            <w:tcMar>
              <w:top w:w="57" w:type="dxa"/>
              <w:left w:w="57" w:type="dxa"/>
              <w:bottom w:w="57" w:type="dxa"/>
              <w:right w:w="57" w:type="dxa"/>
            </w:tcMar>
          </w:tcPr>
          <w:p w14:paraId="7C586600" w14:textId="77777777" w:rsidR="00085923" w:rsidRPr="00013BDC" w:rsidRDefault="00085923" w:rsidP="001B1E6E">
            <w:pPr>
              <w:spacing w:after="0"/>
              <w:rPr>
                <w:noProof/>
                <w:sz w:val="20"/>
                <w:lang w:val="en-IE"/>
              </w:rPr>
            </w:pPr>
          </w:p>
        </w:tc>
      </w:tr>
      <w:tr w:rsidR="00B73C8D" w:rsidRPr="00013BDC" w14:paraId="272F2C4B" w14:textId="77777777" w:rsidTr="00254273">
        <w:tc>
          <w:tcPr>
            <w:tcW w:w="0" w:type="auto"/>
            <w:tcBorders>
              <w:bottom w:val="double" w:sz="4" w:space="0" w:color="auto"/>
            </w:tcBorders>
          </w:tcPr>
          <w:p w14:paraId="2FC459DA" w14:textId="5E1FBF5F" w:rsidR="00D50575" w:rsidRPr="00013BDC" w:rsidRDefault="00A01158" w:rsidP="001B1E6E">
            <w:pPr>
              <w:spacing w:after="0"/>
              <w:rPr>
                <w:noProof/>
                <w:sz w:val="20"/>
                <w:szCs w:val="20"/>
                <w:lang w:val="en-IE"/>
              </w:rPr>
            </w:pPr>
            <w:r w:rsidRPr="00013BDC">
              <w:rPr>
                <w:noProof/>
                <w:sz w:val="20"/>
                <w:szCs w:val="20"/>
                <w:lang w:val="en-IE"/>
              </w:rPr>
              <w:t xml:space="preserve">Reduction in volumes of </w:t>
            </w:r>
            <w:r w:rsidR="51FE6A6D" w:rsidRPr="00013BDC">
              <w:rPr>
                <w:noProof/>
                <w:sz w:val="20"/>
                <w:szCs w:val="20"/>
                <w:lang w:val="en-IE"/>
              </w:rPr>
              <w:t xml:space="preserve">waste </w:t>
            </w:r>
            <w:r w:rsidRPr="00013BDC">
              <w:rPr>
                <w:noProof/>
                <w:sz w:val="20"/>
                <w:szCs w:val="20"/>
                <w:lang w:val="en-IE"/>
              </w:rPr>
              <w:t>textiles exported as reusable to third countries</w:t>
            </w:r>
          </w:p>
        </w:tc>
        <w:tc>
          <w:tcPr>
            <w:tcW w:w="0" w:type="auto"/>
            <w:tcBorders>
              <w:bottom w:val="double" w:sz="4" w:space="0" w:color="auto"/>
            </w:tcBorders>
            <w:tcMar>
              <w:top w:w="57" w:type="dxa"/>
              <w:left w:w="57" w:type="dxa"/>
              <w:bottom w:w="57" w:type="dxa"/>
              <w:right w:w="57" w:type="dxa"/>
            </w:tcMar>
          </w:tcPr>
          <w:p w14:paraId="1AB7CCC6" w14:textId="17B18069" w:rsidR="00D50575" w:rsidRPr="00013BDC" w:rsidRDefault="00A01158" w:rsidP="001B1E6E">
            <w:pPr>
              <w:spacing w:after="0"/>
              <w:rPr>
                <w:noProof/>
                <w:sz w:val="20"/>
                <w:lang w:val="en-IE"/>
              </w:rPr>
            </w:pPr>
            <w:r w:rsidRPr="00013BDC">
              <w:rPr>
                <w:noProof/>
                <w:sz w:val="20"/>
                <w:lang w:val="en-IE"/>
              </w:rPr>
              <w:t xml:space="preserve">The social and environmental impacts of waste textiles exported from the EU to third countries </w:t>
            </w:r>
            <w:r w:rsidR="00AA202A" w:rsidRPr="00013BDC">
              <w:rPr>
                <w:noProof/>
                <w:sz w:val="20"/>
                <w:lang w:val="en-IE"/>
              </w:rPr>
              <w:t>would be reduced as a result of greater sorting obligations as well as record keeping in relation to such exports.</w:t>
            </w:r>
          </w:p>
        </w:tc>
        <w:tc>
          <w:tcPr>
            <w:tcW w:w="0" w:type="auto"/>
            <w:tcBorders>
              <w:bottom w:val="double" w:sz="4" w:space="0" w:color="auto"/>
            </w:tcBorders>
            <w:tcMar>
              <w:top w:w="57" w:type="dxa"/>
              <w:left w:w="57" w:type="dxa"/>
              <w:bottom w:w="57" w:type="dxa"/>
              <w:right w:w="57" w:type="dxa"/>
            </w:tcMar>
          </w:tcPr>
          <w:p w14:paraId="183793D6" w14:textId="77777777" w:rsidR="00D50575" w:rsidRPr="00013BDC" w:rsidRDefault="00D50575" w:rsidP="001B1E6E">
            <w:pPr>
              <w:spacing w:after="0"/>
              <w:rPr>
                <w:noProof/>
                <w:sz w:val="20"/>
                <w:lang w:val="en-IE"/>
              </w:rPr>
            </w:pPr>
          </w:p>
        </w:tc>
      </w:tr>
      <w:tr w:rsidR="00B73C8D" w:rsidRPr="00013BDC" w14:paraId="06C6DE76" w14:textId="77777777" w:rsidTr="00254273">
        <w:tc>
          <w:tcPr>
            <w:tcW w:w="0" w:type="auto"/>
            <w:tcBorders>
              <w:bottom w:val="double" w:sz="4" w:space="0" w:color="auto"/>
            </w:tcBorders>
          </w:tcPr>
          <w:p w14:paraId="7B67864E" w14:textId="418026E4" w:rsidR="00A01158" w:rsidRPr="00013BDC" w:rsidRDefault="001238E8" w:rsidP="001B1E6E">
            <w:pPr>
              <w:spacing w:after="0"/>
              <w:rPr>
                <w:noProof/>
                <w:sz w:val="20"/>
                <w:lang w:val="en-IE"/>
              </w:rPr>
            </w:pPr>
            <w:r w:rsidRPr="00013BDC">
              <w:rPr>
                <w:noProof/>
                <w:sz w:val="20"/>
                <w:lang w:val="en-IE"/>
              </w:rPr>
              <w:t>Increase in circularity of used and waste textiles</w:t>
            </w:r>
          </w:p>
        </w:tc>
        <w:tc>
          <w:tcPr>
            <w:tcW w:w="0" w:type="auto"/>
            <w:tcBorders>
              <w:bottom w:val="double" w:sz="4" w:space="0" w:color="auto"/>
            </w:tcBorders>
            <w:tcMar>
              <w:top w:w="57" w:type="dxa"/>
              <w:left w:w="57" w:type="dxa"/>
              <w:bottom w:w="57" w:type="dxa"/>
              <w:right w:w="57" w:type="dxa"/>
            </w:tcMar>
          </w:tcPr>
          <w:p w14:paraId="5202E499" w14:textId="4FC630B8" w:rsidR="00A01158" w:rsidRPr="00013BDC" w:rsidRDefault="001238E8" w:rsidP="001B1E6E">
            <w:pPr>
              <w:spacing w:after="0"/>
              <w:rPr>
                <w:noProof/>
                <w:sz w:val="20"/>
                <w:szCs w:val="20"/>
                <w:lang w:val="en-IE"/>
              </w:rPr>
            </w:pPr>
            <w:r w:rsidRPr="00013BDC">
              <w:rPr>
                <w:noProof/>
                <w:sz w:val="20"/>
                <w:szCs w:val="20"/>
                <w:lang w:val="en-IE"/>
              </w:rPr>
              <w:t>The development of</w:t>
            </w:r>
            <w:r w:rsidR="57900D14" w:rsidRPr="00013BDC">
              <w:rPr>
                <w:noProof/>
                <w:sz w:val="20"/>
                <w:szCs w:val="20"/>
                <w:lang w:val="en-IE"/>
              </w:rPr>
              <w:t xml:space="preserve"> </w:t>
            </w:r>
            <w:r w:rsidR="14524738" w:rsidRPr="00013BDC">
              <w:rPr>
                <w:noProof/>
                <w:sz w:val="20"/>
                <w:szCs w:val="20"/>
                <w:lang w:val="en-IE"/>
              </w:rPr>
              <w:t>sorting requirements and</w:t>
            </w:r>
            <w:r w:rsidRPr="00013BDC">
              <w:rPr>
                <w:noProof/>
                <w:sz w:val="20"/>
                <w:szCs w:val="20"/>
                <w:lang w:val="en-IE"/>
              </w:rPr>
              <w:t xml:space="preserve"> EU end-of-waste criteria will result in easier flows of textiles in the future whilst ensuring consistency of approach in determining when textile wastes are no longer wastes across all Member States.</w:t>
            </w:r>
          </w:p>
          <w:p w14:paraId="698A0C8B" w14:textId="77777777" w:rsidR="001238E8" w:rsidRPr="00013BDC" w:rsidRDefault="001238E8" w:rsidP="001B1E6E">
            <w:pPr>
              <w:spacing w:after="0"/>
              <w:rPr>
                <w:noProof/>
                <w:sz w:val="20"/>
                <w:lang w:val="en-IE"/>
              </w:rPr>
            </w:pPr>
          </w:p>
          <w:p w14:paraId="4D9869DA" w14:textId="3CEB141D" w:rsidR="001238E8" w:rsidRPr="00013BDC" w:rsidRDefault="001238E8" w:rsidP="001B1E6E">
            <w:pPr>
              <w:spacing w:after="0"/>
              <w:rPr>
                <w:noProof/>
                <w:sz w:val="20"/>
                <w:lang w:val="en-IE"/>
              </w:rPr>
            </w:pPr>
            <w:r w:rsidRPr="00013BDC">
              <w:rPr>
                <w:noProof/>
                <w:sz w:val="20"/>
                <w:lang w:val="en-IE"/>
              </w:rPr>
              <w:t xml:space="preserve">Greater reuse and recycling of textiles will result on the retention of the economic value of the textile materials contained </w:t>
            </w:r>
            <w:r w:rsidR="00750C0A" w:rsidRPr="00013BDC">
              <w:rPr>
                <w:noProof/>
                <w:sz w:val="20"/>
                <w:lang w:val="en-IE"/>
              </w:rPr>
              <w:t xml:space="preserve">therein.  In some </w:t>
            </w:r>
            <w:r w:rsidR="00B34CD2" w:rsidRPr="00013BDC">
              <w:rPr>
                <w:noProof/>
                <w:sz w:val="20"/>
                <w:lang w:val="en-IE"/>
              </w:rPr>
              <w:t>cases,</w:t>
            </w:r>
            <w:r w:rsidR="00750C0A" w:rsidRPr="00013BDC">
              <w:rPr>
                <w:noProof/>
                <w:sz w:val="20"/>
                <w:lang w:val="en-IE"/>
              </w:rPr>
              <w:t xml:space="preserve"> this could </w:t>
            </w:r>
            <w:r w:rsidR="009B1B52" w:rsidRPr="00013BDC">
              <w:rPr>
                <w:noProof/>
                <w:sz w:val="20"/>
                <w:lang w:val="en-IE"/>
              </w:rPr>
              <w:t>cover</w:t>
            </w:r>
            <w:r w:rsidR="00750C0A" w:rsidRPr="00013BDC">
              <w:rPr>
                <w:noProof/>
                <w:sz w:val="20"/>
                <w:lang w:val="en-IE"/>
              </w:rPr>
              <w:t xml:space="preserve"> 75% of the costs of management of the wastes themselves.</w:t>
            </w:r>
          </w:p>
        </w:tc>
        <w:tc>
          <w:tcPr>
            <w:tcW w:w="0" w:type="auto"/>
            <w:tcBorders>
              <w:bottom w:val="double" w:sz="4" w:space="0" w:color="auto"/>
            </w:tcBorders>
            <w:tcMar>
              <w:top w:w="57" w:type="dxa"/>
              <w:left w:w="57" w:type="dxa"/>
              <w:bottom w:w="57" w:type="dxa"/>
              <w:right w:w="57" w:type="dxa"/>
            </w:tcMar>
          </w:tcPr>
          <w:p w14:paraId="6B21B26D" w14:textId="77777777" w:rsidR="00A01158" w:rsidRPr="00013BDC" w:rsidRDefault="00A01158" w:rsidP="001B1E6E">
            <w:pPr>
              <w:spacing w:after="0"/>
              <w:rPr>
                <w:noProof/>
                <w:sz w:val="20"/>
                <w:lang w:val="en-IE"/>
              </w:rPr>
            </w:pPr>
          </w:p>
        </w:tc>
      </w:tr>
      <w:tr w:rsidR="00522ACF" w:rsidRPr="00013BDC" w14:paraId="4248591F" w14:textId="77777777" w:rsidTr="00254273">
        <w:tc>
          <w:tcPr>
            <w:tcW w:w="0" w:type="auto"/>
            <w:gridSpan w:val="3"/>
            <w:shd w:val="clear" w:color="auto" w:fill="F2F2F2" w:themeFill="background1" w:themeFillShade="F2"/>
          </w:tcPr>
          <w:p w14:paraId="47AFE747" w14:textId="77777777" w:rsidR="00E319C2" w:rsidRPr="00013BDC" w:rsidRDefault="00E319C2" w:rsidP="001B1E6E">
            <w:pPr>
              <w:spacing w:after="0"/>
              <w:jc w:val="center"/>
              <w:rPr>
                <w:b/>
                <w:i/>
                <w:noProof/>
                <w:sz w:val="20"/>
                <w:lang w:val="en-IE"/>
              </w:rPr>
            </w:pPr>
            <w:r w:rsidRPr="00013BDC">
              <w:rPr>
                <w:b/>
                <w:i/>
                <w:noProof/>
                <w:sz w:val="20"/>
                <w:lang w:val="en-IE"/>
              </w:rPr>
              <w:t>Indirect benefits</w:t>
            </w:r>
          </w:p>
        </w:tc>
      </w:tr>
      <w:tr w:rsidR="00B73C8D" w:rsidRPr="00013BDC" w14:paraId="18C28351" w14:textId="77777777" w:rsidTr="00254273">
        <w:tc>
          <w:tcPr>
            <w:tcW w:w="0" w:type="auto"/>
            <w:tcBorders>
              <w:top w:val="double" w:sz="4" w:space="0" w:color="auto"/>
            </w:tcBorders>
          </w:tcPr>
          <w:p w14:paraId="6C8FDB4B" w14:textId="0B582F11" w:rsidR="00E319C2" w:rsidRPr="00013BDC" w:rsidRDefault="0015447D" w:rsidP="001B1E6E">
            <w:pPr>
              <w:spacing w:after="0"/>
              <w:rPr>
                <w:noProof/>
                <w:sz w:val="20"/>
                <w:lang w:val="en-IE"/>
              </w:rPr>
            </w:pPr>
            <w:r w:rsidRPr="00013BDC">
              <w:rPr>
                <w:noProof/>
                <w:sz w:val="20"/>
                <w:lang w:val="en-IE"/>
              </w:rPr>
              <w:t>Increase in the volume of reusable textiles able to be placed on the market within and outside the EU</w:t>
            </w:r>
          </w:p>
        </w:tc>
        <w:tc>
          <w:tcPr>
            <w:tcW w:w="0" w:type="auto"/>
            <w:tcBorders>
              <w:top w:val="double" w:sz="4" w:space="0" w:color="auto"/>
            </w:tcBorders>
            <w:tcMar>
              <w:top w:w="57" w:type="dxa"/>
              <w:left w:w="57" w:type="dxa"/>
              <w:bottom w:w="57" w:type="dxa"/>
              <w:right w:w="57" w:type="dxa"/>
            </w:tcMar>
          </w:tcPr>
          <w:p w14:paraId="65DCAEB3" w14:textId="5FD79798" w:rsidR="00E319C2" w:rsidRPr="00013BDC" w:rsidRDefault="0015447D" w:rsidP="001B1E6E">
            <w:pPr>
              <w:spacing w:after="0"/>
              <w:rPr>
                <w:noProof/>
                <w:sz w:val="20"/>
                <w:lang w:val="en-IE"/>
              </w:rPr>
            </w:pPr>
            <w:r w:rsidRPr="00013BDC">
              <w:rPr>
                <w:noProof/>
                <w:sz w:val="20"/>
                <w:lang w:val="en-IE"/>
              </w:rPr>
              <w:t xml:space="preserve">Measures targeting increased reuse will lead to greater volumes of goods </w:t>
            </w:r>
            <w:r w:rsidR="00951A91" w:rsidRPr="00013BDC">
              <w:rPr>
                <w:noProof/>
                <w:sz w:val="20"/>
                <w:lang w:val="en-IE"/>
              </w:rPr>
              <w:t xml:space="preserve">made available </w:t>
            </w:r>
            <w:r w:rsidRPr="00013BDC">
              <w:rPr>
                <w:noProof/>
                <w:sz w:val="20"/>
                <w:lang w:val="en-IE"/>
              </w:rPr>
              <w:t xml:space="preserve">on the </w:t>
            </w:r>
            <w:r w:rsidR="00951A91" w:rsidRPr="00013BDC">
              <w:rPr>
                <w:noProof/>
                <w:sz w:val="20"/>
                <w:lang w:val="en-IE"/>
              </w:rPr>
              <w:t>second-hand</w:t>
            </w:r>
            <w:r w:rsidRPr="00013BDC">
              <w:rPr>
                <w:noProof/>
                <w:sz w:val="20"/>
                <w:lang w:val="en-IE"/>
              </w:rPr>
              <w:t xml:space="preserve"> market</w:t>
            </w:r>
            <w:r w:rsidR="00D2025A" w:rsidRPr="00013BDC">
              <w:rPr>
                <w:noProof/>
                <w:sz w:val="20"/>
                <w:lang w:val="en-IE"/>
              </w:rPr>
              <w:t xml:space="preserve">. Consumers will have a larger offer </w:t>
            </w:r>
            <w:r w:rsidR="00CB7459" w:rsidRPr="00013BDC">
              <w:rPr>
                <w:noProof/>
                <w:sz w:val="20"/>
                <w:lang w:val="en-IE"/>
              </w:rPr>
              <w:t xml:space="preserve">of items </w:t>
            </w:r>
            <w:r w:rsidR="00D2025A" w:rsidRPr="00013BDC">
              <w:rPr>
                <w:noProof/>
                <w:sz w:val="20"/>
                <w:lang w:val="en-IE"/>
              </w:rPr>
              <w:t xml:space="preserve">to </w:t>
            </w:r>
            <w:r w:rsidRPr="00013BDC">
              <w:rPr>
                <w:noProof/>
                <w:sz w:val="20"/>
                <w:lang w:val="en-IE"/>
              </w:rPr>
              <w:t>purchase on both price and ethical grounds.</w:t>
            </w:r>
          </w:p>
        </w:tc>
        <w:tc>
          <w:tcPr>
            <w:tcW w:w="0" w:type="auto"/>
            <w:tcBorders>
              <w:top w:val="double" w:sz="4" w:space="0" w:color="auto"/>
            </w:tcBorders>
            <w:tcMar>
              <w:top w:w="57" w:type="dxa"/>
              <w:left w:w="57" w:type="dxa"/>
              <w:bottom w:w="57" w:type="dxa"/>
              <w:right w:w="57" w:type="dxa"/>
            </w:tcMar>
          </w:tcPr>
          <w:p w14:paraId="5E26FCF1" w14:textId="77777777" w:rsidR="00E319C2" w:rsidRPr="00013BDC" w:rsidRDefault="00E319C2" w:rsidP="001B1E6E">
            <w:pPr>
              <w:spacing w:after="0"/>
              <w:rPr>
                <w:noProof/>
                <w:sz w:val="20"/>
                <w:lang w:val="en-IE"/>
              </w:rPr>
            </w:pPr>
          </w:p>
        </w:tc>
      </w:tr>
      <w:tr w:rsidR="00522ACF" w:rsidRPr="00013BDC" w14:paraId="37DABD72" w14:textId="77777777" w:rsidTr="00254273">
        <w:tc>
          <w:tcPr>
            <w:tcW w:w="0" w:type="auto"/>
            <w:gridSpan w:val="3"/>
            <w:tcBorders>
              <w:top w:val="double" w:sz="4" w:space="0" w:color="auto"/>
              <w:bottom w:val="double" w:sz="4" w:space="0" w:color="auto"/>
            </w:tcBorders>
            <w:shd w:val="clear" w:color="auto" w:fill="F2F2F2" w:themeFill="background1" w:themeFillShade="F2"/>
          </w:tcPr>
          <w:p w14:paraId="5BF252EF" w14:textId="77777777" w:rsidR="00E319C2" w:rsidRPr="00013BDC" w:rsidRDefault="00E319C2" w:rsidP="001B1E6E">
            <w:pPr>
              <w:spacing w:after="0"/>
              <w:jc w:val="center"/>
              <w:rPr>
                <w:b/>
                <w:i/>
                <w:noProof/>
                <w:sz w:val="20"/>
                <w:lang w:val="en-IE"/>
              </w:rPr>
            </w:pPr>
            <w:r w:rsidRPr="00013BDC">
              <w:rPr>
                <w:b/>
                <w:i/>
                <w:noProof/>
                <w:sz w:val="20"/>
                <w:lang w:val="en-IE"/>
              </w:rPr>
              <w:t>Administrative cost savings related to the ‘one in, one out’ approach*</w:t>
            </w:r>
          </w:p>
        </w:tc>
      </w:tr>
      <w:tr w:rsidR="00B73C8D" w:rsidRPr="00013BDC" w14:paraId="6D609309" w14:textId="77777777" w:rsidTr="00254273">
        <w:tc>
          <w:tcPr>
            <w:tcW w:w="0" w:type="auto"/>
            <w:tcBorders>
              <w:top w:val="double" w:sz="4" w:space="0" w:color="auto"/>
            </w:tcBorders>
          </w:tcPr>
          <w:p w14:paraId="7CDC1868" w14:textId="41AB9C69" w:rsidR="00E319C2" w:rsidRPr="00013BDC" w:rsidRDefault="007967B0" w:rsidP="001B1E6E">
            <w:pPr>
              <w:spacing w:after="0"/>
              <w:rPr>
                <w:noProof/>
                <w:sz w:val="20"/>
                <w:lang w:val="en-IE"/>
              </w:rPr>
            </w:pPr>
            <w:r w:rsidRPr="00013BDC">
              <w:rPr>
                <w:noProof/>
                <w:sz w:val="20"/>
                <w:lang w:val="en-IE"/>
              </w:rPr>
              <w:t>Reporting cost reductions resulting from clearer scope of textiles under the WFD</w:t>
            </w:r>
            <w:r w:rsidR="00921164" w:rsidRPr="00013BDC">
              <w:rPr>
                <w:noProof/>
                <w:sz w:val="20"/>
                <w:lang w:val="en-IE"/>
              </w:rPr>
              <w:t xml:space="preserve"> as well as greater compliance against a clearer set of rules across the EU</w:t>
            </w:r>
          </w:p>
        </w:tc>
        <w:tc>
          <w:tcPr>
            <w:tcW w:w="0" w:type="auto"/>
            <w:tcBorders>
              <w:top w:val="double" w:sz="4" w:space="0" w:color="auto"/>
            </w:tcBorders>
            <w:tcMar>
              <w:top w:w="57" w:type="dxa"/>
              <w:left w:w="57" w:type="dxa"/>
              <w:bottom w:w="57" w:type="dxa"/>
              <w:right w:w="57" w:type="dxa"/>
            </w:tcMar>
          </w:tcPr>
          <w:p w14:paraId="22A148E4" w14:textId="0EBFAF6F" w:rsidR="00E319C2" w:rsidRPr="00013BDC" w:rsidRDefault="007967B0" w:rsidP="001B1E6E">
            <w:pPr>
              <w:spacing w:after="0"/>
              <w:rPr>
                <w:noProof/>
                <w:sz w:val="20"/>
                <w:lang w:val="en-IE"/>
              </w:rPr>
            </w:pPr>
            <w:r w:rsidRPr="00013BDC">
              <w:rPr>
                <w:noProof/>
                <w:sz w:val="20"/>
                <w:lang w:val="en-IE"/>
              </w:rPr>
              <w:t xml:space="preserve">It has not been possible to quantify </w:t>
            </w:r>
            <w:r w:rsidR="00CB7459" w:rsidRPr="00013BDC">
              <w:rPr>
                <w:noProof/>
                <w:sz w:val="20"/>
                <w:lang w:val="en-IE"/>
              </w:rPr>
              <w:t xml:space="preserve">the </w:t>
            </w:r>
            <w:r w:rsidRPr="00013BDC">
              <w:rPr>
                <w:noProof/>
                <w:sz w:val="20"/>
                <w:lang w:val="en-IE"/>
              </w:rPr>
              <w:t xml:space="preserve">benefits but it is expected that alongside reduced costs of reporting greater </w:t>
            </w:r>
            <w:r w:rsidR="00921164" w:rsidRPr="00013BDC">
              <w:rPr>
                <w:noProof/>
                <w:sz w:val="20"/>
                <w:lang w:val="en-IE"/>
              </w:rPr>
              <w:t>consistency</w:t>
            </w:r>
            <w:r w:rsidRPr="00013BDC">
              <w:rPr>
                <w:noProof/>
                <w:sz w:val="20"/>
                <w:lang w:val="en-IE"/>
              </w:rPr>
              <w:t xml:space="preserve"> of </w:t>
            </w:r>
            <w:r w:rsidR="00921164" w:rsidRPr="00013BDC">
              <w:rPr>
                <w:noProof/>
                <w:sz w:val="20"/>
                <w:lang w:val="en-IE"/>
              </w:rPr>
              <w:t>approaches to addressing a more clearly defined scope of textiles</w:t>
            </w:r>
            <w:r w:rsidRPr="00013BDC">
              <w:rPr>
                <w:noProof/>
                <w:sz w:val="20"/>
                <w:lang w:val="en-IE"/>
              </w:rPr>
              <w:t xml:space="preserve"> will </w:t>
            </w:r>
            <w:r w:rsidR="00921164" w:rsidRPr="00013BDC">
              <w:rPr>
                <w:noProof/>
                <w:sz w:val="20"/>
                <w:lang w:val="en-IE"/>
              </w:rPr>
              <w:t>reduce costs for operators having to comply with a single set of rules across the EU in comparison to the baseline.</w:t>
            </w:r>
          </w:p>
        </w:tc>
        <w:tc>
          <w:tcPr>
            <w:tcW w:w="0" w:type="auto"/>
            <w:tcBorders>
              <w:top w:val="double" w:sz="4" w:space="0" w:color="auto"/>
            </w:tcBorders>
            <w:tcMar>
              <w:top w:w="57" w:type="dxa"/>
              <w:left w:w="57" w:type="dxa"/>
              <w:bottom w:w="57" w:type="dxa"/>
              <w:right w:w="57" w:type="dxa"/>
            </w:tcMar>
          </w:tcPr>
          <w:p w14:paraId="20761717" w14:textId="77777777" w:rsidR="00E319C2" w:rsidRPr="00013BDC" w:rsidRDefault="00E319C2" w:rsidP="001B1E6E">
            <w:pPr>
              <w:spacing w:after="0"/>
              <w:rPr>
                <w:noProof/>
                <w:sz w:val="20"/>
                <w:lang w:val="en-IE"/>
              </w:rPr>
            </w:pPr>
          </w:p>
        </w:tc>
      </w:tr>
    </w:tbl>
    <w:p w14:paraId="53EE1988" w14:textId="4DD14C4F" w:rsidR="00E319C2" w:rsidRPr="00013BDC" w:rsidRDefault="00E319C2" w:rsidP="00CF0DFB">
      <w:pPr>
        <w:pStyle w:val="ListParagraph"/>
        <w:numPr>
          <w:ilvl w:val="0"/>
          <w:numId w:val="133"/>
        </w:numPr>
        <w:rPr>
          <w:i/>
          <w:noProof/>
          <w:sz w:val="20"/>
          <w:szCs w:val="20"/>
          <w:lang w:val="en-IE"/>
        </w:rPr>
      </w:pPr>
      <w:r w:rsidRPr="00013BDC">
        <w:rPr>
          <w:i/>
          <w:noProof/>
          <w:sz w:val="20"/>
          <w:szCs w:val="20"/>
          <w:lang w:val="en-IE"/>
        </w:rPr>
        <w:t xml:space="preserve">Estimates are gross values relative to the baseline for the preferred option as a whole (i.e. the impact of individual actions/obligations of the </w:t>
      </w:r>
      <w:r w:rsidRPr="00013BDC">
        <w:rPr>
          <w:i/>
          <w:noProof/>
          <w:sz w:val="20"/>
          <w:szCs w:val="20"/>
          <w:u w:val="single"/>
          <w:lang w:val="en-IE"/>
        </w:rPr>
        <w:t>preferred</w:t>
      </w:r>
      <w:r w:rsidRPr="00013BDC">
        <w:rPr>
          <w:i/>
          <w:noProof/>
          <w:sz w:val="20"/>
          <w:szCs w:val="20"/>
          <w:lang w:val="en-IE"/>
        </w:rPr>
        <w:t xml:space="preserve"> option are aggregated together); (2) Please indicate which stakeholder group is the main recipient of the benefit in the comment section;(3) For reductions in regulatory costs, please describe details as to how the saving arises (e.g. reductions in adjustment costs, administrative costs, regulatory charges, enforcement costs, etc.;); (4) Cost savings related to the ’one in, one out’ approach are detailed in Tool #58 and #59 of the ‘better regulation’ toolbox. * if relevant</w:t>
      </w:r>
    </w:p>
    <w:p w14:paraId="5A3C13D2" w14:textId="3F2AE7E5" w:rsidR="001D72DE" w:rsidRPr="00013BDC" w:rsidRDefault="001D72DE">
      <w:pPr>
        <w:spacing w:after="200" w:line="276" w:lineRule="auto"/>
        <w:jc w:val="left"/>
        <w:rPr>
          <w:i/>
          <w:noProof/>
          <w:sz w:val="20"/>
          <w:szCs w:val="20"/>
          <w:lang w:val="en-IE"/>
        </w:rPr>
      </w:pPr>
      <w:r w:rsidRPr="00013BDC">
        <w:rPr>
          <w:i/>
          <w:noProof/>
          <w:sz w:val="20"/>
          <w:szCs w:val="20"/>
          <w:lang w:val="en-IE"/>
        </w:rPr>
        <w:br w:type="page"/>
      </w:r>
    </w:p>
    <w:p w14:paraId="787CDDF3" w14:textId="7384852C" w:rsidR="00A41134" w:rsidRPr="00013BDC" w:rsidRDefault="00A41134" w:rsidP="00A41134">
      <w:pPr>
        <w:pStyle w:val="Caption"/>
        <w:rPr>
          <w:noProof/>
          <w:color w:val="auto"/>
          <w:sz w:val="24"/>
          <w:szCs w:val="24"/>
          <w:lang w:val="en-IE"/>
        </w:rPr>
      </w:pPr>
      <w:bookmarkStart w:id="188" w:name="_Toc133229412"/>
      <w:bookmarkStart w:id="189" w:name="_Toc139033033"/>
      <w:r w:rsidRPr="00013BDC">
        <w:rPr>
          <w:noProof/>
          <w:color w:val="auto"/>
          <w:sz w:val="24"/>
          <w:szCs w:val="24"/>
          <w:lang w:val="en-IE"/>
        </w:rPr>
        <w:t xml:space="preserve">Table </w:t>
      </w:r>
      <w:r w:rsidR="004C5576">
        <w:rPr>
          <w:noProof/>
          <w:color w:val="auto"/>
          <w:sz w:val="24"/>
          <w:szCs w:val="24"/>
        </w:rPr>
        <w:t>3</w:t>
      </w:r>
      <w:r w:rsidRPr="00013BDC">
        <w:rPr>
          <w:noProof/>
          <w:color w:val="auto"/>
          <w:sz w:val="24"/>
          <w:szCs w:val="24"/>
          <w:lang w:val="en-IE"/>
        </w:rPr>
        <w:t xml:space="preserve"> – Overview of Costs of the Preferred Option</w:t>
      </w:r>
      <w:bookmarkEnd w:id="188"/>
      <w:bookmarkEnd w:id="189"/>
    </w:p>
    <w:tbl>
      <w:tblPr>
        <w:tblStyle w:val="CV11"/>
        <w:tblW w:w="9142"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761"/>
        <w:gridCol w:w="1206"/>
        <w:gridCol w:w="859"/>
        <w:gridCol w:w="1086"/>
        <w:gridCol w:w="1067"/>
        <w:gridCol w:w="1066"/>
        <w:gridCol w:w="1297"/>
        <w:gridCol w:w="1800"/>
      </w:tblGrid>
      <w:tr w:rsidR="003D4D09" w:rsidRPr="00013BDC" w14:paraId="260BF53D" w14:textId="77777777" w:rsidTr="002905FE">
        <w:tc>
          <w:tcPr>
            <w:tcW w:w="9142" w:type="dxa"/>
            <w:gridSpan w:val="8"/>
            <w:shd w:val="clear" w:color="auto" w:fill="C6D9F1" w:themeFill="text2" w:themeFillTint="33"/>
            <w:tcMar>
              <w:top w:w="57" w:type="dxa"/>
              <w:left w:w="57" w:type="dxa"/>
              <w:bottom w:w="57" w:type="dxa"/>
              <w:right w:w="57" w:type="dxa"/>
            </w:tcMar>
          </w:tcPr>
          <w:p w14:paraId="3EDC5740" w14:textId="77777777" w:rsidR="00E319C2" w:rsidRPr="00013BDC" w:rsidRDefault="00E319C2" w:rsidP="001B1E6E">
            <w:pPr>
              <w:spacing w:after="0"/>
              <w:rPr>
                <w:b/>
                <w:noProof/>
                <w:sz w:val="20"/>
                <w:szCs w:val="20"/>
                <w:lang w:val="en-IE"/>
              </w:rPr>
            </w:pPr>
            <w:r w:rsidRPr="00013BDC">
              <w:rPr>
                <w:b/>
                <w:noProof/>
                <w:sz w:val="20"/>
                <w:szCs w:val="20"/>
                <w:lang w:val="en-IE"/>
              </w:rPr>
              <w:t>II. Overview of costs – Preferred option</w:t>
            </w:r>
          </w:p>
        </w:tc>
      </w:tr>
      <w:tr w:rsidR="00A83C5E" w:rsidRPr="00013BDC" w14:paraId="3C3053D5" w14:textId="77777777" w:rsidTr="002905FE">
        <w:tc>
          <w:tcPr>
            <w:tcW w:w="1967" w:type="dxa"/>
            <w:gridSpan w:val="2"/>
            <w:tcBorders>
              <w:top w:val="double" w:sz="4" w:space="0" w:color="auto"/>
              <w:right w:val="double" w:sz="4" w:space="0" w:color="auto"/>
              <w:tl2br w:val="double" w:sz="4" w:space="0" w:color="auto"/>
            </w:tcBorders>
            <w:tcMar>
              <w:top w:w="57" w:type="dxa"/>
              <w:left w:w="57" w:type="dxa"/>
              <w:bottom w:w="57" w:type="dxa"/>
              <w:right w:w="57" w:type="dxa"/>
            </w:tcMar>
          </w:tcPr>
          <w:p w14:paraId="33CBE779" w14:textId="77777777" w:rsidR="00E319C2" w:rsidRPr="00013BDC" w:rsidRDefault="00E319C2" w:rsidP="001B1E6E">
            <w:pPr>
              <w:spacing w:after="0"/>
              <w:rPr>
                <w:b/>
                <w:noProof/>
                <w:sz w:val="20"/>
                <w:szCs w:val="20"/>
                <w:lang w:val="en-IE"/>
              </w:rPr>
            </w:pPr>
          </w:p>
        </w:tc>
        <w:tc>
          <w:tcPr>
            <w:tcW w:w="1945" w:type="dxa"/>
            <w:gridSpan w:val="2"/>
            <w:tcBorders>
              <w:left w:val="double" w:sz="4" w:space="0" w:color="auto"/>
            </w:tcBorders>
            <w:tcMar>
              <w:top w:w="57" w:type="dxa"/>
              <w:left w:w="57" w:type="dxa"/>
              <w:bottom w:w="57" w:type="dxa"/>
              <w:right w:w="57" w:type="dxa"/>
            </w:tcMar>
          </w:tcPr>
          <w:p w14:paraId="307BDD48" w14:textId="77777777" w:rsidR="00E319C2" w:rsidRPr="00013BDC" w:rsidRDefault="00E319C2" w:rsidP="001B1E6E">
            <w:pPr>
              <w:spacing w:after="0"/>
              <w:jc w:val="center"/>
              <w:rPr>
                <w:b/>
                <w:noProof/>
                <w:sz w:val="20"/>
                <w:szCs w:val="20"/>
                <w:lang w:val="en-IE"/>
              </w:rPr>
            </w:pPr>
            <w:r w:rsidRPr="00013BDC">
              <w:rPr>
                <w:b/>
                <w:noProof/>
                <w:sz w:val="20"/>
                <w:szCs w:val="20"/>
                <w:lang w:val="en-IE"/>
              </w:rPr>
              <w:t>Citizens/Consumers</w:t>
            </w:r>
          </w:p>
        </w:tc>
        <w:tc>
          <w:tcPr>
            <w:tcW w:w="2133" w:type="dxa"/>
            <w:gridSpan w:val="2"/>
            <w:tcMar>
              <w:top w:w="57" w:type="dxa"/>
              <w:left w:w="57" w:type="dxa"/>
              <w:bottom w:w="57" w:type="dxa"/>
              <w:right w:w="57" w:type="dxa"/>
            </w:tcMar>
          </w:tcPr>
          <w:p w14:paraId="1AE4E235" w14:textId="77777777" w:rsidR="00E319C2" w:rsidRPr="00013BDC" w:rsidRDefault="00E319C2" w:rsidP="001B1E6E">
            <w:pPr>
              <w:spacing w:after="0"/>
              <w:jc w:val="center"/>
              <w:rPr>
                <w:b/>
                <w:noProof/>
                <w:sz w:val="20"/>
                <w:szCs w:val="20"/>
                <w:lang w:val="en-IE"/>
              </w:rPr>
            </w:pPr>
            <w:r w:rsidRPr="00013BDC">
              <w:rPr>
                <w:b/>
                <w:noProof/>
                <w:sz w:val="20"/>
                <w:szCs w:val="20"/>
                <w:lang w:val="en-IE"/>
              </w:rPr>
              <w:t>Businesses</w:t>
            </w:r>
          </w:p>
        </w:tc>
        <w:tc>
          <w:tcPr>
            <w:tcW w:w="3097" w:type="dxa"/>
            <w:gridSpan w:val="2"/>
            <w:tcMar>
              <w:top w:w="57" w:type="dxa"/>
              <w:left w:w="57" w:type="dxa"/>
              <w:bottom w:w="57" w:type="dxa"/>
              <w:right w:w="57" w:type="dxa"/>
            </w:tcMar>
          </w:tcPr>
          <w:p w14:paraId="59C6D6EE" w14:textId="77777777" w:rsidR="00E319C2" w:rsidRPr="00013BDC" w:rsidRDefault="00E319C2" w:rsidP="001B1E6E">
            <w:pPr>
              <w:spacing w:after="0"/>
              <w:jc w:val="center"/>
              <w:rPr>
                <w:b/>
                <w:noProof/>
                <w:sz w:val="20"/>
                <w:szCs w:val="20"/>
                <w:lang w:val="en-IE"/>
              </w:rPr>
            </w:pPr>
            <w:r w:rsidRPr="00013BDC">
              <w:rPr>
                <w:b/>
                <w:noProof/>
                <w:sz w:val="20"/>
                <w:szCs w:val="20"/>
                <w:lang w:val="en-IE"/>
              </w:rPr>
              <w:t>Administrations</w:t>
            </w:r>
          </w:p>
        </w:tc>
      </w:tr>
      <w:tr w:rsidR="00A83C5E" w:rsidRPr="00013BDC" w14:paraId="35927A8F" w14:textId="77777777" w:rsidTr="002905FE">
        <w:tc>
          <w:tcPr>
            <w:tcW w:w="1967" w:type="dxa"/>
            <w:gridSpan w:val="2"/>
            <w:tcBorders>
              <w:tl2br w:val="double" w:sz="4" w:space="0" w:color="auto"/>
            </w:tcBorders>
            <w:tcMar>
              <w:top w:w="57" w:type="dxa"/>
              <w:left w:w="57" w:type="dxa"/>
              <w:bottom w:w="57" w:type="dxa"/>
              <w:right w:w="57" w:type="dxa"/>
            </w:tcMar>
          </w:tcPr>
          <w:p w14:paraId="250CF762" w14:textId="77777777" w:rsidR="00E319C2" w:rsidRPr="00013BDC" w:rsidRDefault="00E319C2" w:rsidP="001B1E6E">
            <w:pPr>
              <w:spacing w:after="0"/>
              <w:rPr>
                <w:b/>
                <w:noProof/>
                <w:sz w:val="20"/>
                <w:szCs w:val="20"/>
                <w:lang w:val="en-IE"/>
              </w:rPr>
            </w:pPr>
          </w:p>
        </w:tc>
        <w:tc>
          <w:tcPr>
            <w:tcW w:w="859" w:type="dxa"/>
            <w:tcBorders>
              <w:left w:val="double" w:sz="4" w:space="0" w:color="auto"/>
              <w:bottom w:val="double" w:sz="4" w:space="0" w:color="auto"/>
            </w:tcBorders>
            <w:tcMar>
              <w:top w:w="57" w:type="dxa"/>
              <w:left w:w="57" w:type="dxa"/>
              <w:bottom w:w="57" w:type="dxa"/>
              <w:right w:w="57" w:type="dxa"/>
            </w:tcMar>
          </w:tcPr>
          <w:p w14:paraId="7D7B3EBE" w14:textId="77777777" w:rsidR="00E319C2" w:rsidRPr="00013BDC" w:rsidRDefault="00E319C2" w:rsidP="001B1E6E">
            <w:pPr>
              <w:spacing w:after="0"/>
              <w:jc w:val="center"/>
              <w:rPr>
                <w:b/>
                <w:noProof/>
                <w:sz w:val="20"/>
                <w:szCs w:val="20"/>
                <w:lang w:val="en-IE"/>
              </w:rPr>
            </w:pPr>
            <w:r w:rsidRPr="00013BDC">
              <w:rPr>
                <w:b/>
                <w:noProof/>
                <w:sz w:val="20"/>
                <w:szCs w:val="20"/>
                <w:lang w:val="en-IE"/>
              </w:rPr>
              <w:t>One-off</w:t>
            </w:r>
          </w:p>
        </w:tc>
        <w:tc>
          <w:tcPr>
            <w:tcW w:w="1086" w:type="dxa"/>
            <w:tcBorders>
              <w:bottom w:val="double" w:sz="4" w:space="0" w:color="auto"/>
            </w:tcBorders>
            <w:tcMar>
              <w:top w:w="57" w:type="dxa"/>
              <w:left w:w="57" w:type="dxa"/>
              <w:bottom w:w="57" w:type="dxa"/>
              <w:right w:w="57" w:type="dxa"/>
            </w:tcMar>
          </w:tcPr>
          <w:p w14:paraId="7C22FE8C" w14:textId="77777777" w:rsidR="00E319C2" w:rsidRPr="00013BDC" w:rsidRDefault="00E319C2" w:rsidP="001B1E6E">
            <w:pPr>
              <w:spacing w:after="0"/>
              <w:jc w:val="center"/>
              <w:rPr>
                <w:b/>
                <w:noProof/>
                <w:sz w:val="20"/>
                <w:szCs w:val="20"/>
                <w:lang w:val="en-IE"/>
              </w:rPr>
            </w:pPr>
            <w:r w:rsidRPr="00013BDC">
              <w:rPr>
                <w:b/>
                <w:noProof/>
                <w:sz w:val="20"/>
                <w:szCs w:val="20"/>
                <w:lang w:val="en-IE"/>
              </w:rPr>
              <w:t>Recurrent</w:t>
            </w:r>
          </w:p>
        </w:tc>
        <w:tc>
          <w:tcPr>
            <w:tcW w:w="1067" w:type="dxa"/>
            <w:tcBorders>
              <w:bottom w:val="double" w:sz="4" w:space="0" w:color="auto"/>
            </w:tcBorders>
            <w:tcMar>
              <w:top w:w="57" w:type="dxa"/>
              <w:left w:w="57" w:type="dxa"/>
              <w:bottom w:w="57" w:type="dxa"/>
              <w:right w:w="57" w:type="dxa"/>
            </w:tcMar>
          </w:tcPr>
          <w:p w14:paraId="658C470E" w14:textId="77777777" w:rsidR="00E319C2" w:rsidRPr="00013BDC" w:rsidRDefault="00E319C2" w:rsidP="001B1E6E">
            <w:pPr>
              <w:spacing w:after="0"/>
              <w:jc w:val="center"/>
              <w:rPr>
                <w:b/>
                <w:noProof/>
                <w:sz w:val="20"/>
                <w:szCs w:val="20"/>
                <w:lang w:val="en-IE"/>
              </w:rPr>
            </w:pPr>
            <w:r w:rsidRPr="00013BDC">
              <w:rPr>
                <w:b/>
                <w:noProof/>
                <w:sz w:val="20"/>
                <w:szCs w:val="20"/>
                <w:lang w:val="en-IE"/>
              </w:rPr>
              <w:t>One-off</w:t>
            </w:r>
          </w:p>
        </w:tc>
        <w:tc>
          <w:tcPr>
            <w:tcW w:w="1066" w:type="dxa"/>
            <w:tcBorders>
              <w:bottom w:val="double" w:sz="4" w:space="0" w:color="auto"/>
            </w:tcBorders>
            <w:tcMar>
              <w:top w:w="57" w:type="dxa"/>
              <w:left w:w="57" w:type="dxa"/>
              <w:bottom w:w="57" w:type="dxa"/>
              <w:right w:w="57" w:type="dxa"/>
            </w:tcMar>
          </w:tcPr>
          <w:p w14:paraId="518ECA36" w14:textId="77777777" w:rsidR="00E319C2" w:rsidRPr="00013BDC" w:rsidRDefault="00E319C2" w:rsidP="001B1E6E">
            <w:pPr>
              <w:spacing w:after="0"/>
              <w:jc w:val="center"/>
              <w:rPr>
                <w:b/>
                <w:noProof/>
                <w:sz w:val="20"/>
                <w:szCs w:val="20"/>
                <w:lang w:val="en-IE"/>
              </w:rPr>
            </w:pPr>
            <w:r w:rsidRPr="00013BDC">
              <w:rPr>
                <w:b/>
                <w:noProof/>
                <w:sz w:val="20"/>
                <w:szCs w:val="20"/>
                <w:lang w:val="en-IE"/>
              </w:rPr>
              <w:t>Recurrent</w:t>
            </w:r>
          </w:p>
        </w:tc>
        <w:tc>
          <w:tcPr>
            <w:tcW w:w="1297" w:type="dxa"/>
            <w:tcBorders>
              <w:bottom w:val="double" w:sz="4" w:space="0" w:color="auto"/>
            </w:tcBorders>
            <w:tcMar>
              <w:top w:w="57" w:type="dxa"/>
              <w:left w:w="57" w:type="dxa"/>
              <w:bottom w:w="57" w:type="dxa"/>
              <w:right w:w="57" w:type="dxa"/>
            </w:tcMar>
          </w:tcPr>
          <w:p w14:paraId="6DF0698F" w14:textId="77777777" w:rsidR="00E319C2" w:rsidRPr="00013BDC" w:rsidRDefault="00E319C2" w:rsidP="001B1E6E">
            <w:pPr>
              <w:spacing w:after="0"/>
              <w:jc w:val="center"/>
              <w:rPr>
                <w:b/>
                <w:noProof/>
                <w:sz w:val="20"/>
                <w:szCs w:val="20"/>
                <w:lang w:val="en-IE"/>
              </w:rPr>
            </w:pPr>
            <w:r w:rsidRPr="00013BDC">
              <w:rPr>
                <w:b/>
                <w:noProof/>
                <w:sz w:val="20"/>
                <w:szCs w:val="20"/>
                <w:lang w:val="en-IE"/>
              </w:rPr>
              <w:t>One-off</w:t>
            </w:r>
          </w:p>
        </w:tc>
        <w:tc>
          <w:tcPr>
            <w:tcW w:w="1800" w:type="dxa"/>
            <w:tcBorders>
              <w:bottom w:val="double" w:sz="4" w:space="0" w:color="auto"/>
            </w:tcBorders>
            <w:tcMar>
              <w:top w:w="57" w:type="dxa"/>
              <w:left w:w="57" w:type="dxa"/>
              <w:bottom w:w="57" w:type="dxa"/>
              <w:right w:w="57" w:type="dxa"/>
            </w:tcMar>
          </w:tcPr>
          <w:p w14:paraId="3B0E7B06" w14:textId="77777777" w:rsidR="00E319C2" w:rsidRPr="00013BDC" w:rsidRDefault="00E319C2" w:rsidP="001B1E6E">
            <w:pPr>
              <w:spacing w:after="0"/>
              <w:jc w:val="center"/>
              <w:rPr>
                <w:b/>
                <w:noProof/>
                <w:sz w:val="20"/>
                <w:szCs w:val="20"/>
                <w:lang w:val="en-IE"/>
              </w:rPr>
            </w:pPr>
            <w:r w:rsidRPr="00013BDC">
              <w:rPr>
                <w:b/>
                <w:noProof/>
                <w:sz w:val="20"/>
                <w:szCs w:val="20"/>
                <w:lang w:val="en-IE"/>
              </w:rPr>
              <w:t>Recurrent</w:t>
            </w:r>
          </w:p>
        </w:tc>
      </w:tr>
      <w:tr w:rsidR="00A83C5E" w:rsidRPr="00013BDC" w14:paraId="3A45CE2C" w14:textId="77777777" w:rsidTr="002905FE">
        <w:trPr>
          <w:trHeight w:val="307"/>
        </w:trPr>
        <w:tc>
          <w:tcPr>
            <w:tcW w:w="761" w:type="dxa"/>
            <w:tcMar>
              <w:top w:w="57" w:type="dxa"/>
              <w:left w:w="57" w:type="dxa"/>
              <w:bottom w:w="57" w:type="dxa"/>
              <w:right w:w="57" w:type="dxa"/>
            </w:tcMar>
            <w:vAlign w:val="center"/>
          </w:tcPr>
          <w:p w14:paraId="4F749092" w14:textId="77777777" w:rsidR="00E319C2" w:rsidRPr="00013BDC" w:rsidRDefault="00E319C2" w:rsidP="001B1E6E">
            <w:pPr>
              <w:spacing w:after="0"/>
              <w:rPr>
                <w:noProof/>
                <w:sz w:val="20"/>
                <w:szCs w:val="20"/>
                <w:lang w:val="en-IE"/>
              </w:rPr>
            </w:pPr>
            <w:r w:rsidRPr="00013BDC">
              <w:rPr>
                <w:noProof/>
                <w:sz w:val="20"/>
                <w:szCs w:val="20"/>
                <w:lang w:val="en-IE"/>
              </w:rPr>
              <w:t xml:space="preserve">Action (a)  </w:t>
            </w:r>
          </w:p>
        </w:tc>
        <w:tc>
          <w:tcPr>
            <w:tcW w:w="1206" w:type="dxa"/>
            <w:tcBorders>
              <w:right w:val="double" w:sz="4" w:space="0" w:color="auto"/>
            </w:tcBorders>
            <w:tcMar>
              <w:top w:w="57" w:type="dxa"/>
              <w:left w:w="57" w:type="dxa"/>
              <w:bottom w:w="57" w:type="dxa"/>
              <w:right w:w="57" w:type="dxa"/>
            </w:tcMar>
            <w:vAlign w:val="center"/>
          </w:tcPr>
          <w:p w14:paraId="45DB1BF6" w14:textId="77777777" w:rsidR="00E319C2" w:rsidRPr="00013BDC" w:rsidRDefault="00E319C2" w:rsidP="001B1E6E">
            <w:pPr>
              <w:spacing w:after="0"/>
              <w:jc w:val="left"/>
              <w:rPr>
                <w:noProof/>
                <w:sz w:val="20"/>
                <w:szCs w:val="20"/>
                <w:lang w:val="en-IE"/>
              </w:rPr>
            </w:pPr>
            <w:r w:rsidRPr="00013BDC">
              <w:rPr>
                <w:noProof/>
                <w:sz w:val="20"/>
                <w:szCs w:val="20"/>
                <w:lang w:val="en-IE"/>
              </w:rPr>
              <w:t>Direct adjustment costs</w:t>
            </w:r>
          </w:p>
        </w:tc>
        <w:tc>
          <w:tcPr>
            <w:tcW w:w="859" w:type="dxa"/>
            <w:tcBorders>
              <w:left w:val="double" w:sz="4" w:space="0" w:color="auto"/>
            </w:tcBorders>
            <w:tcMar>
              <w:top w:w="57" w:type="dxa"/>
              <w:left w:w="57" w:type="dxa"/>
              <w:bottom w:w="57" w:type="dxa"/>
              <w:right w:w="57" w:type="dxa"/>
            </w:tcMar>
          </w:tcPr>
          <w:p w14:paraId="01CC8DEE" w14:textId="5DE8245D" w:rsidR="00E319C2" w:rsidRPr="00013BDC" w:rsidRDefault="00E867E1" w:rsidP="434D93DC">
            <w:pPr>
              <w:spacing w:after="0"/>
              <w:jc w:val="left"/>
              <w:rPr>
                <w:noProof/>
                <w:sz w:val="20"/>
                <w:szCs w:val="20"/>
                <w:lang w:val="en-IE"/>
              </w:rPr>
            </w:pPr>
            <w:r w:rsidRPr="00013BDC">
              <w:rPr>
                <w:noProof/>
                <w:sz w:val="20"/>
                <w:szCs w:val="20"/>
                <w:lang w:val="en-IE"/>
              </w:rPr>
              <w:t>Note that the one-off and recurring costs identified for businesses in this row may instead fall upon citizens and consumers through increased prices for textile goods in circumstances where EPR costs are added to textile good prices</w:t>
            </w:r>
          </w:p>
        </w:tc>
        <w:tc>
          <w:tcPr>
            <w:tcW w:w="1086" w:type="dxa"/>
            <w:tcMar>
              <w:top w:w="57" w:type="dxa"/>
              <w:left w:w="57" w:type="dxa"/>
              <w:bottom w:w="57" w:type="dxa"/>
              <w:right w:w="57" w:type="dxa"/>
            </w:tcMar>
          </w:tcPr>
          <w:p w14:paraId="7DF54677" w14:textId="77777777" w:rsidR="00E867E1" w:rsidRPr="00013BDC" w:rsidRDefault="00E867E1" w:rsidP="00E867E1">
            <w:pPr>
              <w:spacing w:after="0"/>
              <w:jc w:val="left"/>
              <w:rPr>
                <w:noProof/>
                <w:sz w:val="20"/>
                <w:szCs w:val="20"/>
                <w:lang w:val="en-IE"/>
              </w:rPr>
            </w:pPr>
            <w:r w:rsidRPr="00013BDC">
              <w:rPr>
                <w:noProof/>
                <w:sz w:val="20"/>
                <w:szCs w:val="20"/>
                <w:lang w:val="en-IE"/>
              </w:rPr>
              <w:t>Note that the one-off and recurring costs identified for businesses in this row may instead fall upon citizens and consumers through increased prices for textile goods in circumstances where EPR costs are added to textile good prices</w:t>
            </w:r>
          </w:p>
          <w:p w14:paraId="1F6D839C" w14:textId="4D2386CE" w:rsidR="00E319C2" w:rsidRPr="00013BDC" w:rsidRDefault="00E319C2" w:rsidP="434D93DC">
            <w:pPr>
              <w:spacing w:after="0"/>
              <w:jc w:val="left"/>
              <w:rPr>
                <w:noProof/>
                <w:sz w:val="20"/>
                <w:szCs w:val="20"/>
                <w:lang w:val="en-IE"/>
              </w:rPr>
            </w:pPr>
          </w:p>
        </w:tc>
        <w:tc>
          <w:tcPr>
            <w:tcW w:w="1067" w:type="dxa"/>
            <w:tcMar>
              <w:top w:w="57" w:type="dxa"/>
              <w:left w:w="57" w:type="dxa"/>
              <w:bottom w:w="57" w:type="dxa"/>
              <w:right w:w="57" w:type="dxa"/>
            </w:tcMar>
          </w:tcPr>
          <w:p w14:paraId="72040061" w14:textId="25A9316D" w:rsidR="0001234C" w:rsidRPr="00013BDC" w:rsidRDefault="12E20C01" w:rsidP="03CAF10B">
            <w:pPr>
              <w:spacing w:after="0"/>
              <w:jc w:val="left"/>
              <w:rPr>
                <w:noProof/>
                <w:sz w:val="20"/>
                <w:szCs w:val="20"/>
                <w:lang w:val="en-IE"/>
              </w:rPr>
            </w:pPr>
            <w:r w:rsidRPr="00013BDC">
              <w:rPr>
                <w:noProof/>
                <w:sz w:val="20"/>
                <w:szCs w:val="20"/>
                <w:lang w:val="en-IE"/>
              </w:rPr>
              <w:t>Revision of waste management permits, where necessary to adapt to the new regulatory requirements.</w:t>
            </w:r>
          </w:p>
          <w:p w14:paraId="475EA83A" w14:textId="25A9316D" w:rsidR="00E319C2" w:rsidRPr="00013BDC" w:rsidRDefault="00E319C2" w:rsidP="434D93DC">
            <w:pPr>
              <w:spacing w:after="0"/>
              <w:jc w:val="left"/>
              <w:rPr>
                <w:noProof/>
                <w:sz w:val="20"/>
                <w:szCs w:val="20"/>
                <w:lang w:val="en-IE"/>
              </w:rPr>
            </w:pPr>
          </w:p>
        </w:tc>
        <w:tc>
          <w:tcPr>
            <w:tcW w:w="1066" w:type="dxa"/>
            <w:tcMar>
              <w:top w:w="57" w:type="dxa"/>
              <w:left w:w="57" w:type="dxa"/>
              <w:bottom w:w="57" w:type="dxa"/>
              <w:right w:w="57" w:type="dxa"/>
            </w:tcMar>
          </w:tcPr>
          <w:p w14:paraId="76473547" w14:textId="07D0804D" w:rsidR="00C00BB6" w:rsidRPr="00013BDC" w:rsidRDefault="00C00BB6" w:rsidP="00C00BB6">
            <w:pPr>
              <w:spacing w:after="120" w:line="240" w:lineRule="atLeast"/>
              <w:jc w:val="left"/>
              <w:rPr>
                <w:noProof/>
                <w:color w:val="000000"/>
                <w:sz w:val="20"/>
                <w:szCs w:val="20"/>
                <w:lang w:val="en-IE"/>
              </w:rPr>
            </w:pPr>
            <w:r w:rsidRPr="00013BDC">
              <w:rPr>
                <w:noProof/>
                <w:color w:val="000000" w:themeColor="text1"/>
                <w:sz w:val="20"/>
                <w:szCs w:val="20"/>
                <w:lang w:val="en-IE"/>
              </w:rPr>
              <w:t>9</w:t>
            </w:r>
            <w:r w:rsidR="00533CD7" w:rsidRPr="00013BDC">
              <w:rPr>
                <w:noProof/>
                <w:color w:val="000000" w:themeColor="text1"/>
                <w:sz w:val="20"/>
                <w:szCs w:val="20"/>
                <w:lang w:val="en-IE"/>
              </w:rPr>
              <w:t>70</w:t>
            </w:r>
            <w:r w:rsidRPr="00013BDC">
              <w:rPr>
                <w:noProof/>
                <w:color w:val="000000" w:themeColor="text1"/>
                <w:sz w:val="20"/>
                <w:szCs w:val="20"/>
                <w:lang w:val="en-IE"/>
              </w:rPr>
              <w:t xml:space="preserve"> million euro per year sorting and treatment costs</w:t>
            </w:r>
          </w:p>
          <w:p w14:paraId="15689E87" w14:textId="3D941DC7" w:rsidR="00E319C2" w:rsidRPr="00013BDC" w:rsidRDefault="00E319C2" w:rsidP="434D93DC">
            <w:pPr>
              <w:spacing w:after="0"/>
              <w:jc w:val="left"/>
              <w:rPr>
                <w:noProof/>
                <w:sz w:val="20"/>
                <w:szCs w:val="20"/>
                <w:lang w:val="en-IE"/>
              </w:rPr>
            </w:pPr>
          </w:p>
        </w:tc>
        <w:tc>
          <w:tcPr>
            <w:tcW w:w="1297" w:type="dxa"/>
            <w:tcMar>
              <w:top w:w="57" w:type="dxa"/>
              <w:left w:w="57" w:type="dxa"/>
              <w:bottom w:w="57" w:type="dxa"/>
              <w:right w:w="57" w:type="dxa"/>
            </w:tcMar>
          </w:tcPr>
          <w:p w14:paraId="56A5F18A" w14:textId="5A3AC73A" w:rsidR="0001234C" w:rsidRPr="00013BDC" w:rsidRDefault="304CA0D7" w:rsidP="4EC39CF9">
            <w:pPr>
              <w:spacing w:after="0"/>
              <w:jc w:val="left"/>
              <w:rPr>
                <w:noProof/>
                <w:sz w:val="20"/>
                <w:szCs w:val="20"/>
                <w:lang w:val="en-IE"/>
              </w:rPr>
            </w:pPr>
            <w:r w:rsidRPr="00013BDC">
              <w:rPr>
                <w:noProof/>
                <w:sz w:val="20"/>
                <w:szCs w:val="20"/>
                <w:lang w:val="en-IE"/>
              </w:rPr>
              <w:t>Costs for setting up EPR schemes</w:t>
            </w:r>
            <w:r w:rsidR="11348EFC" w:rsidRPr="00013BDC">
              <w:rPr>
                <w:noProof/>
                <w:sz w:val="20"/>
                <w:szCs w:val="20"/>
                <w:lang w:val="en-IE"/>
              </w:rPr>
              <w:t xml:space="preserve"> (inter alia producer register, </w:t>
            </w:r>
            <w:r w:rsidR="15B2D7F3" w:rsidRPr="00013BDC">
              <w:rPr>
                <w:noProof/>
                <w:sz w:val="20"/>
                <w:szCs w:val="20"/>
                <w:lang w:val="en-IE"/>
              </w:rPr>
              <w:t>permitting</w:t>
            </w:r>
            <w:r w:rsidR="11348EFC" w:rsidRPr="00013BDC">
              <w:rPr>
                <w:noProof/>
                <w:sz w:val="20"/>
                <w:szCs w:val="20"/>
                <w:lang w:val="en-IE"/>
              </w:rPr>
              <w:t xml:space="preserve"> system for PROs)</w:t>
            </w:r>
            <w:r w:rsidR="1D547F75" w:rsidRPr="00013BDC">
              <w:rPr>
                <w:noProof/>
                <w:sz w:val="20"/>
                <w:szCs w:val="20"/>
                <w:lang w:val="en-IE"/>
              </w:rPr>
              <w:t>.</w:t>
            </w:r>
          </w:p>
          <w:p w14:paraId="59D82598" w14:textId="77777777" w:rsidR="000A6D32" w:rsidRPr="00013BDC" w:rsidRDefault="000A6D32" w:rsidP="4EC39CF9">
            <w:pPr>
              <w:spacing w:after="0"/>
              <w:jc w:val="left"/>
              <w:rPr>
                <w:noProof/>
                <w:sz w:val="20"/>
                <w:szCs w:val="20"/>
                <w:lang w:val="en-IE"/>
              </w:rPr>
            </w:pPr>
          </w:p>
          <w:p w14:paraId="24BE41E8" w14:textId="7851567C" w:rsidR="000A6D32" w:rsidRPr="00013BDC" w:rsidRDefault="7FA2661B" w:rsidP="4EC39CF9">
            <w:pPr>
              <w:spacing w:after="0"/>
              <w:jc w:val="left"/>
              <w:rPr>
                <w:noProof/>
                <w:sz w:val="20"/>
                <w:szCs w:val="20"/>
                <w:lang w:val="en-IE"/>
              </w:rPr>
            </w:pPr>
            <w:r w:rsidRPr="00013BDC">
              <w:rPr>
                <w:noProof/>
                <w:sz w:val="20"/>
                <w:szCs w:val="20"/>
                <w:lang w:val="en-IE"/>
              </w:rPr>
              <w:t>Revision of</w:t>
            </w:r>
            <w:r w:rsidR="75237690" w:rsidRPr="00013BDC">
              <w:rPr>
                <w:noProof/>
                <w:sz w:val="20"/>
                <w:szCs w:val="20"/>
                <w:lang w:val="en-IE"/>
              </w:rPr>
              <w:t xml:space="preserve"> </w:t>
            </w:r>
            <w:r w:rsidR="107576AC" w:rsidRPr="00013BDC">
              <w:rPr>
                <w:noProof/>
                <w:sz w:val="20"/>
                <w:szCs w:val="20"/>
                <w:lang w:val="en-IE"/>
              </w:rPr>
              <w:t xml:space="preserve">waste management </w:t>
            </w:r>
            <w:r w:rsidR="75237690" w:rsidRPr="00013BDC">
              <w:rPr>
                <w:noProof/>
                <w:sz w:val="20"/>
                <w:szCs w:val="20"/>
                <w:lang w:val="en-IE"/>
              </w:rPr>
              <w:t>permits</w:t>
            </w:r>
            <w:r w:rsidR="53C663C3" w:rsidRPr="00013BDC">
              <w:rPr>
                <w:noProof/>
                <w:sz w:val="20"/>
                <w:szCs w:val="20"/>
                <w:lang w:val="en-IE"/>
              </w:rPr>
              <w:t>, where necessary to adapt to the new regulatory requirements</w:t>
            </w:r>
            <w:r w:rsidR="6C8625AA" w:rsidRPr="00013BDC">
              <w:rPr>
                <w:noProof/>
                <w:sz w:val="20"/>
                <w:szCs w:val="20"/>
                <w:lang w:val="en-IE"/>
              </w:rPr>
              <w:t>.</w:t>
            </w:r>
          </w:p>
          <w:p w14:paraId="4E598C3D" w14:textId="77777777" w:rsidR="000A6D32" w:rsidRPr="00013BDC" w:rsidRDefault="000A6D32" w:rsidP="4EC39CF9">
            <w:pPr>
              <w:spacing w:after="0"/>
              <w:jc w:val="left"/>
              <w:rPr>
                <w:noProof/>
                <w:sz w:val="20"/>
                <w:szCs w:val="20"/>
                <w:lang w:val="en-IE"/>
              </w:rPr>
            </w:pPr>
          </w:p>
          <w:p w14:paraId="69965245" w14:textId="1BAC3216" w:rsidR="00E319C2" w:rsidRPr="00013BDC" w:rsidRDefault="0358B555" w:rsidP="434D93DC">
            <w:pPr>
              <w:spacing w:after="0"/>
              <w:jc w:val="left"/>
              <w:rPr>
                <w:noProof/>
                <w:sz w:val="20"/>
                <w:szCs w:val="20"/>
                <w:lang w:val="en-IE"/>
              </w:rPr>
            </w:pPr>
            <w:r w:rsidRPr="00013BDC">
              <w:rPr>
                <w:noProof/>
                <w:sz w:val="20"/>
                <w:szCs w:val="20"/>
                <w:lang w:val="en-IE"/>
              </w:rPr>
              <w:t>Adaptation of the</w:t>
            </w:r>
            <w:r w:rsidR="66B9AA26" w:rsidRPr="00013BDC">
              <w:rPr>
                <w:noProof/>
                <w:sz w:val="20"/>
                <w:szCs w:val="20"/>
                <w:lang w:val="en-IE"/>
              </w:rPr>
              <w:t xml:space="preserve"> </w:t>
            </w:r>
            <w:r w:rsidR="637F4267" w:rsidRPr="00013BDC">
              <w:rPr>
                <w:noProof/>
                <w:sz w:val="20"/>
                <w:szCs w:val="20"/>
                <w:lang w:val="en-IE"/>
              </w:rPr>
              <w:t>data collection systems and requirements on economic operators</w:t>
            </w:r>
            <w:r w:rsidR="63B1A226" w:rsidRPr="00013BDC">
              <w:rPr>
                <w:noProof/>
                <w:sz w:val="20"/>
                <w:szCs w:val="20"/>
                <w:lang w:val="en-IE"/>
              </w:rPr>
              <w:t>.</w:t>
            </w:r>
          </w:p>
        </w:tc>
        <w:tc>
          <w:tcPr>
            <w:tcW w:w="1800" w:type="dxa"/>
            <w:tcMar>
              <w:top w:w="57" w:type="dxa"/>
              <w:left w:w="57" w:type="dxa"/>
              <w:bottom w:w="57" w:type="dxa"/>
              <w:right w:w="57" w:type="dxa"/>
            </w:tcMar>
          </w:tcPr>
          <w:p w14:paraId="46DF07DE" w14:textId="4E508AF9" w:rsidR="00E319C2" w:rsidRPr="00013BDC" w:rsidRDefault="00FB70E7" w:rsidP="434D93DC">
            <w:pPr>
              <w:spacing w:after="0"/>
              <w:jc w:val="left"/>
              <w:rPr>
                <w:noProof/>
                <w:sz w:val="20"/>
                <w:szCs w:val="20"/>
                <w:lang w:val="en-IE"/>
              </w:rPr>
            </w:pPr>
            <w:r w:rsidRPr="00013BDC">
              <w:rPr>
                <w:noProof/>
                <w:sz w:val="20"/>
                <w:szCs w:val="20"/>
                <w:lang w:val="en-IE"/>
              </w:rPr>
              <w:t>Operational costs in relation to ongoing collection, sorting and onward treatment of textiles collected</w:t>
            </w:r>
            <w:r w:rsidR="75E8DFB4" w:rsidRPr="00013BDC">
              <w:rPr>
                <w:noProof/>
                <w:sz w:val="20"/>
                <w:szCs w:val="20"/>
                <w:lang w:val="en-IE"/>
              </w:rPr>
              <w:t xml:space="preserve"> if incurred by municipalities ought to be covered by the producers in line with the principle of necessary cost</w:t>
            </w:r>
            <w:r w:rsidRPr="00013BDC">
              <w:rPr>
                <w:noProof/>
                <w:sz w:val="20"/>
                <w:szCs w:val="20"/>
                <w:lang w:val="en-IE"/>
              </w:rPr>
              <w:t>.</w:t>
            </w:r>
          </w:p>
        </w:tc>
      </w:tr>
      <w:tr w:rsidR="00A83C5E" w:rsidRPr="00013BDC" w14:paraId="3A8DEB90" w14:textId="77777777" w:rsidTr="002905FE">
        <w:trPr>
          <w:trHeight w:val="307"/>
        </w:trPr>
        <w:tc>
          <w:tcPr>
            <w:tcW w:w="761" w:type="dxa"/>
            <w:tcMar>
              <w:top w:w="57" w:type="dxa"/>
              <w:left w:w="57" w:type="dxa"/>
              <w:bottom w:w="57" w:type="dxa"/>
              <w:right w:w="57" w:type="dxa"/>
            </w:tcMar>
            <w:vAlign w:val="center"/>
          </w:tcPr>
          <w:p w14:paraId="5AD2641D" w14:textId="77777777" w:rsidR="00E319C2" w:rsidRPr="00013BDC" w:rsidRDefault="00E319C2" w:rsidP="001B1E6E">
            <w:pPr>
              <w:spacing w:after="0"/>
              <w:rPr>
                <w:noProof/>
                <w:sz w:val="20"/>
                <w:szCs w:val="20"/>
                <w:lang w:val="en-IE"/>
              </w:rPr>
            </w:pPr>
          </w:p>
        </w:tc>
        <w:tc>
          <w:tcPr>
            <w:tcW w:w="1206" w:type="dxa"/>
            <w:tcBorders>
              <w:right w:val="double" w:sz="4" w:space="0" w:color="auto"/>
            </w:tcBorders>
            <w:tcMar>
              <w:top w:w="57" w:type="dxa"/>
              <w:left w:w="57" w:type="dxa"/>
              <w:bottom w:w="57" w:type="dxa"/>
              <w:right w:w="57" w:type="dxa"/>
            </w:tcMar>
            <w:vAlign w:val="center"/>
          </w:tcPr>
          <w:p w14:paraId="5457955C" w14:textId="77777777" w:rsidR="00E319C2" w:rsidRPr="00013BDC" w:rsidRDefault="00E319C2" w:rsidP="001B1E6E">
            <w:pPr>
              <w:spacing w:after="0"/>
              <w:jc w:val="left"/>
              <w:rPr>
                <w:noProof/>
                <w:sz w:val="20"/>
                <w:szCs w:val="20"/>
                <w:lang w:val="en-IE"/>
              </w:rPr>
            </w:pPr>
            <w:r w:rsidRPr="00013BDC">
              <w:rPr>
                <w:noProof/>
                <w:sz w:val="20"/>
                <w:szCs w:val="20"/>
                <w:lang w:val="en-IE"/>
              </w:rPr>
              <w:t>Direct administrative costs</w:t>
            </w:r>
          </w:p>
        </w:tc>
        <w:tc>
          <w:tcPr>
            <w:tcW w:w="859" w:type="dxa"/>
            <w:tcBorders>
              <w:left w:val="double" w:sz="4" w:space="0" w:color="auto"/>
            </w:tcBorders>
            <w:tcMar>
              <w:top w:w="57" w:type="dxa"/>
              <w:left w:w="57" w:type="dxa"/>
              <w:bottom w:w="57" w:type="dxa"/>
              <w:right w:w="57" w:type="dxa"/>
            </w:tcMar>
            <w:vAlign w:val="center"/>
          </w:tcPr>
          <w:p w14:paraId="5A3692DD" w14:textId="77777777" w:rsidR="00E867E1" w:rsidRPr="00013BDC" w:rsidRDefault="00E867E1" w:rsidP="00E867E1">
            <w:pPr>
              <w:spacing w:after="0"/>
              <w:rPr>
                <w:noProof/>
                <w:sz w:val="20"/>
                <w:szCs w:val="20"/>
                <w:lang w:val="en-IE"/>
              </w:rPr>
            </w:pPr>
            <w:r w:rsidRPr="00013BDC">
              <w:rPr>
                <w:noProof/>
                <w:sz w:val="20"/>
                <w:szCs w:val="20"/>
                <w:lang w:val="en-IE"/>
              </w:rPr>
              <w:t>Note that the one-off and recurring costs identified for businesses in this row may instead fall upon citizens and consumers through increased prices for textile goods in circumstances where EPR costs are added to textile good prices</w:t>
            </w:r>
          </w:p>
          <w:p w14:paraId="3F09C8AF" w14:textId="77777777" w:rsidR="00E319C2" w:rsidRPr="00013BDC" w:rsidRDefault="00E319C2" w:rsidP="001B1E6E">
            <w:pPr>
              <w:spacing w:after="0"/>
              <w:rPr>
                <w:noProof/>
                <w:sz w:val="20"/>
                <w:szCs w:val="20"/>
                <w:lang w:val="en-IE"/>
              </w:rPr>
            </w:pPr>
          </w:p>
        </w:tc>
        <w:tc>
          <w:tcPr>
            <w:tcW w:w="1086" w:type="dxa"/>
            <w:tcMar>
              <w:top w:w="57" w:type="dxa"/>
              <w:left w:w="57" w:type="dxa"/>
              <w:bottom w:w="57" w:type="dxa"/>
              <w:right w:w="57" w:type="dxa"/>
            </w:tcMar>
            <w:vAlign w:val="center"/>
          </w:tcPr>
          <w:p w14:paraId="15555C15" w14:textId="77777777" w:rsidR="00E867E1" w:rsidRPr="00013BDC" w:rsidRDefault="00E867E1" w:rsidP="00E867E1">
            <w:pPr>
              <w:spacing w:after="0"/>
              <w:rPr>
                <w:noProof/>
                <w:sz w:val="20"/>
                <w:szCs w:val="20"/>
                <w:lang w:val="en-IE"/>
              </w:rPr>
            </w:pPr>
            <w:r w:rsidRPr="00013BDC">
              <w:rPr>
                <w:noProof/>
                <w:sz w:val="20"/>
                <w:szCs w:val="20"/>
                <w:lang w:val="en-IE"/>
              </w:rPr>
              <w:t>Note that the one-off and recurring costs identified for businesses in this row may instead fall upon citizens and consumers through increased prices for textile goods in circumstances where EPR costs are added to textile good prices</w:t>
            </w:r>
          </w:p>
          <w:p w14:paraId="7564A861" w14:textId="77777777" w:rsidR="00E319C2" w:rsidRPr="00013BDC" w:rsidRDefault="00E319C2" w:rsidP="001B1E6E">
            <w:pPr>
              <w:spacing w:after="0"/>
              <w:rPr>
                <w:noProof/>
                <w:sz w:val="20"/>
                <w:szCs w:val="20"/>
                <w:lang w:val="en-IE"/>
              </w:rPr>
            </w:pPr>
          </w:p>
        </w:tc>
        <w:tc>
          <w:tcPr>
            <w:tcW w:w="1067" w:type="dxa"/>
            <w:tcMar>
              <w:top w:w="57" w:type="dxa"/>
              <w:left w:w="57" w:type="dxa"/>
              <w:bottom w:w="57" w:type="dxa"/>
              <w:right w:w="57" w:type="dxa"/>
            </w:tcMar>
          </w:tcPr>
          <w:p w14:paraId="319C8408" w14:textId="328ADAFD" w:rsidR="00E319C2" w:rsidRPr="00013BDC" w:rsidRDefault="41E58D32" w:rsidP="4EC39CF9">
            <w:pPr>
              <w:spacing w:after="0"/>
              <w:jc w:val="left"/>
              <w:rPr>
                <w:noProof/>
                <w:sz w:val="20"/>
                <w:szCs w:val="20"/>
                <w:lang w:val="en-IE"/>
              </w:rPr>
            </w:pPr>
            <w:r w:rsidRPr="00013BDC">
              <w:rPr>
                <w:noProof/>
                <w:sz w:val="20"/>
                <w:szCs w:val="20"/>
                <w:lang w:val="en-IE"/>
              </w:rPr>
              <w:t>Cost of registering in a producer register and a PRO.</w:t>
            </w:r>
          </w:p>
        </w:tc>
        <w:tc>
          <w:tcPr>
            <w:tcW w:w="1066" w:type="dxa"/>
            <w:tcMar>
              <w:top w:w="57" w:type="dxa"/>
              <w:left w:w="57" w:type="dxa"/>
              <w:bottom w:w="57" w:type="dxa"/>
              <w:right w:w="57" w:type="dxa"/>
            </w:tcMar>
          </w:tcPr>
          <w:p w14:paraId="3738C9E4" w14:textId="1D990611" w:rsidR="00C81B2F" w:rsidRPr="00013BDC" w:rsidRDefault="00A4663B" w:rsidP="00C81B2F">
            <w:pPr>
              <w:spacing w:after="120" w:line="240" w:lineRule="atLeast"/>
              <w:jc w:val="left"/>
              <w:rPr>
                <w:noProof/>
                <w:color w:val="000000"/>
                <w:sz w:val="20"/>
                <w:szCs w:val="20"/>
                <w:lang w:val="en-IE"/>
              </w:rPr>
            </w:pPr>
            <w:r w:rsidRPr="00013BDC">
              <w:rPr>
                <w:noProof/>
                <w:color w:val="000000"/>
                <w:sz w:val="20"/>
                <w:szCs w:val="20"/>
                <w:lang w:val="en-IE"/>
              </w:rPr>
              <w:t>6.8</w:t>
            </w:r>
            <w:r w:rsidR="00C81B2F" w:rsidRPr="00013BDC">
              <w:rPr>
                <w:noProof/>
                <w:color w:val="000000"/>
                <w:sz w:val="20"/>
                <w:szCs w:val="20"/>
                <w:lang w:val="en-IE"/>
              </w:rPr>
              <w:t>M euro for reporting of products PoM and eco-modulation data</w:t>
            </w:r>
          </w:p>
          <w:p w14:paraId="1325B9F9" w14:textId="18D2A3E3" w:rsidR="00C81B2F" w:rsidRPr="00013BDC" w:rsidRDefault="00C81B2F" w:rsidP="00C81B2F">
            <w:pPr>
              <w:spacing w:after="120" w:line="240" w:lineRule="atLeast"/>
              <w:jc w:val="left"/>
              <w:rPr>
                <w:noProof/>
                <w:color w:val="000000"/>
                <w:sz w:val="20"/>
                <w:szCs w:val="20"/>
                <w:lang w:val="en-IE"/>
              </w:rPr>
            </w:pPr>
            <w:r w:rsidRPr="00013BDC">
              <w:rPr>
                <w:noProof/>
                <w:color w:val="000000"/>
                <w:sz w:val="20"/>
                <w:szCs w:val="20"/>
                <w:lang w:val="en-IE"/>
              </w:rPr>
              <w:t>7</w:t>
            </w:r>
            <w:r w:rsidR="004202C9" w:rsidRPr="00013BDC">
              <w:rPr>
                <w:noProof/>
                <w:color w:val="000000"/>
                <w:sz w:val="20"/>
                <w:szCs w:val="20"/>
                <w:lang w:val="en-IE"/>
              </w:rPr>
              <w:t>50</w:t>
            </w:r>
            <w:r w:rsidRPr="00013BDC">
              <w:rPr>
                <w:noProof/>
                <w:color w:val="000000"/>
                <w:sz w:val="20"/>
                <w:szCs w:val="20"/>
                <w:lang w:val="en-IE"/>
              </w:rPr>
              <w:t>K euro per year for additional reporting by waste management operators</w:t>
            </w:r>
          </w:p>
          <w:p w14:paraId="3712689B" w14:textId="683ADC2F" w:rsidR="009E6C30" w:rsidRPr="00013BDC" w:rsidRDefault="00CC4F42" w:rsidP="009E6C30">
            <w:pPr>
              <w:spacing w:after="120" w:line="240" w:lineRule="atLeast"/>
              <w:jc w:val="left"/>
              <w:rPr>
                <w:noProof/>
                <w:color w:val="000000"/>
                <w:sz w:val="20"/>
                <w:szCs w:val="20"/>
                <w:lang w:val="en-IE"/>
              </w:rPr>
            </w:pPr>
            <w:r w:rsidRPr="00013BDC">
              <w:rPr>
                <w:noProof/>
                <w:color w:val="000000" w:themeColor="text1"/>
                <w:sz w:val="20"/>
                <w:szCs w:val="20"/>
                <w:lang w:val="en-IE"/>
              </w:rPr>
              <w:t xml:space="preserve">1M </w:t>
            </w:r>
            <w:r w:rsidR="009E6C30" w:rsidRPr="00013BDC">
              <w:rPr>
                <w:noProof/>
                <w:color w:val="000000" w:themeColor="text1"/>
                <w:sz w:val="20"/>
                <w:szCs w:val="20"/>
                <w:lang w:val="en-IE"/>
              </w:rPr>
              <w:t xml:space="preserve">euro per </w:t>
            </w:r>
            <w:r w:rsidR="008D594D" w:rsidRPr="00013BDC">
              <w:rPr>
                <w:noProof/>
                <w:color w:val="000000" w:themeColor="text1"/>
                <w:sz w:val="20"/>
                <w:szCs w:val="20"/>
                <w:lang w:val="en-IE"/>
              </w:rPr>
              <w:t xml:space="preserve">year for </w:t>
            </w:r>
            <w:r w:rsidR="00CF48D5" w:rsidRPr="00013BDC">
              <w:rPr>
                <w:noProof/>
                <w:color w:val="000000" w:themeColor="text1"/>
                <w:sz w:val="20"/>
                <w:szCs w:val="20"/>
                <w:lang w:val="en-IE"/>
              </w:rPr>
              <w:t>producers to assist PROs</w:t>
            </w:r>
          </w:p>
          <w:p w14:paraId="1D31CE86" w14:textId="23E01A05" w:rsidR="00BA1817" w:rsidRPr="00013BDC" w:rsidRDefault="00BA1817" w:rsidP="00BA1817">
            <w:pPr>
              <w:spacing w:after="120" w:line="240" w:lineRule="atLeast"/>
              <w:jc w:val="left"/>
              <w:rPr>
                <w:noProof/>
                <w:color w:val="000000"/>
                <w:sz w:val="20"/>
                <w:szCs w:val="20"/>
                <w:lang w:val="en-IE"/>
              </w:rPr>
            </w:pPr>
            <w:r w:rsidRPr="00013BDC">
              <w:rPr>
                <w:noProof/>
                <w:color w:val="000000" w:themeColor="text1"/>
                <w:sz w:val="20"/>
                <w:szCs w:val="20"/>
                <w:lang w:val="en-IE"/>
              </w:rPr>
              <w:t xml:space="preserve">78 euro per exporter annualised per inspection </w:t>
            </w:r>
          </w:p>
          <w:p w14:paraId="5C81E4DF" w14:textId="50D07232" w:rsidR="00E319C2" w:rsidRPr="00013BDC" w:rsidRDefault="00E319C2" w:rsidP="00C81B2F">
            <w:pPr>
              <w:spacing w:after="120" w:line="240" w:lineRule="atLeast"/>
              <w:jc w:val="left"/>
              <w:rPr>
                <w:noProof/>
                <w:sz w:val="20"/>
                <w:szCs w:val="20"/>
                <w:lang w:val="en-IE"/>
              </w:rPr>
            </w:pPr>
          </w:p>
        </w:tc>
        <w:tc>
          <w:tcPr>
            <w:tcW w:w="1297" w:type="dxa"/>
            <w:tcMar>
              <w:top w:w="57" w:type="dxa"/>
              <w:left w:w="57" w:type="dxa"/>
              <w:bottom w:w="57" w:type="dxa"/>
              <w:right w:w="57" w:type="dxa"/>
            </w:tcMar>
          </w:tcPr>
          <w:p w14:paraId="14FBE56F" w14:textId="77777777" w:rsidR="00E319C2" w:rsidRPr="00013BDC" w:rsidRDefault="550BBB50" w:rsidP="4EC39CF9">
            <w:pPr>
              <w:spacing w:after="0"/>
              <w:jc w:val="left"/>
              <w:rPr>
                <w:noProof/>
                <w:sz w:val="20"/>
                <w:szCs w:val="20"/>
                <w:lang w:val="en-IE"/>
              </w:rPr>
            </w:pPr>
            <w:r w:rsidRPr="00013BDC">
              <w:rPr>
                <w:noProof/>
                <w:sz w:val="20"/>
                <w:szCs w:val="20"/>
                <w:lang w:val="en-IE"/>
              </w:rPr>
              <w:t xml:space="preserve">Revision of the Waste Prevention Programmes </w:t>
            </w:r>
            <w:r w:rsidR="43978B68" w:rsidRPr="00013BDC">
              <w:rPr>
                <w:noProof/>
                <w:sz w:val="20"/>
                <w:szCs w:val="20"/>
                <w:lang w:val="en-IE"/>
              </w:rPr>
              <w:t>on</w:t>
            </w:r>
            <w:r w:rsidRPr="00013BDC">
              <w:rPr>
                <w:noProof/>
                <w:sz w:val="20"/>
                <w:szCs w:val="20"/>
                <w:lang w:val="en-IE"/>
              </w:rPr>
              <w:t xml:space="preserve"> </w:t>
            </w:r>
            <w:r w:rsidR="73236EB8" w:rsidRPr="00013BDC">
              <w:rPr>
                <w:noProof/>
                <w:sz w:val="20"/>
                <w:szCs w:val="20"/>
                <w:lang w:val="en-IE"/>
              </w:rPr>
              <w:t>prevention indicators.</w:t>
            </w:r>
            <w:r w:rsidR="7220EF40" w:rsidRPr="00013BDC">
              <w:rPr>
                <w:noProof/>
                <w:sz w:val="20"/>
                <w:szCs w:val="20"/>
                <w:lang w:val="en-IE"/>
              </w:rPr>
              <w:t xml:space="preserve"> </w:t>
            </w:r>
          </w:p>
          <w:p w14:paraId="1D268E30" w14:textId="77777777" w:rsidR="00205E83" w:rsidRPr="00013BDC" w:rsidRDefault="00205E83" w:rsidP="4EC39CF9">
            <w:pPr>
              <w:spacing w:after="0"/>
              <w:jc w:val="left"/>
              <w:rPr>
                <w:noProof/>
                <w:sz w:val="20"/>
                <w:szCs w:val="20"/>
                <w:lang w:val="en-IE"/>
              </w:rPr>
            </w:pPr>
          </w:p>
          <w:p w14:paraId="7E36212A" w14:textId="04C7A4B5" w:rsidR="00E319C2" w:rsidRPr="00013BDC" w:rsidRDefault="00E319C2" w:rsidP="4EC39CF9">
            <w:pPr>
              <w:spacing w:after="0"/>
              <w:jc w:val="left"/>
              <w:rPr>
                <w:noProof/>
                <w:sz w:val="20"/>
                <w:szCs w:val="20"/>
                <w:lang w:val="en-IE"/>
              </w:rPr>
            </w:pPr>
          </w:p>
        </w:tc>
        <w:tc>
          <w:tcPr>
            <w:tcW w:w="1800" w:type="dxa"/>
            <w:tcMar>
              <w:top w:w="57" w:type="dxa"/>
              <w:left w:w="57" w:type="dxa"/>
              <w:bottom w:w="57" w:type="dxa"/>
              <w:right w:w="57" w:type="dxa"/>
            </w:tcMar>
          </w:tcPr>
          <w:p w14:paraId="6664D34D" w14:textId="54B2AD20" w:rsidR="00343E1B" w:rsidRPr="00013BDC" w:rsidRDefault="00FB7DBD" w:rsidP="4EC39CF9">
            <w:pPr>
              <w:spacing w:after="0"/>
              <w:jc w:val="left"/>
              <w:rPr>
                <w:noProof/>
                <w:sz w:val="20"/>
                <w:szCs w:val="20"/>
                <w:lang w:val="en-IE"/>
              </w:rPr>
            </w:pPr>
            <w:r w:rsidRPr="00013BDC">
              <w:rPr>
                <w:noProof/>
                <w:sz w:val="20"/>
                <w:szCs w:val="20"/>
                <w:lang w:val="en-IE"/>
              </w:rPr>
              <w:t>EUR</w:t>
            </w:r>
            <w:r w:rsidR="00343E1B" w:rsidRPr="00013BDC">
              <w:rPr>
                <w:noProof/>
                <w:sz w:val="20"/>
                <w:szCs w:val="20"/>
                <w:lang w:val="en-IE"/>
              </w:rPr>
              <w:t>11</w:t>
            </w:r>
            <w:r w:rsidR="00877067" w:rsidRPr="00013BDC">
              <w:rPr>
                <w:noProof/>
                <w:sz w:val="20"/>
                <w:szCs w:val="20"/>
                <w:lang w:val="en-IE"/>
              </w:rPr>
              <w:t>.2</w:t>
            </w:r>
            <w:r w:rsidR="00343E1B" w:rsidRPr="00013BDC">
              <w:rPr>
                <w:noProof/>
                <w:sz w:val="20"/>
                <w:szCs w:val="20"/>
                <w:lang w:val="en-IE"/>
              </w:rPr>
              <w:t>–69</w:t>
            </w:r>
            <w:r w:rsidR="00877067" w:rsidRPr="00013BDC">
              <w:rPr>
                <w:noProof/>
                <w:sz w:val="20"/>
                <w:szCs w:val="20"/>
                <w:lang w:val="en-IE"/>
              </w:rPr>
              <w:t>K</w:t>
            </w:r>
            <w:r w:rsidR="00343E1B" w:rsidRPr="00013BDC">
              <w:rPr>
                <w:noProof/>
                <w:sz w:val="20"/>
                <w:szCs w:val="20"/>
                <w:lang w:val="en-IE"/>
              </w:rPr>
              <w:t xml:space="preserve"> per </w:t>
            </w:r>
            <w:r w:rsidR="00D00D1B" w:rsidRPr="00013BDC">
              <w:rPr>
                <w:noProof/>
                <w:sz w:val="20"/>
                <w:szCs w:val="20"/>
                <w:lang w:val="en-IE"/>
              </w:rPr>
              <w:t>year</w:t>
            </w:r>
            <w:r w:rsidR="00343E1B" w:rsidRPr="00013BDC">
              <w:rPr>
                <w:noProof/>
                <w:sz w:val="20"/>
                <w:szCs w:val="20"/>
                <w:lang w:val="en-IE"/>
              </w:rPr>
              <w:t xml:space="preserve"> </w:t>
            </w:r>
            <w:r w:rsidR="00704FA8" w:rsidRPr="00013BDC">
              <w:rPr>
                <w:noProof/>
                <w:sz w:val="20"/>
                <w:szCs w:val="20"/>
                <w:lang w:val="en-IE"/>
              </w:rPr>
              <w:t xml:space="preserve">per Member State </w:t>
            </w:r>
            <w:r w:rsidR="00343E1B" w:rsidRPr="00013BDC">
              <w:rPr>
                <w:noProof/>
                <w:sz w:val="20"/>
                <w:szCs w:val="20"/>
                <w:lang w:val="en-IE"/>
              </w:rPr>
              <w:t>to operate producer registers</w:t>
            </w:r>
          </w:p>
          <w:p w14:paraId="20A62385" w14:textId="04B62E3C" w:rsidR="00E319C2" w:rsidRPr="00013BDC" w:rsidRDefault="00E319C2" w:rsidP="284A7EF7">
            <w:pPr>
              <w:spacing w:after="0"/>
              <w:jc w:val="left"/>
              <w:rPr>
                <w:noProof/>
                <w:sz w:val="20"/>
                <w:szCs w:val="20"/>
                <w:lang w:val="en-IE"/>
              </w:rPr>
            </w:pPr>
          </w:p>
          <w:p w14:paraId="2B08EBFA" w14:textId="77777777" w:rsidR="00E319C2" w:rsidRPr="00013BDC" w:rsidRDefault="732769FC" w:rsidP="4EC39CF9">
            <w:pPr>
              <w:spacing w:after="0"/>
              <w:jc w:val="left"/>
              <w:rPr>
                <w:noProof/>
                <w:sz w:val="20"/>
                <w:szCs w:val="20"/>
                <w:lang w:val="en-IE"/>
              </w:rPr>
            </w:pPr>
            <w:r w:rsidRPr="00013BDC">
              <w:rPr>
                <w:noProof/>
                <w:sz w:val="20"/>
                <w:szCs w:val="20"/>
                <w:lang w:val="en-IE"/>
              </w:rPr>
              <w:t>Monitoring of waste prevention based on common indicators</w:t>
            </w:r>
            <w:r w:rsidR="5CFF535C" w:rsidRPr="00013BDC">
              <w:rPr>
                <w:noProof/>
                <w:sz w:val="20"/>
                <w:szCs w:val="20"/>
                <w:lang w:val="en-IE"/>
              </w:rPr>
              <w:t xml:space="preserve"> and more granular data collection on textile waste management</w:t>
            </w:r>
            <w:r w:rsidRPr="00013BDC">
              <w:rPr>
                <w:noProof/>
                <w:sz w:val="20"/>
                <w:szCs w:val="20"/>
                <w:lang w:val="en-IE"/>
              </w:rPr>
              <w:t>.</w:t>
            </w:r>
          </w:p>
          <w:p w14:paraId="258B1D93" w14:textId="77777777" w:rsidR="004C5FCC" w:rsidRPr="00013BDC" w:rsidRDefault="004C5FCC" w:rsidP="4EC39CF9">
            <w:pPr>
              <w:spacing w:after="0"/>
              <w:jc w:val="left"/>
              <w:rPr>
                <w:noProof/>
                <w:sz w:val="20"/>
                <w:szCs w:val="20"/>
                <w:lang w:val="en-IE"/>
              </w:rPr>
            </w:pPr>
          </w:p>
          <w:p w14:paraId="7DA34682" w14:textId="64FA4945" w:rsidR="00E319C2" w:rsidRPr="00013BDC" w:rsidRDefault="004C5FCC" w:rsidP="4EC39CF9">
            <w:pPr>
              <w:spacing w:after="0"/>
              <w:jc w:val="left"/>
              <w:rPr>
                <w:noProof/>
                <w:sz w:val="20"/>
                <w:szCs w:val="20"/>
                <w:lang w:val="en-IE"/>
              </w:rPr>
            </w:pPr>
            <w:r w:rsidRPr="00013BDC">
              <w:rPr>
                <w:noProof/>
                <w:color w:val="000000"/>
                <w:sz w:val="20"/>
                <w:szCs w:val="20"/>
                <w:lang w:val="en-IE"/>
              </w:rPr>
              <w:t>208 euro per competent authority annualised for additional inspection</w:t>
            </w:r>
          </w:p>
        </w:tc>
      </w:tr>
      <w:tr w:rsidR="00D52D46" w:rsidRPr="00013BDC" w14:paraId="130F41E4" w14:textId="77777777" w:rsidTr="002905FE">
        <w:trPr>
          <w:trHeight w:val="307"/>
        </w:trPr>
        <w:tc>
          <w:tcPr>
            <w:tcW w:w="761" w:type="dxa"/>
            <w:tcMar>
              <w:top w:w="57" w:type="dxa"/>
              <w:left w:w="57" w:type="dxa"/>
              <w:bottom w:w="57" w:type="dxa"/>
              <w:right w:w="57" w:type="dxa"/>
            </w:tcMar>
            <w:vAlign w:val="center"/>
          </w:tcPr>
          <w:p w14:paraId="326DAE50" w14:textId="77777777" w:rsidR="00D52D46" w:rsidRPr="00013BDC" w:rsidRDefault="00D52D46" w:rsidP="00D52D46">
            <w:pPr>
              <w:spacing w:after="0"/>
              <w:rPr>
                <w:noProof/>
                <w:sz w:val="20"/>
                <w:szCs w:val="20"/>
                <w:lang w:val="en-IE"/>
              </w:rPr>
            </w:pPr>
          </w:p>
        </w:tc>
        <w:tc>
          <w:tcPr>
            <w:tcW w:w="1206" w:type="dxa"/>
            <w:tcBorders>
              <w:right w:val="double" w:sz="4" w:space="0" w:color="auto"/>
            </w:tcBorders>
            <w:tcMar>
              <w:top w:w="57" w:type="dxa"/>
              <w:left w:w="57" w:type="dxa"/>
              <w:bottom w:w="57" w:type="dxa"/>
              <w:right w:w="57" w:type="dxa"/>
            </w:tcMar>
            <w:vAlign w:val="center"/>
          </w:tcPr>
          <w:p w14:paraId="34C4FA78" w14:textId="77777777" w:rsidR="00D52D46" w:rsidRPr="00013BDC" w:rsidRDefault="00D52D46" w:rsidP="00D52D46">
            <w:pPr>
              <w:spacing w:after="0"/>
              <w:jc w:val="left"/>
              <w:rPr>
                <w:noProof/>
                <w:sz w:val="20"/>
                <w:szCs w:val="20"/>
                <w:lang w:val="en-IE"/>
              </w:rPr>
            </w:pPr>
            <w:r w:rsidRPr="00013BDC">
              <w:rPr>
                <w:noProof/>
                <w:sz w:val="20"/>
                <w:szCs w:val="20"/>
                <w:lang w:val="en-IE"/>
              </w:rPr>
              <w:t>Direct regulatory fees and charges</w:t>
            </w:r>
          </w:p>
        </w:tc>
        <w:tc>
          <w:tcPr>
            <w:tcW w:w="859" w:type="dxa"/>
            <w:tcBorders>
              <w:left w:val="double" w:sz="4" w:space="0" w:color="auto"/>
            </w:tcBorders>
            <w:tcMar>
              <w:top w:w="57" w:type="dxa"/>
              <w:left w:w="57" w:type="dxa"/>
              <w:bottom w:w="57" w:type="dxa"/>
              <w:right w:w="57" w:type="dxa"/>
            </w:tcMar>
            <w:vAlign w:val="center"/>
          </w:tcPr>
          <w:p w14:paraId="03C9AB68" w14:textId="77777777" w:rsidR="00D52D46" w:rsidRPr="00013BDC" w:rsidRDefault="00D52D46" w:rsidP="00D52D46">
            <w:pPr>
              <w:spacing w:after="0"/>
              <w:rPr>
                <w:noProof/>
                <w:sz w:val="20"/>
                <w:szCs w:val="20"/>
                <w:lang w:val="en-IE"/>
              </w:rPr>
            </w:pPr>
          </w:p>
        </w:tc>
        <w:tc>
          <w:tcPr>
            <w:tcW w:w="1086" w:type="dxa"/>
            <w:tcMar>
              <w:top w:w="57" w:type="dxa"/>
              <w:left w:w="57" w:type="dxa"/>
              <w:bottom w:w="57" w:type="dxa"/>
              <w:right w:w="57" w:type="dxa"/>
            </w:tcMar>
            <w:vAlign w:val="center"/>
          </w:tcPr>
          <w:p w14:paraId="6AC17824" w14:textId="77777777" w:rsidR="00D52D46" w:rsidRPr="00013BDC" w:rsidRDefault="00D52D46" w:rsidP="00D52D46">
            <w:pPr>
              <w:spacing w:after="0"/>
              <w:rPr>
                <w:noProof/>
                <w:sz w:val="20"/>
                <w:szCs w:val="20"/>
                <w:lang w:val="en-IE"/>
              </w:rPr>
            </w:pPr>
          </w:p>
        </w:tc>
        <w:tc>
          <w:tcPr>
            <w:tcW w:w="1067" w:type="dxa"/>
            <w:tcMar>
              <w:top w:w="57" w:type="dxa"/>
              <w:left w:w="57" w:type="dxa"/>
              <w:bottom w:w="57" w:type="dxa"/>
              <w:right w:w="57" w:type="dxa"/>
            </w:tcMar>
          </w:tcPr>
          <w:p w14:paraId="1B2AE23C" w14:textId="77777777" w:rsidR="00D52D46" w:rsidRPr="00013BDC" w:rsidRDefault="00D52D46" w:rsidP="00D52D46">
            <w:pPr>
              <w:spacing w:after="0"/>
              <w:jc w:val="left"/>
              <w:rPr>
                <w:noProof/>
                <w:sz w:val="20"/>
                <w:szCs w:val="20"/>
                <w:lang w:val="en-IE"/>
              </w:rPr>
            </w:pPr>
          </w:p>
        </w:tc>
        <w:tc>
          <w:tcPr>
            <w:tcW w:w="1066" w:type="dxa"/>
            <w:tcMar>
              <w:top w:w="57" w:type="dxa"/>
              <w:left w:w="57" w:type="dxa"/>
              <w:bottom w:w="57" w:type="dxa"/>
              <w:right w:w="57" w:type="dxa"/>
            </w:tcMar>
          </w:tcPr>
          <w:p w14:paraId="5735D383" w14:textId="77777777" w:rsidR="00D52D46" w:rsidRPr="00013BDC" w:rsidRDefault="00D52D46" w:rsidP="00D52D46">
            <w:pPr>
              <w:spacing w:after="0"/>
              <w:jc w:val="left"/>
              <w:rPr>
                <w:noProof/>
                <w:sz w:val="20"/>
                <w:szCs w:val="20"/>
                <w:lang w:val="en-IE"/>
              </w:rPr>
            </w:pPr>
          </w:p>
        </w:tc>
        <w:tc>
          <w:tcPr>
            <w:tcW w:w="1297" w:type="dxa"/>
            <w:tcMar>
              <w:top w:w="57" w:type="dxa"/>
              <w:left w:w="57" w:type="dxa"/>
              <w:bottom w:w="57" w:type="dxa"/>
              <w:right w:w="57" w:type="dxa"/>
            </w:tcMar>
          </w:tcPr>
          <w:p w14:paraId="47003FE0" w14:textId="77777777" w:rsidR="00D52D46" w:rsidRPr="00013BDC" w:rsidRDefault="00D52D46" w:rsidP="00D52D46">
            <w:pPr>
              <w:spacing w:after="0"/>
              <w:jc w:val="left"/>
              <w:rPr>
                <w:noProof/>
                <w:sz w:val="20"/>
                <w:szCs w:val="20"/>
                <w:lang w:val="en-IE"/>
              </w:rPr>
            </w:pPr>
          </w:p>
        </w:tc>
        <w:tc>
          <w:tcPr>
            <w:tcW w:w="1800" w:type="dxa"/>
            <w:tcMar>
              <w:top w:w="57" w:type="dxa"/>
              <w:left w:w="57" w:type="dxa"/>
              <w:bottom w:w="57" w:type="dxa"/>
              <w:right w:w="57" w:type="dxa"/>
            </w:tcMar>
          </w:tcPr>
          <w:p w14:paraId="6F9F54CE" w14:textId="68C12C14" w:rsidR="00D52D46" w:rsidRPr="00013BDC" w:rsidRDefault="00D52D46" w:rsidP="00D52D46">
            <w:pPr>
              <w:spacing w:after="160" w:line="240" w:lineRule="atLeast"/>
              <w:jc w:val="left"/>
              <w:rPr>
                <w:noProof/>
                <w:color w:val="000000"/>
                <w:sz w:val="20"/>
                <w:szCs w:val="20"/>
                <w:lang w:val="en-IE"/>
              </w:rPr>
            </w:pPr>
            <w:r w:rsidRPr="00013BDC">
              <w:rPr>
                <w:noProof/>
                <w:sz w:val="20"/>
                <w:szCs w:val="20"/>
                <w:lang w:val="en-IE"/>
              </w:rPr>
              <w:t>Landfill tax loss of 26.5 million euro for Member States due to textiles diverted from landfills but tax gain on the sale of secondary materials</w:t>
            </w:r>
          </w:p>
        </w:tc>
      </w:tr>
      <w:tr w:rsidR="00D52D46" w:rsidRPr="00013BDC" w14:paraId="37350DD2" w14:textId="77777777" w:rsidTr="002905FE">
        <w:trPr>
          <w:trHeight w:val="307"/>
        </w:trPr>
        <w:tc>
          <w:tcPr>
            <w:tcW w:w="761" w:type="dxa"/>
            <w:tcMar>
              <w:top w:w="57" w:type="dxa"/>
              <w:left w:w="57" w:type="dxa"/>
              <w:bottom w:w="57" w:type="dxa"/>
              <w:right w:w="57" w:type="dxa"/>
            </w:tcMar>
            <w:vAlign w:val="center"/>
          </w:tcPr>
          <w:p w14:paraId="6CE4F795" w14:textId="77777777" w:rsidR="00D52D46" w:rsidRPr="00013BDC" w:rsidRDefault="00D52D46" w:rsidP="00D52D46">
            <w:pPr>
              <w:spacing w:after="0"/>
              <w:rPr>
                <w:noProof/>
                <w:sz w:val="20"/>
                <w:szCs w:val="20"/>
                <w:lang w:val="en-IE"/>
              </w:rPr>
            </w:pPr>
          </w:p>
        </w:tc>
        <w:tc>
          <w:tcPr>
            <w:tcW w:w="1206" w:type="dxa"/>
            <w:tcBorders>
              <w:right w:val="double" w:sz="4" w:space="0" w:color="auto"/>
            </w:tcBorders>
            <w:tcMar>
              <w:top w:w="57" w:type="dxa"/>
              <w:left w:w="57" w:type="dxa"/>
              <w:bottom w:w="57" w:type="dxa"/>
              <w:right w:w="57" w:type="dxa"/>
            </w:tcMar>
            <w:vAlign w:val="center"/>
          </w:tcPr>
          <w:p w14:paraId="26FB0C43" w14:textId="77777777" w:rsidR="00D52D46" w:rsidRPr="00013BDC" w:rsidRDefault="00D52D46" w:rsidP="00D52D46">
            <w:pPr>
              <w:spacing w:after="0"/>
              <w:jc w:val="left"/>
              <w:rPr>
                <w:noProof/>
                <w:sz w:val="20"/>
                <w:szCs w:val="20"/>
                <w:lang w:val="en-IE"/>
              </w:rPr>
            </w:pPr>
            <w:r w:rsidRPr="00013BDC">
              <w:rPr>
                <w:noProof/>
                <w:sz w:val="20"/>
                <w:szCs w:val="20"/>
                <w:lang w:val="en-IE"/>
              </w:rPr>
              <w:t>Direct enforcement costs</w:t>
            </w:r>
          </w:p>
        </w:tc>
        <w:tc>
          <w:tcPr>
            <w:tcW w:w="859" w:type="dxa"/>
            <w:tcBorders>
              <w:left w:val="double" w:sz="4" w:space="0" w:color="auto"/>
            </w:tcBorders>
            <w:tcMar>
              <w:top w:w="57" w:type="dxa"/>
              <w:left w:w="57" w:type="dxa"/>
              <w:bottom w:w="57" w:type="dxa"/>
              <w:right w:w="57" w:type="dxa"/>
            </w:tcMar>
            <w:vAlign w:val="center"/>
          </w:tcPr>
          <w:p w14:paraId="08122702" w14:textId="77777777" w:rsidR="00D52D46" w:rsidRPr="00013BDC" w:rsidRDefault="00D52D46" w:rsidP="00D52D46">
            <w:pPr>
              <w:spacing w:after="0"/>
              <w:rPr>
                <w:noProof/>
                <w:sz w:val="20"/>
                <w:szCs w:val="20"/>
                <w:lang w:val="en-IE"/>
              </w:rPr>
            </w:pPr>
          </w:p>
        </w:tc>
        <w:tc>
          <w:tcPr>
            <w:tcW w:w="1086" w:type="dxa"/>
            <w:tcMar>
              <w:top w:w="57" w:type="dxa"/>
              <w:left w:w="57" w:type="dxa"/>
              <w:bottom w:w="57" w:type="dxa"/>
              <w:right w:w="57" w:type="dxa"/>
            </w:tcMar>
            <w:vAlign w:val="center"/>
          </w:tcPr>
          <w:p w14:paraId="3B6F21D6" w14:textId="77777777" w:rsidR="00D52D46" w:rsidRPr="00013BDC" w:rsidRDefault="00D52D46" w:rsidP="00D52D46">
            <w:pPr>
              <w:spacing w:after="0"/>
              <w:rPr>
                <w:noProof/>
                <w:sz w:val="20"/>
                <w:szCs w:val="20"/>
                <w:lang w:val="en-IE"/>
              </w:rPr>
            </w:pPr>
          </w:p>
        </w:tc>
        <w:tc>
          <w:tcPr>
            <w:tcW w:w="1067" w:type="dxa"/>
            <w:tcMar>
              <w:top w:w="57" w:type="dxa"/>
              <w:left w:w="57" w:type="dxa"/>
              <w:bottom w:w="57" w:type="dxa"/>
              <w:right w:w="57" w:type="dxa"/>
            </w:tcMar>
          </w:tcPr>
          <w:p w14:paraId="3171EBBB" w14:textId="77777777" w:rsidR="00D52D46" w:rsidRPr="00013BDC" w:rsidRDefault="00D52D46" w:rsidP="00D52D46">
            <w:pPr>
              <w:spacing w:after="0"/>
              <w:jc w:val="left"/>
              <w:rPr>
                <w:strike/>
                <w:noProof/>
                <w:sz w:val="20"/>
                <w:szCs w:val="20"/>
                <w:lang w:val="en-IE"/>
              </w:rPr>
            </w:pPr>
          </w:p>
        </w:tc>
        <w:tc>
          <w:tcPr>
            <w:tcW w:w="1066" w:type="dxa"/>
            <w:tcMar>
              <w:top w:w="57" w:type="dxa"/>
              <w:left w:w="57" w:type="dxa"/>
              <w:bottom w:w="57" w:type="dxa"/>
              <w:right w:w="57" w:type="dxa"/>
            </w:tcMar>
          </w:tcPr>
          <w:p w14:paraId="7A6D285E" w14:textId="56F39B7B" w:rsidR="00D52D46" w:rsidRPr="00013BDC" w:rsidRDefault="00D52D46" w:rsidP="00D52D46">
            <w:pPr>
              <w:spacing w:after="0"/>
              <w:jc w:val="left"/>
              <w:rPr>
                <w:noProof/>
                <w:sz w:val="20"/>
                <w:szCs w:val="20"/>
                <w:lang w:val="en-IE"/>
              </w:rPr>
            </w:pPr>
          </w:p>
        </w:tc>
        <w:tc>
          <w:tcPr>
            <w:tcW w:w="1297" w:type="dxa"/>
            <w:tcMar>
              <w:top w:w="57" w:type="dxa"/>
              <w:left w:w="57" w:type="dxa"/>
              <w:bottom w:w="57" w:type="dxa"/>
              <w:right w:w="57" w:type="dxa"/>
            </w:tcMar>
          </w:tcPr>
          <w:p w14:paraId="48B28A45" w14:textId="72077BC9" w:rsidR="00D52D46" w:rsidRPr="00013BDC" w:rsidRDefault="00D52D46" w:rsidP="00D52D46">
            <w:pPr>
              <w:spacing w:after="0"/>
              <w:jc w:val="left"/>
              <w:rPr>
                <w:noProof/>
                <w:sz w:val="20"/>
                <w:szCs w:val="20"/>
                <w:lang w:val="en-IE"/>
              </w:rPr>
            </w:pPr>
          </w:p>
        </w:tc>
        <w:tc>
          <w:tcPr>
            <w:tcW w:w="1800" w:type="dxa"/>
            <w:tcMar>
              <w:top w:w="57" w:type="dxa"/>
              <w:left w:w="57" w:type="dxa"/>
              <w:bottom w:w="57" w:type="dxa"/>
              <w:right w:w="57" w:type="dxa"/>
            </w:tcMar>
          </w:tcPr>
          <w:p w14:paraId="046F571B" w14:textId="351DF10F" w:rsidR="00D52D46" w:rsidRPr="00013BDC" w:rsidRDefault="00971B05" w:rsidP="00D52D46">
            <w:pPr>
              <w:spacing w:after="0"/>
              <w:jc w:val="left"/>
              <w:rPr>
                <w:noProof/>
                <w:sz w:val="20"/>
                <w:szCs w:val="20"/>
                <w:lang w:val="en-IE"/>
              </w:rPr>
            </w:pPr>
            <w:r w:rsidRPr="00013BDC">
              <w:rPr>
                <w:noProof/>
                <w:color w:val="000000"/>
                <w:sz w:val="20"/>
                <w:szCs w:val="20"/>
                <w:lang w:val="en-IE"/>
              </w:rPr>
              <w:t>4</w:t>
            </w:r>
            <w:r w:rsidR="00D52D46" w:rsidRPr="00013BDC">
              <w:rPr>
                <w:noProof/>
                <w:color w:val="000000"/>
                <w:sz w:val="20"/>
                <w:szCs w:val="20"/>
                <w:lang w:val="en-IE"/>
              </w:rPr>
              <w:t xml:space="preserve"> euro million costs of operating PRO registers and inspections</w:t>
            </w:r>
          </w:p>
        </w:tc>
      </w:tr>
      <w:tr w:rsidR="00D52D46" w:rsidRPr="00013BDC" w14:paraId="7EF9FC55" w14:textId="77777777" w:rsidTr="002905FE">
        <w:tc>
          <w:tcPr>
            <w:tcW w:w="761" w:type="dxa"/>
            <w:tcBorders>
              <w:bottom w:val="double" w:sz="4" w:space="0" w:color="auto"/>
            </w:tcBorders>
            <w:tcMar>
              <w:top w:w="57" w:type="dxa"/>
              <w:left w:w="57" w:type="dxa"/>
              <w:bottom w:w="57" w:type="dxa"/>
              <w:right w:w="57" w:type="dxa"/>
            </w:tcMar>
          </w:tcPr>
          <w:p w14:paraId="03F116E9" w14:textId="77777777" w:rsidR="00D52D46" w:rsidRPr="00013BDC" w:rsidRDefault="00D52D46" w:rsidP="00D52D46">
            <w:pPr>
              <w:spacing w:after="0"/>
              <w:rPr>
                <w:noProof/>
                <w:sz w:val="20"/>
                <w:szCs w:val="20"/>
                <w:lang w:val="en-IE"/>
              </w:rPr>
            </w:pPr>
          </w:p>
        </w:tc>
        <w:tc>
          <w:tcPr>
            <w:tcW w:w="1206" w:type="dxa"/>
            <w:tcBorders>
              <w:bottom w:val="double" w:sz="4" w:space="0" w:color="auto"/>
              <w:right w:val="double" w:sz="4" w:space="0" w:color="auto"/>
            </w:tcBorders>
            <w:tcMar>
              <w:top w:w="57" w:type="dxa"/>
              <w:left w:w="57" w:type="dxa"/>
              <w:bottom w:w="57" w:type="dxa"/>
              <w:right w:w="57" w:type="dxa"/>
            </w:tcMar>
          </w:tcPr>
          <w:p w14:paraId="5308A57C" w14:textId="77777777" w:rsidR="00D52D46" w:rsidRPr="00013BDC" w:rsidRDefault="00D52D46" w:rsidP="00D52D46">
            <w:pPr>
              <w:spacing w:after="0"/>
              <w:jc w:val="left"/>
              <w:rPr>
                <w:noProof/>
                <w:sz w:val="20"/>
                <w:szCs w:val="20"/>
                <w:lang w:val="en-IE"/>
              </w:rPr>
            </w:pPr>
            <w:r w:rsidRPr="00013BDC">
              <w:rPr>
                <w:noProof/>
                <w:sz w:val="20"/>
                <w:szCs w:val="20"/>
                <w:lang w:val="en-IE"/>
              </w:rPr>
              <w:t>Indirect costs</w:t>
            </w:r>
          </w:p>
        </w:tc>
        <w:tc>
          <w:tcPr>
            <w:tcW w:w="859" w:type="dxa"/>
            <w:tcBorders>
              <w:left w:val="double" w:sz="4" w:space="0" w:color="auto"/>
              <w:bottom w:val="double" w:sz="4" w:space="0" w:color="auto"/>
            </w:tcBorders>
            <w:tcMar>
              <w:top w:w="57" w:type="dxa"/>
              <w:left w:w="57" w:type="dxa"/>
              <w:bottom w:w="57" w:type="dxa"/>
              <w:right w:w="57" w:type="dxa"/>
            </w:tcMar>
          </w:tcPr>
          <w:p w14:paraId="0DC172C5" w14:textId="77777777" w:rsidR="00D52D46" w:rsidRPr="00013BDC" w:rsidRDefault="00D52D46" w:rsidP="00D52D46">
            <w:pPr>
              <w:spacing w:after="0"/>
              <w:rPr>
                <w:noProof/>
                <w:sz w:val="20"/>
                <w:szCs w:val="20"/>
                <w:lang w:val="en-IE"/>
              </w:rPr>
            </w:pPr>
          </w:p>
        </w:tc>
        <w:tc>
          <w:tcPr>
            <w:tcW w:w="1086" w:type="dxa"/>
            <w:tcBorders>
              <w:bottom w:val="double" w:sz="4" w:space="0" w:color="auto"/>
            </w:tcBorders>
            <w:tcMar>
              <w:top w:w="57" w:type="dxa"/>
              <w:left w:w="57" w:type="dxa"/>
              <w:bottom w:w="57" w:type="dxa"/>
              <w:right w:w="57" w:type="dxa"/>
            </w:tcMar>
          </w:tcPr>
          <w:p w14:paraId="515CB88C" w14:textId="77777777" w:rsidR="00D52D46" w:rsidRPr="00013BDC" w:rsidRDefault="00D52D46" w:rsidP="00D52D46">
            <w:pPr>
              <w:spacing w:after="0"/>
              <w:rPr>
                <w:noProof/>
                <w:sz w:val="20"/>
                <w:szCs w:val="20"/>
                <w:lang w:val="en-IE"/>
              </w:rPr>
            </w:pPr>
          </w:p>
        </w:tc>
        <w:tc>
          <w:tcPr>
            <w:tcW w:w="1067" w:type="dxa"/>
            <w:tcBorders>
              <w:bottom w:val="double" w:sz="4" w:space="0" w:color="auto"/>
            </w:tcBorders>
            <w:tcMar>
              <w:top w:w="57" w:type="dxa"/>
              <w:left w:w="57" w:type="dxa"/>
              <w:bottom w:w="57" w:type="dxa"/>
              <w:right w:w="57" w:type="dxa"/>
            </w:tcMar>
          </w:tcPr>
          <w:p w14:paraId="6D20A98D" w14:textId="77777777" w:rsidR="00D52D46" w:rsidRPr="00013BDC" w:rsidRDefault="00D52D46" w:rsidP="00D52D46">
            <w:pPr>
              <w:spacing w:after="0"/>
              <w:rPr>
                <w:noProof/>
                <w:sz w:val="20"/>
                <w:szCs w:val="20"/>
                <w:lang w:val="en-IE"/>
              </w:rPr>
            </w:pPr>
          </w:p>
        </w:tc>
        <w:tc>
          <w:tcPr>
            <w:tcW w:w="1066" w:type="dxa"/>
            <w:tcBorders>
              <w:bottom w:val="double" w:sz="4" w:space="0" w:color="auto"/>
            </w:tcBorders>
            <w:tcMar>
              <w:top w:w="57" w:type="dxa"/>
              <w:left w:w="57" w:type="dxa"/>
              <w:bottom w:w="57" w:type="dxa"/>
              <w:right w:w="57" w:type="dxa"/>
            </w:tcMar>
          </w:tcPr>
          <w:p w14:paraId="19156622" w14:textId="77777777" w:rsidR="00D52D46" w:rsidRPr="00013BDC" w:rsidRDefault="00D52D46" w:rsidP="00D52D46">
            <w:pPr>
              <w:spacing w:after="0"/>
              <w:rPr>
                <w:noProof/>
                <w:sz w:val="20"/>
                <w:szCs w:val="20"/>
                <w:lang w:val="en-IE"/>
              </w:rPr>
            </w:pPr>
          </w:p>
        </w:tc>
        <w:tc>
          <w:tcPr>
            <w:tcW w:w="1297" w:type="dxa"/>
            <w:tcBorders>
              <w:bottom w:val="double" w:sz="4" w:space="0" w:color="auto"/>
            </w:tcBorders>
            <w:tcMar>
              <w:top w:w="57" w:type="dxa"/>
              <w:left w:w="57" w:type="dxa"/>
              <w:bottom w:w="57" w:type="dxa"/>
              <w:right w:w="57" w:type="dxa"/>
            </w:tcMar>
          </w:tcPr>
          <w:p w14:paraId="64FBED02" w14:textId="77777777" w:rsidR="00D52D46" w:rsidRPr="00013BDC" w:rsidRDefault="00D52D46" w:rsidP="00D52D46">
            <w:pPr>
              <w:spacing w:after="0"/>
              <w:rPr>
                <w:noProof/>
                <w:sz w:val="20"/>
                <w:szCs w:val="20"/>
                <w:lang w:val="en-IE"/>
              </w:rPr>
            </w:pPr>
          </w:p>
        </w:tc>
        <w:tc>
          <w:tcPr>
            <w:tcW w:w="1800" w:type="dxa"/>
            <w:tcBorders>
              <w:bottom w:val="double" w:sz="4" w:space="0" w:color="auto"/>
            </w:tcBorders>
            <w:tcMar>
              <w:top w:w="57" w:type="dxa"/>
              <w:left w:w="57" w:type="dxa"/>
              <w:bottom w:w="57" w:type="dxa"/>
              <w:right w:w="57" w:type="dxa"/>
            </w:tcMar>
          </w:tcPr>
          <w:p w14:paraId="2FC04A95" w14:textId="77777777" w:rsidR="00D52D46" w:rsidRPr="00013BDC" w:rsidRDefault="00D52D46" w:rsidP="00D52D46">
            <w:pPr>
              <w:spacing w:after="0"/>
              <w:rPr>
                <w:noProof/>
                <w:sz w:val="20"/>
                <w:szCs w:val="20"/>
                <w:lang w:val="en-IE"/>
              </w:rPr>
            </w:pPr>
          </w:p>
        </w:tc>
      </w:tr>
      <w:tr w:rsidR="00D52D46" w:rsidRPr="00013BDC" w14:paraId="0BECCF3E" w14:textId="77777777" w:rsidTr="002905FE">
        <w:tc>
          <w:tcPr>
            <w:tcW w:w="9142" w:type="dxa"/>
            <w:gridSpan w:val="8"/>
            <w:shd w:val="clear" w:color="auto" w:fill="C6D9F1" w:themeFill="text2" w:themeFillTint="33"/>
            <w:tcMar>
              <w:top w:w="57" w:type="dxa"/>
              <w:left w:w="57" w:type="dxa"/>
              <w:bottom w:w="57" w:type="dxa"/>
              <w:right w:w="57" w:type="dxa"/>
            </w:tcMar>
          </w:tcPr>
          <w:p w14:paraId="575250A6" w14:textId="77777777" w:rsidR="00D52D46" w:rsidRPr="00013BDC" w:rsidRDefault="00D52D46" w:rsidP="00D52D46">
            <w:pPr>
              <w:spacing w:after="0"/>
              <w:jc w:val="center"/>
              <w:rPr>
                <w:b/>
                <w:i/>
                <w:noProof/>
                <w:sz w:val="20"/>
                <w:szCs w:val="20"/>
                <w:lang w:val="en-IE"/>
              </w:rPr>
            </w:pPr>
            <w:r w:rsidRPr="00013BDC">
              <w:rPr>
                <w:b/>
                <w:i/>
                <w:noProof/>
                <w:sz w:val="20"/>
                <w:szCs w:val="20"/>
                <w:lang w:val="en-IE"/>
              </w:rPr>
              <w:t>Costs related to the ‘one in, one out’ approach</w:t>
            </w:r>
          </w:p>
        </w:tc>
      </w:tr>
      <w:tr w:rsidR="00C046D4" w:rsidRPr="00013BDC" w14:paraId="277C5112" w14:textId="77777777" w:rsidTr="002905FE">
        <w:trPr>
          <w:trHeight w:val="637"/>
        </w:trPr>
        <w:tc>
          <w:tcPr>
            <w:tcW w:w="761" w:type="dxa"/>
            <w:tcBorders>
              <w:top w:val="double" w:sz="4" w:space="0" w:color="auto"/>
            </w:tcBorders>
            <w:tcMar>
              <w:top w:w="57" w:type="dxa"/>
              <w:left w:w="57" w:type="dxa"/>
              <w:bottom w:w="57" w:type="dxa"/>
              <w:right w:w="57" w:type="dxa"/>
            </w:tcMar>
            <w:vAlign w:val="center"/>
          </w:tcPr>
          <w:p w14:paraId="16D73652" w14:textId="77777777" w:rsidR="00D52D46" w:rsidRPr="00013BDC" w:rsidRDefault="00D52D46" w:rsidP="00D52D46">
            <w:pPr>
              <w:spacing w:after="0"/>
              <w:jc w:val="left"/>
              <w:rPr>
                <w:b/>
                <w:noProof/>
                <w:sz w:val="20"/>
                <w:szCs w:val="20"/>
                <w:lang w:val="en-IE"/>
              </w:rPr>
            </w:pPr>
            <w:r w:rsidRPr="00013BDC">
              <w:rPr>
                <w:b/>
                <w:noProof/>
                <w:sz w:val="20"/>
                <w:szCs w:val="20"/>
                <w:lang w:val="en-IE"/>
              </w:rPr>
              <w:t xml:space="preserve">Total  </w:t>
            </w:r>
          </w:p>
        </w:tc>
        <w:tc>
          <w:tcPr>
            <w:tcW w:w="1206" w:type="dxa"/>
            <w:tcBorders>
              <w:top w:val="double" w:sz="4" w:space="0" w:color="auto"/>
              <w:right w:val="double" w:sz="4" w:space="0" w:color="auto"/>
            </w:tcBorders>
            <w:tcMar>
              <w:top w:w="57" w:type="dxa"/>
              <w:left w:w="57" w:type="dxa"/>
              <w:bottom w:w="57" w:type="dxa"/>
              <w:right w:w="57" w:type="dxa"/>
            </w:tcMar>
            <w:vAlign w:val="center"/>
          </w:tcPr>
          <w:p w14:paraId="594BB57D" w14:textId="24B2DEBD" w:rsidR="00D52D46" w:rsidRPr="00013BDC" w:rsidRDefault="00D52D46" w:rsidP="00D52D46">
            <w:pPr>
              <w:spacing w:after="0"/>
              <w:jc w:val="left"/>
              <w:rPr>
                <w:noProof/>
                <w:sz w:val="20"/>
                <w:szCs w:val="20"/>
                <w:lang w:val="en-IE"/>
              </w:rPr>
            </w:pPr>
            <w:r w:rsidRPr="00013BDC">
              <w:rPr>
                <w:noProof/>
                <w:sz w:val="20"/>
                <w:szCs w:val="20"/>
                <w:lang w:val="en-IE"/>
              </w:rPr>
              <w:t xml:space="preserve">Direct adjustment costs </w:t>
            </w:r>
          </w:p>
        </w:tc>
        <w:tc>
          <w:tcPr>
            <w:tcW w:w="859" w:type="dxa"/>
            <w:tcBorders>
              <w:top w:val="double" w:sz="4" w:space="0" w:color="auto"/>
              <w:left w:val="double" w:sz="4" w:space="0" w:color="auto"/>
            </w:tcBorders>
            <w:tcMar>
              <w:top w:w="57" w:type="dxa"/>
              <w:left w:w="57" w:type="dxa"/>
              <w:bottom w:w="57" w:type="dxa"/>
              <w:right w:w="57" w:type="dxa"/>
            </w:tcMar>
          </w:tcPr>
          <w:p w14:paraId="75A72BB0" w14:textId="77777777" w:rsidR="00E867E1" w:rsidRPr="00013BDC" w:rsidRDefault="00E867E1" w:rsidP="00E867E1">
            <w:pPr>
              <w:spacing w:after="0"/>
              <w:rPr>
                <w:noProof/>
                <w:sz w:val="20"/>
                <w:szCs w:val="20"/>
                <w:lang w:val="en-IE"/>
              </w:rPr>
            </w:pPr>
            <w:r w:rsidRPr="00013BDC">
              <w:rPr>
                <w:noProof/>
                <w:sz w:val="20"/>
                <w:szCs w:val="20"/>
                <w:lang w:val="en-IE"/>
              </w:rPr>
              <w:t>Note that the one-off and recurring costs identified for businesses in this row may instead fall upon citizens and consumers through increased prices for textile goods in circumstances where EPR costs are added to textile good prices</w:t>
            </w:r>
          </w:p>
          <w:p w14:paraId="487E641C" w14:textId="77777777" w:rsidR="00D52D46" w:rsidRPr="00013BDC" w:rsidRDefault="00D52D46" w:rsidP="00D52D46">
            <w:pPr>
              <w:spacing w:after="0"/>
              <w:rPr>
                <w:noProof/>
                <w:sz w:val="20"/>
                <w:szCs w:val="20"/>
                <w:lang w:val="en-IE"/>
              </w:rPr>
            </w:pPr>
          </w:p>
        </w:tc>
        <w:tc>
          <w:tcPr>
            <w:tcW w:w="1086" w:type="dxa"/>
            <w:tcBorders>
              <w:top w:val="double" w:sz="4" w:space="0" w:color="auto"/>
            </w:tcBorders>
            <w:tcMar>
              <w:top w:w="57" w:type="dxa"/>
              <w:left w:w="57" w:type="dxa"/>
              <w:bottom w:w="57" w:type="dxa"/>
              <w:right w:w="57" w:type="dxa"/>
            </w:tcMar>
          </w:tcPr>
          <w:p w14:paraId="6592C5FF" w14:textId="77777777" w:rsidR="00E867E1" w:rsidRPr="00013BDC" w:rsidRDefault="00E867E1" w:rsidP="00E867E1">
            <w:pPr>
              <w:spacing w:after="0"/>
              <w:rPr>
                <w:noProof/>
                <w:sz w:val="20"/>
                <w:szCs w:val="20"/>
                <w:lang w:val="en-IE"/>
              </w:rPr>
            </w:pPr>
            <w:r w:rsidRPr="00013BDC">
              <w:rPr>
                <w:noProof/>
                <w:sz w:val="20"/>
                <w:szCs w:val="20"/>
                <w:lang w:val="en-IE"/>
              </w:rPr>
              <w:t>Note that the one-off and recurring costs identified for businesses in this row may instead fall upon citizens and consumers through increased prices for textile goods in circumstances where EPR costs are added to textile good prices</w:t>
            </w:r>
          </w:p>
          <w:p w14:paraId="33D36EFF" w14:textId="77777777" w:rsidR="00D52D46" w:rsidRPr="00013BDC" w:rsidRDefault="00D52D46" w:rsidP="00D52D46">
            <w:pPr>
              <w:spacing w:after="0"/>
              <w:rPr>
                <w:noProof/>
                <w:sz w:val="20"/>
                <w:szCs w:val="20"/>
                <w:lang w:val="en-IE"/>
              </w:rPr>
            </w:pPr>
          </w:p>
        </w:tc>
        <w:tc>
          <w:tcPr>
            <w:tcW w:w="1067" w:type="dxa"/>
            <w:tcBorders>
              <w:top w:val="double" w:sz="4" w:space="0" w:color="auto"/>
            </w:tcBorders>
            <w:tcMar>
              <w:top w:w="57" w:type="dxa"/>
              <w:left w:w="57" w:type="dxa"/>
              <w:bottom w:w="57" w:type="dxa"/>
              <w:right w:w="57" w:type="dxa"/>
            </w:tcMar>
          </w:tcPr>
          <w:p w14:paraId="41274306" w14:textId="23E01A05" w:rsidR="00D52D46" w:rsidRPr="00013BDC" w:rsidRDefault="00D52D46" w:rsidP="00D52D46">
            <w:pPr>
              <w:spacing w:after="0"/>
              <w:jc w:val="left"/>
              <w:rPr>
                <w:noProof/>
                <w:sz w:val="20"/>
                <w:szCs w:val="20"/>
                <w:lang w:val="en-IE"/>
              </w:rPr>
            </w:pPr>
            <w:r w:rsidRPr="00013BDC">
              <w:rPr>
                <w:noProof/>
                <w:sz w:val="20"/>
                <w:szCs w:val="20"/>
                <w:lang w:val="en-IE"/>
              </w:rPr>
              <w:t>Revision of waste management permits, where necessary to adapt to the new regulatory requirements.</w:t>
            </w:r>
          </w:p>
          <w:p w14:paraId="51560AE5" w14:textId="046688BC" w:rsidR="00D52D46" w:rsidRPr="00013BDC" w:rsidRDefault="00D52D46" w:rsidP="00D52D46">
            <w:pPr>
              <w:spacing w:after="0"/>
              <w:rPr>
                <w:noProof/>
                <w:sz w:val="20"/>
                <w:szCs w:val="20"/>
                <w:lang w:val="en-IE"/>
              </w:rPr>
            </w:pPr>
          </w:p>
        </w:tc>
        <w:tc>
          <w:tcPr>
            <w:tcW w:w="1066" w:type="dxa"/>
            <w:tcBorders>
              <w:top w:val="double" w:sz="4" w:space="0" w:color="auto"/>
            </w:tcBorders>
            <w:tcMar>
              <w:top w:w="57" w:type="dxa"/>
              <w:left w:w="57" w:type="dxa"/>
              <w:bottom w:w="57" w:type="dxa"/>
              <w:right w:w="57" w:type="dxa"/>
            </w:tcMar>
          </w:tcPr>
          <w:p w14:paraId="1C0D5E86" w14:textId="1CDF2E84" w:rsidR="00D52D46" w:rsidRPr="00013BDC" w:rsidRDefault="00E867E1" w:rsidP="00D52D46">
            <w:pPr>
              <w:spacing w:after="120" w:line="240" w:lineRule="atLeast"/>
              <w:jc w:val="left"/>
              <w:rPr>
                <w:noProof/>
                <w:color w:val="000000"/>
                <w:sz w:val="20"/>
                <w:szCs w:val="20"/>
                <w:lang w:val="en-IE"/>
              </w:rPr>
            </w:pPr>
            <w:r w:rsidRPr="00013BDC">
              <w:rPr>
                <w:noProof/>
                <w:color w:val="000000" w:themeColor="text1"/>
                <w:sz w:val="20"/>
                <w:szCs w:val="20"/>
                <w:lang w:val="en-IE"/>
              </w:rPr>
              <w:t>970</w:t>
            </w:r>
            <w:r w:rsidR="00D52D46" w:rsidRPr="00013BDC">
              <w:rPr>
                <w:noProof/>
                <w:color w:val="000000" w:themeColor="text1"/>
                <w:sz w:val="20"/>
                <w:szCs w:val="20"/>
                <w:lang w:val="en-IE"/>
              </w:rPr>
              <w:t xml:space="preserve"> million euro per year sorting and treatment costs</w:t>
            </w:r>
          </w:p>
          <w:p w14:paraId="6CECE05C" w14:textId="046688BC" w:rsidR="00D52D46" w:rsidRPr="00013BDC" w:rsidRDefault="00D52D46" w:rsidP="00D52D46">
            <w:pPr>
              <w:spacing w:after="0"/>
              <w:rPr>
                <w:noProof/>
                <w:sz w:val="20"/>
                <w:szCs w:val="20"/>
                <w:lang w:val="en-IE"/>
              </w:rPr>
            </w:pPr>
          </w:p>
        </w:tc>
        <w:tc>
          <w:tcPr>
            <w:tcW w:w="1297" w:type="dxa"/>
            <w:tcBorders>
              <w:top w:val="double" w:sz="4" w:space="0" w:color="auto"/>
              <w:bottom w:val="double" w:sz="4" w:space="0" w:color="auto"/>
              <w:tl2br w:val="double" w:sz="4" w:space="0" w:color="auto"/>
            </w:tcBorders>
            <w:tcMar>
              <w:top w:w="57" w:type="dxa"/>
              <w:left w:w="57" w:type="dxa"/>
              <w:bottom w:w="57" w:type="dxa"/>
              <w:right w:w="57" w:type="dxa"/>
            </w:tcMar>
          </w:tcPr>
          <w:p w14:paraId="56681C36" w14:textId="77777777" w:rsidR="00D52D46" w:rsidRPr="00013BDC" w:rsidRDefault="00D52D46" w:rsidP="00D52D46">
            <w:pPr>
              <w:spacing w:after="0"/>
              <w:rPr>
                <w:noProof/>
                <w:sz w:val="20"/>
                <w:szCs w:val="20"/>
                <w:lang w:val="en-IE"/>
              </w:rPr>
            </w:pPr>
          </w:p>
        </w:tc>
        <w:tc>
          <w:tcPr>
            <w:tcW w:w="1800" w:type="dxa"/>
            <w:tcBorders>
              <w:top w:val="double" w:sz="4" w:space="0" w:color="auto"/>
              <w:bottom w:val="double" w:sz="4" w:space="0" w:color="auto"/>
              <w:tl2br w:val="double" w:sz="4" w:space="0" w:color="auto"/>
            </w:tcBorders>
            <w:tcMar>
              <w:top w:w="57" w:type="dxa"/>
              <w:left w:w="57" w:type="dxa"/>
              <w:bottom w:w="57" w:type="dxa"/>
              <w:right w:w="57" w:type="dxa"/>
            </w:tcMar>
          </w:tcPr>
          <w:p w14:paraId="730F27F2" w14:textId="77777777" w:rsidR="00D52D46" w:rsidRPr="00013BDC" w:rsidRDefault="00D52D46" w:rsidP="00D52D46">
            <w:pPr>
              <w:spacing w:after="0"/>
              <w:rPr>
                <w:noProof/>
                <w:sz w:val="20"/>
                <w:szCs w:val="20"/>
                <w:lang w:val="en-IE"/>
              </w:rPr>
            </w:pPr>
          </w:p>
        </w:tc>
      </w:tr>
      <w:tr w:rsidR="00D52D46" w:rsidRPr="00013BDC" w14:paraId="6500384E" w14:textId="77777777" w:rsidTr="002905FE">
        <w:trPr>
          <w:trHeight w:val="544"/>
        </w:trPr>
        <w:tc>
          <w:tcPr>
            <w:tcW w:w="761" w:type="dxa"/>
            <w:tcMar>
              <w:top w:w="57" w:type="dxa"/>
              <w:left w:w="57" w:type="dxa"/>
              <w:bottom w:w="57" w:type="dxa"/>
              <w:right w:w="57" w:type="dxa"/>
            </w:tcMar>
          </w:tcPr>
          <w:p w14:paraId="673EF794" w14:textId="77777777" w:rsidR="00D52D46" w:rsidRPr="00013BDC" w:rsidRDefault="00D52D46" w:rsidP="00D52D46">
            <w:pPr>
              <w:spacing w:after="0"/>
              <w:rPr>
                <w:noProof/>
                <w:sz w:val="20"/>
                <w:szCs w:val="20"/>
                <w:lang w:val="en-IE"/>
              </w:rPr>
            </w:pPr>
          </w:p>
        </w:tc>
        <w:tc>
          <w:tcPr>
            <w:tcW w:w="1206" w:type="dxa"/>
            <w:tcBorders>
              <w:right w:val="double" w:sz="4" w:space="0" w:color="auto"/>
            </w:tcBorders>
            <w:tcMar>
              <w:top w:w="57" w:type="dxa"/>
              <w:left w:w="57" w:type="dxa"/>
              <w:bottom w:w="57" w:type="dxa"/>
              <w:right w:w="57" w:type="dxa"/>
            </w:tcMar>
          </w:tcPr>
          <w:p w14:paraId="75ACD303" w14:textId="77777777" w:rsidR="00D52D46" w:rsidRPr="00013BDC" w:rsidRDefault="00D52D46" w:rsidP="00D52D46">
            <w:pPr>
              <w:spacing w:after="0"/>
              <w:jc w:val="left"/>
              <w:rPr>
                <w:noProof/>
                <w:sz w:val="20"/>
                <w:szCs w:val="20"/>
                <w:lang w:val="en-IE"/>
              </w:rPr>
            </w:pPr>
            <w:r w:rsidRPr="00013BDC">
              <w:rPr>
                <w:noProof/>
                <w:sz w:val="20"/>
                <w:szCs w:val="20"/>
                <w:lang w:val="en-IE"/>
              </w:rPr>
              <w:t>Indirect adjustment costs</w:t>
            </w:r>
          </w:p>
        </w:tc>
        <w:tc>
          <w:tcPr>
            <w:tcW w:w="859" w:type="dxa"/>
            <w:tcBorders>
              <w:left w:val="double" w:sz="4" w:space="0" w:color="auto"/>
            </w:tcBorders>
            <w:tcMar>
              <w:top w:w="57" w:type="dxa"/>
              <w:left w:w="57" w:type="dxa"/>
              <w:bottom w:w="57" w:type="dxa"/>
              <w:right w:w="57" w:type="dxa"/>
            </w:tcMar>
          </w:tcPr>
          <w:p w14:paraId="022809AA" w14:textId="77777777" w:rsidR="00D52D46" w:rsidRPr="00013BDC" w:rsidRDefault="00D52D46" w:rsidP="00D52D46">
            <w:pPr>
              <w:spacing w:after="0"/>
              <w:rPr>
                <w:noProof/>
                <w:sz w:val="20"/>
                <w:szCs w:val="20"/>
                <w:lang w:val="en-IE"/>
              </w:rPr>
            </w:pPr>
          </w:p>
        </w:tc>
        <w:tc>
          <w:tcPr>
            <w:tcW w:w="1086" w:type="dxa"/>
            <w:tcMar>
              <w:top w:w="57" w:type="dxa"/>
              <w:left w:w="57" w:type="dxa"/>
              <w:bottom w:w="57" w:type="dxa"/>
              <w:right w:w="57" w:type="dxa"/>
            </w:tcMar>
          </w:tcPr>
          <w:p w14:paraId="55075DB4" w14:textId="77777777" w:rsidR="00D52D46" w:rsidRPr="00013BDC" w:rsidRDefault="00D52D46" w:rsidP="00D52D46">
            <w:pPr>
              <w:spacing w:after="0"/>
              <w:rPr>
                <w:noProof/>
                <w:sz w:val="20"/>
                <w:szCs w:val="20"/>
                <w:lang w:val="en-IE"/>
              </w:rPr>
            </w:pPr>
          </w:p>
        </w:tc>
        <w:tc>
          <w:tcPr>
            <w:tcW w:w="1067" w:type="dxa"/>
            <w:tcMar>
              <w:top w:w="57" w:type="dxa"/>
              <w:left w:w="57" w:type="dxa"/>
              <w:bottom w:w="57" w:type="dxa"/>
              <w:right w:w="57" w:type="dxa"/>
            </w:tcMar>
          </w:tcPr>
          <w:p w14:paraId="16A29CE9" w14:textId="77777777" w:rsidR="00D52D46" w:rsidRPr="00013BDC" w:rsidRDefault="00D52D46" w:rsidP="00D52D46">
            <w:pPr>
              <w:spacing w:after="0"/>
              <w:rPr>
                <w:noProof/>
                <w:sz w:val="20"/>
                <w:szCs w:val="20"/>
                <w:lang w:val="en-IE"/>
              </w:rPr>
            </w:pPr>
          </w:p>
        </w:tc>
        <w:tc>
          <w:tcPr>
            <w:tcW w:w="1066" w:type="dxa"/>
            <w:tcMar>
              <w:top w:w="57" w:type="dxa"/>
              <w:left w:w="57" w:type="dxa"/>
              <w:bottom w:w="57" w:type="dxa"/>
              <w:right w:w="57" w:type="dxa"/>
            </w:tcMar>
          </w:tcPr>
          <w:p w14:paraId="776A4AF1" w14:textId="77777777" w:rsidR="00D52D46" w:rsidRPr="00013BDC" w:rsidRDefault="00D52D46" w:rsidP="00D52D46">
            <w:pPr>
              <w:spacing w:after="0"/>
              <w:rPr>
                <w:noProof/>
                <w:sz w:val="20"/>
                <w:szCs w:val="20"/>
                <w:lang w:val="en-IE"/>
              </w:rPr>
            </w:pPr>
          </w:p>
        </w:tc>
        <w:tc>
          <w:tcPr>
            <w:tcW w:w="1297" w:type="dxa"/>
            <w:tcBorders>
              <w:top w:val="double" w:sz="4" w:space="0" w:color="auto"/>
              <w:bottom w:val="double" w:sz="4" w:space="0" w:color="auto"/>
              <w:tl2br w:val="double" w:sz="4" w:space="0" w:color="auto"/>
            </w:tcBorders>
            <w:tcMar>
              <w:top w:w="57" w:type="dxa"/>
              <w:left w:w="57" w:type="dxa"/>
              <w:bottom w:w="57" w:type="dxa"/>
              <w:right w:w="57" w:type="dxa"/>
            </w:tcMar>
          </w:tcPr>
          <w:p w14:paraId="43C9F783" w14:textId="77777777" w:rsidR="00D52D46" w:rsidRPr="00013BDC" w:rsidRDefault="00D52D46" w:rsidP="00D52D46">
            <w:pPr>
              <w:spacing w:after="0"/>
              <w:rPr>
                <w:noProof/>
                <w:sz w:val="20"/>
                <w:szCs w:val="20"/>
                <w:lang w:val="en-IE"/>
              </w:rPr>
            </w:pPr>
          </w:p>
        </w:tc>
        <w:tc>
          <w:tcPr>
            <w:tcW w:w="1800" w:type="dxa"/>
            <w:tcBorders>
              <w:top w:val="double" w:sz="4" w:space="0" w:color="auto"/>
              <w:bottom w:val="double" w:sz="4" w:space="0" w:color="auto"/>
              <w:tl2br w:val="double" w:sz="4" w:space="0" w:color="auto"/>
            </w:tcBorders>
            <w:tcMar>
              <w:top w:w="57" w:type="dxa"/>
              <w:left w:w="57" w:type="dxa"/>
              <w:bottom w:w="57" w:type="dxa"/>
              <w:right w:w="57" w:type="dxa"/>
            </w:tcMar>
          </w:tcPr>
          <w:p w14:paraId="36292F16" w14:textId="77777777" w:rsidR="00D52D46" w:rsidRPr="00013BDC" w:rsidRDefault="00D52D46" w:rsidP="00D52D46">
            <w:pPr>
              <w:spacing w:after="0"/>
              <w:rPr>
                <w:noProof/>
                <w:sz w:val="20"/>
                <w:szCs w:val="20"/>
                <w:lang w:val="en-IE"/>
              </w:rPr>
            </w:pPr>
          </w:p>
        </w:tc>
      </w:tr>
      <w:tr w:rsidR="00D52D46" w:rsidRPr="00013BDC" w14:paraId="02F2EACB" w14:textId="77777777" w:rsidTr="002905FE">
        <w:tc>
          <w:tcPr>
            <w:tcW w:w="761" w:type="dxa"/>
            <w:tcMar>
              <w:top w:w="57" w:type="dxa"/>
              <w:left w:w="57" w:type="dxa"/>
              <w:bottom w:w="57" w:type="dxa"/>
              <w:right w:w="57" w:type="dxa"/>
            </w:tcMar>
          </w:tcPr>
          <w:p w14:paraId="547CF5F5" w14:textId="77777777" w:rsidR="00D52D46" w:rsidRPr="00013BDC" w:rsidRDefault="00D52D46" w:rsidP="00D52D46">
            <w:pPr>
              <w:spacing w:after="0"/>
              <w:rPr>
                <w:noProof/>
                <w:sz w:val="20"/>
                <w:szCs w:val="20"/>
                <w:lang w:val="en-IE"/>
              </w:rPr>
            </w:pPr>
          </w:p>
        </w:tc>
        <w:tc>
          <w:tcPr>
            <w:tcW w:w="1206" w:type="dxa"/>
            <w:tcBorders>
              <w:right w:val="double" w:sz="4" w:space="0" w:color="auto"/>
            </w:tcBorders>
            <w:tcMar>
              <w:top w:w="57" w:type="dxa"/>
              <w:left w:w="57" w:type="dxa"/>
              <w:bottom w:w="57" w:type="dxa"/>
              <w:right w:w="57" w:type="dxa"/>
            </w:tcMar>
          </w:tcPr>
          <w:p w14:paraId="58F487E0" w14:textId="77777777" w:rsidR="00D52D46" w:rsidRPr="00013BDC" w:rsidRDefault="00D52D46" w:rsidP="00D52D46">
            <w:pPr>
              <w:spacing w:after="0"/>
              <w:jc w:val="left"/>
              <w:rPr>
                <w:noProof/>
                <w:sz w:val="20"/>
                <w:szCs w:val="20"/>
                <w:lang w:val="en-IE"/>
              </w:rPr>
            </w:pPr>
            <w:r w:rsidRPr="00013BDC">
              <w:rPr>
                <w:noProof/>
                <w:sz w:val="20"/>
                <w:szCs w:val="20"/>
                <w:lang w:val="en-IE"/>
              </w:rPr>
              <w:t>Administrative costs (for offsetting)</w:t>
            </w:r>
          </w:p>
        </w:tc>
        <w:tc>
          <w:tcPr>
            <w:tcW w:w="859" w:type="dxa"/>
            <w:tcBorders>
              <w:left w:val="double" w:sz="4" w:space="0" w:color="auto"/>
            </w:tcBorders>
            <w:tcMar>
              <w:top w:w="57" w:type="dxa"/>
              <w:left w:w="57" w:type="dxa"/>
              <w:bottom w:w="57" w:type="dxa"/>
              <w:right w:w="57" w:type="dxa"/>
            </w:tcMar>
          </w:tcPr>
          <w:p w14:paraId="74992B52" w14:textId="77777777" w:rsidR="00E867E1" w:rsidRPr="00013BDC" w:rsidRDefault="00E867E1" w:rsidP="00E867E1">
            <w:pPr>
              <w:spacing w:after="0"/>
              <w:rPr>
                <w:noProof/>
                <w:sz w:val="20"/>
                <w:szCs w:val="20"/>
                <w:lang w:val="en-IE"/>
              </w:rPr>
            </w:pPr>
            <w:r w:rsidRPr="00013BDC">
              <w:rPr>
                <w:noProof/>
                <w:sz w:val="20"/>
                <w:szCs w:val="20"/>
                <w:lang w:val="en-IE"/>
              </w:rPr>
              <w:t>Note that the one-off and recurring costs identified for businesses in this row may instead fall upon citizens and consumers through increased prices for textile goods in circumstances where EPR costs are added to textile good prices</w:t>
            </w:r>
          </w:p>
          <w:p w14:paraId="380D8E57" w14:textId="77777777" w:rsidR="00D52D46" w:rsidRPr="00013BDC" w:rsidRDefault="00D52D46" w:rsidP="00D52D46">
            <w:pPr>
              <w:spacing w:after="0"/>
              <w:rPr>
                <w:noProof/>
                <w:sz w:val="20"/>
                <w:szCs w:val="20"/>
                <w:lang w:val="en-IE"/>
              </w:rPr>
            </w:pPr>
          </w:p>
        </w:tc>
        <w:tc>
          <w:tcPr>
            <w:tcW w:w="1086" w:type="dxa"/>
            <w:tcMar>
              <w:top w:w="57" w:type="dxa"/>
              <w:left w:w="57" w:type="dxa"/>
              <w:bottom w:w="57" w:type="dxa"/>
              <w:right w:w="57" w:type="dxa"/>
            </w:tcMar>
          </w:tcPr>
          <w:p w14:paraId="2FA3DCAA" w14:textId="77777777" w:rsidR="00E867E1" w:rsidRPr="00013BDC" w:rsidRDefault="00E867E1" w:rsidP="00E867E1">
            <w:pPr>
              <w:spacing w:after="0"/>
              <w:rPr>
                <w:noProof/>
                <w:sz w:val="20"/>
                <w:szCs w:val="20"/>
                <w:lang w:val="en-IE"/>
              </w:rPr>
            </w:pPr>
            <w:r w:rsidRPr="00013BDC">
              <w:rPr>
                <w:noProof/>
                <w:sz w:val="20"/>
                <w:szCs w:val="20"/>
                <w:lang w:val="en-IE"/>
              </w:rPr>
              <w:t>Note that the one-off and recurring costs identified for businesses in this row may instead fall upon citizens and consumers through increased prices for textile goods in circumstances where EPR costs are added to textile good prices</w:t>
            </w:r>
          </w:p>
          <w:p w14:paraId="7B1A8402" w14:textId="77777777" w:rsidR="00D52D46" w:rsidRPr="00013BDC" w:rsidRDefault="00D52D46" w:rsidP="00D52D46">
            <w:pPr>
              <w:spacing w:after="0"/>
              <w:rPr>
                <w:noProof/>
                <w:sz w:val="20"/>
                <w:szCs w:val="20"/>
                <w:lang w:val="en-IE"/>
              </w:rPr>
            </w:pPr>
          </w:p>
        </w:tc>
        <w:tc>
          <w:tcPr>
            <w:tcW w:w="1067" w:type="dxa"/>
            <w:tcMar>
              <w:top w:w="57" w:type="dxa"/>
              <w:left w:w="57" w:type="dxa"/>
              <w:bottom w:w="57" w:type="dxa"/>
              <w:right w:w="57" w:type="dxa"/>
            </w:tcMar>
          </w:tcPr>
          <w:p w14:paraId="434729DA" w14:textId="338FAECF" w:rsidR="00D52D46" w:rsidRPr="00013BDC" w:rsidRDefault="00D52D46" w:rsidP="00D52D46">
            <w:pPr>
              <w:spacing w:after="0"/>
              <w:rPr>
                <w:noProof/>
                <w:sz w:val="20"/>
                <w:szCs w:val="20"/>
                <w:lang w:val="en-IE"/>
              </w:rPr>
            </w:pPr>
            <w:r w:rsidRPr="00013BDC">
              <w:rPr>
                <w:noProof/>
                <w:sz w:val="20"/>
                <w:szCs w:val="20"/>
                <w:lang w:val="en-IE"/>
              </w:rPr>
              <w:t>Cost of registering in a producer register and a PRO.</w:t>
            </w:r>
          </w:p>
        </w:tc>
        <w:tc>
          <w:tcPr>
            <w:tcW w:w="1066" w:type="dxa"/>
            <w:tcMar>
              <w:top w:w="57" w:type="dxa"/>
              <w:left w:w="57" w:type="dxa"/>
              <w:bottom w:w="57" w:type="dxa"/>
              <w:right w:w="57" w:type="dxa"/>
            </w:tcMar>
          </w:tcPr>
          <w:p w14:paraId="5A5040FD" w14:textId="4A0FC9B2" w:rsidR="00D52D46" w:rsidRPr="00013BDC" w:rsidRDefault="00971B05" w:rsidP="00D52D46">
            <w:pPr>
              <w:spacing w:after="120" w:line="240" w:lineRule="atLeast"/>
              <w:jc w:val="left"/>
              <w:rPr>
                <w:noProof/>
                <w:color w:val="000000"/>
                <w:sz w:val="20"/>
                <w:szCs w:val="20"/>
                <w:lang w:val="en-IE"/>
              </w:rPr>
            </w:pPr>
            <w:r w:rsidRPr="00013BDC">
              <w:rPr>
                <w:noProof/>
                <w:color w:val="000000" w:themeColor="text1"/>
                <w:sz w:val="20"/>
                <w:szCs w:val="20"/>
                <w:lang w:val="en-IE"/>
              </w:rPr>
              <w:t>6.8</w:t>
            </w:r>
            <w:r w:rsidR="00D52D46" w:rsidRPr="00013BDC">
              <w:rPr>
                <w:noProof/>
                <w:color w:val="000000" w:themeColor="text1"/>
                <w:sz w:val="20"/>
                <w:szCs w:val="20"/>
                <w:lang w:val="en-IE"/>
              </w:rPr>
              <w:t>M euro for reporting of products PoM and eco-modulation data</w:t>
            </w:r>
          </w:p>
          <w:p w14:paraId="53DA2132" w14:textId="77777777" w:rsidR="00D52D46" w:rsidRPr="00013BDC" w:rsidRDefault="00D52D46" w:rsidP="00D52D46">
            <w:pPr>
              <w:spacing w:after="120" w:line="240" w:lineRule="atLeast"/>
              <w:jc w:val="left"/>
              <w:rPr>
                <w:noProof/>
                <w:color w:val="000000"/>
                <w:sz w:val="20"/>
                <w:szCs w:val="20"/>
                <w:lang w:val="en-IE"/>
              </w:rPr>
            </w:pPr>
            <w:r w:rsidRPr="00013BDC">
              <w:rPr>
                <w:noProof/>
                <w:color w:val="000000" w:themeColor="text1"/>
                <w:sz w:val="20"/>
                <w:szCs w:val="20"/>
                <w:lang w:val="en-IE"/>
              </w:rPr>
              <w:t>747K euro per year for additional reporting by waste management operators</w:t>
            </w:r>
          </w:p>
          <w:p w14:paraId="72385B98" w14:textId="5AB98728" w:rsidR="00D52D46" w:rsidRPr="00013BDC" w:rsidRDefault="00971B05" w:rsidP="00D52D46">
            <w:pPr>
              <w:spacing w:after="120" w:line="240" w:lineRule="atLeast"/>
              <w:jc w:val="left"/>
              <w:rPr>
                <w:noProof/>
                <w:color w:val="000000"/>
                <w:sz w:val="20"/>
                <w:szCs w:val="20"/>
                <w:lang w:val="en-IE"/>
              </w:rPr>
            </w:pPr>
            <w:r w:rsidRPr="00013BDC">
              <w:rPr>
                <w:noProof/>
                <w:color w:val="000000" w:themeColor="text1"/>
                <w:sz w:val="20"/>
                <w:szCs w:val="20"/>
                <w:lang w:val="en-IE"/>
              </w:rPr>
              <w:t>1M</w:t>
            </w:r>
            <w:r w:rsidR="00D52D46" w:rsidRPr="00013BDC">
              <w:rPr>
                <w:noProof/>
                <w:color w:val="000000" w:themeColor="text1"/>
                <w:sz w:val="20"/>
                <w:szCs w:val="20"/>
                <w:lang w:val="en-IE"/>
              </w:rPr>
              <w:t xml:space="preserve"> euro per year for producers to assist PROs</w:t>
            </w:r>
          </w:p>
          <w:p w14:paraId="771ECDA7" w14:textId="77777777" w:rsidR="00D52D46" w:rsidRPr="00013BDC" w:rsidRDefault="00D52D46" w:rsidP="00D52D46">
            <w:pPr>
              <w:spacing w:after="120" w:line="240" w:lineRule="atLeast"/>
              <w:jc w:val="left"/>
              <w:rPr>
                <w:noProof/>
                <w:color w:val="000000"/>
                <w:sz w:val="20"/>
                <w:szCs w:val="20"/>
                <w:lang w:val="en-IE"/>
              </w:rPr>
            </w:pPr>
            <w:r w:rsidRPr="00013BDC">
              <w:rPr>
                <w:noProof/>
                <w:color w:val="000000" w:themeColor="text1"/>
                <w:sz w:val="20"/>
                <w:szCs w:val="20"/>
                <w:lang w:val="en-IE"/>
              </w:rPr>
              <w:t xml:space="preserve">300K for exporters </w:t>
            </w:r>
          </w:p>
          <w:p w14:paraId="1C1D640B" w14:textId="2A31F9FE" w:rsidR="00D52D46" w:rsidRPr="00013BDC" w:rsidRDefault="00D52D46" w:rsidP="00D52D46">
            <w:pPr>
              <w:spacing w:after="0"/>
              <w:rPr>
                <w:noProof/>
                <w:sz w:val="20"/>
                <w:lang w:val="en-IE"/>
              </w:rPr>
            </w:pPr>
          </w:p>
        </w:tc>
        <w:tc>
          <w:tcPr>
            <w:tcW w:w="1297" w:type="dxa"/>
            <w:tcBorders>
              <w:top w:val="single" w:sz="4" w:space="0" w:color="auto"/>
              <w:bottom w:val="double" w:sz="4" w:space="0" w:color="auto"/>
              <w:tl2br w:val="double" w:sz="4" w:space="0" w:color="auto"/>
            </w:tcBorders>
            <w:tcMar>
              <w:top w:w="57" w:type="dxa"/>
              <w:left w:w="57" w:type="dxa"/>
              <w:bottom w:w="57" w:type="dxa"/>
              <w:right w:w="57" w:type="dxa"/>
            </w:tcMar>
          </w:tcPr>
          <w:p w14:paraId="2E93B74A" w14:textId="77777777" w:rsidR="00D52D46" w:rsidRPr="00013BDC" w:rsidRDefault="00D52D46" w:rsidP="00D52D46">
            <w:pPr>
              <w:spacing w:after="0"/>
              <w:rPr>
                <w:noProof/>
                <w:sz w:val="20"/>
                <w:lang w:val="en-IE"/>
              </w:rPr>
            </w:pPr>
          </w:p>
        </w:tc>
        <w:tc>
          <w:tcPr>
            <w:tcW w:w="1800" w:type="dxa"/>
            <w:tcBorders>
              <w:top w:val="single" w:sz="4" w:space="0" w:color="auto"/>
              <w:bottom w:val="double" w:sz="4" w:space="0" w:color="auto"/>
              <w:tl2br w:val="double" w:sz="4" w:space="0" w:color="auto"/>
            </w:tcBorders>
            <w:tcMar>
              <w:top w:w="57" w:type="dxa"/>
              <w:left w:w="57" w:type="dxa"/>
              <w:bottom w:w="57" w:type="dxa"/>
              <w:right w:w="57" w:type="dxa"/>
            </w:tcMar>
          </w:tcPr>
          <w:p w14:paraId="73EB5BAF" w14:textId="77777777" w:rsidR="00D52D46" w:rsidRPr="00013BDC" w:rsidRDefault="00D52D46" w:rsidP="00D52D46">
            <w:pPr>
              <w:spacing w:after="0"/>
              <w:rPr>
                <w:noProof/>
                <w:sz w:val="20"/>
                <w:lang w:val="en-IE"/>
              </w:rPr>
            </w:pPr>
          </w:p>
        </w:tc>
      </w:tr>
    </w:tbl>
    <w:p w14:paraId="755E3186" w14:textId="77777777" w:rsidR="00E319C2" w:rsidRPr="00013BDC" w:rsidRDefault="00E319C2" w:rsidP="001B1E6E">
      <w:pPr>
        <w:rPr>
          <w:i/>
          <w:noProof/>
          <w:sz w:val="20"/>
          <w:lang w:val="en-IE"/>
        </w:rPr>
      </w:pPr>
      <w:r w:rsidRPr="00013BDC">
        <w:rPr>
          <w:i/>
          <w:noProof/>
          <w:sz w:val="20"/>
          <w:lang w:val="en-IE"/>
        </w:rPr>
        <w:t xml:space="preserve">(1) Estimates (gross values) to be provided with respect to the baseline; (2) costs are provided for each identifiable action/obligation of the </w:t>
      </w:r>
      <w:r w:rsidRPr="00013BDC">
        <w:rPr>
          <w:i/>
          <w:noProof/>
          <w:sz w:val="20"/>
          <w:u w:val="single"/>
          <w:lang w:val="en-IE"/>
        </w:rPr>
        <w:t>preferred</w:t>
      </w:r>
      <w:r w:rsidRPr="00013BDC">
        <w:rPr>
          <w:i/>
          <w:noProof/>
          <w:sz w:val="20"/>
          <w:lang w:val="en-IE"/>
        </w:rPr>
        <w:t xml:space="preserve"> option otherwise for all retained options when no preferred option is specified; (3) If relevant and available, please present information on costs according to the standard typology of costs (adjustment costs, administrative costs, regulatory charges, enforcement costs, indirect costs;). (4) Administrative costs for offsetting as explained in Tool #58 and #59 of the ‘better regulation’ toolbox. The total adjustment costs should equal the sum of the adjustment costs presented in the upper part of the table (whenever they are quantifiable and/or can be monetised). Measures taken with a view to compensate adjustment costs to the greatest extent possible are presented in the section of the impact assessment report presenting the preferred option.</w:t>
      </w:r>
    </w:p>
    <w:p w14:paraId="75166DAE" w14:textId="05330431" w:rsidR="005A22E8" w:rsidRPr="00013BDC" w:rsidRDefault="00F64258" w:rsidP="00F64258">
      <w:pPr>
        <w:pStyle w:val="Heading2"/>
        <w:rPr>
          <w:noProof/>
          <w:lang w:val="en-IE"/>
        </w:rPr>
      </w:pPr>
      <w:bookmarkStart w:id="190" w:name="_Toc126923237"/>
      <w:bookmarkStart w:id="191" w:name="_Toc127017617"/>
      <w:bookmarkStart w:id="192" w:name="_Toc1030813879"/>
      <w:bookmarkStart w:id="193" w:name="_Toc1186566023"/>
      <w:bookmarkStart w:id="194" w:name="_Toc753081776"/>
      <w:bookmarkStart w:id="195" w:name="_Toc1352478213"/>
      <w:bookmarkStart w:id="196" w:name="_Toc1303219884"/>
      <w:bookmarkStart w:id="197" w:name="_Toc232444989"/>
      <w:bookmarkStart w:id="198" w:name="_Toc972944076"/>
      <w:bookmarkStart w:id="199" w:name="_Toc164398570"/>
      <w:bookmarkStart w:id="200" w:name="_Toc139032943"/>
      <w:bookmarkStart w:id="201" w:name="_Toc120782540"/>
      <w:bookmarkEnd w:id="190"/>
      <w:bookmarkEnd w:id="191"/>
      <w:r w:rsidRPr="00F64258">
        <w:t>4-</w:t>
      </w:r>
      <w:r w:rsidRPr="00F64258">
        <w:tab/>
      </w:r>
      <w:r w:rsidR="005A22E8" w:rsidRPr="00013BDC">
        <w:rPr>
          <w:noProof/>
          <w:lang w:val="en-IE"/>
        </w:rPr>
        <w:t>Practical implications of the initiative for food waste</w:t>
      </w:r>
      <w:bookmarkEnd w:id="192"/>
      <w:bookmarkEnd w:id="193"/>
      <w:bookmarkEnd w:id="194"/>
      <w:bookmarkEnd w:id="195"/>
      <w:bookmarkEnd w:id="196"/>
      <w:bookmarkEnd w:id="197"/>
      <w:bookmarkEnd w:id="198"/>
      <w:bookmarkEnd w:id="199"/>
      <w:bookmarkEnd w:id="200"/>
      <w:r w:rsidR="005A22E8" w:rsidRPr="00013BDC">
        <w:rPr>
          <w:noProof/>
          <w:lang w:val="en-IE"/>
        </w:rPr>
        <w:t xml:space="preserve"> </w:t>
      </w:r>
    </w:p>
    <w:p w14:paraId="1FBD37FF" w14:textId="72B6FD46" w:rsidR="0000623E" w:rsidRPr="00013BDC" w:rsidRDefault="0000623E" w:rsidP="00EE3951">
      <w:pPr>
        <w:pStyle w:val="Text2"/>
        <w:spacing w:after="120"/>
        <w:ind w:left="10"/>
        <w:rPr>
          <w:b/>
          <w:noProof/>
          <w:lang w:val="en-IE"/>
        </w:rPr>
      </w:pPr>
      <w:bookmarkStart w:id="202" w:name="_Toc124777285"/>
      <w:r w:rsidRPr="00013BDC">
        <w:rPr>
          <w:b/>
          <w:noProof/>
          <w:lang w:val="en-IE"/>
        </w:rPr>
        <w:t>Competent authorities</w:t>
      </w:r>
    </w:p>
    <w:p w14:paraId="3919E8B6" w14:textId="5830CD13" w:rsidR="0000623E" w:rsidRPr="00013BDC" w:rsidRDefault="0000623E" w:rsidP="0000623E">
      <w:pPr>
        <w:spacing w:before="120" w:after="120"/>
        <w:ind w:left="10" w:hanging="10"/>
        <w:rPr>
          <w:noProof/>
          <w:lang w:val="en-IE"/>
        </w:rPr>
      </w:pPr>
      <w:r w:rsidRPr="00013BDC">
        <w:rPr>
          <w:noProof/>
          <w:lang w:val="en-IE"/>
        </w:rPr>
        <w:t xml:space="preserve">The first affected stakeholders will be public authorities. They will have to review their existing food waste prevention programmes and decides if the measures included there are sufficient to meet the food waste reduction targets. While the initiative does not set any new obligations on Member States, meeting the targets would require more effective implementation of current rules. </w:t>
      </w:r>
      <w:r w:rsidRPr="00013BDC">
        <w:rPr>
          <w:rFonts w:eastAsia="Times New Roman"/>
          <w:noProof/>
          <w:color w:val="000000" w:themeColor="text1"/>
          <w:lang w:val="en-IE"/>
        </w:rPr>
        <w:t xml:space="preserve">In order to meet the targets, Member States will need to implement efficient food waste reduction strategies. Key components of such strategies would include carrying out a food waste diagnosis; defining and implementing actions required to address the major hotspots identified; national coordination of efforts by public and private stakeholders and regular assessment of progress made. Competent authorities will be expected to help coordinate efforts of stakeholders in the food chain as well as will be key in helping in education and awareness raising. </w:t>
      </w:r>
      <w:r w:rsidRPr="00013BDC">
        <w:rPr>
          <w:noProof/>
          <w:lang w:val="en-IE"/>
        </w:rPr>
        <w:t>Examples of measures taken by Member States so far are described in Annex 7. Exact scope of actions will depend on national situation and decisions to be taken by Member States.</w:t>
      </w:r>
    </w:p>
    <w:p w14:paraId="32015500" w14:textId="77777777" w:rsidR="0000623E" w:rsidRPr="00013BDC" w:rsidRDefault="0000623E" w:rsidP="0000623E">
      <w:pPr>
        <w:pStyle w:val="Text2"/>
        <w:spacing w:after="120"/>
        <w:ind w:left="0"/>
        <w:rPr>
          <w:b/>
          <w:noProof/>
          <w:lang w:val="en-IE"/>
        </w:rPr>
      </w:pPr>
      <w:r w:rsidRPr="00013BDC">
        <w:rPr>
          <w:b/>
          <w:noProof/>
          <w:lang w:val="en-IE"/>
        </w:rPr>
        <w:t>Food business operators</w:t>
      </w:r>
    </w:p>
    <w:p w14:paraId="7826B464" w14:textId="64A5B4E0" w:rsidR="0000623E" w:rsidRPr="00013BDC" w:rsidRDefault="0000623E" w:rsidP="00EE3951">
      <w:pPr>
        <w:pStyle w:val="Text2"/>
        <w:spacing w:after="120"/>
        <w:ind w:left="0"/>
        <w:rPr>
          <w:noProof/>
          <w:lang w:val="en-IE"/>
        </w:rPr>
      </w:pPr>
      <w:r w:rsidRPr="00013BDC">
        <w:rPr>
          <w:noProof/>
          <w:lang w:val="en-IE"/>
        </w:rPr>
        <w:t>May be requested to review their operations with a view to search for opportunities to reduce food waste by organisational, technical or social innovations. Business organisations may be requested to participate in different cooperative forms (e.g.</w:t>
      </w:r>
      <w:r w:rsidR="00D52D46" w:rsidRPr="00013BDC">
        <w:rPr>
          <w:noProof/>
          <w:lang w:val="en-IE"/>
        </w:rPr>
        <w:t>,</w:t>
      </w:r>
      <w:r w:rsidRPr="00013BDC">
        <w:rPr>
          <w:noProof/>
          <w:lang w:val="en-IE"/>
        </w:rPr>
        <w:t xml:space="preserve"> voluntary agreements, platforms) to improve communication and collaboration along the food supply chain. Measures taken so far by Member States was of voluntary and supporting character. Reduction of food waste may in longer term impact the incomes of food producers (e.g.</w:t>
      </w:r>
      <w:r w:rsidR="00D52D46" w:rsidRPr="00013BDC">
        <w:rPr>
          <w:noProof/>
          <w:lang w:val="en-IE"/>
        </w:rPr>
        <w:t>,</w:t>
      </w:r>
      <w:r w:rsidRPr="00013BDC">
        <w:rPr>
          <w:noProof/>
          <w:lang w:val="en-IE"/>
        </w:rPr>
        <w:t xml:space="preserve"> farmers) and sector of food processing and manufacturing. More details is included in the Annex 11 – section on economic impacts. On the other hand, reduction of food wastage in their operations should improve their profits and competitiveness.</w:t>
      </w:r>
    </w:p>
    <w:p w14:paraId="7FE366E5" w14:textId="04B437EA" w:rsidR="0000623E" w:rsidRPr="00013BDC" w:rsidRDefault="0000623E" w:rsidP="006E65A2">
      <w:pPr>
        <w:pStyle w:val="Text2"/>
        <w:spacing w:after="120"/>
        <w:ind w:left="0"/>
        <w:rPr>
          <w:b/>
          <w:noProof/>
          <w:lang w:val="en-IE"/>
        </w:rPr>
      </w:pPr>
      <w:r w:rsidRPr="00013BDC">
        <w:rPr>
          <w:b/>
          <w:noProof/>
          <w:lang w:val="en-IE"/>
        </w:rPr>
        <w:t>The public</w:t>
      </w:r>
    </w:p>
    <w:p w14:paraId="6878E86F" w14:textId="53F49E42" w:rsidR="0000623E" w:rsidRPr="00013BDC" w:rsidRDefault="0000623E" w:rsidP="00EE3951">
      <w:pPr>
        <w:pStyle w:val="Text2"/>
        <w:spacing w:after="120"/>
        <w:ind w:left="0"/>
        <w:rPr>
          <w:noProof/>
          <w:lang w:val="en-IE"/>
        </w:rPr>
      </w:pPr>
      <w:r w:rsidRPr="00013BDC">
        <w:rPr>
          <w:noProof/>
          <w:lang w:val="en-IE"/>
        </w:rPr>
        <w:t>The public should be better informed about practical way to reduce food waste as well as issues of systemic impacts of food in general. By reduction of food waste households are expected to reduce their spending on food which was not consumed and use these either for food of better quality or for other purposes. Food waste reduction may be linked to some inconveniences (e.g. more attention to food preparation, more trips to the supermarket, less choice at the close of shopping etc.).</w:t>
      </w:r>
    </w:p>
    <w:p w14:paraId="0179DF5E" w14:textId="77777777" w:rsidR="0000623E" w:rsidRPr="00013BDC" w:rsidRDefault="0000623E" w:rsidP="0000623E">
      <w:pPr>
        <w:pStyle w:val="Text2"/>
        <w:spacing w:after="120"/>
        <w:ind w:left="0"/>
        <w:rPr>
          <w:b/>
          <w:noProof/>
          <w:lang w:val="en-IE"/>
        </w:rPr>
      </w:pPr>
      <w:r w:rsidRPr="00013BDC">
        <w:rPr>
          <w:b/>
          <w:noProof/>
          <w:lang w:val="en-IE"/>
        </w:rPr>
        <w:t xml:space="preserve">Waste management enterprises </w:t>
      </w:r>
    </w:p>
    <w:p w14:paraId="3B7AC1FC" w14:textId="77777777" w:rsidR="0000623E" w:rsidRPr="00013BDC" w:rsidRDefault="0000623E" w:rsidP="00EE3951">
      <w:pPr>
        <w:pStyle w:val="Text2"/>
        <w:spacing w:after="120"/>
        <w:ind w:left="0"/>
        <w:rPr>
          <w:noProof/>
          <w:lang w:val="en-IE"/>
        </w:rPr>
      </w:pPr>
      <w:r w:rsidRPr="00013BDC">
        <w:rPr>
          <w:noProof/>
          <w:lang w:val="en-IE"/>
        </w:rPr>
        <w:t xml:space="preserve">In longer term reduction of food waste, especially at consumer level, is expected to reduce amount of waste destined for recycling. This may be partly compensated by recycling of food waste which are currently landfilled or incinerated, which is expected to be supported by obligation of separate collection of biowaste, entering info force from 31 December 2023. </w:t>
      </w:r>
    </w:p>
    <w:p w14:paraId="6F70BA29" w14:textId="77777777" w:rsidR="0000623E" w:rsidRPr="00013BDC" w:rsidRDefault="0000623E" w:rsidP="006E65A2">
      <w:pPr>
        <w:pStyle w:val="Text2"/>
        <w:spacing w:after="120"/>
        <w:ind w:left="0"/>
        <w:rPr>
          <w:b/>
          <w:noProof/>
          <w:lang w:val="en-IE"/>
        </w:rPr>
      </w:pPr>
      <w:r w:rsidRPr="00013BDC">
        <w:rPr>
          <w:b/>
          <w:noProof/>
          <w:lang w:val="en-IE"/>
        </w:rPr>
        <w:t>Other</w:t>
      </w:r>
    </w:p>
    <w:p w14:paraId="52A2A57D" w14:textId="4A8CB4B9" w:rsidR="0000623E" w:rsidRPr="00013BDC" w:rsidRDefault="0000623E" w:rsidP="0000623E">
      <w:pPr>
        <w:pStyle w:val="Text2"/>
        <w:ind w:left="0"/>
        <w:rPr>
          <w:noProof/>
          <w:lang w:val="en-IE"/>
        </w:rPr>
      </w:pPr>
      <w:r w:rsidRPr="00013BDC">
        <w:rPr>
          <w:noProof/>
          <w:lang w:val="en-IE"/>
        </w:rPr>
        <w:t>The European Commission will be required to continue support to Member States in practical implementation of food waste policies and measures and in the sharing of best practice between Member States, in particular via the EU Platform on Food Losses and Food Waste and knowledge development (e.g.</w:t>
      </w:r>
      <w:r w:rsidR="002F263E" w:rsidRPr="00013BDC">
        <w:rPr>
          <w:noProof/>
          <w:lang w:val="en-IE"/>
        </w:rPr>
        <w:t>,</w:t>
      </w:r>
      <w:r w:rsidRPr="00013BDC">
        <w:rPr>
          <w:noProof/>
          <w:lang w:val="en-IE"/>
        </w:rPr>
        <w:t xml:space="preserve"> dedicated Horizon Europe projects, European Consumer Food Waste Forum, etc). The support will also include dedicated grants already envisaged under Single Market Programme.</w:t>
      </w:r>
    </w:p>
    <w:p w14:paraId="36C79033" w14:textId="22FDFF2C" w:rsidR="0000623E" w:rsidRPr="00013BDC" w:rsidRDefault="00F64258" w:rsidP="00F64258">
      <w:pPr>
        <w:pStyle w:val="Heading2"/>
        <w:rPr>
          <w:noProof/>
          <w:lang w:val="en-IE"/>
        </w:rPr>
      </w:pPr>
      <w:bookmarkStart w:id="203" w:name="_Toc684265231"/>
      <w:bookmarkStart w:id="204" w:name="_Toc1952135593"/>
      <w:bookmarkStart w:id="205" w:name="_Toc1433854353"/>
      <w:bookmarkStart w:id="206" w:name="_Toc1830162009"/>
      <w:bookmarkStart w:id="207" w:name="_Toc1196067031"/>
      <w:bookmarkStart w:id="208" w:name="_Toc1056982442"/>
      <w:bookmarkStart w:id="209" w:name="_Toc1299507821"/>
      <w:bookmarkStart w:id="210" w:name="_Toc1450084397"/>
      <w:bookmarkStart w:id="211" w:name="_Toc139032944"/>
      <w:r w:rsidRPr="00F64258">
        <w:t>5-</w:t>
      </w:r>
      <w:r w:rsidRPr="00F64258">
        <w:tab/>
      </w:r>
      <w:r w:rsidR="0000623E" w:rsidRPr="00013BDC">
        <w:rPr>
          <w:noProof/>
          <w:lang w:val="en-IE"/>
        </w:rPr>
        <w:t>Summary of costs and benefits for food waste</w:t>
      </w:r>
      <w:bookmarkEnd w:id="203"/>
      <w:bookmarkEnd w:id="204"/>
      <w:bookmarkEnd w:id="205"/>
      <w:bookmarkEnd w:id="206"/>
      <w:bookmarkEnd w:id="207"/>
      <w:bookmarkEnd w:id="208"/>
      <w:bookmarkEnd w:id="209"/>
      <w:bookmarkEnd w:id="210"/>
      <w:bookmarkEnd w:id="211"/>
    </w:p>
    <w:p w14:paraId="18F32589" w14:textId="1E502491" w:rsidR="00A41134" w:rsidRPr="00013BDC" w:rsidRDefault="00A41134" w:rsidP="00A41134">
      <w:pPr>
        <w:pStyle w:val="Caption"/>
        <w:rPr>
          <w:noProof/>
          <w:color w:val="auto"/>
          <w:sz w:val="24"/>
          <w:szCs w:val="24"/>
          <w:lang w:val="en-IE"/>
        </w:rPr>
      </w:pPr>
      <w:bookmarkStart w:id="212" w:name="_Toc133229413"/>
      <w:bookmarkStart w:id="213" w:name="_Toc139033034"/>
      <w:r w:rsidRPr="00013BDC">
        <w:rPr>
          <w:noProof/>
          <w:color w:val="auto"/>
          <w:sz w:val="24"/>
          <w:szCs w:val="24"/>
          <w:lang w:val="en-IE"/>
        </w:rPr>
        <w:t xml:space="preserve">Table </w:t>
      </w:r>
      <w:r w:rsidR="004C5576">
        <w:rPr>
          <w:noProof/>
          <w:color w:val="auto"/>
          <w:sz w:val="24"/>
          <w:szCs w:val="24"/>
        </w:rPr>
        <w:t>4</w:t>
      </w:r>
      <w:r w:rsidRPr="00013BDC">
        <w:rPr>
          <w:noProof/>
          <w:color w:val="auto"/>
          <w:sz w:val="24"/>
          <w:szCs w:val="24"/>
          <w:lang w:val="en-IE"/>
        </w:rPr>
        <w:t xml:space="preserve"> – Overview of Benefits of the Preferred Option</w:t>
      </w:r>
      <w:bookmarkEnd w:id="212"/>
      <w:bookmarkEnd w:id="213"/>
    </w:p>
    <w:tbl>
      <w:tblPr>
        <w:tblW w:w="10076" w:type="dxa"/>
        <w:tblInd w:w="-5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1"/>
        <w:gridCol w:w="3976"/>
        <w:gridCol w:w="3619"/>
      </w:tblGrid>
      <w:tr w:rsidR="0000623E" w:rsidRPr="00013BDC" w14:paraId="026BD565" w14:textId="77777777">
        <w:trPr>
          <w:trHeight w:val="300"/>
        </w:trPr>
        <w:tc>
          <w:tcPr>
            <w:tcW w:w="10076" w:type="dxa"/>
            <w:gridSpan w:val="3"/>
            <w:tcBorders>
              <w:top w:val="double" w:sz="6" w:space="0" w:color="auto"/>
              <w:left w:val="double" w:sz="6" w:space="0" w:color="auto"/>
              <w:bottom w:val="single" w:sz="6" w:space="0" w:color="auto"/>
              <w:right w:val="double" w:sz="6" w:space="0" w:color="auto"/>
            </w:tcBorders>
            <w:shd w:val="clear" w:color="auto" w:fill="D5DCE4"/>
            <w:hideMark/>
          </w:tcPr>
          <w:p w14:paraId="32946823"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b/>
                <w:noProof/>
                <w:sz w:val="20"/>
                <w:szCs w:val="20"/>
                <w:lang w:val="en-IE" w:eastAsia="en-IE"/>
              </w:rPr>
              <w:t>I. Overview of Benefits (total for all provisions) – Preferred Option</w:t>
            </w:r>
            <w:r w:rsidRPr="00013BDC">
              <w:rPr>
                <w:rFonts w:eastAsia="Times New Roman"/>
                <w:noProof/>
                <w:sz w:val="20"/>
                <w:szCs w:val="20"/>
                <w:lang w:val="en-IE" w:eastAsia="en-IE"/>
              </w:rPr>
              <w:t> </w:t>
            </w:r>
          </w:p>
        </w:tc>
      </w:tr>
      <w:tr w:rsidR="0000623E" w:rsidRPr="00013BDC" w14:paraId="5257C2D1" w14:textId="77777777">
        <w:trPr>
          <w:trHeight w:val="300"/>
        </w:trPr>
        <w:tc>
          <w:tcPr>
            <w:tcW w:w="2481" w:type="dxa"/>
            <w:tcBorders>
              <w:top w:val="single" w:sz="6" w:space="0" w:color="auto"/>
              <w:left w:val="double" w:sz="6" w:space="0" w:color="auto"/>
              <w:bottom w:val="single" w:sz="6" w:space="0" w:color="auto"/>
              <w:right w:val="single" w:sz="6" w:space="0" w:color="auto"/>
            </w:tcBorders>
            <w:shd w:val="clear" w:color="auto" w:fill="D5DCE4"/>
            <w:hideMark/>
          </w:tcPr>
          <w:p w14:paraId="7DE62C86" w14:textId="77777777" w:rsidR="0000623E" w:rsidRPr="00013BDC" w:rsidRDefault="0000623E">
            <w:pPr>
              <w:spacing w:after="0"/>
              <w:jc w:val="center"/>
              <w:textAlignment w:val="baseline"/>
              <w:rPr>
                <w:rFonts w:eastAsia="Times New Roman"/>
                <w:noProof/>
                <w:lang w:val="en-IE" w:eastAsia="en-IE"/>
              </w:rPr>
            </w:pPr>
            <w:r w:rsidRPr="00013BDC">
              <w:rPr>
                <w:rFonts w:eastAsia="Times New Roman"/>
                <w:b/>
                <w:i/>
                <w:noProof/>
                <w:sz w:val="20"/>
                <w:szCs w:val="20"/>
                <w:lang w:val="en-IE" w:eastAsia="en-IE"/>
              </w:rPr>
              <w:t>Description</w:t>
            </w:r>
            <w:r w:rsidRPr="00013BDC">
              <w:rPr>
                <w:rFonts w:eastAsia="Times New Roman"/>
                <w:noProof/>
                <w:sz w:val="20"/>
                <w:szCs w:val="20"/>
                <w:lang w:val="en-IE" w:eastAsia="en-IE"/>
              </w:rPr>
              <w:t> </w:t>
            </w:r>
          </w:p>
        </w:tc>
        <w:tc>
          <w:tcPr>
            <w:tcW w:w="3976" w:type="dxa"/>
            <w:tcBorders>
              <w:top w:val="single" w:sz="6" w:space="0" w:color="auto"/>
              <w:left w:val="single" w:sz="6" w:space="0" w:color="auto"/>
              <w:bottom w:val="single" w:sz="6" w:space="0" w:color="auto"/>
              <w:right w:val="single" w:sz="6" w:space="0" w:color="auto"/>
            </w:tcBorders>
            <w:shd w:val="clear" w:color="auto" w:fill="D5DCE4"/>
            <w:hideMark/>
          </w:tcPr>
          <w:p w14:paraId="024710AA" w14:textId="77777777" w:rsidR="0000623E" w:rsidRPr="00013BDC" w:rsidRDefault="0000623E">
            <w:pPr>
              <w:spacing w:after="0"/>
              <w:jc w:val="center"/>
              <w:textAlignment w:val="baseline"/>
              <w:rPr>
                <w:rFonts w:eastAsia="Times New Roman"/>
                <w:noProof/>
                <w:lang w:val="en-IE" w:eastAsia="en-IE"/>
              </w:rPr>
            </w:pPr>
            <w:r w:rsidRPr="00013BDC">
              <w:rPr>
                <w:rFonts w:eastAsia="Times New Roman"/>
                <w:b/>
                <w:i/>
                <w:noProof/>
                <w:sz w:val="20"/>
                <w:szCs w:val="20"/>
                <w:lang w:val="en-IE" w:eastAsia="en-IE"/>
              </w:rPr>
              <w:t>Amount</w:t>
            </w:r>
            <w:r w:rsidRPr="00013BDC">
              <w:rPr>
                <w:rFonts w:eastAsia="Times New Roman"/>
                <w:noProof/>
                <w:sz w:val="20"/>
                <w:szCs w:val="20"/>
                <w:lang w:val="en-IE" w:eastAsia="en-IE"/>
              </w:rPr>
              <w:t> </w:t>
            </w:r>
          </w:p>
        </w:tc>
        <w:tc>
          <w:tcPr>
            <w:tcW w:w="3619" w:type="dxa"/>
            <w:tcBorders>
              <w:top w:val="single" w:sz="6" w:space="0" w:color="auto"/>
              <w:left w:val="single" w:sz="6" w:space="0" w:color="auto"/>
              <w:bottom w:val="single" w:sz="6" w:space="0" w:color="auto"/>
              <w:right w:val="double" w:sz="6" w:space="0" w:color="auto"/>
            </w:tcBorders>
            <w:shd w:val="clear" w:color="auto" w:fill="D5DCE4"/>
            <w:hideMark/>
          </w:tcPr>
          <w:p w14:paraId="7B56F73C" w14:textId="77777777" w:rsidR="0000623E" w:rsidRPr="00013BDC" w:rsidRDefault="0000623E">
            <w:pPr>
              <w:spacing w:after="0"/>
              <w:jc w:val="center"/>
              <w:textAlignment w:val="baseline"/>
              <w:rPr>
                <w:rFonts w:eastAsia="Times New Roman"/>
                <w:noProof/>
                <w:lang w:val="en-IE" w:eastAsia="en-IE"/>
              </w:rPr>
            </w:pPr>
            <w:r w:rsidRPr="00013BDC">
              <w:rPr>
                <w:rFonts w:eastAsia="Times New Roman"/>
                <w:b/>
                <w:i/>
                <w:noProof/>
                <w:sz w:val="20"/>
                <w:szCs w:val="20"/>
                <w:lang w:val="en-IE" w:eastAsia="en-IE"/>
              </w:rPr>
              <w:t>Comments</w:t>
            </w:r>
            <w:r w:rsidRPr="00013BDC">
              <w:rPr>
                <w:rFonts w:eastAsia="Times New Roman"/>
                <w:noProof/>
                <w:sz w:val="20"/>
                <w:szCs w:val="20"/>
                <w:lang w:val="en-IE" w:eastAsia="en-IE"/>
              </w:rPr>
              <w:t> </w:t>
            </w:r>
          </w:p>
        </w:tc>
      </w:tr>
      <w:tr w:rsidR="0000623E" w:rsidRPr="00013BDC" w14:paraId="38C755B8" w14:textId="77777777">
        <w:trPr>
          <w:trHeight w:val="300"/>
        </w:trPr>
        <w:tc>
          <w:tcPr>
            <w:tcW w:w="10076" w:type="dxa"/>
            <w:gridSpan w:val="3"/>
            <w:tcBorders>
              <w:top w:val="double" w:sz="6" w:space="0" w:color="auto"/>
              <w:left w:val="double" w:sz="6" w:space="0" w:color="auto"/>
              <w:bottom w:val="single" w:sz="6" w:space="0" w:color="auto"/>
              <w:right w:val="double" w:sz="6" w:space="0" w:color="auto"/>
            </w:tcBorders>
            <w:shd w:val="clear" w:color="auto" w:fill="F2F2F2"/>
            <w:hideMark/>
          </w:tcPr>
          <w:p w14:paraId="0BD9ACD0" w14:textId="77777777" w:rsidR="0000623E" w:rsidRPr="00013BDC" w:rsidRDefault="0000623E">
            <w:pPr>
              <w:spacing w:after="0"/>
              <w:jc w:val="center"/>
              <w:textAlignment w:val="baseline"/>
              <w:rPr>
                <w:rFonts w:eastAsia="Times New Roman"/>
                <w:noProof/>
                <w:lang w:val="en-IE" w:eastAsia="en-IE"/>
              </w:rPr>
            </w:pPr>
            <w:r w:rsidRPr="00013BDC">
              <w:rPr>
                <w:rFonts w:eastAsia="Times New Roman"/>
                <w:b/>
                <w:i/>
                <w:noProof/>
                <w:sz w:val="20"/>
                <w:szCs w:val="20"/>
                <w:lang w:val="en-IE" w:eastAsia="en-IE"/>
              </w:rPr>
              <w:t>Direct benefits</w:t>
            </w:r>
            <w:r w:rsidRPr="00013BDC">
              <w:rPr>
                <w:rFonts w:eastAsia="Times New Roman"/>
                <w:noProof/>
                <w:sz w:val="20"/>
                <w:szCs w:val="20"/>
                <w:lang w:val="en-IE" w:eastAsia="en-IE"/>
              </w:rPr>
              <w:t> </w:t>
            </w:r>
          </w:p>
        </w:tc>
      </w:tr>
      <w:tr w:rsidR="0000623E" w:rsidRPr="00013BDC" w14:paraId="305AECAA"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5230497C"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Reduced climate change impact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21800B7E" w14:textId="1323FF10"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xml:space="preserve">Up to </w:t>
            </w:r>
            <w:r w:rsidR="00E83937" w:rsidRPr="00013BDC">
              <w:rPr>
                <w:rFonts w:eastAsia="Times New Roman"/>
                <w:noProof/>
                <w:sz w:val="20"/>
                <w:szCs w:val="20"/>
                <w:lang w:val="en-IE" w:eastAsia="en-IE"/>
              </w:rPr>
              <w:t xml:space="preserve">62 </w:t>
            </w:r>
            <w:r w:rsidR="002F263E" w:rsidRPr="00013BDC">
              <w:rPr>
                <w:rFonts w:eastAsia="Times New Roman"/>
                <w:noProof/>
                <w:sz w:val="20"/>
                <w:szCs w:val="20"/>
                <w:lang w:val="en-IE" w:eastAsia="en-IE"/>
              </w:rPr>
              <w:t>m</w:t>
            </w:r>
            <w:r w:rsidRPr="00013BDC">
              <w:rPr>
                <w:rFonts w:eastAsia="Times New Roman"/>
                <w:noProof/>
                <w:sz w:val="20"/>
                <w:szCs w:val="20"/>
                <w:lang w:val="en-IE" w:eastAsia="en-IE"/>
              </w:rPr>
              <w:t>illion tCO2eq avoided emissions, when calculated with footprint bottom-up analysis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48459466"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This does not include the rebound effect.  </w:t>
            </w:r>
          </w:p>
        </w:tc>
      </w:tr>
      <w:tr w:rsidR="0000623E" w:rsidRPr="00013BDC" w14:paraId="72F1BA11"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2B3606E8"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Reduced land use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52B3C141"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Food consumption land footprint reduced by 2%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5509C5AF"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As calculated with the MAGNET model.  </w:t>
            </w:r>
          </w:p>
        </w:tc>
      </w:tr>
      <w:tr w:rsidR="0000623E" w:rsidRPr="00013BDC" w14:paraId="4CDBBAC4"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3E7C02CE"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Reduced impacts on soil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36847094"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Impacts on soil due to land use of the food system reduced by 4%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11DFAC25"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As calculated with the bottom-up analysis </w:t>
            </w:r>
          </w:p>
        </w:tc>
      </w:tr>
      <w:tr w:rsidR="0000623E" w:rsidRPr="00013BDC" w14:paraId="7905ADD5"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2498DB4E"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Reduced impacts on water </w:t>
            </w:r>
          </w:p>
          <w:p w14:paraId="1721FA9B"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0D97D9CA" w14:textId="66FCD131"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xml:space="preserve">Impacts caused by water use of the food system reduced by </w:t>
            </w:r>
            <w:r w:rsidR="00E12BFC" w:rsidRPr="00013BDC">
              <w:rPr>
                <w:rFonts w:eastAsia="Times New Roman"/>
                <w:noProof/>
                <w:sz w:val="20"/>
                <w:szCs w:val="20"/>
                <w:lang w:val="en-IE" w:eastAsia="en-IE"/>
              </w:rPr>
              <w:t>3</w:t>
            </w:r>
            <w:r w:rsidRPr="00013BDC">
              <w:rPr>
                <w:rFonts w:eastAsia="Times New Roman"/>
                <w:noProof/>
                <w:sz w:val="20"/>
                <w:szCs w:val="20"/>
                <w:lang w:val="en-IE" w:eastAsia="en-IE"/>
              </w:rPr>
              <w:t>% </w:t>
            </w:r>
          </w:p>
          <w:p w14:paraId="158AC6D1"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07FA0EC1"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As calculated with the bottom-up analysis </w:t>
            </w:r>
          </w:p>
          <w:p w14:paraId="1F14B8E3"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w:t>
            </w:r>
          </w:p>
        </w:tc>
      </w:tr>
      <w:tr w:rsidR="0000623E" w:rsidRPr="00013BDC" w14:paraId="562AE224"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69EACE9F"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Reduced impacts on marine eutrophication </w:t>
            </w:r>
          </w:p>
          <w:p w14:paraId="7005888B"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1F543415" w14:textId="0BF2307A"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xml:space="preserve">Impacts on marine eutrophication caused by the food system reduced by </w:t>
            </w:r>
            <w:r w:rsidR="009F4997" w:rsidRPr="00013BDC">
              <w:rPr>
                <w:rFonts w:eastAsia="Times New Roman"/>
                <w:noProof/>
                <w:sz w:val="20"/>
                <w:szCs w:val="20"/>
                <w:lang w:val="en-IE" w:eastAsia="en-IE"/>
              </w:rPr>
              <w:t>4</w:t>
            </w:r>
            <w:r w:rsidRPr="00013BDC">
              <w:rPr>
                <w:rFonts w:eastAsia="Times New Roman"/>
                <w:noProof/>
                <w:sz w:val="20"/>
                <w:szCs w:val="20"/>
                <w:lang w:val="en-IE" w:eastAsia="en-IE"/>
              </w:rPr>
              <w:t>% </w:t>
            </w:r>
          </w:p>
          <w:p w14:paraId="7C5EDF91"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5EB3CAFD"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As calculated with the bottom-up analysis </w:t>
            </w:r>
          </w:p>
          <w:p w14:paraId="327F3BEE"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w:t>
            </w:r>
          </w:p>
        </w:tc>
      </w:tr>
      <w:tr w:rsidR="0000623E" w:rsidRPr="00013BDC" w14:paraId="1B884410"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46326043"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Reduced energy consumption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15A3B45F"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Food consumption energy footprint reduced by around 680 MJ per capita per year equivalent to a 2.6% decrease.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444B65AC"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The food consumption energy footprint is calculated with MAGNET. Food waste reduction helps to reduce the demand for gas, oil and electricity.   </w:t>
            </w:r>
          </w:p>
        </w:tc>
      </w:tr>
      <w:tr w:rsidR="0000623E" w:rsidRPr="00013BDC" w14:paraId="7A023025"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55A7E5B7"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Reduced food prices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25247765"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Reduced food prices, e.g. vegetables (-2,5%) fruits (-1,5%), other food smaller reductions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03053656"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xml:space="preserve">Increased food affordability. </w:t>
            </w:r>
          </w:p>
        </w:tc>
      </w:tr>
      <w:tr w:rsidR="0000623E" w:rsidRPr="00013BDC" w14:paraId="7C750BD7"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40FDF068"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Additional income available for higher quality food or non-food consumption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68FCA503" w14:textId="65A35A31"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About 100 Euros per citizen</w:t>
            </w:r>
            <w:r w:rsidR="00A60DE3" w:rsidRPr="00013BDC">
              <w:rPr>
                <w:rFonts w:eastAsia="Times New Roman"/>
                <w:noProof/>
                <w:sz w:val="20"/>
                <w:szCs w:val="20"/>
                <w:lang w:val="en-IE" w:eastAsia="en-IE"/>
              </w:rPr>
              <w:t xml:space="preserve"> per year</w:t>
            </w:r>
            <w:r w:rsidRPr="00013BDC">
              <w:rPr>
                <w:rFonts w:eastAsia="Times New Roman"/>
                <w:noProof/>
                <w:sz w:val="20"/>
                <w:szCs w:val="20"/>
                <w:lang w:val="en-IE" w:eastAsia="en-IE"/>
              </w:rPr>
              <w:t>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3F535F1F"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The share of food expenditure in total expenditure decreases because of the lower food prices</w:t>
            </w:r>
            <w:r w:rsidRPr="00013BDC">
              <w:rPr>
                <w:rFonts w:eastAsia="Times New Roman"/>
                <w:noProof/>
                <w:color w:val="000000" w:themeColor="text1"/>
                <w:sz w:val="20"/>
                <w:szCs w:val="20"/>
                <w:lang w:val="en-IE" w:eastAsia="en-IE"/>
              </w:rPr>
              <w:t>, offering additional spending possibilities</w:t>
            </w:r>
            <w:r w:rsidRPr="00013BDC">
              <w:rPr>
                <w:rFonts w:eastAsia="Times New Roman"/>
                <w:noProof/>
                <w:sz w:val="20"/>
                <w:szCs w:val="20"/>
                <w:lang w:val="en-IE" w:eastAsia="en-IE"/>
              </w:rPr>
              <w:t>. (MAGNET) </w:t>
            </w:r>
          </w:p>
        </w:tc>
      </w:tr>
      <w:tr w:rsidR="0000623E" w:rsidRPr="00013BDC" w14:paraId="6DA0D9E4"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3154204E" w14:textId="22AE88D4"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Increase of agri</w:t>
            </w:r>
            <w:r w:rsidR="00D42216" w:rsidRPr="00013BDC">
              <w:rPr>
                <w:rFonts w:eastAsia="Times New Roman"/>
                <w:noProof/>
                <w:sz w:val="20"/>
                <w:szCs w:val="20"/>
                <w:lang w:val="en-IE" w:eastAsia="en-IE"/>
              </w:rPr>
              <w:t>-</w:t>
            </w:r>
            <w:r w:rsidRPr="00013BDC">
              <w:rPr>
                <w:rFonts w:eastAsia="Times New Roman"/>
                <w:noProof/>
                <w:sz w:val="20"/>
                <w:szCs w:val="20"/>
                <w:lang w:val="en-IE" w:eastAsia="en-IE"/>
              </w:rPr>
              <w:t>food exports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03682B14" w14:textId="164CEC61"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Extra-EU exports increase between 1 and 5 % for main agri</w:t>
            </w:r>
            <w:r w:rsidR="00D42216" w:rsidRPr="00013BDC">
              <w:rPr>
                <w:rFonts w:eastAsia="Times New Roman"/>
                <w:noProof/>
                <w:sz w:val="20"/>
                <w:szCs w:val="20"/>
                <w:lang w:val="en-IE" w:eastAsia="en-IE"/>
              </w:rPr>
              <w:t>-</w:t>
            </w:r>
            <w:r w:rsidRPr="00013BDC">
              <w:rPr>
                <w:rFonts w:eastAsia="Times New Roman"/>
                <w:noProof/>
                <w:sz w:val="20"/>
                <w:szCs w:val="20"/>
                <w:lang w:val="en-IE" w:eastAsia="en-IE"/>
              </w:rPr>
              <w:t>food commodities.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4E495078"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This increase is compensating to some extent the income loss of farmers due to the reduced demand within the EU. (MAGNET)  </w:t>
            </w:r>
          </w:p>
        </w:tc>
      </w:tr>
      <w:tr w:rsidR="0000623E" w:rsidRPr="00013BDC" w14:paraId="2D9DB87F"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4ED3F8E9" w14:textId="6FEC957C"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Less dependence for agri</w:t>
            </w:r>
            <w:r w:rsidR="00D42216" w:rsidRPr="00013BDC">
              <w:rPr>
                <w:rFonts w:eastAsia="Times New Roman"/>
                <w:noProof/>
                <w:sz w:val="20"/>
                <w:szCs w:val="20"/>
                <w:lang w:val="en-IE" w:eastAsia="en-IE"/>
              </w:rPr>
              <w:t>-</w:t>
            </w:r>
            <w:r w:rsidRPr="00013BDC">
              <w:rPr>
                <w:rFonts w:eastAsia="Times New Roman"/>
                <w:noProof/>
                <w:sz w:val="20"/>
                <w:szCs w:val="20"/>
                <w:lang w:val="en-IE" w:eastAsia="en-IE"/>
              </w:rPr>
              <w:t>food imports from world markets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3500F0DD" w14:textId="690FB8E1"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Extra-EU imports decrease between 1 and 9% for main agri</w:t>
            </w:r>
            <w:r w:rsidR="00D42216" w:rsidRPr="00013BDC">
              <w:rPr>
                <w:rFonts w:eastAsia="Times New Roman"/>
                <w:noProof/>
                <w:sz w:val="20"/>
                <w:szCs w:val="20"/>
                <w:lang w:val="en-IE" w:eastAsia="en-IE"/>
              </w:rPr>
              <w:t>-</w:t>
            </w:r>
            <w:r w:rsidRPr="00013BDC">
              <w:rPr>
                <w:rFonts w:eastAsia="Times New Roman"/>
                <w:noProof/>
                <w:sz w:val="20"/>
                <w:szCs w:val="20"/>
                <w:lang w:val="en-IE" w:eastAsia="en-IE"/>
              </w:rPr>
              <w:t>food commodities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00252F8C" w14:textId="7EE8E2E1"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Given the strategic importance of the agri</w:t>
            </w:r>
            <w:r w:rsidR="00D42216" w:rsidRPr="00013BDC">
              <w:rPr>
                <w:rFonts w:eastAsia="Times New Roman"/>
                <w:noProof/>
                <w:sz w:val="20"/>
                <w:szCs w:val="20"/>
                <w:lang w:val="en-IE" w:eastAsia="en-IE"/>
              </w:rPr>
              <w:t>-</w:t>
            </w:r>
            <w:r w:rsidRPr="00013BDC">
              <w:rPr>
                <w:rFonts w:eastAsia="Times New Roman"/>
                <w:noProof/>
                <w:sz w:val="20"/>
                <w:szCs w:val="20"/>
                <w:lang w:val="en-IE" w:eastAsia="en-IE"/>
              </w:rPr>
              <w:t>food sector, this is a contribution to strengthen the open strategic autonomy. (MAGNET) </w:t>
            </w:r>
          </w:p>
        </w:tc>
      </w:tr>
      <w:tr w:rsidR="0000623E" w:rsidRPr="00013BDC" w14:paraId="4AF06998"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16BBA12E"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Reduced waste collection and treatment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372316B0"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About 170 Euros per tonne of avoided food waste/ </w:t>
            </w:r>
          </w:p>
          <w:p w14:paraId="582A2186"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Approximately 2.2 billion Euros</w:t>
            </w:r>
            <w:r w:rsidRPr="00013BDC">
              <w:rPr>
                <w:rFonts w:eastAsia="Times New Roman"/>
                <w:strike/>
                <w:noProof/>
                <w:color w:val="000000" w:themeColor="text1"/>
                <w:sz w:val="20"/>
                <w:szCs w:val="20"/>
                <w:lang w:val="en-IE" w:eastAsia="en-IE"/>
              </w:rPr>
              <w:t>…</w:t>
            </w:r>
            <w:r w:rsidRPr="00013BDC">
              <w:rPr>
                <w:rFonts w:eastAsia="Times New Roman"/>
                <w:noProof/>
                <w:color w:val="000000" w:themeColor="text1"/>
                <w:sz w:val="20"/>
                <w:szCs w:val="20"/>
                <w:lang w:val="en-IE" w:eastAsia="en-IE"/>
              </w:rPr>
              <w:t>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6354E55F"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Estimated considering the cost to society of waste collection (including subsidies, taxes and collection) </w:t>
            </w:r>
          </w:p>
        </w:tc>
      </w:tr>
      <w:tr w:rsidR="0000623E" w:rsidRPr="00013BDC" w14:paraId="6B030C92" w14:textId="77777777">
        <w:trPr>
          <w:trHeight w:val="300"/>
        </w:trPr>
        <w:tc>
          <w:tcPr>
            <w:tcW w:w="10076" w:type="dxa"/>
            <w:gridSpan w:val="3"/>
            <w:tcBorders>
              <w:top w:val="single" w:sz="6" w:space="0" w:color="auto"/>
              <w:left w:val="double" w:sz="6" w:space="0" w:color="auto"/>
              <w:bottom w:val="single" w:sz="6" w:space="0" w:color="auto"/>
              <w:right w:val="double" w:sz="6" w:space="0" w:color="auto"/>
            </w:tcBorders>
            <w:shd w:val="clear" w:color="auto" w:fill="F2F2F2"/>
            <w:hideMark/>
          </w:tcPr>
          <w:p w14:paraId="040FBE45" w14:textId="77777777" w:rsidR="0000623E" w:rsidRPr="00013BDC" w:rsidRDefault="0000623E">
            <w:pPr>
              <w:spacing w:after="0"/>
              <w:jc w:val="center"/>
              <w:textAlignment w:val="baseline"/>
              <w:rPr>
                <w:rFonts w:eastAsia="Times New Roman"/>
                <w:noProof/>
                <w:lang w:val="en-IE" w:eastAsia="en-IE"/>
              </w:rPr>
            </w:pPr>
            <w:r w:rsidRPr="00013BDC">
              <w:rPr>
                <w:rFonts w:eastAsia="Times New Roman"/>
                <w:b/>
                <w:i/>
                <w:noProof/>
                <w:sz w:val="20"/>
                <w:szCs w:val="20"/>
                <w:lang w:val="en-IE" w:eastAsia="en-IE"/>
              </w:rPr>
              <w:t>Indirect benefits</w:t>
            </w:r>
            <w:r w:rsidRPr="00013BDC">
              <w:rPr>
                <w:rFonts w:eastAsia="Times New Roman"/>
                <w:noProof/>
                <w:sz w:val="20"/>
                <w:szCs w:val="20"/>
                <w:lang w:val="en-IE" w:eastAsia="en-IE"/>
              </w:rPr>
              <w:t> </w:t>
            </w:r>
          </w:p>
        </w:tc>
      </w:tr>
      <w:tr w:rsidR="0000623E" w:rsidRPr="00013BDC" w14:paraId="27597062" w14:textId="77777777">
        <w:trPr>
          <w:trHeight w:val="300"/>
        </w:trPr>
        <w:tc>
          <w:tcPr>
            <w:tcW w:w="2481" w:type="dxa"/>
            <w:tcBorders>
              <w:top w:val="double" w:sz="6" w:space="0" w:color="auto"/>
              <w:left w:val="double" w:sz="6" w:space="0" w:color="auto"/>
              <w:bottom w:val="single" w:sz="6" w:space="0" w:color="auto"/>
              <w:right w:val="single" w:sz="6" w:space="0" w:color="auto"/>
            </w:tcBorders>
            <w:shd w:val="clear" w:color="auto" w:fill="auto"/>
            <w:hideMark/>
          </w:tcPr>
          <w:p w14:paraId="6F061D05"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Increase of other economic sectors </w:t>
            </w:r>
          </w:p>
        </w:tc>
        <w:tc>
          <w:tcPr>
            <w:tcW w:w="3976" w:type="dxa"/>
            <w:tcBorders>
              <w:top w:val="double" w:sz="6" w:space="0" w:color="auto"/>
              <w:left w:val="single" w:sz="6" w:space="0" w:color="auto"/>
              <w:bottom w:val="single" w:sz="6" w:space="0" w:color="auto"/>
              <w:right w:val="single" w:sz="6" w:space="0" w:color="auto"/>
            </w:tcBorders>
            <w:shd w:val="clear" w:color="auto" w:fill="auto"/>
            <w:hideMark/>
          </w:tcPr>
          <w:p w14:paraId="58943CE1"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Increase of value added for services by 0.3%, manufacturing by 0.1% </w:t>
            </w:r>
          </w:p>
        </w:tc>
        <w:tc>
          <w:tcPr>
            <w:tcW w:w="3619" w:type="dxa"/>
            <w:tcBorders>
              <w:top w:val="double" w:sz="6" w:space="0" w:color="auto"/>
              <w:left w:val="single" w:sz="6" w:space="0" w:color="auto"/>
              <w:bottom w:val="single" w:sz="6" w:space="0" w:color="auto"/>
              <w:right w:val="double" w:sz="6" w:space="0" w:color="auto"/>
            </w:tcBorders>
            <w:shd w:val="clear" w:color="auto" w:fill="auto"/>
            <w:hideMark/>
          </w:tcPr>
          <w:p w14:paraId="49F06B84"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(MAGNET) </w:t>
            </w:r>
          </w:p>
        </w:tc>
      </w:tr>
      <w:tr w:rsidR="0000623E" w:rsidRPr="00013BDC" w14:paraId="1E7FE39F" w14:textId="77777777">
        <w:trPr>
          <w:trHeight w:val="300"/>
        </w:trPr>
        <w:tc>
          <w:tcPr>
            <w:tcW w:w="2481" w:type="dxa"/>
            <w:tcBorders>
              <w:top w:val="single" w:sz="6" w:space="0" w:color="auto"/>
              <w:left w:val="double" w:sz="6" w:space="0" w:color="auto"/>
              <w:bottom w:val="single" w:sz="6" w:space="0" w:color="auto"/>
              <w:right w:val="single" w:sz="6" w:space="0" w:color="auto"/>
            </w:tcBorders>
            <w:shd w:val="clear" w:color="auto" w:fill="auto"/>
            <w:hideMark/>
          </w:tcPr>
          <w:p w14:paraId="2D3939BE"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Potential for bio-based industry </w:t>
            </w:r>
          </w:p>
        </w:tc>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0768F536"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The reduction of food demand frees up land, which can be used for other purposes. </w:t>
            </w:r>
          </w:p>
        </w:tc>
        <w:tc>
          <w:tcPr>
            <w:tcW w:w="3619" w:type="dxa"/>
            <w:tcBorders>
              <w:top w:val="single" w:sz="6" w:space="0" w:color="auto"/>
              <w:left w:val="single" w:sz="6" w:space="0" w:color="auto"/>
              <w:bottom w:val="single" w:sz="6" w:space="0" w:color="auto"/>
              <w:right w:val="double" w:sz="6" w:space="0" w:color="auto"/>
            </w:tcBorders>
            <w:shd w:val="clear" w:color="auto" w:fill="auto"/>
            <w:hideMark/>
          </w:tcPr>
          <w:p w14:paraId="6093BB28"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The uptake of bio-based industrial applications to reduce fossil-based production, depends on additional instruments/policies </w:t>
            </w:r>
          </w:p>
        </w:tc>
      </w:tr>
      <w:tr w:rsidR="0000623E" w:rsidRPr="00013BDC" w14:paraId="361A765E"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2B4C086E"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Reduction of food packaging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1EEC2A3F"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Around 3% reduction of glass and paper waste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651D74E6"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It should be noted that this number assumes a status-quo of packaging in the food chain.   </w:t>
            </w:r>
          </w:p>
        </w:tc>
      </w:tr>
      <w:tr w:rsidR="0000623E" w:rsidRPr="00013BDC" w14:paraId="1E74B8F5" w14:textId="77777777">
        <w:trPr>
          <w:trHeight w:val="300"/>
        </w:trPr>
        <w:tc>
          <w:tcPr>
            <w:tcW w:w="2481" w:type="dxa"/>
            <w:tcBorders>
              <w:top w:val="single" w:sz="6" w:space="0" w:color="auto"/>
              <w:left w:val="double" w:sz="6" w:space="0" w:color="auto"/>
              <w:bottom w:val="single" w:sz="6" w:space="0" w:color="auto"/>
              <w:right w:val="single" w:sz="6" w:space="0" w:color="auto"/>
            </w:tcBorders>
            <w:shd w:val="clear" w:color="auto" w:fill="auto"/>
            <w:hideMark/>
          </w:tcPr>
          <w:p w14:paraId="303BD3AF"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Virtual trade of land and CO</w:t>
            </w:r>
            <w:r w:rsidRPr="00013BDC">
              <w:rPr>
                <w:rFonts w:eastAsia="Times New Roman"/>
                <w:noProof/>
                <w:sz w:val="16"/>
                <w:szCs w:val="16"/>
                <w:vertAlign w:val="subscript"/>
                <w:lang w:val="en-IE" w:eastAsia="en-IE"/>
              </w:rPr>
              <w:t xml:space="preserve">2 </w:t>
            </w:r>
            <w:r w:rsidRPr="00013BDC">
              <w:rPr>
                <w:rFonts w:eastAsia="Times New Roman"/>
                <w:noProof/>
                <w:sz w:val="20"/>
                <w:szCs w:val="20"/>
                <w:lang w:val="en-IE" w:eastAsia="en-IE"/>
              </w:rPr>
              <w:t>emissions </w:t>
            </w:r>
          </w:p>
        </w:tc>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0234AAC2"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Less demand for food imports, leads to a reduction of virtual land imports (-4.2%), and a reduction of virtual emission imports (-3.3 %). </w:t>
            </w:r>
          </w:p>
        </w:tc>
        <w:tc>
          <w:tcPr>
            <w:tcW w:w="3619" w:type="dxa"/>
            <w:tcBorders>
              <w:top w:val="single" w:sz="6" w:space="0" w:color="auto"/>
              <w:left w:val="single" w:sz="6" w:space="0" w:color="auto"/>
              <w:bottom w:val="single" w:sz="6" w:space="0" w:color="auto"/>
              <w:right w:val="double" w:sz="6" w:space="0" w:color="auto"/>
            </w:tcBorders>
            <w:shd w:val="clear" w:color="auto" w:fill="auto"/>
            <w:hideMark/>
          </w:tcPr>
          <w:p w14:paraId="39878136"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Reducing food waste could indirectly contribute to reducing deforestation and to mitigating emissions in other countries. </w:t>
            </w:r>
          </w:p>
        </w:tc>
      </w:tr>
      <w:tr w:rsidR="0000623E" w:rsidRPr="00013BDC" w14:paraId="30C3C96A" w14:textId="77777777">
        <w:trPr>
          <w:trHeight w:val="300"/>
        </w:trPr>
        <w:tc>
          <w:tcPr>
            <w:tcW w:w="10076" w:type="dxa"/>
            <w:gridSpan w:val="3"/>
            <w:tcBorders>
              <w:top w:val="double" w:sz="6" w:space="0" w:color="auto"/>
              <w:left w:val="double" w:sz="6" w:space="0" w:color="auto"/>
              <w:bottom w:val="double" w:sz="6" w:space="0" w:color="auto"/>
              <w:right w:val="double" w:sz="6" w:space="0" w:color="auto"/>
            </w:tcBorders>
            <w:shd w:val="clear" w:color="auto" w:fill="F2F2F2"/>
            <w:hideMark/>
          </w:tcPr>
          <w:p w14:paraId="7EE84C4B" w14:textId="77777777" w:rsidR="0000623E" w:rsidRPr="00013BDC" w:rsidRDefault="0000623E">
            <w:pPr>
              <w:spacing w:after="0"/>
              <w:jc w:val="center"/>
              <w:textAlignment w:val="baseline"/>
              <w:rPr>
                <w:rFonts w:eastAsia="Times New Roman"/>
                <w:noProof/>
                <w:lang w:val="en-IE" w:eastAsia="en-IE"/>
              </w:rPr>
            </w:pPr>
            <w:r w:rsidRPr="00013BDC">
              <w:rPr>
                <w:rFonts w:eastAsia="Times New Roman"/>
                <w:b/>
                <w:i/>
                <w:noProof/>
                <w:sz w:val="20"/>
                <w:szCs w:val="20"/>
                <w:lang w:val="en-IE" w:eastAsia="en-IE"/>
              </w:rPr>
              <w:t>Administrative cost savings related to the ‘one in, one out’ approach*</w:t>
            </w:r>
            <w:r w:rsidRPr="00013BDC">
              <w:rPr>
                <w:rFonts w:eastAsia="Times New Roman"/>
                <w:noProof/>
                <w:sz w:val="20"/>
                <w:szCs w:val="20"/>
                <w:lang w:val="en-IE" w:eastAsia="en-IE"/>
              </w:rPr>
              <w:t> </w:t>
            </w:r>
          </w:p>
        </w:tc>
      </w:tr>
      <w:tr w:rsidR="0000623E" w:rsidRPr="00013BDC" w14:paraId="656E61D2" w14:textId="77777777">
        <w:trPr>
          <w:trHeight w:val="300"/>
        </w:trPr>
        <w:tc>
          <w:tcPr>
            <w:tcW w:w="2481" w:type="dxa"/>
            <w:tcBorders>
              <w:top w:val="double" w:sz="6" w:space="0" w:color="auto"/>
              <w:left w:val="double" w:sz="6" w:space="0" w:color="auto"/>
              <w:bottom w:val="single" w:sz="6" w:space="0" w:color="auto"/>
              <w:right w:val="single" w:sz="6" w:space="0" w:color="auto"/>
            </w:tcBorders>
            <w:shd w:val="clear" w:color="auto" w:fill="auto"/>
            <w:hideMark/>
          </w:tcPr>
          <w:p w14:paraId="6212BE33"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(direct/indirect) </w:t>
            </w:r>
          </w:p>
        </w:tc>
        <w:tc>
          <w:tcPr>
            <w:tcW w:w="3976" w:type="dxa"/>
            <w:tcBorders>
              <w:top w:val="double" w:sz="6" w:space="0" w:color="auto"/>
              <w:left w:val="single" w:sz="6" w:space="0" w:color="auto"/>
              <w:bottom w:val="single" w:sz="6" w:space="0" w:color="auto"/>
              <w:right w:val="single" w:sz="6" w:space="0" w:color="auto"/>
            </w:tcBorders>
            <w:shd w:val="clear" w:color="auto" w:fill="auto"/>
            <w:hideMark/>
          </w:tcPr>
          <w:p w14:paraId="04178A71"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n/a </w:t>
            </w:r>
          </w:p>
        </w:tc>
        <w:tc>
          <w:tcPr>
            <w:tcW w:w="3619" w:type="dxa"/>
            <w:tcBorders>
              <w:top w:val="double" w:sz="6" w:space="0" w:color="auto"/>
              <w:left w:val="single" w:sz="6" w:space="0" w:color="auto"/>
              <w:bottom w:val="single" w:sz="6" w:space="0" w:color="auto"/>
              <w:right w:val="double" w:sz="6" w:space="0" w:color="auto"/>
            </w:tcBorders>
            <w:shd w:val="clear" w:color="auto" w:fill="auto"/>
            <w:hideMark/>
          </w:tcPr>
          <w:p w14:paraId="1626B159"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n/a </w:t>
            </w:r>
          </w:p>
        </w:tc>
      </w:tr>
      <w:tr w:rsidR="0000623E" w:rsidRPr="00013BDC" w14:paraId="4C1221F0" w14:textId="77777777">
        <w:trPr>
          <w:trHeight w:val="300"/>
        </w:trPr>
        <w:tc>
          <w:tcPr>
            <w:tcW w:w="2481" w:type="dxa"/>
            <w:tcBorders>
              <w:top w:val="single" w:sz="6" w:space="0" w:color="auto"/>
              <w:left w:val="double" w:sz="6" w:space="0" w:color="auto"/>
              <w:bottom w:val="single" w:sz="6" w:space="0" w:color="auto"/>
              <w:right w:val="single" w:sz="6" w:space="0" w:color="auto"/>
            </w:tcBorders>
            <w:shd w:val="clear" w:color="auto" w:fill="auto"/>
            <w:hideMark/>
          </w:tcPr>
          <w:p w14:paraId="56ABA1DC"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w:t>
            </w:r>
          </w:p>
        </w:tc>
        <w:tc>
          <w:tcPr>
            <w:tcW w:w="3976" w:type="dxa"/>
            <w:tcBorders>
              <w:top w:val="single" w:sz="6" w:space="0" w:color="auto"/>
              <w:left w:val="single" w:sz="6" w:space="0" w:color="auto"/>
              <w:bottom w:val="single" w:sz="6" w:space="0" w:color="auto"/>
              <w:right w:val="single" w:sz="6" w:space="0" w:color="auto"/>
            </w:tcBorders>
            <w:shd w:val="clear" w:color="auto" w:fill="auto"/>
            <w:hideMark/>
          </w:tcPr>
          <w:p w14:paraId="116D5655"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n/a </w:t>
            </w:r>
          </w:p>
        </w:tc>
        <w:tc>
          <w:tcPr>
            <w:tcW w:w="3619" w:type="dxa"/>
            <w:tcBorders>
              <w:top w:val="single" w:sz="6" w:space="0" w:color="auto"/>
              <w:left w:val="single" w:sz="6" w:space="0" w:color="auto"/>
              <w:bottom w:val="single" w:sz="6" w:space="0" w:color="auto"/>
              <w:right w:val="double" w:sz="6" w:space="0" w:color="auto"/>
            </w:tcBorders>
            <w:shd w:val="clear" w:color="auto" w:fill="auto"/>
            <w:hideMark/>
          </w:tcPr>
          <w:p w14:paraId="2A95B374"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n/a </w:t>
            </w:r>
          </w:p>
        </w:tc>
      </w:tr>
      <w:tr w:rsidR="0000623E" w:rsidRPr="00013BDC" w14:paraId="0DFCF8F8" w14:textId="77777777">
        <w:trPr>
          <w:trHeight w:val="300"/>
        </w:trPr>
        <w:tc>
          <w:tcPr>
            <w:tcW w:w="2481" w:type="dxa"/>
            <w:tcBorders>
              <w:top w:val="single" w:sz="6" w:space="0" w:color="auto"/>
              <w:left w:val="double" w:sz="6" w:space="0" w:color="auto"/>
              <w:bottom w:val="double" w:sz="6" w:space="0" w:color="auto"/>
              <w:right w:val="single" w:sz="6" w:space="0" w:color="auto"/>
            </w:tcBorders>
            <w:shd w:val="clear" w:color="auto" w:fill="auto"/>
            <w:hideMark/>
          </w:tcPr>
          <w:p w14:paraId="6EACC1E3" w14:textId="77777777" w:rsidR="0000623E" w:rsidRPr="00013BDC" w:rsidRDefault="0000623E">
            <w:pPr>
              <w:spacing w:after="0"/>
              <w:jc w:val="left"/>
              <w:textAlignment w:val="baseline"/>
              <w:rPr>
                <w:rFonts w:eastAsia="Times New Roman"/>
                <w:noProof/>
                <w:lang w:val="en-IE" w:eastAsia="en-IE"/>
              </w:rPr>
            </w:pPr>
            <w:r w:rsidRPr="00013BDC">
              <w:rPr>
                <w:rFonts w:eastAsia="Times New Roman"/>
                <w:noProof/>
                <w:sz w:val="20"/>
                <w:szCs w:val="20"/>
                <w:lang w:val="en-IE" w:eastAsia="en-IE"/>
              </w:rPr>
              <w:t> </w:t>
            </w:r>
          </w:p>
        </w:tc>
        <w:tc>
          <w:tcPr>
            <w:tcW w:w="3976" w:type="dxa"/>
            <w:tcBorders>
              <w:top w:val="single" w:sz="6" w:space="0" w:color="auto"/>
              <w:left w:val="single" w:sz="6" w:space="0" w:color="auto"/>
              <w:bottom w:val="double" w:sz="6" w:space="0" w:color="auto"/>
              <w:right w:val="single" w:sz="6" w:space="0" w:color="auto"/>
            </w:tcBorders>
            <w:shd w:val="clear" w:color="auto" w:fill="auto"/>
            <w:hideMark/>
          </w:tcPr>
          <w:p w14:paraId="7497092A"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n/a </w:t>
            </w:r>
          </w:p>
        </w:tc>
        <w:tc>
          <w:tcPr>
            <w:tcW w:w="3619" w:type="dxa"/>
            <w:tcBorders>
              <w:top w:val="single" w:sz="6" w:space="0" w:color="auto"/>
              <w:left w:val="single" w:sz="6" w:space="0" w:color="auto"/>
              <w:bottom w:val="double" w:sz="6" w:space="0" w:color="auto"/>
              <w:right w:val="double" w:sz="6" w:space="0" w:color="auto"/>
            </w:tcBorders>
            <w:shd w:val="clear" w:color="auto" w:fill="auto"/>
            <w:hideMark/>
          </w:tcPr>
          <w:p w14:paraId="61477915" w14:textId="77777777" w:rsidR="0000623E" w:rsidRPr="00013BDC" w:rsidRDefault="0000623E">
            <w:pPr>
              <w:spacing w:after="0"/>
              <w:jc w:val="left"/>
              <w:textAlignment w:val="baseline"/>
              <w:rPr>
                <w:rFonts w:eastAsia="Times New Roman"/>
                <w:noProof/>
                <w:color w:val="000000" w:themeColor="text1"/>
                <w:lang w:val="en-IE" w:eastAsia="en-IE"/>
              </w:rPr>
            </w:pPr>
            <w:r w:rsidRPr="00013BDC">
              <w:rPr>
                <w:rFonts w:eastAsia="Times New Roman"/>
                <w:noProof/>
                <w:color w:val="000000" w:themeColor="text1"/>
                <w:sz w:val="20"/>
                <w:szCs w:val="20"/>
                <w:lang w:val="en-IE" w:eastAsia="en-IE"/>
              </w:rPr>
              <w:t>n/a </w:t>
            </w:r>
          </w:p>
        </w:tc>
      </w:tr>
    </w:tbl>
    <w:p w14:paraId="3CE7E982" w14:textId="77777777" w:rsidR="0000623E" w:rsidRPr="00013BDC" w:rsidRDefault="0000623E" w:rsidP="0000623E">
      <w:pPr>
        <w:rPr>
          <w:noProof/>
          <w:lang w:val="en-IE"/>
        </w:rPr>
      </w:pPr>
    </w:p>
    <w:p w14:paraId="1FE68E1D" w14:textId="5EE2B441" w:rsidR="0000623E" w:rsidRPr="00013BDC" w:rsidRDefault="0000623E" w:rsidP="0000623E">
      <w:pPr>
        <w:spacing w:before="120" w:after="120"/>
        <w:ind w:left="10" w:hanging="10"/>
        <w:rPr>
          <w:rFonts w:eastAsia="Times New Roman"/>
          <w:noProof/>
          <w:color w:val="000000" w:themeColor="text1"/>
          <w:lang w:val="en-IE"/>
        </w:rPr>
      </w:pPr>
      <w:r w:rsidRPr="00013BDC">
        <w:rPr>
          <w:rFonts w:eastAsia="Times New Roman"/>
          <w:noProof/>
          <w:color w:val="000000" w:themeColor="text1"/>
          <w:lang w:val="en-IE"/>
        </w:rPr>
        <w:t>Target-setting does not require Member States to take additional actions compared to what has already been established by the WFD as amended in 2018, as the necessary elements are already included there (i.e.</w:t>
      </w:r>
      <w:r w:rsidR="0034589B" w:rsidRPr="00013BDC">
        <w:rPr>
          <w:rFonts w:eastAsia="Times New Roman"/>
          <w:noProof/>
          <w:color w:val="000000" w:themeColor="text1"/>
          <w:lang w:val="en-IE"/>
        </w:rPr>
        <w:t>,</w:t>
      </w:r>
      <w:r w:rsidRPr="00013BDC">
        <w:rPr>
          <w:rFonts w:eastAsia="Times New Roman"/>
          <w:noProof/>
          <w:color w:val="000000" w:themeColor="text1"/>
          <w:lang w:val="en-IE"/>
        </w:rPr>
        <w:t xml:space="preserve"> obligation to reduce food waste at each stage of the food supply chain, preparing food waste prevention programmes, implementing related actions, monitoring and reporting on progress achieved). Moreover, Member States have already committed, since the adoption of the Sustainable Development Agenda in 2015, to take action to reduce food waste in order to achieve SDG Target 12.3, which is a non-binding, aspirational target. For this reason, it is expected that the proposal does not entail additional cost for administrations.</w:t>
      </w:r>
    </w:p>
    <w:p w14:paraId="6AE6A6CE" w14:textId="77777777" w:rsidR="0000623E" w:rsidRPr="00013BDC" w:rsidRDefault="0000623E" w:rsidP="0000623E">
      <w:pPr>
        <w:spacing w:before="120" w:after="120"/>
        <w:ind w:left="10" w:hanging="10"/>
        <w:rPr>
          <w:rFonts w:eastAsia="Times New Roman"/>
          <w:noProof/>
          <w:color w:val="000000" w:themeColor="text1"/>
          <w:lang w:val="en-IE"/>
        </w:rPr>
      </w:pPr>
      <w:r w:rsidRPr="00013BDC">
        <w:rPr>
          <w:rFonts w:eastAsia="Times New Roman"/>
          <w:noProof/>
          <w:color w:val="000000" w:themeColor="text1"/>
          <w:lang w:val="en-IE"/>
        </w:rPr>
        <w:t>Concerning impacts on farmers, business and consumers specific impacts will depend on the measures to be taken by Member States. Literature and case studies generally show that food waste prevention is profitable for food business operators</w:t>
      </w:r>
      <w:r w:rsidRPr="00013BDC">
        <w:rPr>
          <w:rStyle w:val="FootnoteReference"/>
          <w:rFonts w:eastAsia="Times New Roman"/>
          <w:noProof/>
          <w:color w:val="000000" w:themeColor="text1"/>
          <w:lang w:val="en-IE"/>
        </w:rPr>
        <w:footnoteReference w:id="30"/>
      </w:r>
      <w:r w:rsidRPr="00013BDC">
        <w:rPr>
          <w:rFonts w:eastAsia="Times New Roman"/>
          <w:noProof/>
          <w:color w:val="000000" w:themeColor="text1"/>
          <w:lang w:val="en-IE"/>
        </w:rPr>
        <w:t>. However, such change in food system requires adaption from all its participants. General cost of change into less wasteful economy, for the proposed option have been assessed in the model at following levels:</w:t>
      </w:r>
    </w:p>
    <w:p w14:paraId="2D9A167C" w14:textId="77777777" w:rsidR="0000623E" w:rsidRPr="00013BDC" w:rsidRDefault="0000623E" w:rsidP="0000623E">
      <w:pPr>
        <w:spacing w:before="120" w:after="120"/>
        <w:ind w:left="10" w:hanging="10"/>
        <w:rPr>
          <w:rFonts w:eastAsia="Times New Roman"/>
          <w:noProof/>
          <w:color w:val="000000" w:themeColor="text1"/>
          <w:lang w:val="en-IE"/>
        </w:rPr>
      </w:pPr>
      <w:r w:rsidRPr="00013BDC">
        <w:rPr>
          <w:rFonts w:eastAsia="Times New Roman"/>
          <w:noProof/>
          <w:color w:val="000000" w:themeColor="text1"/>
          <w:lang w:val="en-IE"/>
        </w:rPr>
        <w:t>Household and food services:  </w:t>
      </w:r>
      <w:r w:rsidRPr="00013BDC">
        <w:rPr>
          <w:rFonts w:eastAsia="Times New Roman"/>
          <w:noProof/>
          <w:color w:val="000000" w:themeColor="text1"/>
          <w:lang w:val="en-IE"/>
        </w:rPr>
        <w:tab/>
        <w:t xml:space="preserve">43 EUR/ton to 70 EUR/ton </w:t>
      </w:r>
    </w:p>
    <w:p w14:paraId="0B5D7163" w14:textId="77777777" w:rsidR="0000623E" w:rsidRPr="00013BDC" w:rsidRDefault="0000623E" w:rsidP="0000623E">
      <w:pPr>
        <w:spacing w:before="120" w:after="120"/>
        <w:ind w:left="10" w:hanging="10"/>
        <w:rPr>
          <w:rFonts w:eastAsia="Times New Roman"/>
          <w:noProof/>
          <w:color w:val="000000" w:themeColor="text1"/>
          <w:lang w:val="fr-BE"/>
        </w:rPr>
      </w:pPr>
      <w:r w:rsidRPr="00013BDC">
        <w:rPr>
          <w:rFonts w:eastAsia="Times New Roman"/>
          <w:noProof/>
          <w:color w:val="000000" w:themeColor="text1"/>
          <w:lang w:val="fr-BE"/>
        </w:rPr>
        <w:t>Retail :</w:t>
      </w:r>
      <w:r w:rsidRPr="00013BDC">
        <w:rPr>
          <w:rFonts w:eastAsia="Times New Roman"/>
          <w:noProof/>
          <w:color w:val="000000" w:themeColor="text1"/>
          <w:lang w:val="fr-BE"/>
        </w:rPr>
        <w:tab/>
      </w:r>
      <w:r w:rsidRPr="00013BDC">
        <w:rPr>
          <w:rFonts w:eastAsia="Times New Roman"/>
          <w:noProof/>
          <w:color w:val="000000" w:themeColor="text1"/>
          <w:lang w:val="fr-BE"/>
        </w:rPr>
        <w:tab/>
      </w:r>
      <w:r w:rsidRPr="00013BDC">
        <w:rPr>
          <w:rFonts w:eastAsia="Times New Roman"/>
          <w:noProof/>
          <w:color w:val="000000" w:themeColor="text1"/>
          <w:lang w:val="fr-BE"/>
        </w:rPr>
        <w:tab/>
      </w:r>
      <w:r w:rsidRPr="00013BDC">
        <w:rPr>
          <w:rFonts w:eastAsia="Times New Roman"/>
          <w:noProof/>
          <w:color w:val="000000" w:themeColor="text1"/>
          <w:lang w:val="fr-BE"/>
        </w:rPr>
        <w:tab/>
      </w:r>
      <w:r w:rsidRPr="00013BDC">
        <w:rPr>
          <w:rFonts w:eastAsia="Times New Roman"/>
          <w:noProof/>
          <w:color w:val="000000" w:themeColor="text1"/>
          <w:lang w:val="fr-BE"/>
        </w:rPr>
        <w:tab/>
        <w:t xml:space="preserve">34 EUR/ton to 53 EUR/ton   </w:t>
      </w:r>
    </w:p>
    <w:p w14:paraId="034B4584" w14:textId="77777777" w:rsidR="00AB7325" w:rsidRPr="00013BDC" w:rsidRDefault="0000623E" w:rsidP="0000623E">
      <w:pPr>
        <w:spacing w:before="120" w:after="120"/>
        <w:ind w:left="10" w:hanging="10"/>
        <w:rPr>
          <w:rFonts w:eastAsia="Times New Roman"/>
          <w:noProof/>
          <w:color w:val="000000" w:themeColor="text1"/>
          <w:lang w:val="en-IE"/>
        </w:rPr>
      </w:pPr>
      <w:r w:rsidRPr="00013BDC">
        <w:rPr>
          <w:rFonts w:eastAsia="Times New Roman"/>
          <w:noProof/>
          <w:color w:val="000000" w:themeColor="text1"/>
          <w:lang w:val="en-IE"/>
        </w:rPr>
        <w:t>Processing and manufacturing:</w:t>
      </w:r>
      <w:r w:rsidRPr="00013BDC">
        <w:rPr>
          <w:rFonts w:eastAsia="Times New Roman"/>
          <w:noProof/>
          <w:color w:val="000000" w:themeColor="text1"/>
          <w:lang w:val="en-IE"/>
        </w:rPr>
        <w:tab/>
        <w:t>7 EUR/ton to 22 EUR/ton   </w:t>
      </w:r>
    </w:p>
    <w:p w14:paraId="1AD38A61" w14:textId="7375A516" w:rsidR="0000623E" w:rsidRPr="00013BDC" w:rsidRDefault="0000623E" w:rsidP="0000623E">
      <w:pPr>
        <w:spacing w:before="120" w:after="120"/>
        <w:ind w:left="10" w:hanging="10"/>
        <w:rPr>
          <w:rFonts w:eastAsia="Times New Roman"/>
          <w:noProof/>
          <w:color w:val="000000" w:themeColor="text1"/>
          <w:lang w:val="en-IE"/>
        </w:rPr>
      </w:pPr>
      <w:r w:rsidRPr="00013BDC">
        <w:rPr>
          <w:rFonts w:eastAsia="Times New Roman"/>
          <w:noProof/>
          <w:color w:val="000000" w:themeColor="text1"/>
          <w:lang w:val="en-IE"/>
        </w:rPr>
        <w:t xml:space="preserve"> </w:t>
      </w:r>
    </w:p>
    <w:p w14:paraId="4070738B" w14:textId="77777777" w:rsidR="0000623E" w:rsidRPr="00013BDC" w:rsidRDefault="0000623E" w:rsidP="0000623E">
      <w:pPr>
        <w:spacing w:before="120" w:after="120"/>
        <w:ind w:left="10" w:hanging="10"/>
        <w:rPr>
          <w:rFonts w:eastAsia="Times New Roman"/>
          <w:noProof/>
          <w:color w:val="000000" w:themeColor="text1"/>
          <w:lang w:val="en-IE"/>
        </w:rPr>
      </w:pPr>
      <w:r w:rsidRPr="00013BDC">
        <w:rPr>
          <w:rFonts w:eastAsia="Times New Roman"/>
          <w:noProof/>
          <w:color w:val="000000" w:themeColor="text1"/>
          <w:lang w:val="en-IE"/>
        </w:rPr>
        <w:t>All values are given per ton of avoided food waste and are insignificant in comparison to value of saved food.</w:t>
      </w:r>
    </w:p>
    <w:p w14:paraId="509F6407" w14:textId="6757791B" w:rsidR="00161EAB" w:rsidRPr="00013BDC" w:rsidRDefault="00161EAB" w:rsidP="00161EAB">
      <w:pPr>
        <w:pStyle w:val="Caption"/>
        <w:rPr>
          <w:noProof/>
          <w:color w:val="auto"/>
          <w:sz w:val="24"/>
          <w:szCs w:val="24"/>
          <w:lang w:val="en-IE"/>
        </w:rPr>
      </w:pPr>
      <w:bookmarkStart w:id="214" w:name="_Toc133229414"/>
      <w:bookmarkStart w:id="215" w:name="_Toc139033035"/>
      <w:r w:rsidRPr="00013BDC">
        <w:rPr>
          <w:noProof/>
          <w:color w:val="auto"/>
          <w:sz w:val="24"/>
          <w:szCs w:val="24"/>
          <w:lang w:val="en-IE"/>
        </w:rPr>
        <w:t xml:space="preserve">Table </w:t>
      </w:r>
      <w:r w:rsidR="004C5576">
        <w:rPr>
          <w:noProof/>
          <w:color w:val="auto"/>
          <w:sz w:val="24"/>
          <w:szCs w:val="24"/>
        </w:rPr>
        <w:t>5</w:t>
      </w:r>
      <w:r w:rsidRPr="00013BDC">
        <w:rPr>
          <w:noProof/>
          <w:color w:val="auto"/>
          <w:sz w:val="24"/>
          <w:szCs w:val="24"/>
          <w:lang w:val="en-IE"/>
        </w:rPr>
        <w:t xml:space="preserve"> – Overview of Costs of the Preferred Option</w:t>
      </w:r>
      <w:bookmarkEnd w:id="214"/>
      <w:bookmarkEnd w:id="215"/>
    </w:p>
    <w:tbl>
      <w:tblPr>
        <w:tblW w:w="9863" w:type="dxa"/>
        <w:tblInd w:w="-5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2"/>
        <w:gridCol w:w="1495"/>
        <w:gridCol w:w="997"/>
        <w:gridCol w:w="1345"/>
        <w:gridCol w:w="1241"/>
        <w:gridCol w:w="1280"/>
        <w:gridCol w:w="1022"/>
        <w:gridCol w:w="1580"/>
        <w:gridCol w:w="21"/>
      </w:tblGrid>
      <w:tr w:rsidR="0000623E" w:rsidRPr="00013BDC" w14:paraId="1C12258C" w14:textId="77777777" w:rsidTr="00161EAB">
        <w:trPr>
          <w:gridAfter w:val="1"/>
          <w:wAfter w:w="21" w:type="dxa"/>
          <w:trHeight w:val="300"/>
        </w:trPr>
        <w:tc>
          <w:tcPr>
            <w:tcW w:w="9842" w:type="dxa"/>
            <w:gridSpan w:val="8"/>
            <w:tcBorders>
              <w:top w:val="double" w:sz="6" w:space="0" w:color="auto"/>
              <w:left w:val="double" w:sz="6" w:space="0" w:color="auto"/>
              <w:bottom w:val="single" w:sz="6" w:space="0" w:color="auto"/>
              <w:right w:val="single" w:sz="6" w:space="0" w:color="auto"/>
            </w:tcBorders>
            <w:shd w:val="clear" w:color="auto" w:fill="D5DCE4"/>
            <w:hideMark/>
          </w:tcPr>
          <w:p w14:paraId="61FC0329"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II. Overview of costs – Preferred option</w:t>
            </w:r>
            <w:r w:rsidRPr="00013BDC">
              <w:rPr>
                <w:rFonts w:eastAsia="Times New Roman"/>
                <w:noProof/>
                <w:sz w:val="20"/>
                <w:szCs w:val="20"/>
                <w:lang w:val="en-IE" w:eastAsia="en-IE"/>
              </w:rPr>
              <w:t> </w:t>
            </w:r>
          </w:p>
        </w:tc>
      </w:tr>
      <w:tr w:rsidR="0000623E" w:rsidRPr="00013BDC" w14:paraId="502154D9" w14:textId="77777777" w:rsidTr="00161EAB">
        <w:trPr>
          <w:gridAfter w:val="1"/>
          <w:wAfter w:w="21" w:type="dxa"/>
          <w:trHeight w:val="300"/>
        </w:trPr>
        <w:tc>
          <w:tcPr>
            <w:tcW w:w="2377" w:type="dxa"/>
            <w:gridSpan w:val="2"/>
            <w:tcBorders>
              <w:top w:val="double" w:sz="6" w:space="0" w:color="auto"/>
              <w:left w:val="double" w:sz="6" w:space="0" w:color="auto"/>
              <w:bottom w:val="single" w:sz="6" w:space="0" w:color="auto"/>
              <w:right w:val="double" w:sz="6" w:space="0" w:color="auto"/>
            </w:tcBorders>
            <w:shd w:val="clear" w:color="auto" w:fill="auto"/>
            <w:hideMark/>
          </w:tcPr>
          <w:p w14:paraId="7F3723AD"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 </w:t>
            </w:r>
          </w:p>
        </w:tc>
        <w:tc>
          <w:tcPr>
            <w:tcW w:w="2342" w:type="dxa"/>
            <w:gridSpan w:val="2"/>
            <w:tcBorders>
              <w:top w:val="single" w:sz="6" w:space="0" w:color="auto"/>
              <w:left w:val="double" w:sz="6" w:space="0" w:color="auto"/>
              <w:bottom w:val="single" w:sz="6" w:space="0" w:color="auto"/>
              <w:right w:val="single" w:sz="6" w:space="0" w:color="auto"/>
            </w:tcBorders>
            <w:shd w:val="clear" w:color="auto" w:fill="auto"/>
            <w:hideMark/>
          </w:tcPr>
          <w:p w14:paraId="0160B06B" w14:textId="77777777" w:rsidR="0000623E" w:rsidRPr="00013BDC" w:rsidRDefault="0000623E">
            <w:pPr>
              <w:spacing w:after="0"/>
              <w:jc w:val="center"/>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Citizens/Consumers</w:t>
            </w:r>
            <w:r w:rsidRPr="00013BDC">
              <w:rPr>
                <w:rFonts w:eastAsia="Times New Roman"/>
                <w:noProof/>
                <w:sz w:val="20"/>
                <w:szCs w:val="20"/>
                <w:lang w:val="en-IE" w:eastAsia="en-IE"/>
              </w:rPr>
              <w:t> </w:t>
            </w:r>
          </w:p>
        </w:tc>
        <w:tc>
          <w:tcPr>
            <w:tcW w:w="25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5CA30E" w14:textId="77777777" w:rsidR="0000623E" w:rsidRPr="00013BDC" w:rsidRDefault="0000623E">
            <w:pPr>
              <w:spacing w:after="0"/>
              <w:jc w:val="center"/>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Businesses</w:t>
            </w:r>
            <w:r w:rsidRPr="00013BDC">
              <w:rPr>
                <w:rFonts w:eastAsia="Times New Roman"/>
                <w:noProof/>
                <w:sz w:val="20"/>
                <w:szCs w:val="20"/>
                <w:lang w:val="en-IE" w:eastAsia="en-IE"/>
              </w:rPr>
              <w:t> </w:t>
            </w:r>
          </w:p>
        </w:tc>
        <w:tc>
          <w:tcPr>
            <w:tcW w:w="2602" w:type="dxa"/>
            <w:gridSpan w:val="2"/>
            <w:tcBorders>
              <w:top w:val="single" w:sz="6" w:space="0" w:color="auto"/>
              <w:left w:val="single" w:sz="6" w:space="0" w:color="auto"/>
              <w:bottom w:val="single" w:sz="6" w:space="0" w:color="auto"/>
              <w:right w:val="double" w:sz="6" w:space="0" w:color="auto"/>
            </w:tcBorders>
            <w:shd w:val="clear" w:color="auto" w:fill="auto"/>
            <w:hideMark/>
          </w:tcPr>
          <w:p w14:paraId="7DE8340A" w14:textId="77777777" w:rsidR="0000623E" w:rsidRPr="00013BDC" w:rsidRDefault="0000623E">
            <w:pPr>
              <w:spacing w:after="0"/>
              <w:jc w:val="center"/>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Administrations</w:t>
            </w:r>
            <w:r w:rsidRPr="00013BDC">
              <w:rPr>
                <w:rFonts w:eastAsia="Times New Roman"/>
                <w:noProof/>
                <w:sz w:val="20"/>
                <w:szCs w:val="20"/>
                <w:lang w:val="en-IE" w:eastAsia="en-IE"/>
              </w:rPr>
              <w:t> </w:t>
            </w:r>
          </w:p>
        </w:tc>
      </w:tr>
      <w:tr w:rsidR="0000623E" w:rsidRPr="00013BDC" w14:paraId="070A4AE3" w14:textId="77777777" w:rsidTr="00161EAB">
        <w:trPr>
          <w:trHeight w:val="300"/>
        </w:trPr>
        <w:tc>
          <w:tcPr>
            <w:tcW w:w="2377" w:type="dxa"/>
            <w:gridSpan w:val="2"/>
            <w:tcBorders>
              <w:top w:val="single" w:sz="6" w:space="0" w:color="auto"/>
              <w:left w:val="double" w:sz="6" w:space="0" w:color="auto"/>
              <w:bottom w:val="double" w:sz="6" w:space="0" w:color="auto"/>
              <w:right w:val="double" w:sz="6" w:space="0" w:color="auto"/>
            </w:tcBorders>
            <w:shd w:val="clear" w:color="auto" w:fill="auto"/>
            <w:hideMark/>
          </w:tcPr>
          <w:p w14:paraId="29C0F45B"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 </w:t>
            </w:r>
          </w:p>
        </w:tc>
        <w:tc>
          <w:tcPr>
            <w:tcW w:w="997" w:type="dxa"/>
            <w:tcBorders>
              <w:top w:val="single" w:sz="6" w:space="0" w:color="auto"/>
              <w:left w:val="double" w:sz="6" w:space="0" w:color="auto"/>
              <w:bottom w:val="double" w:sz="6" w:space="0" w:color="auto"/>
              <w:right w:val="single" w:sz="6" w:space="0" w:color="auto"/>
            </w:tcBorders>
            <w:shd w:val="clear" w:color="auto" w:fill="auto"/>
            <w:hideMark/>
          </w:tcPr>
          <w:p w14:paraId="6A6B13A2" w14:textId="77777777" w:rsidR="0000623E" w:rsidRPr="00013BDC" w:rsidRDefault="0000623E">
            <w:pPr>
              <w:spacing w:after="0"/>
              <w:jc w:val="center"/>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One-off</w:t>
            </w:r>
            <w:r w:rsidRPr="00013BDC">
              <w:rPr>
                <w:rFonts w:eastAsia="Times New Roman"/>
                <w:noProof/>
                <w:sz w:val="20"/>
                <w:szCs w:val="20"/>
                <w:lang w:val="en-IE" w:eastAsia="en-IE"/>
              </w:rPr>
              <w:t> </w:t>
            </w:r>
          </w:p>
        </w:tc>
        <w:tc>
          <w:tcPr>
            <w:tcW w:w="1345" w:type="dxa"/>
            <w:tcBorders>
              <w:top w:val="single" w:sz="6" w:space="0" w:color="auto"/>
              <w:left w:val="single" w:sz="6" w:space="0" w:color="auto"/>
              <w:bottom w:val="double" w:sz="6" w:space="0" w:color="auto"/>
              <w:right w:val="single" w:sz="6" w:space="0" w:color="auto"/>
            </w:tcBorders>
            <w:shd w:val="clear" w:color="auto" w:fill="auto"/>
            <w:hideMark/>
          </w:tcPr>
          <w:p w14:paraId="28DD201E" w14:textId="77777777" w:rsidR="0000623E" w:rsidRPr="00013BDC" w:rsidRDefault="0000623E">
            <w:pPr>
              <w:spacing w:after="0"/>
              <w:jc w:val="center"/>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Recurrent</w:t>
            </w:r>
            <w:r w:rsidRPr="00013BDC">
              <w:rPr>
                <w:rFonts w:eastAsia="Times New Roman"/>
                <w:noProof/>
                <w:sz w:val="20"/>
                <w:szCs w:val="20"/>
                <w:lang w:val="en-IE" w:eastAsia="en-IE"/>
              </w:rPr>
              <w:t> </w:t>
            </w:r>
          </w:p>
        </w:tc>
        <w:tc>
          <w:tcPr>
            <w:tcW w:w="1241" w:type="dxa"/>
            <w:tcBorders>
              <w:top w:val="single" w:sz="6" w:space="0" w:color="auto"/>
              <w:left w:val="single" w:sz="6" w:space="0" w:color="auto"/>
              <w:bottom w:val="double" w:sz="6" w:space="0" w:color="auto"/>
              <w:right w:val="single" w:sz="6" w:space="0" w:color="auto"/>
            </w:tcBorders>
            <w:shd w:val="clear" w:color="auto" w:fill="auto"/>
            <w:hideMark/>
          </w:tcPr>
          <w:p w14:paraId="4625F8D0" w14:textId="77777777" w:rsidR="0000623E" w:rsidRPr="00013BDC" w:rsidRDefault="0000623E">
            <w:pPr>
              <w:spacing w:after="0"/>
              <w:jc w:val="center"/>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One-off</w:t>
            </w:r>
            <w:r w:rsidRPr="00013BDC">
              <w:rPr>
                <w:rFonts w:eastAsia="Times New Roman"/>
                <w:noProof/>
                <w:sz w:val="20"/>
                <w:szCs w:val="20"/>
                <w:lang w:val="en-IE" w:eastAsia="en-IE"/>
              </w:rPr>
              <w:t> </w:t>
            </w:r>
          </w:p>
        </w:tc>
        <w:tc>
          <w:tcPr>
            <w:tcW w:w="1280" w:type="dxa"/>
            <w:tcBorders>
              <w:top w:val="single" w:sz="6" w:space="0" w:color="auto"/>
              <w:left w:val="single" w:sz="6" w:space="0" w:color="auto"/>
              <w:bottom w:val="double" w:sz="6" w:space="0" w:color="auto"/>
              <w:right w:val="single" w:sz="6" w:space="0" w:color="auto"/>
            </w:tcBorders>
            <w:shd w:val="clear" w:color="auto" w:fill="auto"/>
            <w:hideMark/>
          </w:tcPr>
          <w:p w14:paraId="39C71C34" w14:textId="77777777" w:rsidR="0000623E" w:rsidRPr="00013BDC" w:rsidRDefault="0000623E">
            <w:pPr>
              <w:spacing w:after="0"/>
              <w:jc w:val="center"/>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Recurrent</w:t>
            </w:r>
            <w:r w:rsidRPr="00013BDC">
              <w:rPr>
                <w:rFonts w:eastAsia="Times New Roman"/>
                <w:noProof/>
                <w:sz w:val="20"/>
                <w:szCs w:val="20"/>
                <w:lang w:val="en-IE" w:eastAsia="en-IE"/>
              </w:rPr>
              <w:t> </w:t>
            </w:r>
          </w:p>
        </w:tc>
        <w:tc>
          <w:tcPr>
            <w:tcW w:w="1022" w:type="dxa"/>
            <w:tcBorders>
              <w:top w:val="single" w:sz="6" w:space="0" w:color="auto"/>
              <w:left w:val="single" w:sz="6" w:space="0" w:color="auto"/>
              <w:bottom w:val="double" w:sz="6" w:space="0" w:color="auto"/>
              <w:right w:val="single" w:sz="6" w:space="0" w:color="auto"/>
            </w:tcBorders>
            <w:shd w:val="clear" w:color="auto" w:fill="auto"/>
            <w:hideMark/>
          </w:tcPr>
          <w:p w14:paraId="2691CC29" w14:textId="77777777" w:rsidR="0000623E" w:rsidRPr="00013BDC" w:rsidRDefault="0000623E">
            <w:pPr>
              <w:spacing w:after="0"/>
              <w:jc w:val="center"/>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One-off</w:t>
            </w:r>
            <w:r w:rsidRPr="00013BDC">
              <w:rPr>
                <w:rFonts w:eastAsia="Times New Roman"/>
                <w:noProof/>
                <w:sz w:val="20"/>
                <w:szCs w:val="20"/>
                <w:lang w:val="en-IE" w:eastAsia="en-IE"/>
              </w:rPr>
              <w:t> </w:t>
            </w:r>
          </w:p>
        </w:tc>
        <w:tc>
          <w:tcPr>
            <w:tcW w:w="1580" w:type="dxa"/>
            <w:tcBorders>
              <w:top w:val="single" w:sz="6" w:space="0" w:color="auto"/>
              <w:left w:val="single" w:sz="6" w:space="0" w:color="auto"/>
              <w:bottom w:val="double" w:sz="6" w:space="0" w:color="auto"/>
              <w:right w:val="single" w:sz="6" w:space="0" w:color="auto"/>
            </w:tcBorders>
            <w:shd w:val="clear" w:color="auto" w:fill="auto"/>
            <w:hideMark/>
          </w:tcPr>
          <w:p w14:paraId="42520F7F" w14:textId="77777777" w:rsidR="0000623E" w:rsidRPr="00013BDC" w:rsidRDefault="0000623E">
            <w:pPr>
              <w:spacing w:after="0"/>
              <w:jc w:val="center"/>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Recurrent</w:t>
            </w:r>
            <w:r w:rsidRPr="00013BDC">
              <w:rPr>
                <w:rFonts w:eastAsia="Times New Roman"/>
                <w:noProof/>
                <w:sz w:val="20"/>
                <w:szCs w:val="20"/>
                <w:lang w:val="en-IE" w:eastAsia="en-IE"/>
              </w:rPr>
              <w:t> </w:t>
            </w:r>
          </w:p>
        </w:tc>
        <w:tc>
          <w:tcPr>
            <w:tcW w:w="21" w:type="dxa"/>
            <w:shd w:val="clear" w:color="auto" w:fill="auto"/>
            <w:vAlign w:val="center"/>
            <w:hideMark/>
          </w:tcPr>
          <w:p w14:paraId="6129435E" w14:textId="77777777" w:rsidR="0000623E" w:rsidRPr="00013BDC" w:rsidRDefault="0000623E">
            <w:pPr>
              <w:spacing w:after="0"/>
              <w:jc w:val="left"/>
              <w:rPr>
                <w:rFonts w:eastAsia="Times New Roman"/>
                <w:noProof/>
                <w:sz w:val="20"/>
                <w:szCs w:val="20"/>
                <w:lang w:val="en-IE" w:eastAsia="en-IE"/>
              </w:rPr>
            </w:pPr>
          </w:p>
        </w:tc>
      </w:tr>
      <w:tr w:rsidR="0000623E" w:rsidRPr="00013BDC" w14:paraId="062452AB" w14:textId="77777777" w:rsidTr="00161EAB">
        <w:trPr>
          <w:trHeight w:val="300"/>
        </w:trPr>
        <w:tc>
          <w:tcPr>
            <w:tcW w:w="882" w:type="dxa"/>
            <w:vMerge w:val="restart"/>
            <w:tcBorders>
              <w:top w:val="single" w:sz="6" w:space="0" w:color="auto"/>
              <w:left w:val="double" w:sz="6" w:space="0" w:color="auto"/>
              <w:bottom w:val="single" w:sz="6" w:space="0" w:color="auto"/>
              <w:right w:val="single" w:sz="6" w:space="0" w:color="auto"/>
            </w:tcBorders>
            <w:shd w:val="clear" w:color="auto" w:fill="auto"/>
            <w:vAlign w:val="center"/>
            <w:hideMark/>
          </w:tcPr>
          <w:p w14:paraId="30E7A2DC"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Action (a)   </w:t>
            </w:r>
          </w:p>
        </w:tc>
        <w:tc>
          <w:tcPr>
            <w:tcW w:w="1495" w:type="dxa"/>
            <w:tcBorders>
              <w:top w:val="single" w:sz="6" w:space="0" w:color="auto"/>
              <w:left w:val="single" w:sz="6" w:space="0" w:color="auto"/>
              <w:bottom w:val="single" w:sz="6" w:space="0" w:color="auto"/>
              <w:right w:val="double" w:sz="6" w:space="0" w:color="auto"/>
            </w:tcBorders>
            <w:shd w:val="clear" w:color="auto" w:fill="auto"/>
            <w:vAlign w:val="center"/>
            <w:hideMark/>
          </w:tcPr>
          <w:p w14:paraId="415F94D5"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Direct adjustment costs </w:t>
            </w:r>
          </w:p>
        </w:tc>
        <w:tc>
          <w:tcPr>
            <w:tcW w:w="997" w:type="dxa"/>
            <w:tcBorders>
              <w:top w:val="single" w:sz="6" w:space="0" w:color="auto"/>
              <w:left w:val="double" w:sz="6" w:space="0" w:color="auto"/>
              <w:bottom w:val="single" w:sz="6" w:space="0" w:color="auto"/>
              <w:right w:val="single" w:sz="6" w:space="0" w:color="auto"/>
            </w:tcBorders>
            <w:shd w:val="clear" w:color="auto" w:fill="auto"/>
            <w:vAlign w:val="center"/>
            <w:hideMark/>
          </w:tcPr>
          <w:p w14:paraId="0ADD9117"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13CD6F"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2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BD105D"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298F23"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Farmers loss of income [give value] </w:t>
            </w:r>
          </w:p>
        </w:tc>
        <w:tc>
          <w:tcPr>
            <w:tcW w:w="10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64F2E7"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C762CF"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21" w:type="dxa"/>
            <w:shd w:val="clear" w:color="auto" w:fill="auto"/>
            <w:vAlign w:val="center"/>
            <w:hideMark/>
          </w:tcPr>
          <w:p w14:paraId="27265F57" w14:textId="77777777" w:rsidR="0000623E" w:rsidRPr="00013BDC" w:rsidRDefault="0000623E">
            <w:pPr>
              <w:spacing w:after="0"/>
              <w:jc w:val="left"/>
              <w:rPr>
                <w:rFonts w:eastAsia="Times New Roman"/>
                <w:noProof/>
                <w:sz w:val="20"/>
                <w:szCs w:val="20"/>
                <w:lang w:val="en-IE" w:eastAsia="en-IE"/>
              </w:rPr>
            </w:pPr>
          </w:p>
        </w:tc>
      </w:tr>
      <w:tr w:rsidR="0000623E" w:rsidRPr="00013BDC" w14:paraId="538BBBF9" w14:textId="77777777" w:rsidTr="00161EAB">
        <w:trPr>
          <w:trHeight w:val="300"/>
        </w:trPr>
        <w:tc>
          <w:tcPr>
            <w:tcW w:w="0" w:type="auto"/>
            <w:vMerge/>
            <w:tcBorders>
              <w:top w:val="single" w:sz="6" w:space="0" w:color="auto"/>
              <w:left w:val="double" w:sz="6" w:space="0" w:color="auto"/>
              <w:bottom w:val="single" w:sz="6" w:space="0" w:color="auto"/>
              <w:right w:val="single" w:sz="6" w:space="0" w:color="auto"/>
            </w:tcBorders>
            <w:shd w:val="clear" w:color="auto" w:fill="auto"/>
            <w:vAlign w:val="center"/>
            <w:hideMark/>
          </w:tcPr>
          <w:p w14:paraId="3A84173B" w14:textId="77777777" w:rsidR="0000623E" w:rsidRPr="00013BDC" w:rsidRDefault="0000623E">
            <w:pPr>
              <w:spacing w:after="0"/>
              <w:jc w:val="left"/>
              <w:rPr>
                <w:rFonts w:ascii="Segoe UI" w:eastAsia="Times New Roman" w:hAnsi="Segoe UI" w:cs="Segoe UI"/>
                <w:noProof/>
                <w:sz w:val="18"/>
                <w:szCs w:val="18"/>
                <w:lang w:val="en-IE" w:eastAsia="en-IE"/>
              </w:rPr>
            </w:pPr>
          </w:p>
        </w:tc>
        <w:tc>
          <w:tcPr>
            <w:tcW w:w="1495" w:type="dxa"/>
            <w:tcBorders>
              <w:top w:val="single" w:sz="6" w:space="0" w:color="auto"/>
              <w:left w:val="single" w:sz="6" w:space="0" w:color="auto"/>
              <w:bottom w:val="single" w:sz="6" w:space="0" w:color="auto"/>
              <w:right w:val="double" w:sz="6" w:space="0" w:color="auto"/>
            </w:tcBorders>
            <w:shd w:val="clear" w:color="auto" w:fill="auto"/>
            <w:vAlign w:val="center"/>
            <w:hideMark/>
          </w:tcPr>
          <w:p w14:paraId="787BF33E"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Direct administrative costs </w:t>
            </w:r>
          </w:p>
        </w:tc>
        <w:tc>
          <w:tcPr>
            <w:tcW w:w="997" w:type="dxa"/>
            <w:tcBorders>
              <w:top w:val="single" w:sz="6" w:space="0" w:color="auto"/>
              <w:left w:val="double" w:sz="6" w:space="0" w:color="auto"/>
              <w:bottom w:val="single" w:sz="6" w:space="0" w:color="auto"/>
              <w:right w:val="single" w:sz="6" w:space="0" w:color="auto"/>
            </w:tcBorders>
            <w:shd w:val="clear" w:color="auto" w:fill="auto"/>
            <w:vAlign w:val="center"/>
            <w:hideMark/>
          </w:tcPr>
          <w:p w14:paraId="462F964C"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A5B65B"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2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51853F"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none</w:t>
            </w:r>
          </w:p>
        </w:tc>
        <w:tc>
          <w:tcPr>
            <w:tcW w:w="1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718099"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10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F6F0F"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34677E"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21" w:type="dxa"/>
            <w:shd w:val="clear" w:color="auto" w:fill="auto"/>
            <w:vAlign w:val="center"/>
            <w:hideMark/>
          </w:tcPr>
          <w:p w14:paraId="6E732CD4" w14:textId="77777777" w:rsidR="0000623E" w:rsidRPr="00013BDC" w:rsidRDefault="0000623E">
            <w:pPr>
              <w:spacing w:after="0"/>
              <w:jc w:val="left"/>
              <w:rPr>
                <w:rFonts w:eastAsia="Times New Roman"/>
                <w:noProof/>
                <w:sz w:val="20"/>
                <w:szCs w:val="20"/>
                <w:lang w:val="en-IE" w:eastAsia="en-IE"/>
              </w:rPr>
            </w:pPr>
          </w:p>
        </w:tc>
      </w:tr>
      <w:tr w:rsidR="0000623E" w:rsidRPr="00013BDC" w14:paraId="766F28EC" w14:textId="77777777" w:rsidTr="00161EAB">
        <w:trPr>
          <w:trHeight w:val="300"/>
        </w:trPr>
        <w:tc>
          <w:tcPr>
            <w:tcW w:w="0" w:type="auto"/>
            <w:vMerge/>
            <w:tcBorders>
              <w:top w:val="single" w:sz="6" w:space="0" w:color="auto"/>
              <w:left w:val="double" w:sz="6" w:space="0" w:color="auto"/>
              <w:bottom w:val="single" w:sz="6" w:space="0" w:color="auto"/>
              <w:right w:val="single" w:sz="6" w:space="0" w:color="auto"/>
            </w:tcBorders>
            <w:shd w:val="clear" w:color="auto" w:fill="auto"/>
            <w:vAlign w:val="center"/>
            <w:hideMark/>
          </w:tcPr>
          <w:p w14:paraId="32B71C25" w14:textId="77777777" w:rsidR="0000623E" w:rsidRPr="00013BDC" w:rsidRDefault="0000623E">
            <w:pPr>
              <w:spacing w:after="0"/>
              <w:jc w:val="left"/>
              <w:rPr>
                <w:rFonts w:ascii="Segoe UI" w:eastAsia="Times New Roman" w:hAnsi="Segoe UI" w:cs="Segoe UI"/>
                <w:noProof/>
                <w:sz w:val="18"/>
                <w:szCs w:val="18"/>
                <w:lang w:val="en-IE" w:eastAsia="en-IE"/>
              </w:rPr>
            </w:pPr>
          </w:p>
        </w:tc>
        <w:tc>
          <w:tcPr>
            <w:tcW w:w="1495" w:type="dxa"/>
            <w:tcBorders>
              <w:top w:val="single" w:sz="6" w:space="0" w:color="auto"/>
              <w:left w:val="single" w:sz="6" w:space="0" w:color="auto"/>
              <w:bottom w:val="single" w:sz="6" w:space="0" w:color="auto"/>
              <w:right w:val="double" w:sz="6" w:space="0" w:color="auto"/>
            </w:tcBorders>
            <w:shd w:val="clear" w:color="auto" w:fill="auto"/>
            <w:vAlign w:val="center"/>
            <w:hideMark/>
          </w:tcPr>
          <w:p w14:paraId="35BF855E"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Direct regulatory fees and charges </w:t>
            </w:r>
          </w:p>
        </w:tc>
        <w:tc>
          <w:tcPr>
            <w:tcW w:w="997" w:type="dxa"/>
            <w:tcBorders>
              <w:top w:val="single" w:sz="6" w:space="0" w:color="auto"/>
              <w:left w:val="double" w:sz="6" w:space="0" w:color="auto"/>
              <w:bottom w:val="single" w:sz="6" w:space="0" w:color="auto"/>
              <w:right w:val="single" w:sz="6" w:space="0" w:color="auto"/>
            </w:tcBorders>
            <w:shd w:val="clear" w:color="auto" w:fill="auto"/>
            <w:vAlign w:val="center"/>
            <w:hideMark/>
          </w:tcPr>
          <w:p w14:paraId="0F6C3D65"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C01CA"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2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5D81C5"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Not expected </w:t>
            </w:r>
          </w:p>
        </w:tc>
        <w:tc>
          <w:tcPr>
            <w:tcW w:w="1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81ED0"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Not expected </w:t>
            </w:r>
          </w:p>
        </w:tc>
        <w:tc>
          <w:tcPr>
            <w:tcW w:w="10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2C689"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Not expected </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175FB7"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Not expected </w:t>
            </w:r>
          </w:p>
        </w:tc>
        <w:tc>
          <w:tcPr>
            <w:tcW w:w="21" w:type="dxa"/>
            <w:shd w:val="clear" w:color="auto" w:fill="auto"/>
            <w:vAlign w:val="center"/>
            <w:hideMark/>
          </w:tcPr>
          <w:p w14:paraId="6DBFE989" w14:textId="77777777" w:rsidR="0000623E" w:rsidRPr="00013BDC" w:rsidRDefault="0000623E">
            <w:pPr>
              <w:spacing w:after="0"/>
              <w:jc w:val="left"/>
              <w:rPr>
                <w:rFonts w:eastAsia="Times New Roman"/>
                <w:noProof/>
                <w:sz w:val="20"/>
                <w:szCs w:val="20"/>
                <w:lang w:val="en-IE" w:eastAsia="en-IE"/>
              </w:rPr>
            </w:pPr>
          </w:p>
        </w:tc>
      </w:tr>
      <w:tr w:rsidR="0000623E" w:rsidRPr="00013BDC" w14:paraId="6A8F46D0" w14:textId="77777777" w:rsidTr="00161EAB">
        <w:trPr>
          <w:trHeight w:val="300"/>
        </w:trPr>
        <w:tc>
          <w:tcPr>
            <w:tcW w:w="0" w:type="auto"/>
            <w:vMerge/>
            <w:tcBorders>
              <w:top w:val="single" w:sz="6" w:space="0" w:color="auto"/>
              <w:left w:val="double" w:sz="6" w:space="0" w:color="auto"/>
              <w:bottom w:val="single" w:sz="6" w:space="0" w:color="auto"/>
              <w:right w:val="single" w:sz="6" w:space="0" w:color="auto"/>
            </w:tcBorders>
            <w:shd w:val="clear" w:color="auto" w:fill="auto"/>
            <w:vAlign w:val="center"/>
            <w:hideMark/>
          </w:tcPr>
          <w:p w14:paraId="2181E531" w14:textId="77777777" w:rsidR="0000623E" w:rsidRPr="00013BDC" w:rsidRDefault="0000623E">
            <w:pPr>
              <w:spacing w:after="0"/>
              <w:jc w:val="left"/>
              <w:rPr>
                <w:rFonts w:ascii="Segoe UI" w:eastAsia="Times New Roman" w:hAnsi="Segoe UI" w:cs="Segoe UI"/>
                <w:noProof/>
                <w:sz w:val="18"/>
                <w:szCs w:val="18"/>
                <w:lang w:val="en-IE" w:eastAsia="en-IE"/>
              </w:rPr>
            </w:pPr>
          </w:p>
        </w:tc>
        <w:tc>
          <w:tcPr>
            <w:tcW w:w="1495" w:type="dxa"/>
            <w:tcBorders>
              <w:top w:val="single" w:sz="6" w:space="0" w:color="auto"/>
              <w:left w:val="single" w:sz="6" w:space="0" w:color="auto"/>
              <w:bottom w:val="single" w:sz="6" w:space="0" w:color="auto"/>
              <w:right w:val="double" w:sz="6" w:space="0" w:color="auto"/>
            </w:tcBorders>
            <w:shd w:val="clear" w:color="auto" w:fill="auto"/>
            <w:vAlign w:val="center"/>
            <w:hideMark/>
          </w:tcPr>
          <w:p w14:paraId="0F423B3B"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Direct enforcement costs </w:t>
            </w:r>
          </w:p>
        </w:tc>
        <w:tc>
          <w:tcPr>
            <w:tcW w:w="997" w:type="dxa"/>
            <w:tcBorders>
              <w:top w:val="single" w:sz="6" w:space="0" w:color="auto"/>
              <w:left w:val="double" w:sz="6" w:space="0" w:color="auto"/>
              <w:bottom w:val="single" w:sz="6" w:space="0" w:color="auto"/>
              <w:right w:val="single" w:sz="6" w:space="0" w:color="auto"/>
            </w:tcBorders>
            <w:shd w:val="clear" w:color="auto" w:fill="auto"/>
            <w:vAlign w:val="center"/>
            <w:hideMark/>
          </w:tcPr>
          <w:p w14:paraId="7AE70346"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3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58127"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24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E87E39"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Not expected </w:t>
            </w:r>
          </w:p>
        </w:tc>
        <w:tc>
          <w:tcPr>
            <w:tcW w:w="12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3F2E5E"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Not expected </w:t>
            </w:r>
          </w:p>
        </w:tc>
        <w:tc>
          <w:tcPr>
            <w:tcW w:w="102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E2A7F0"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Not expected </w:t>
            </w:r>
          </w:p>
        </w:tc>
        <w:tc>
          <w:tcPr>
            <w:tcW w:w="1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16939"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Not expected </w:t>
            </w:r>
          </w:p>
        </w:tc>
        <w:tc>
          <w:tcPr>
            <w:tcW w:w="21" w:type="dxa"/>
            <w:shd w:val="clear" w:color="auto" w:fill="auto"/>
            <w:vAlign w:val="center"/>
            <w:hideMark/>
          </w:tcPr>
          <w:p w14:paraId="793E6AAC" w14:textId="77777777" w:rsidR="0000623E" w:rsidRPr="00013BDC" w:rsidRDefault="0000623E">
            <w:pPr>
              <w:spacing w:after="0"/>
              <w:jc w:val="left"/>
              <w:rPr>
                <w:rFonts w:eastAsia="Times New Roman"/>
                <w:noProof/>
                <w:sz w:val="20"/>
                <w:szCs w:val="20"/>
                <w:lang w:val="en-IE" w:eastAsia="en-IE"/>
              </w:rPr>
            </w:pPr>
          </w:p>
        </w:tc>
      </w:tr>
      <w:tr w:rsidR="0000623E" w:rsidRPr="00013BDC" w14:paraId="7F9B12D1" w14:textId="77777777" w:rsidTr="00161EAB">
        <w:trPr>
          <w:trHeight w:val="300"/>
        </w:trPr>
        <w:tc>
          <w:tcPr>
            <w:tcW w:w="0" w:type="auto"/>
            <w:vMerge/>
            <w:tcBorders>
              <w:top w:val="single" w:sz="6" w:space="0" w:color="auto"/>
              <w:left w:val="double" w:sz="6" w:space="0" w:color="auto"/>
              <w:bottom w:val="single" w:sz="6" w:space="0" w:color="auto"/>
              <w:right w:val="single" w:sz="6" w:space="0" w:color="auto"/>
            </w:tcBorders>
            <w:shd w:val="clear" w:color="auto" w:fill="auto"/>
            <w:vAlign w:val="center"/>
            <w:hideMark/>
          </w:tcPr>
          <w:p w14:paraId="159C7CFF" w14:textId="77777777" w:rsidR="0000623E" w:rsidRPr="00013BDC" w:rsidRDefault="0000623E">
            <w:pPr>
              <w:spacing w:after="0"/>
              <w:jc w:val="left"/>
              <w:rPr>
                <w:rFonts w:ascii="Segoe UI" w:eastAsia="Times New Roman" w:hAnsi="Segoe UI" w:cs="Segoe UI"/>
                <w:noProof/>
                <w:sz w:val="18"/>
                <w:szCs w:val="18"/>
                <w:lang w:val="en-IE" w:eastAsia="en-IE"/>
              </w:rPr>
            </w:pPr>
          </w:p>
        </w:tc>
        <w:tc>
          <w:tcPr>
            <w:tcW w:w="1495" w:type="dxa"/>
            <w:tcBorders>
              <w:top w:val="single" w:sz="6" w:space="0" w:color="auto"/>
              <w:left w:val="single" w:sz="6" w:space="0" w:color="auto"/>
              <w:bottom w:val="double" w:sz="6" w:space="0" w:color="auto"/>
              <w:right w:val="double" w:sz="6" w:space="0" w:color="auto"/>
            </w:tcBorders>
            <w:shd w:val="clear" w:color="auto" w:fill="auto"/>
            <w:hideMark/>
          </w:tcPr>
          <w:p w14:paraId="2F73F78A"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Indirect costs </w:t>
            </w:r>
          </w:p>
        </w:tc>
        <w:tc>
          <w:tcPr>
            <w:tcW w:w="997" w:type="dxa"/>
            <w:tcBorders>
              <w:top w:val="single" w:sz="6" w:space="0" w:color="auto"/>
              <w:left w:val="double" w:sz="6" w:space="0" w:color="auto"/>
              <w:bottom w:val="double" w:sz="6" w:space="0" w:color="auto"/>
              <w:right w:val="single" w:sz="6" w:space="0" w:color="auto"/>
            </w:tcBorders>
            <w:shd w:val="clear" w:color="auto" w:fill="auto"/>
            <w:hideMark/>
          </w:tcPr>
          <w:p w14:paraId="0EEC25C1"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345" w:type="dxa"/>
            <w:tcBorders>
              <w:top w:val="single" w:sz="6" w:space="0" w:color="auto"/>
              <w:left w:val="single" w:sz="6" w:space="0" w:color="auto"/>
              <w:bottom w:val="double" w:sz="6" w:space="0" w:color="auto"/>
              <w:right w:val="single" w:sz="6" w:space="0" w:color="auto"/>
            </w:tcBorders>
            <w:shd w:val="clear" w:color="auto" w:fill="auto"/>
            <w:hideMark/>
          </w:tcPr>
          <w:p w14:paraId="14710E92"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none </w:t>
            </w:r>
          </w:p>
        </w:tc>
        <w:tc>
          <w:tcPr>
            <w:tcW w:w="1241" w:type="dxa"/>
            <w:tcBorders>
              <w:top w:val="single" w:sz="6" w:space="0" w:color="auto"/>
              <w:left w:val="single" w:sz="6" w:space="0" w:color="auto"/>
              <w:bottom w:val="double" w:sz="6" w:space="0" w:color="auto"/>
              <w:right w:val="single" w:sz="6" w:space="0" w:color="auto"/>
            </w:tcBorders>
            <w:shd w:val="clear" w:color="auto" w:fill="auto"/>
            <w:hideMark/>
          </w:tcPr>
          <w:p w14:paraId="5048A605"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1280" w:type="dxa"/>
            <w:tcBorders>
              <w:top w:val="single" w:sz="6" w:space="0" w:color="auto"/>
              <w:left w:val="single" w:sz="6" w:space="0" w:color="auto"/>
              <w:bottom w:val="double" w:sz="6" w:space="0" w:color="auto"/>
              <w:right w:val="single" w:sz="6" w:space="0" w:color="auto"/>
            </w:tcBorders>
            <w:shd w:val="clear" w:color="auto" w:fill="auto"/>
            <w:hideMark/>
          </w:tcPr>
          <w:p w14:paraId="0E15E363"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1022" w:type="dxa"/>
            <w:tcBorders>
              <w:top w:val="single" w:sz="6" w:space="0" w:color="auto"/>
              <w:left w:val="single" w:sz="6" w:space="0" w:color="auto"/>
              <w:bottom w:val="double" w:sz="6" w:space="0" w:color="auto"/>
              <w:right w:val="single" w:sz="6" w:space="0" w:color="auto"/>
            </w:tcBorders>
            <w:shd w:val="clear" w:color="auto" w:fill="auto"/>
            <w:hideMark/>
          </w:tcPr>
          <w:p w14:paraId="78C11112"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1580" w:type="dxa"/>
            <w:tcBorders>
              <w:top w:val="single" w:sz="6" w:space="0" w:color="auto"/>
              <w:left w:val="single" w:sz="6" w:space="0" w:color="auto"/>
              <w:bottom w:val="double" w:sz="6" w:space="0" w:color="auto"/>
              <w:right w:val="single" w:sz="6" w:space="0" w:color="auto"/>
            </w:tcBorders>
            <w:shd w:val="clear" w:color="auto" w:fill="auto"/>
            <w:hideMark/>
          </w:tcPr>
          <w:p w14:paraId="21B8E404"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21" w:type="dxa"/>
            <w:shd w:val="clear" w:color="auto" w:fill="auto"/>
            <w:vAlign w:val="center"/>
            <w:hideMark/>
          </w:tcPr>
          <w:p w14:paraId="4D102653" w14:textId="77777777" w:rsidR="0000623E" w:rsidRPr="00013BDC" w:rsidRDefault="0000623E">
            <w:pPr>
              <w:spacing w:after="0"/>
              <w:jc w:val="left"/>
              <w:rPr>
                <w:rFonts w:eastAsia="Times New Roman"/>
                <w:noProof/>
                <w:sz w:val="20"/>
                <w:szCs w:val="20"/>
                <w:lang w:val="en-IE" w:eastAsia="en-IE"/>
              </w:rPr>
            </w:pPr>
          </w:p>
        </w:tc>
      </w:tr>
      <w:tr w:rsidR="0000623E" w:rsidRPr="00013BDC" w14:paraId="49BE6584" w14:textId="77777777" w:rsidTr="00161EAB">
        <w:trPr>
          <w:trHeight w:val="300"/>
        </w:trPr>
        <w:tc>
          <w:tcPr>
            <w:tcW w:w="9842" w:type="dxa"/>
            <w:gridSpan w:val="8"/>
            <w:tcBorders>
              <w:top w:val="single" w:sz="6" w:space="0" w:color="auto"/>
              <w:left w:val="double" w:sz="6" w:space="0" w:color="auto"/>
              <w:bottom w:val="single" w:sz="6" w:space="0" w:color="auto"/>
              <w:right w:val="single" w:sz="6" w:space="0" w:color="auto"/>
            </w:tcBorders>
            <w:shd w:val="clear" w:color="auto" w:fill="D5DCE4"/>
            <w:hideMark/>
          </w:tcPr>
          <w:p w14:paraId="7B2DE5DE" w14:textId="77777777" w:rsidR="0000623E" w:rsidRPr="00013BDC" w:rsidRDefault="0000623E">
            <w:pPr>
              <w:spacing w:after="0"/>
              <w:jc w:val="center"/>
              <w:textAlignment w:val="baseline"/>
              <w:rPr>
                <w:rFonts w:ascii="Segoe UI" w:eastAsia="Times New Roman" w:hAnsi="Segoe UI" w:cs="Segoe UI"/>
                <w:noProof/>
                <w:color w:val="000000" w:themeColor="text1"/>
                <w:sz w:val="18"/>
                <w:szCs w:val="18"/>
                <w:lang w:val="en-IE" w:eastAsia="en-IE"/>
              </w:rPr>
            </w:pPr>
            <w:r w:rsidRPr="00013BDC">
              <w:rPr>
                <w:rFonts w:eastAsia="Times New Roman"/>
                <w:b/>
                <w:i/>
                <w:noProof/>
                <w:color w:val="000000" w:themeColor="text1"/>
                <w:sz w:val="20"/>
                <w:szCs w:val="20"/>
                <w:lang w:val="en-IE" w:eastAsia="en-IE"/>
              </w:rPr>
              <w:t>Costs related to the ‘one in, one out’ approach</w:t>
            </w:r>
            <w:r w:rsidRPr="00013BDC">
              <w:rPr>
                <w:rFonts w:eastAsia="Times New Roman"/>
                <w:noProof/>
                <w:color w:val="000000" w:themeColor="text1"/>
                <w:sz w:val="20"/>
                <w:szCs w:val="20"/>
                <w:lang w:val="en-IE" w:eastAsia="en-IE"/>
              </w:rPr>
              <w:t> </w:t>
            </w:r>
          </w:p>
        </w:tc>
        <w:tc>
          <w:tcPr>
            <w:tcW w:w="21" w:type="dxa"/>
            <w:shd w:val="clear" w:color="auto" w:fill="auto"/>
            <w:vAlign w:val="center"/>
            <w:hideMark/>
          </w:tcPr>
          <w:p w14:paraId="2AD85EED" w14:textId="77777777" w:rsidR="0000623E" w:rsidRPr="00013BDC" w:rsidRDefault="0000623E">
            <w:pPr>
              <w:spacing w:after="0"/>
              <w:jc w:val="left"/>
              <w:rPr>
                <w:rFonts w:eastAsia="Times New Roman"/>
                <w:noProof/>
                <w:sz w:val="20"/>
                <w:szCs w:val="20"/>
                <w:lang w:val="en-IE" w:eastAsia="en-IE"/>
              </w:rPr>
            </w:pPr>
          </w:p>
        </w:tc>
      </w:tr>
      <w:tr w:rsidR="0000623E" w:rsidRPr="00013BDC" w14:paraId="7F34F7D8" w14:textId="77777777" w:rsidTr="00161EAB">
        <w:trPr>
          <w:gridAfter w:val="1"/>
          <w:wAfter w:w="21" w:type="dxa"/>
          <w:trHeight w:val="630"/>
        </w:trPr>
        <w:tc>
          <w:tcPr>
            <w:tcW w:w="882" w:type="dxa"/>
            <w:tcBorders>
              <w:top w:val="double" w:sz="6" w:space="0" w:color="auto"/>
              <w:left w:val="double" w:sz="6" w:space="0" w:color="auto"/>
              <w:bottom w:val="single" w:sz="6" w:space="0" w:color="auto"/>
              <w:right w:val="single" w:sz="6" w:space="0" w:color="auto"/>
            </w:tcBorders>
            <w:shd w:val="clear" w:color="auto" w:fill="auto"/>
            <w:vAlign w:val="center"/>
            <w:hideMark/>
          </w:tcPr>
          <w:p w14:paraId="2849545E"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b/>
                <w:noProof/>
                <w:sz w:val="20"/>
                <w:szCs w:val="20"/>
                <w:lang w:val="en-IE" w:eastAsia="en-IE"/>
              </w:rPr>
              <w:t>Total  </w:t>
            </w:r>
            <w:r w:rsidRPr="00013BDC">
              <w:rPr>
                <w:rFonts w:eastAsia="Times New Roman"/>
                <w:noProof/>
                <w:sz w:val="20"/>
                <w:szCs w:val="20"/>
                <w:lang w:val="en-IE" w:eastAsia="en-IE"/>
              </w:rPr>
              <w:t> </w:t>
            </w:r>
          </w:p>
        </w:tc>
        <w:tc>
          <w:tcPr>
            <w:tcW w:w="1495" w:type="dxa"/>
            <w:tcBorders>
              <w:top w:val="double" w:sz="6" w:space="0" w:color="auto"/>
              <w:left w:val="single" w:sz="6" w:space="0" w:color="auto"/>
              <w:bottom w:val="single" w:sz="6" w:space="0" w:color="auto"/>
              <w:right w:val="double" w:sz="6" w:space="0" w:color="auto"/>
            </w:tcBorders>
            <w:shd w:val="clear" w:color="auto" w:fill="auto"/>
            <w:vAlign w:val="center"/>
            <w:hideMark/>
          </w:tcPr>
          <w:p w14:paraId="203664B4"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Direct adjustment costs  </w:t>
            </w:r>
          </w:p>
        </w:tc>
        <w:tc>
          <w:tcPr>
            <w:tcW w:w="997" w:type="dxa"/>
            <w:tcBorders>
              <w:top w:val="double" w:sz="6" w:space="0" w:color="auto"/>
              <w:left w:val="double" w:sz="6" w:space="0" w:color="auto"/>
              <w:bottom w:val="single" w:sz="6" w:space="0" w:color="auto"/>
              <w:right w:val="single" w:sz="6" w:space="0" w:color="auto"/>
            </w:tcBorders>
            <w:shd w:val="clear" w:color="auto" w:fill="auto"/>
            <w:hideMark/>
          </w:tcPr>
          <w:p w14:paraId="61C21CF6"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345" w:type="dxa"/>
            <w:tcBorders>
              <w:top w:val="double" w:sz="6" w:space="0" w:color="auto"/>
              <w:left w:val="single" w:sz="6" w:space="0" w:color="auto"/>
              <w:bottom w:val="single" w:sz="6" w:space="0" w:color="auto"/>
              <w:right w:val="single" w:sz="6" w:space="0" w:color="auto"/>
            </w:tcBorders>
            <w:shd w:val="clear" w:color="auto" w:fill="auto"/>
            <w:hideMark/>
          </w:tcPr>
          <w:p w14:paraId="6EDE05D2"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241" w:type="dxa"/>
            <w:tcBorders>
              <w:top w:val="double" w:sz="6" w:space="0" w:color="auto"/>
              <w:left w:val="single" w:sz="6" w:space="0" w:color="auto"/>
              <w:bottom w:val="single" w:sz="6" w:space="0" w:color="auto"/>
              <w:right w:val="single" w:sz="6" w:space="0" w:color="auto"/>
            </w:tcBorders>
            <w:shd w:val="clear" w:color="auto" w:fill="auto"/>
            <w:hideMark/>
          </w:tcPr>
          <w:p w14:paraId="56923E2D"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280" w:type="dxa"/>
            <w:tcBorders>
              <w:top w:val="double" w:sz="6" w:space="0" w:color="auto"/>
              <w:left w:val="single" w:sz="6" w:space="0" w:color="auto"/>
              <w:bottom w:val="single" w:sz="6" w:space="0" w:color="auto"/>
              <w:right w:val="single" w:sz="6" w:space="0" w:color="auto"/>
            </w:tcBorders>
            <w:shd w:val="clear" w:color="auto" w:fill="auto"/>
            <w:hideMark/>
          </w:tcPr>
          <w:p w14:paraId="43682BF9"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022" w:type="dxa"/>
            <w:tcBorders>
              <w:top w:val="double" w:sz="6" w:space="0" w:color="auto"/>
              <w:left w:val="single" w:sz="6" w:space="0" w:color="auto"/>
              <w:bottom w:val="double" w:sz="6" w:space="0" w:color="auto"/>
              <w:right w:val="single" w:sz="6" w:space="0" w:color="auto"/>
            </w:tcBorders>
            <w:shd w:val="clear" w:color="auto" w:fill="auto"/>
            <w:hideMark/>
          </w:tcPr>
          <w:p w14:paraId="0E6BD151"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1580" w:type="dxa"/>
            <w:tcBorders>
              <w:top w:val="double" w:sz="6" w:space="0" w:color="auto"/>
              <w:left w:val="single" w:sz="6" w:space="0" w:color="auto"/>
              <w:bottom w:val="double" w:sz="6" w:space="0" w:color="auto"/>
              <w:right w:val="double" w:sz="6" w:space="0" w:color="auto"/>
            </w:tcBorders>
            <w:shd w:val="clear" w:color="auto" w:fill="auto"/>
            <w:hideMark/>
          </w:tcPr>
          <w:p w14:paraId="5949CC71"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r>
      <w:tr w:rsidR="0000623E" w:rsidRPr="00013BDC" w14:paraId="0D777332" w14:textId="77777777" w:rsidTr="00161EAB">
        <w:trPr>
          <w:trHeight w:val="540"/>
        </w:trPr>
        <w:tc>
          <w:tcPr>
            <w:tcW w:w="882" w:type="dxa"/>
            <w:tcBorders>
              <w:top w:val="single" w:sz="6" w:space="0" w:color="auto"/>
              <w:left w:val="double" w:sz="6" w:space="0" w:color="auto"/>
              <w:bottom w:val="single" w:sz="6" w:space="0" w:color="auto"/>
              <w:right w:val="single" w:sz="6" w:space="0" w:color="auto"/>
            </w:tcBorders>
            <w:shd w:val="clear" w:color="auto" w:fill="auto"/>
            <w:hideMark/>
          </w:tcPr>
          <w:p w14:paraId="2E150FC8"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 </w:t>
            </w:r>
          </w:p>
        </w:tc>
        <w:tc>
          <w:tcPr>
            <w:tcW w:w="1495" w:type="dxa"/>
            <w:tcBorders>
              <w:top w:val="single" w:sz="6" w:space="0" w:color="auto"/>
              <w:left w:val="single" w:sz="6" w:space="0" w:color="auto"/>
              <w:bottom w:val="single" w:sz="6" w:space="0" w:color="auto"/>
              <w:right w:val="double" w:sz="6" w:space="0" w:color="auto"/>
            </w:tcBorders>
            <w:shd w:val="clear" w:color="auto" w:fill="auto"/>
            <w:hideMark/>
          </w:tcPr>
          <w:p w14:paraId="790B3E4D"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Indirect adjustment costs </w:t>
            </w:r>
          </w:p>
        </w:tc>
        <w:tc>
          <w:tcPr>
            <w:tcW w:w="997" w:type="dxa"/>
            <w:tcBorders>
              <w:top w:val="single" w:sz="6" w:space="0" w:color="auto"/>
              <w:left w:val="double" w:sz="6" w:space="0" w:color="auto"/>
              <w:bottom w:val="single" w:sz="6" w:space="0" w:color="auto"/>
              <w:right w:val="single" w:sz="6" w:space="0" w:color="auto"/>
            </w:tcBorders>
            <w:shd w:val="clear" w:color="auto" w:fill="auto"/>
            <w:hideMark/>
          </w:tcPr>
          <w:p w14:paraId="3F61F739"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345" w:type="dxa"/>
            <w:tcBorders>
              <w:top w:val="single" w:sz="6" w:space="0" w:color="auto"/>
              <w:left w:val="single" w:sz="6" w:space="0" w:color="auto"/>
              <w:bottom w:val="single" w:sz="6" w:space="0" w:color="auto"/>
              <w:right w:val="single" w:sz="6" w:space="0" w:color="auto"/>
            </w:tcBorders>
            <w:shd w:val="clear" w:color="auto" w:fill="auto"/>
            <w:hideMark/>
          </w:tcPr>
          <w:p w14:paraId="2C562B3D"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241" w:type="dxa"/>
            <w:tcBorders>
              <w:top w:val="single" w:sz="6" w:space="0" w:color="auto"/>
              <w:left w:val="single" w:sz="6" w:space="0" w:color="auto"/>
              <w:bottom w:val="single" w:sz="6" w:space="0" w:color="auto"/>
              <w:right w:val="single" w:sz="6" w:space="0" w:color="auto"/>
            </w:tcBorders>
            <w:shd w:val="clear" w:color="auto" w:fill="auto"/>
            <w:hideMark/>
          </w:tcPr>
          <w:p w14:paraId="00C57B5C"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280" w:type="dxa"/>
            <w:tcBorders>
              <w:top w:val="single" w:sz="6" w:space="0" w:color="auto"/>
              <w:left w:val="single" w:sz="6" w:space="0" w:color="auto"/>
              <w:bottom w:val="single" w:sz="6" w:space="0" w:color="auto"/>
              <w:right w:val="single" w:sz="6" w:space="0" w:color="auto"/>
            </w:tcBorders>
            <w:shd w:val="clear" w:color="auto" w:fill="auto"/>
            <w:hideMark/>
          </w:tcPr>
          <w:p w14:paraId="331A34BE"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022" w:type="dxa"/>
            <w:tcBorders>
              <w:top w:val="double" w:sz="6" w:space="0" w:color="auto"/>
              <w:left w:val="single" w:sz="6" w:space="0" w:color="auto"/>
              <w:bottom w:val="double" w:sz="6" w:space="0" w:color="auto"/>
              <w:right w:val="single" w:sz="6" w:space="0" w:color="auto"/>
            </w:tcBorders>
            <w:shd w:val="clear" w:color="auto" w:fill="auto"/>
            <w:hideMark/>
          </w:tcPr>
          <w:p w14:paraId="0F6618F8"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1580" w:type="dxa"/>
            <w:tcBorders>
              <w:top w:val="double" w:sz="6" w:space="0" w:color="auto"/>
              <w:left w:val="single" w:sz="6" w:space="0" w:color="auto"/>
              <w:bottom w:val="double" w:sz="6" w:space="0" w:color="auto"/>
              <w:right w:val="single" w:sz="6" w:space="0" w:color="auto"/>
            </w:tcBorders>
            <w:shd w:val="clear" w:color="auto" w:fill="auto"/>
            <w:hideMark/>
          </w:tcPr>
          <w:p w14:paraId="5AD8AD0F"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21" w:type="dxa"/>
            <w:shd w:val="clear" w:color="auto" w:fill="auto"/>
            <w:vAlign w:val="center"/>
            <w:hideMark/>
          </w:tcPr>
          <w:p w14:paraId="4573FB2B" w14:textId="77777777" w:rsidR="0000623E" w:rsidRPr="00013BDC" w:rsidRDefault="0000623E">
            <w:pPr>
              <w:spacing w:after="0"/>
              <w:jc w:val="left"/>
              <w:rPr>
                <w:rFonts w:eastAsia="Times New Roman"/>
                <w:noProof/>
                <w:sz w:val="20"/>
                <w:szCs w:val="20"/>
                <w:lang w:val="en-IE" w:eastAsia="en-IE"/>
              </w:rPr>
            </w:pPr>
          </w:p>
        </w:tc>
      </w:tr>
      <w:tr w:rsidR="0000623E" w:rsidRPr="00013BDC" w14:paraId="6E1F5776" w14:textId="77777777" w:rsidTr="00161EAB">
        <w:trPr>
          <w:trHeight w:val="300"/>
        </w:trPr>
        <w:tc>
          <w:tcPr>
            <w:tcW w:w="882" w:type="dxa"/>
            <w:tcBorders>
              <w:top w:val="single" w:sz="6" w:space="0" w:color="auto"/>
              <w:left w:val="double" w:sz="6" w:space="0" w:color="auto"/>
              <w:bottom w:val="double" w:sz="6" w:space="0" w:color="auto"/>
              <w:right w:val="single" w:sz="6" w:space="0" w:color="auto"/>
            </w:tcBorders>
            <w:shd w:val="clear" w:color="auto" w:fill="auto"/>
            <w:hideMark/>
          </w:tcPr>
          <w:p w14:paraId="3A8AFF16"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 </w:t>
            </w:r>
          </w:p>
        </w:tc>
        <w:tc>
          <w:tcPr>
            <w:tcW w:w="1495" w:type="dxa"/>
            <w:tcBorders>
              <w:top w:val="single" w:sz="6" w:space="0" w:color="auto"/>
              <w:left w:val="single" w:sz="6" w:space="0" w:color="auto"/>
              <w:bottom w:val="double" w:sz="6" w:space="0" w:color="auto"/>
              <w:right w:val="double" w:sz="6" w:space="0" w:color="auto"/>
            </w:tcBorders>
            <w:shd w:val="clear" w:color="auto" w:fill="auto"/>
            <w:hideMark/>
          </w:tcPr>
          <w:p w14:paraId="0168B222" w14:textId="77777777" w:rsidR="0000623E" w:rsidRPr="00013BDC" w:rsidRDefault="0000623E">
            <w:pPr>
              <w:spacing w:after="0"/>
              <w:jc w:val="left"/>
              <w:textAlignment w:val="baseline"/>
              <w:rPr>
                <w:rFonts w:ascii="Segoe UI" w:eastAsia="Times New Roman" w:hAnsi="Segoe UI" w:cs="Segoe UI"/>
                <w:noProof/>
                <w:sz w:val="18"/>
                <w:szCs w:val="18"/>
                <w:lang w:val="en-IE" w:eastAsia="en-IE"/>
              </w:rPr>
            </w:pPr>
            <w:r w:rsidRPr="00013BDC">
              <w:rPr>
                <w:rFonts w:eastAsia="Times New Roman"/>
                <w:noProof/>
                <w:sz w:val="20"/>
                <w:szCs w:val="20"/>
                <w:lang w:val="en-IE" w:eastAsia="en-IE"/>
              </w:rPr>
              <w:t>Administrative costs (for offsetting) </w:t>
            </w:r>
          </w:p>
        </w:tc>
        <w:tc>
          <w:tcPr>
            <w:tcW w:w="997" w:type="dxa"/>
            <w:tcBorders>
              <w:top w:val="single" w:sz="6" w:space="0" w:color="auto"/>
              <w:left w:val="double" w:sz="6" w:space="0" w:color="auto"/>
              <w:bottom w:val="double" w:sz="6" w:space="0" w:color="auto"/>
              <w:right w:val="single" w:sz="6" w:space="0" w:color="auto"/>
            </w:tcBorders>
            <w:shd w:val="clear" w:color="auto" w:fill="auto"/>
            <w:hideMark/>
          </w:tcPr>
          <w:p w14:paraId="28866C3D"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345" w:type="dxa"/>
            <w:tcBorders>
              <w:top w:val="single" w:sz="6" w:space="0" w:color="auto"/>
              <w:left w:val="single" w:sz="6" w:space="0" w:color="auto"/>
              <w:bottom w:val="double" w:sz="6" w:space="0" w:color="auto"/>
              <w:right w:val="single" w:sz="6" w:space="0" w:color="auto"/>
            </w:tcBorders>
            <w:shd w:val="clear" w:color="auto" w:fill="auto"/>
            <w:hideMark/>
          </w:tcPr>
          <w:p w14:paraId="47F3283E"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241" w:type="dxa"/>
            <w:tcBorders>
              <w:top w:val="single" w:sz="6" w:space="0" w:color="auto"/>
              <w:left w:val="single" w:sz="6" w:space="0" w:color="auto"/>
              <w:bottom w:val="double" w:sz="6" w:space="0" w:color="auto"/>
              <w:right w:val="single" w:sz="6" w:space="0" w:color="auto"/>
            </w:tcBorders>
            <w:shd w:val="clear" w:color="auto" w:fill="auto"/>
            <w:hideMark/>
          </w:tcPr>
          <w:p w14:paraId="565BADD3"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280" w:type="dxa"/>
            <w:tcBorders>
              <w:top w:val="single" w:sz="6" w:space="0" w:color="auto"/>
              <w:left w:val="single" w:sz="6" w:space="0" w:color="auto"/>
              <w:bottom w:val="double" w:sz="6" w:space="0" w:color="auto"/>
              <w:right w:val="single" w:sz="6" w:space="0" w:color="auto"/>
            </w:tcBorders>
            <w:shd w:val="clear" w:color="auto" w:fill="auto"/>
            <w:hideMark/>
          </w:tcPr>
          <w:p w14:paraId="16284AFA"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n/a </w:t>
            </w:r>
          </w:p>
        </w:tc>
        <w:tc>
          <w:tcPr>
            <w:tcW w:w="1022" w:type="dxa"/>
            <w:tcBorders>
              <w:top w:val="single" w:sz="6" w:space="0" w:color="auto"/>
              <w:left w:val="single" w:sz="6" w:space="0" w:color="auto"/>
              <w:bottom w:val="double" w:sz="6" w:space="0" w:color="auto"/>
              <w:right w:val="single" w:sz="6" w:space="0" w:color="auto"/>
            </w:tcBorders>
            <w:shd w:val="clear" w:color="auto" w:fill="auto"/>
            <w:hideMark/>
          </w:tcPr>
          <w:p w14:paraId="22D10BB3"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1580" w:type="dxa"/>
            <w:tcBorders>
              <w:top w:val="single" w:sz="6" w:space="0" w:color="auto"/>
              <w:left w:val="single" w:sz="6" w:space="0" w:color="auto"/>
              <w:bottom w:val="double" w:sz="6" w:space="0" w:color="auto"/>
              <w:right w:val="single" w:sz="6" w:space="0" w:color="auto"/>
            </w:tcBorders>
            <w:shd w:val="clear" w:color="auto" w:fill="auto"/>
            <w:hideMark/>
          </w:tcPr>
          <w:p w14:paraId="48BA9251" w14:textId="77777777" w:rsidR="0000623E" w:rsidRPr="00013BDC" w:rsidRDefault="0000623E">
            <w:pPr>
              <w:spacing w:after="0"/>
              <w:jc w:val="left"/>
              <w:textAlignment w:val="baseline"/>
              <w:rPr>
                <w:rFonts w:ascii="Segoe UI" w:eastAsia="Times New Roman" w:hAnsi="Segoe UI" w:cs="Segoe UI"/>
                <w:noProof/>
                <w:color w:val="000000" w:themeColor="text1"/>
                <w:sz w:val="18"/>
                <w:szCs w:val="18"/>
                <w:lang w:val="en-IE" w:eastAsia="en-IE"/>
              </w:rPr>
            </w:pPr>
            <w:r w:rsidRPr="00013BDC">
              <w:rPr>
                <w:rFonts w:eastAsia="Times New Roman"/>
                <w:noProof/>
                <w:color w:val="000000" w:themeColor="text1"/>
                <w:sz w:val="20"/>
                <w:szCs w:val="20"/>
                <w:lang w:val="en-IE" w:eastAsia="en-IE"/>
              </w:rPr>
              <w:t> </w:t>
            </w:r>
          </w:p>
        </w:tc>
        <w:tc>
          <w:tcPr>
            <w:tcW w:w="21" w:type="dxa"/>
            <w:shd w:val="clear" w:color="auto" w:fill="auto"/>
            <w:vAlign w:val="center"/>
            <w:hideMark/>
          </w:tcPr>
          <w:p w14:paraId="388C016C" w14:textId="77777777" w:rsidR="0000623E" w:rsidRPr="00013BDC" w:rsidRDefault="0000623E">
            <w:pPr>
              <w:spacing w:after="0"/>
              <w:jc w:val="left"/>
              <w:rPr>
                <w:rFonts w:eastAsia="Times New Roman"/>
                <w:noProof/>
                <w:sz w:val="20"/>
                <w:szCs w:val="20"/>
                <w:lang w:val="en-IE" w:eastAsia="en-IE"/>
              </w:rPr>
            </w:pPr>
          </w:p>
        </w:tc>
      </w:tr>
    </w:tbl>
    <w:p w14:paraId="436B31CB" w14:textId="77777777" w:rsidR="0000623E" w:rsidRPr="00013BDC" w:rsidRDefault="0000623E" w:rsidP="0000623E">
      <w:pPr>
        <w:rPr>
          <w:noProof/>
          <w:lang w:val="en-IE"/>
        </w:rPr>
      </w:pPr>
    </w:p>
    <w:p w14:paraId="1D0AA6EC" w14:textId="7D0AD0ED" w:rsidR="00E319C2" w:rsidRPr="00013BDC" w:rsidRDefault="00F64258" w:rsidP="00F64258">
      <w:pPr>
        <w:pStyle w:val="Heading2"/>
        <w:rPr>
          <w:noProof/>
          <w:lang w:val="en-IE"/>
        </w:rPr>
      </w:pPr>
      <w:bookmarkStart w:id="216" w:name="_Toc117004512"/>
      <w:bookmarkStart w:id="217" w:name="_Toc118014796"/>
      <w:bookmarkStart w:id="218" w:name="_Toc120782541"/>
      <w:bookmarkStart w:id="219" w:name="_Toc2119330491"/>
      <w:bookmarkStart w:id="220" w:name="_Toc1049055274"/>
      <w:bookmarkStart w:id="221" w:name="_Toc47131822"/>
      <w:bookmarkStart w:id="222" w:name="_Toc89090921"/>
      <w:bookmarkStart w:id="223" w:name="_Toc633705575"/>
      <w:bookmarkStart w:id="224" w:name="_Toc1572455740"/>
      <w:bookmarkStart w:id="225" w:name="_Toc1272020319"/>
      <w:bookmarkStart w:id="226" w:name="_Toc139032945"/>
      <w:bookmarkEnd w:id="201"/>
      <w:bookmarkEnd w:id="202"/>
      <w:r w:rsidRPr="00F64258">
        <w:t>6-</w:t>
      </w:r>
      <w:r w:rsidRPr="00F64258">
        <w:tab/>
      </w:r>
      <w:r w:rsidR="65687973" w:rsidRPr="00013BDC">
        <w:rPr>
          <w:noProof/>
          <w:lang w:val="en-IE"/>
        </w:rPr>
        <w:t>Relevant sustainable development goals</w:t>
      </w:r>
      <w:bookmarkEnd w:id="216"/>
      <w:bookmarkEnd w:id="217"/>
      <w:bookmarkEnd w:id="218"/>
      <w:bookmarkEnd w:id="219"/>
      <w:bookmarkEnd w:id="220"/>
      <w:bookmarkEnd w:id="221"/>
      <w:bookmarkEnd w:id="222"/>
      <w:bookmarkEnd w:id="223"/>
      <w:bookmarkEnd w:id="224"/>
      <w:bookmarkEnd w:id="225"/>
      <w:bookmarkEnd w:id="226"/>
    </w:p>
    <w:p w14:paraId="06CA36CF" w14:textId="71B43F30" w:rsidR="00161EAB" w:rsidRPr="00013BDC" w:rsidRDefault="00161EAB" w:rsidP="00D40A07">
      <w:pPr>
        <w:pStyle w:val="Caption"/>
        <w:spacing w:after="240"/>
        <w:rPr>
          <w:noProof/>
          <w:color w:val="auto"/>
          <w:sz w:val="24"/>
          <w:szCs w:val="24"/>
          <w:lang w:val="en-IE"/>
        </w:rPr>
      </w:pPr>
      <w:bookmarkStart w:id="227" w:name="_Toc133229415"/>
      <w:bookmarkStart w:id="228" w:name="_Toc139033036"/>
      <w:r w:rsidRPr="00013BDC">
        <w:rPr>
          <w:noProof/>
          <w:color w:val="auto"/>
          <w:sz w:val="24"/>
          <w:szCs w:val="24"/>
          <w:lang w:val="en-IE"/>
        </w:rPr>
        <w:t xml:space="preserve">Table </w:t>
      </w:r>
      <w:r w:rsidR="004C5576">
        <w:rPr>
          <w:noProof/>
          <w:color w:val="auto"/>
          <w:sz w:val="24"/>
          <w:szCs w:val="24"/>
        </w:rPr>
        <w:t>6</w:t>
      </w:r>
      <w:r w:rsidRPr="00013BDC">
        <w:rPr>
          <w:noProof/>
          <w:color w:val="auto"/>
          <w:sz w:val="24"/>
          <w:szCs w:val="24"/>
          <w:lang w:val="en-IE"/>
        </w:rPr>
        <w:t xml:space="preserve"> – Overview of relevant Sustainable Development Goals for the Preferred Option</w:t>
      </w:r>
      <w:bookmarkEnd w:id="227"/>
      <w:bookmarkEnd w:id="228"/>
    </w:p>
    <w:tbl>
      <w:tblPr>
        <w:tblStyle w:val="CV11"/>
        <w:tblW w:w="9800"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20"/>
        <w:gridCol w:w="3366"/>
        <w:gridCol w:w="4714"/>
      </w:tblGrid>
      <w:tr w:rsidR="0021394C" w:rsidRPr="00013BDC" w14:paraId="477C2D71" w14:textId="77777777" w:rsidTr="006554B6">
        <w:trPr>
          <w:trHeight w:val="300"/>
        </w:trPr>
        <w:tc>
          <w:tcPr>
            <w:tcW w:w="9800" w:type="dxa"/>
            <w:gridSpan w:val="3"/>
            <w:tcBorders>
              <w:top w:val="double" w:sz="4" w:space="0" w:color="auto"/>
              <w:bottom w:val="single" w:sz="4" w:space="0" w:color="auto"/>
            </w:tcBorders>
            <w:shd w:val="clear" w:color="auto" w:fill="C6D9F1" w:themeFill="text2" w:themeFillTint="33"/>
          </w:tcPr>
          <w:p w14:paraId="21A8100B" w14:textId="77777777" w:rsidR="00E319C2" w:rsidRPr="00013BDC" w:rsidRDefault="00E319C2" w:rsidP="001B1E6E">
            <w:pPr>
              <w:spacing w:after="0"/>
              <w:rPr>
                <w:b/>
                <w:noProof/>
                <w:sz w:val="20"/>
                <w:szCs w:val="20"/>
                <w:lang w:val="en-IE"/>
              </w:rPr>
            </w:pPr>
            <w:r w:rsidRPr="00013BDC">
              <w:rPr>
                <w:b/>
                <w:noProof/>
                <w:sz w:val="20"/>
                <w:szCs w:val="20"/>
                <w:lang w:val="en-IE"/>
              </w:rPr>
              <w:t>III. Overview of relevant Sustainable Development Goals – Preferred Option(s)</w:t>
            </w:r>
          </w:p>
        </w:tc>
      </w:tr>
      <w:tr w:rsidR="00C046D4" w:rsidRPr="00013BDC" w14:paraId="144E870C" w14:textId="77777777" w:rsidTr="00EF2DB4">
        <w:trPr>
          <w:trHeight w:val="300"/>
        </w:trPr>
        <w:tc>
          <w:tcPr>
            <w:tcW w:w="1720" w:type="dxa"/>
            <w:tcBorders>
              <w:top w:val="single" w:sz="4" w:space="0" w:color="auto"/>
            </w:tcBorders>
            <w:shd w:val="clear" w:color="auto" w:fill="C6D9F1" w:themeFill="text2" w:themeFillTint="33"/>
          </w:tcPr>
          <w:p w14:paraId="01E831C7" w14:textId="77777777" w:rsidR="00E319C2" w:rsidRPr="00013BDC" w:rsidRDefault="00E319C2" w:rsidP="001B1E6E">
            <w:pPr>
              <w:spacing w:after="0"/>
              <w:rPr>
                <w:b/>
                <w:noProof/>
                <w:sz w:val="20"/>
                <w:szCs w:val="20"/>
                <w:lang w:val="en-IE"/>
              </w:rPr>
            </w:pPr>
            <w:r w:rsidRPr="00013BDC">
              <w:rPr>
                <w:b/>
                <w:noProof/>
                <w:sz w:val="20"/>
                <w:szCs w:val="20"/>
                <w:lang w:val="en-IE"/>
              </w:rPr>
              <w:t>Relevant SDG</w:t>
            </w:r>
          </w:p>
        </w:tc>
        <w:tc>
          <w:tcPr>
            <w:tcW w:w="3366" w:type="dxa"/>
            <w:tcBorders>
              <w:top w:val="single" w:sz="4" w:space="0" w:color="auto"/>
            </w:tcBorders>
            <w:shd w:val="clear" w:color="auto" w:fill="C6D9F1" w:themeFill="text2" w:themeFillTint="33"/>
          </w:tcPr>
          <w:p w14:paraId="43CA5E15" w14:textId="77777777" w:rsidR="00E319C2" w:rsidRPr="00013BDC" w:rsidRDefault="00E319C2" w:rsidP="001B1E6E">
            <w:pPr>
              <w:spacing w:after="0"/>
              <w:rPr>
                <w:b/>
                <w:noProof/>
                <w:sz w:val="20"/>
                <w:szCs w:val="20"/>
                <w:lang w:val="en-IE"/>
              </w:rPr>
            </w:pPr>
            <w:r w:rsidRPr="00013BDC">
              <w:rPr>
                <w:b/>
                <w:noProof/>
                <w:sz w:val="20"/>
                <w:szCs w:val="20"/>
                <w:lang w:val="en-IE"/>
              </w:rPr>
              <w:t>Expected progress towards the Goal</w:t>
            </w:r>
          </w:p>
        </w:tc>
        <w:tc>
          <w:tcPr>
            <w:tcW w:w="4714" w:type="dxa"/>
            <w:tcBorders>
              <w:top w:val="single" w:sz="4" w:space="0" w:color="auto"/>
            </w:tcBorders>
            <w:shd w:val="clear" w:color="auto" w:fill="C6D9F1" w:themeFill="text2" w:themeFillTint="33"/>
            <w:tcMar>
              <w:top w:w="57" w:type="dxa"/>
              <w:left w:w="57" w:type="dxa"/>
              <w:bottom w:w="57" w:type="dxa"/>
              <w:right w:w="57" w:type="dxa"/>
            </w:tcMar>
          </w:tcPr>
          <w:p w14:paraId="45882DB6" w14:textId="77777777" w:rsidR="00E319C2" w:rsidRPr="00013BDC" w:rsidRDefault="00E319C2" w:rsidP="001B1E6E">
            <w:pPr>
              <w:spacing w:after="0"/>
              <w:rPr>
                <w:b/>
                <w:noProof/>
                <w:sz w:val="20"/>
                <w:szCs w:val="20"/>
                <w:lang w:val="en-IE"/>
              </w:rPr>
            </w:pPr>
            <w:r w:rsidRPr="00013BDC">
              <w:rPr>
                <w:b/>
                <w:noProof/>
                <w:sz w:val="20"/>
                <w:szCs w:val="20"/>
                <w:lang w:val="en-IE"/>
              </w:rPr>
              <w:t>Comments</w:t>
            </w:r>
          </w:p>
        </w:tc>
      </w:tr>
      <w:tr w:rsidR="00810DBB" w:rsidRPr="00013BDC" w14:paraId="7B21444E" w14:textId="77777777" w:rsidTr="00EF2DB4">
        <w:trPr>
          <w:trHeight w:val="300"/>
        </w:trPr>
        <w:tc>
          <w:tcPr>
            <w:tcW w:w="1720" w:type="dxa"/>
            <w:tcBorders>
              <w:top w:val="double" w:sz="4" w:space="0" w:color="auto"/>
              <w:bottom w:val="single" w:sz="4" w:space="0" w:color="auto"/>
            </w:tcBorders>
          </w:tcPr>
          <w:p w14:paraId="308C425B" w14:textId="597C9838" w:rsidR="2FCEFAA2" w:rsidRPr="00013BDC" w:rsidRDefault="2FCEFAA2" w:rsidP="00D40A07">
            <w:pPr>
              <w:spacing w:after="120"/>
              <w:rPr>
                <w:noProof/>
                <w:sz w:val="20"/>
                <w:szCs w:val="20"/>
                <w:lang w:val="en-IE"/>
              </w:rPr>
            </w:pPr>
            <w:r w:rsidRPr="00013BDC">
              <w:rPr>
                <w:noProof/>
                <w:sz w:val="20"/>
                <w:szCs w:val="20"/>
                <w:lang w:val="en-IE"/>
              </w:rPr>
              <w:t xml:space="preserve">SDG no. 3 </w:t>
            </w:r>
            <w:r w:rsidR="6D5B4EB4" w:rsidRPr="00013BDC">
              <w:rPr>
                <w:noProof/>
                <w:sz w:val="20"/>
                <w:szCs w:val="20"/>
                <w:lang w:val="en-IE"/>
              </w:rPr>
              <w:t>-</w:t>
            </w:r>
            <w:r w:rsidRPr="00013BDC">
              <w:rPr>
                <w:noProof/>
                <w:sz w:val="20"/>
                <w:szCs w:val="20"/>
                <w:lang w:val="en-IE"/>
              </w:rPr>
              <w:t xml:space="preserve"> good health and well-being: ensure healthy lives and promote well-being for all at all ages</w:t>
            </w:r>
            <w:r w:rsidR="410E8F1C" w:rsidRPr="00013BDC">
              <w:rPr>
                <w:noProof/>
                <w:sz w:val="20"/>
                <w:szCs w:val="20"/>
                <w:lang w:val="en-IE"/>
              </w:rPr>
              <w:t xml:space="preserve">, </w:t>
            </w:r>
          </w:p>
        </w:tc>
        <w:tc>
          <w:tcPr>
            <w:tcW w:w="3366" w:type="dxa"/>
            <w:tcBorders>
              <w:top w:val="double" w:sz="4" w:space="0" w:color="auto"/>
              <w:bottom w:val="single" w:sz="4" w:space="0" w:color="auto"/>
            </w:tcBorders>
            <w:tcMar>
              <w:top w:w="57" w:type="dxa"/>
              <w:left w:w="57" w:type="dxa"/>
              <w:bottom w:w="57" w:type="dxa"/>
              <w:right w:w="57" w:type="dxa"/>
            </w:tcMar>
          </w:tcPr>
          <w:p w14:paraId="6F417EDF" w14:textId="0A2BCBBD" w:rsidR="1C21EEDA" w:rsidRPr="00013BDC" w:rsidRDefault="1C21EEDA" w:rsidP="00D40A07">
            <w:pPr>
              <w:spacing w:after="120"/>
              <w:rPr>
                <w:noProof/>
                <w:sz w:val="20"/>
                <w:szCs w:val="20"/>
                <w:lang w:val="en-IE"/>
              </w:rPr>
            </w:pPr>
            <w:r w:rsidRPr="00013BDC">
              <w:rPr>
                <w:noProof/>
                <w:sz w:val="20"/>
                <w:szCs w:val="20"/>
                <w:lang w:val="en-IE"/>
              </w:rPr>
              <w:t xml:space="preserve">The project is linked especially with target </w:t>
            </w:r>
            <w:r w:rsidRPr="00013BDC">
              <w:rPr>
                <w:b/>
                <w:noProof/>
                <w:sz w:val="20"/>
                <w:szCs w:val="20"/>
                <w:lang w:val="en-IE"/>
              </w:rPr>
              <w:t>3.9</w:t>
            </w:r>
            <w:r w:rsidRPr="00013BDC">
              <w:rPr>
                <w:noProof/>
                <w:sz w:val="20"/>
                <w:szCs w:val="20"/>
                <w:lang w:val="en-IE"/>
              </w:rPr>
              <w:t xml:space="preserve"> which aims to the substantial reduction of the number of deaths and illnesses from hazardous chemicals and air, water and soil pollution and contamination. </w:t>
            </w:r>
            <w:r w:rsidR="01062ADA" w:rsidRPr="00013BDC">
              <w:rPr>
                <w:noProof/>
                <w:sz w:val="20"/>
                <w:szCs w:val="20"/>
                <w:lang w:val="en-IE"/>
              </w:rPr>
              <w:t>Through the amendment an improvement in public health and safety</w:t>
            </w:r>
            <w:r w:rsidR="60589D72" w:rsidRPr="00013BDC">
              <w:rPr>
                <w:noProof/>
                <w:sz w:val="20"/>
                <w:szCs w:val="20"/>
                <w:lang w:val="en-IE"/>
              </w:rPr>
              <w:t xml:space="preserve"> due to decrease in pollution from waste disposal practices</w:t>
            </w:r>
            <w:r w:rsidR="01062ADA" w:rsidRPr="00013BDC">
              <w:rPr>
                <w:noProof/>
                <w:sz w:val="20"/>
                <w:szCs w:val="20"/>
                <w:lang w:val="en-IE"/>
              </w:rPr>
              <w:t xml:space="preserve"> is expected</w:t>
            </w:r>
            <w:r w:rsidR="5EE8A0E2" w:rsidRPr="00013BDC">
              <w:rPr>
                <w:noProof/>
                <w:sz w:val="20"/>
                <w:szCs w:val="20"/>
                <w:lang w:val="en-IE"/>
              </w:rPr>
              <w:t>.</w:t>
            </w:r>
          </w:p>
        </w:tc>
        <w:tc>
          <w:tcPr>
            <w:tcW w:w="4714" w:type="dxa"/>
            <w:tcBorders>
              <w:top w:val="double" w:sz="4" w:space="0" w:color="auto"/>
              <w:bottom w:val="single" w:sz="4" w:space="0" w:color="auto"/>
            </w:tcBorders>
            <w:tcMar>
              <w:top w:w="57" w:type="dxa"/>
              <w:left w:w="57" w:type="dxa"/>
              <w:bottom w:w="57" w:type="dxa"/>
              <w:right w:w="57" w:type="dxa"/>
            </w:tcMar>
          </w:tcPr>
          <w:p w14:paraId="479CDCEA" w14:textId="502BDFE2" w:rsidR="76EB5939" w:rsidRPr="00013BDC" w:rsidRDefault="76EB5939" w:rsidP="00D40A07">
            <w:pPr>
              <w:spacing w:after="120"/>
              <w:rPr>
                <w:noProof/>
                <w:sz w:val="20"/>
                <w:szCs w:val="20"/>
                <w:lang w:val="en-IE"/>
              </w:rPr>
            </w:pPr>
            <w:r w:rsidRPr="00013BDC">
              <w:rPr>
                <w:noProof/>
                <w:sz w:val="20"/>
                <w:szCs w:val="20"/>
                <w:lang w:val="en-IE"/>
              </w:rPr>
              <w:t>Trade-offs with targets 1.5</w:t>
            </w:r>
            <w:r w:rsidR="2F3F117F" w:rsidRPr="00013BDC">
              <w:rPr>
                <w:noProof/>
                <w:sz w:val="20"/>
                <w:szCs w:val="20"/>
                <w:lang w:val="en-IE"/>
              </w:rPr>
              <w:t>: “By 2030, build the resilience of the poor and those in vulnerable situations and reduce their exposure and vulnerability to climate-related extreme events and other economic, social and environmental shocks and disasters.”</w:t>
            </w:r>
            <w:r w:rsidRPr="00013BDC">
              <w:rPr>
                <w:noProof/>
                <w:sz w:val="20"/>
                <w:szCs w:val="20"/>
                <w:lang w:val="en-IE"/>
              </w:rPr>
              <w:t>, 10.6</w:t>
            </w:r>
            <w:r w:rsidR="29CDD21C" w:rsidRPr="00013BDC">
              <w:rPr>
                <w:noProof/>
                <w:sz w:val="20"/>
                <w:szCs w:val="20"/>
                <w:lang w:val="en-IE"/>
              </w:rPr>
              <w:t>: “Ensure enhanced representation and voice for developing countries in decision-making in global international economic and financial institutions in order to deliver more effective, credible, accountable and legitimate institutions.”</w:t>
            </w:r>
            <w:r w:rsidRPr="00013BDC">
              <w:rPr>
                <w:noProof/>
                <w:sz w:val="20"/>
                <w:szCs w:val="20"/>
                <w:lang w:val="en-IE"/>
              </w:rPr>
              <w:t>, 15.5</w:t>
            </w:r>
            <w:r w:rsidR="7E9F5908" w:rsidRPr="00013BDC">
              <w:rPr>
                <w:noProof/>
                <w:sz w:val="20"/>
                <w:szCs w:val="20"/>
                <w:lang w:val="en-IE"/>
              </w:rPr>
              <w:t>: “Take urgent and significant action to reduce the degradation of natural habitats, halt the loss of biodiversity and, by 2020, protect and prevent the extinction of threatened species.”</w:t>
            </w:r>
            <w:r w:rsidRPr="00013BDC">
              <w:rPr>
                <w:noProof/>
                <w:sz w:val="20"/>
                <w:szCs w:val="20"/>
                <w:lang w:val="en-IE"/>
              </w:rPr>
              <w:t xml:space="preserve"> and 16.8</w:t>
            </w:r>
            <w:r w:rsidR="7683C0ED" w:rsidRPr="00013BDC">
              <w:rPr>
                <w:noProof/>
                <w:sz w:val="20"/>
                <w:szCs w:val="20"/>
                <w:lang w:val="en-IE"/>
              </w:rPr>
              <w:t>: “Broaden and strengthen the participation of developing countries in the institutions of global governance”.</w:t>
            </w:r>
          </w:p>
        </w:tc>
      </w:tr>
      <w:tr w:rsidR="00810DBB" w:rsidRPr="00013BDC" w14:paraId="7BD772BF" w14:textId="77777777" w:rsidTr="00EF2DB4">
        <w:trPr>
          <w:trHeight w:val="300"/>
        </w:trPr>
        <w:tc>
          <w:tcPr>
            <w:tcW w:w="1720" w:type="dxa"/>
            <w:tcBorders>
              <w:top w:val="double" w:sz="4" w:space="0" w:color="auto"/>
              <w:bottom w:val="single" w:sz="4" w:space="0" w:color="auto"/>
            </w:tcBorders>
          </w:tcPr>
          <w:p w14:paraId="1517C04B" w14:textId="08C93655" w:rsidR="275487BF" w:rsidRPr="00013BDC" w:rsidRDefault="275487BF" w:rsidP="00D40A07">
            <w:pPr>
              <w:spacing w:after="120"/>
              <w:rPr>
                <w:noProof/>
                <w:sz w:val="20"/>
                <w:szCs w:val="20"/>
                <w:lang w:val="en-IE"/>
              </w:rPr>
            </w:pPr>
            <w:r w:rsidRPr="00013BDC">
              <w:rPr>
                <w:noProof/>
                <w:sz w:val="20"/>
                <w:szCs w:val="20"/>
                <w:lang w:val="en-IE"/>
              </w:rPr>
              <w:t>SDG no. 8 - Decent work and economic growth: promote sustained, inclusive and sustainable economic growth, full and productive employment and decent work for all</w:t>
            </w:r>
            <w:r w:rsidR="269C1BF3" w:rsidRPr="00013BDC">
              <w:rPr>
                <w:noProof/>
                <w:sz w:val="20"/>
                <w:szCs w:val="20"/>
                <w:lang w:val="en-IE"/>
              </w:rPr>
              <w:t>.</w:t>
            </w:r>
          </w:p>
        </w:tc>
        <w:tc>
          <w:tcPr>
            <w:tcW w:w="3366" w:type="dxa"/>
            <w:tcBorders>
              <w:top w:val="double" w:sz="4" w:space="0" w:color="auto"/>
              <w:bottom w:val="single" w:sz="4" w:space="0" w:color="auto"/>
            </w:tcBorders>
            <w:tcMar>
              <w:top w:w="57" w:type="dxa"/>
              <w:left w:w="57" w:type="dxa"/>
              <w:bottom w:w="57" w:type="dxa"/>
              <w:right w:w="57" w:type="dxa"/>
            </w:tcMar>
          </w:tcPr>
          <w:p w14:paraId="4E7DC8E0" w14:textId="17B049E7" w:rsidR="269C1BF3" w:rsidRPr="00013BDC" w:rsidRDefault="269C1BF3" w:rsidP="00D40A07">
            <w:pPr>
              <w:spacing w:after="120"/>
              <w:rPr>
                <w:noProof/>
                <w:sz w:val="20"/>
                <w:szCs w:val="20"/>
                <w:lang w:val="en-IE"/>
              </w:rPr>
            </w:pPr>
            <w:r w:rsidRPr="00013BDC">
              <w:rPr>
                <w:noProof/>
                <w:sz w:val="20"/>
                <w:szCs w:val="20"/>
                <w:lang w:val="en-IE"/>
              </w:rPr>
              <w:t xml:space="preserve">The project is linked with targets </w:t>
            </w:r>
            <w:r w:rsidRPr="00013BDC">
              <w:rPr>
                <w:b/>
                <w:noProof/>
                <w:sz w:val="20"/>
                <w:szCs w:val="20"/>
                <w:lang w:val="en-IE"/>
              </w:rPr>
              <w:t>8.3:</w:t>
            </w:r>
            <w:r w:rsidRPr="00013BDC">
              <w:rPr>
                <w:noProof/>
                <w:sz w:val="20"/>
                <w:szCs w:val="20"/>
                <w:lang w:val="en-IE"/>
              </w:rPr>
              <w:t xml:space="preserve"> “Promote development-oriented policies that support productive activities, decent job creation, entrepreneurship, creativity and innovation, and encourage the formalization and growth of micro-, small- and medium-sized enterprises, including through access to financial services.”, </w:t>
            </w:r>
            <w:r w:rsidRPr="00013BDC">
              <w:rPr>
                <w:b/>
                <w:noProof/>
                <w:sz w:val="20"/>
                <w:szCs w:val="20"/>
                <w:lang w:val="en-IE"/>
              </w:rPr>
              <w:t>8.4:</w:t>
            </w:r>
            <w:r w:rsidRPr="00013BDC">
              <w:rPr>
                <w:noProof/>
                <w:sz w:val="20"/>
                <w:szCs w:val="20"/>
                <w:lang w:val="en-IE"/>
              </w:rPr>
              <w:t xml:space="preserve"> “Improve progressively, through 2030, global resource efficiency in consumption and production and endeavour to decouple economic growth from environmental degradation, in accordance with the 10-year framework of programmes on sustainable consumption and production, with developed countries taking the lead.</w:t>
            </w:r>
            <w:r w:rsidR="31797C67" w:rsidRPr="00013BDC">
              <w:rPr>
                <w:noProof/>
                <w:sz w:val="20"/>
                <w:szCs w:val="20"/>
                <w:lang w:val="en-IE"/>
              </w:rPr>
              <w:t xml:space="preserve">” and </w:t>
            </w:r>
            <w:r w:rsidR="31797C67" w:rsidRPr="00013BDC">
              <w:rPr>
                <w:b/>
                <w:noProof/>
                <w:sz w:val="20"/>
                <w:szCs w:val="20"/>
                <w:lang w:val="en-IE"/>
              </w:rPr>
              <w:t>8.7:</w:t>
            </w:r>
            <w:r w:rsidR="31797C67" w:rsidRPr="00013BDC">
              <w:rPr>
                <w:noProof/>
                <w:sz w:val="20"/>
                <w:szCs w:val="20"/>
                <w:lang w:val="en-IE"/>
              </w:rPr>
              <w:t xml:space="preserve"> “Take immediate and effective measures to eradicate forced labour, end modern slavery and human trafficking and secure the prohibition and elimination of the worst forms of child labour, including recruitment and use of child soldiers, and by 2025 end child labour in all its forms”.</w:t>
            </w:r>
          </w:p>
          <w:p w14:paraId="4309B7CE" w14:textId="2557A563" w:rsidR="59A4D545" w:rsidRPr="00013BDC" w:rsidRDefault="59A4D545" w:rsidP="00D40A07">
            <w:pPr>
              <w:spacing w:after="120"/>
              <w:rPr>
                <w:noProof/>
                <w:sz w:val="20"/>
                <w:szCs w:val="20"/>
                <w:lang w:val="en-IE"/>
              </w:rPr>
            </w:pPr>
            <w:r w:rsidRPr="00013BDC">
              <w:rPr>
                <w:noProof/>
                <w:sz w:val="20"/>
                <w:szCs w:val="20"/>
                <w:lang w:val="en-IE"/>
              </w:rPr>
              <w:t>Combating the fast fashion phenomenon will address the issue of</w:t>
            </w:r>
            <w:r w:rsidR="1610869E" w:rsidRPr="00013BDC">
              <w:rPr>
                <w:noProof/>
                <w:sz w:val="20"/>
                <w:szCs w:val="20"/>
                <w:lang w:val="en-IE"/>
              </w:rPr>
              <w:t xml:space="preserve"> workers suffering poor working conditions with long hours and low pay, with evidence, in some instances, of modern slavery and child labour.</w:t>
            </w:r>
          </w:p>
          <w:p w14:paraId="775CDD71" w14:textId="64908CCB" w:rsidR="009504D5" w:rsidRPr="00013BDC" w:rsidRDefault="009504D5" w:rsidP="00D40A07">
            <w:pPr>
              <w:spacing w:after="120"/>
              <w:rPr>
                <w:noProof/>
                <w:sz w:val="20"/>
                <w:szCs w:val="20"/>
                <w:lang w:val="en-IE"/>
              </w:rPr>
            </w:pPr>
            <w:r w:rsidRPr="00013BDC">
              <w:rPr>
                <w:noProof/>
                <w:sz w:val="20"/>
                <w:szCs w:val="20"/>
                <w:lang w:val="en-IE"/>
              </w:rPr>
              <w:t xml:space="preserve">The measures aim to ensure that textiles are </w:t>
            </w:r>
            <w:r w:rsidR="00D96247" w:rsidRPr="00013BDC">
              <w:rPr>
                <w:noProof/>
                <w:sz w:val="20"/>
                <w:szCs w:val="20"/>
                <w:lang w:val="en-IE"/>
              </w:rPr>
              <w:t>reuse</w:t>
            </w:r>
            <w:r w:rsidRPr="00013BDC">
              <w:rPr>
                <w:noProof/>
                <w:sz w:val="20"/>
                <w:szCs w:val="20"/>
                <w:lang w:val="en-IE"/>
              </w:rPr>
              <w:t>d as much as possible and when they do become waste, they are treated as high up the waste hierarchy as possible. The higher steps of the waste hierarchy are more labour intensive than the lower ones. Hence</w:t>
            </w:r>
            <w:r w:rsidR="483A7B03" w:rsidRPr="00013BDC">
              <w:rPr>
                <w:noProof/>
                <w:sz w:val="20"/>
                <w:szCs w:val="20"/>
                <w:lang w:val="en-IE"/>
              </w:rPr>
              <w:t xml:space="preserve">, the proposed measures </w:t>
            </w:r>
            <w:r w:rsidR="261CF10C" w:rsidRPr="00013BDC">
              <w:rPr>
                <w:noProof/>
                <w:sz w:val="20"/>
                <w:szCs w:val="20"/>
                <w:lang w:val="en-IE"/>
              </w:rPr>
              <w:t xml:space="preserve">are expected to </w:t>
            </w:r>
            <w:r w:rsidR="483A7B03" w:rsidRPr="00013BDC">
              <w:rPr>
                <w:noProof/>
                <w:sz w:val="20"/>
                <w:szCs w:val="20"/>
                <w:lang w:val="en-IE"/>
              </w:rPr>
              <w:t>enhance the development of SMEs</w:t>
            </w:r>
            <w:r w:rsidR="002C5BC0" w:rsidRPr="00013BDC">
              <w:rPr>
                <w:noProof/>
                <w:sz w:val="20"/>
                <w:szCs w:val="20"/>
                <w:lang w:val="en-IE"/>
              </w:rPr>
              <w:t xml:space="preserve">, and in particular social enterprises active in the </w:t>
            </w:r>
            <w:r w:rsidR="00D96247" w:rsidRPr="00013BDC">
              <w:rPr>
                <w:noProof/>
                <w:sz w:val="20"/>
                <w:szCs w:val="20"/>
                <w:lang w:val="en-IE"/>
              </w:rPr>
              <w:t>reuse</w:t>
            </w:r>
            <w:r w:rsidR="002C5BC0" w:rsidRPr="00013BDC">
              <w:rPr>
                <w:noProof/>
                <w:sz w:val="20"/>
                <w:szCs w:val="20"/>
                <w:lang w:val="en-IE"/>
              </w:rPr>
              <w:t xml:space="preserve"> market that often </w:t>
            </w:r>
            <w:r w:rsidRPr="00013BDC">
              <w:rPr>
                <w:noProof/>
                <w:sz w:val="20"/>
                <w:szCs w:val="20"/>
                <w:lang w:val="en-IE"/>
              </w:rPr>
              <w:t xml:space="preserve">also </w:t>
            </w:r>
            <w:r w:rsidR="002C5BC0" w:rsidRPr="00013BDC">
              <w:rPr>
                <w:noProof/>
                <w:sz w:val="20"/>
                <w:szCs w:val="20"/>
                <w:lang w:val="en-IE"/>
              </w:rPr>
              <w:t xml:space="preserve">have social </w:t>
            </w:r>
            <w:r w:rsidRPr="00013BDC">
              <w:rPr>
                <w:noProof/>
                <w:sz w:val="20"/>
                <w:szCs w:val="20"/>
                <w:lang w:val="en-IE"/>
              </w:rPr>
              <w:t>integration objectives.</w:t>
            </w:r>
          </w:p>
        </w:tc>
        <w:tc>
          <w:tcPr>
            <w:tcW w:w="4714" w:type="dxa"/>
            <w:tcBorders>
              <w:top w:val="double" w:sz="4" w:space="0" w:color="auto"/>
              <w:bottom w:val="single" w:sz="4" w:space="0" w:color="auto"/>
            </w:tcBorders>
            <w:tcMar>
              <w:top w:w="57" w:type="dxa"/>
              <w:left w:w="57" w:type="dxa"/>
              <w:bottom w:w="57" w:type="dxa"/>
              <w:right w:w="57" w:type="dxa"/>
            </w:tcMar>
          </w:tcPr>
          <w:p w14:paraId="52C70C44" w14:textId="265B683F" w:rsidR="12980E79" w:rsidRPr="00013BDC" w:rsidRDefault="12980E79" w:rsidP="00D40A07">
            <w:pPr>
              <w:spacing w:after="120"/>
              <w:rPr>
                <w:noProof/>
                <w:sz w:val="20"/>
                <w:szCs w:val="20"/>
                <w:lang w:val="en-IE"/>
              </w:rPr>
            </w:pPr>
            <w:r w:rsidRPr="00013BDC">
              <w:rPr>
                <w:noProof/>
                <w:sz w:val="20"/>
                <w:szCs w:val="20"/>
                <w:lang w:val="en-IE"/>
              </w:rPr>
              <w:t>Trade-offs of target 8.3 with targets 8.4, 14.</w:t>
            </w:r>
            <w:r w:rsidR="33C9CE02" w:rsidRPr="00013BDC">
              <w:rPr>
                <w:noProof/>
                <w:sz w:val="20"/>
                <w:szCs w:val="20"/>
                <w:lang w:val="en-IE"/>
              </w:rPr>
              <w:t>2</w:t>
            </w:r>
            <w:r w:rsidR="0329061F" w:rsidRPr="00013BDC">
              <w:rPr>
                <w:noProof/>
                <w:sz w:val="20"/>
                <w:szCs w:val="20"/>
                <w:lang w:val="en-IE"/>
              </w:rPr>
              <w:t>: “By 2020, sustainably manage and protect marine and coastal ecosystems to avoid significant adverse impacts, including by strengthening their resilience, and take action for their restoration in order to achieve healthy and productive oceans.”</w:t>
            </w:r>
            <w:r w:rsidR="33C9CE02" w:rsidRPr="00013BDC">
              <w:rPr>
                <w:noProof/>
                <w:sz w:val="20"/>
                <w:szCs w:val="20"/>
                <w:lang w:val="en-IE"/>
              </w:rPr>
              <w:t xml:space="preserve"> and 14.5</w:t>
            </w:r>
            <w:r w:rsidR="50A6E8FA" w:rsidRPr="00013BDC">
              <w:rPr>
                <w:noProof/>
                <w:sz w:val="20"/>
                <w:szCs w:val="20"/>
                <w:lang w:val="en-IE"/>
              </w:rPr>
              <w:t>: “By 2020, conserve at least 10 per cent of coastal and marine areas, consistent with national and international law and based on the best available scientific information”.</w:t>
            </w:r>
          </w:p>
        </w:tc>
      </w:tr>
      <w:tr w:rsidR="00F77394" w:rsidRPr="00013BDC" w14:paraId="2D11491E" w14:textId="77777777" w:rsidTr="00EF2DB4">
        <w:trPr>
          <w:trHeight w:val="300"/>
        </w:trPr>
        <w:tc>
          <w:tcPr>
            <w:tcW w:w="1720" w:type="dxa"/>
            <w:tcBorders>
              <w:top w:val="single" w:sz="4" w:space="0" w:color="auto"/>
            </w:tcBorders>
          </w:tcPr>
          <w:p w14:paraId="59CBB8CD" w14:textId="037EF3A5" w:rsidR="00AB1C46" w:rsidRPr="00013BDC" w:rsidRDefault="00AB1C46" w:rsidP="004F41D3">
            <w:pPr>
              <w:spacing w:after="120"/>
              <w:rPr>
                <w:noProof/>
                <w:sz w:val="20"/>
                <w:szCs w:val="20"/>
                <w:lang w:val="en-IE"/>
              </w:rPr>
            </w:pPr>
            <w:r w:rsidRPr="00013BDC">
              <w:rPr>
                <w:noProof/>
                <w:sz w:val="20"/>
                <w:szCs w:val="20"/>
                <w:lang w:val="en-IE"/>
              </w:rPr>
              <w:t xml:space="preserve">SDG no. 9 – Industry innovation and infrastructure </w:t>
            </w:r>
          </w:p>
        </w:tc>
        <w:tc>
          <w:tcPr>
            <w:tcW w:w="3366" w:type="dxa"/>
            <w:tcBorders>
              <w:top w:val="single" w:sz="4" w:space="0" w:color="auto"/>
            </w:tcBorders>
            <w:tcMar>
              <w:top w:w="57" w:type="dxa"/>
              <w:left w:w="57" w:type="dxa"/>
              <w:bottom w:w="57" w:type="dxa"/>
              <w:right w:w="57" w:type="dxa"/>
            </w:tcMar>
          </w:tcPr>
          <w:p w14:paraId="777D70E7" w14:textId="0721F24C" w:rsidR="00AB1C46" w:rsidRPr="00013BDC" w:rsidRDefault="00172515" w:rsidP="004F41D3">
            <w:pPr>
              <w:spacing w:after="120"/>
              <w:rPr>
                <w:noProof/>
                <w:sz w:val="20"/>
                <w:szCs w:val="20"/>
                <w:lang w:val="en-IE"/>
              </w:rPr>
            </w:pPr>
            <w:r w:rsidRPr="00013BDC">
              <w:rPr>
                <w:noProof/>
                <w:sz w:val="20"/>
                <w:szCs w:val="20"/>
                <w:lang w:val="en-IE"/>
              </w:rPr>
              <w:t>T</w:t>
            </w:r>
            <w:r w:rsidR="00C97557" w:rsidRPr="00013BDC">
              <w:rPr>
                <w:noProof/>
                <w:sz w:val="20"/>
                <w:szCs w:val="20"/>
                <w:lang w:val="en-IE"/>
              </w:rPr>
              <w:t xml:space="preserve">he project links with </w:t>
            </w:r>
            <w:r w:rsidR="009F33AD" w:rsidRPr="00013BDC">
              <w:rPr>
                <w:noProof/>
                <w:sz w:val="20"/>
                <w:szCs w:val="20"/>
                <w:lang w:val="en-IE"/>
              </w:rPr>
              <w:t xml:space="preserve">target </w:t>
            </w:r>
            <w:r w:rsidR="009F33AD" w:rsidRPr="00013BDC">
              <w:rPr>
                <w:b/>
                <w:noProof/>
                <w:sz w:val="20"/>
                <w:szCs w:val="20"/>
                <w:lang w:val="en-IE"/>
              </w:rPr>
              <w:t>9.4</w:t>
            </w:r>
            <w:r w:rsidR="009F33AD" w:rsidRPr="00013BDC">
              <w:rPr>
                <w:noProof/>
                <w:sz w:val="20"/>
                <w:szCs w:val="20"/>
                <w:lang w:val="en-IE"/>
              </w:rPr>
              <w:t xml:space="preserve"> on  increased resource-use efficiency and greater adoption of clean and environmentally sound technologies and industrial processes</w:t>
            </w:r>
            <w:r w:rsidR="008D3F58" w:rsidRPr="00013BDC">
              <w:rPr>
                <w:noProof/>
                <w:sz w:val="20"/>
                <w:szCs w:val="20"/>
                <w:lang w:val="en-IE"/>
              </w:rPr>
              <w:t xml:space="preserve">, and target </w:t>
            </w:r>
            <w:r w:rsidR="008D3F58" w:rsidRPr="00013BDC">
              <w:rPr>
                <w:b/>
                <w:noProof/>
                <w:sz w:val="20"/>
                <w:szCs w:val="20"/>
                <w:lang w:val="en-IE"/>
              </w:rPr>
              <w:t>9.5</w:t>
            </w:r>
            <w:r w:rsidR="008D3F58" w:rsidRPr="00013BDC">
              <w:rPr>
                <w:noProof/>
                <w:sz w:val="20"/>
                <w:szCs w:val="20"/>
                <w:lang w:val="en-IE"/>
              </w:rPr>
              <w:t xml:space="preserve"> on enhancing scientific research, upgrade the technological capabilities of industrial sectors.</w:t>
            </w:r>
          </w:p>
        </w:tc>
        <w:tc>
          <w:tcPr>
            <w:tcW w:w="4714" w:type="dxa"/>
            <w:tcBorders>
              <w:top w:val="single" w:sz="4" w:space="0" w:color="auto"/>
            </w:tcBorders>
            <w:tcMar>
              <w:top w:w="57" w:type="dxa"/>
              <w:left w:w="57" w:type="dxa"/>
              <w:bottom w:w="57" w:type="dxa"/>
              <w:right w:w="57" w:type="dxa"/>
            </w:tcMar>
          </w:tcPr>
          <w:p w14:paraId="3672F7FC" w14:textId="77777777" w:rsidR="00AB1C46" w:rsidRPr="00013BDC" w:rsidRDefault="008D3F58" w:rsidP="004F41D3">
            <w:pPr>
              <w:spacing w:after="120"/>
              <w:rPr>
                <w:noProof/>
                <w:sz w:val="20"/>
                <w:szCs w:val="20"/>
                <w:lang w:val="en-IE"/>
              </w:rPr>
            </w:pPr>
            <w:r w:rsidRPr="00013BDC">
              <w:rPr>
                <w:noProof/>
                <w:sz w:val="20"/>
                <w:szCs w:val="20"/>
                <w:lang w:val="en-IE"/>
              </w:rPr>
              <w:t xml:space="preserve">Possible trade-offs with </w:t>
            </w:r>
            <w:r w:rsidR="00645C85" w:rsidRPr="00013BDC">
              <w:rPr>
                <w:noProof/>
                <w:sz w:val="20"/>
                <w:szCs w:val="20"/>
                <w:lang w:val="en-IE"/>
              </w:rPr>
              <w:t>targets 12</w:t>
            </w:r>
            <w:r w:rsidR="00D6153E" w:rsidRPr="00013BDC">
              <w:rPr>
                <w:noProof/>
                <w:sz w:val="20"/>
                <w:szCs w:val="20"/>
                <w:lang w:val="en-IE"/>
              </w:rPr>
              <w:t>.4 and 12.5.</w:t>
            </w:r>
          </w:p>
          <w:p w14:paraId="08AE7C38" w14:textId="7CBFA5DC" w:rsidR="00AB1C46" w:rsidRPr="00013BDC" w:rsidRDefault="00D6153E" w:rsidP="004F41D3">
            <w:pPr>
              <w:spacing w:after="120"/>
              <w:rPr>
                <w:noProof/>
                <w:sz w:val="20"/>
                <w:szCs w:val="20"/>
                <w:lang w:val="en-IE"/>
              </w:rPr>
            </w:pPr>
            <w:r w:rsidRPr="00013BDC">
              <w:rPr>
                <w:noProof/>
                <w:sz w:val="20"/>
                <w:szCs w:val="20"/>
                <w:lang w:val="en-IE"/>
              </w:rPr>
              <w:t xml:space="preserve">These trade-offs will be </w:t>
            </w:r>
            <w:r w:rsidR="00F95ED5" w:rsidRPr="00013BDC">
              <w:rPr>
                <w:noProof/>
                <w:sz w:val="20"/>
                <w:szCs w:val="20"/>
                <w:lang w:val="en-IE"/>
              </w:rPr>
              <w:t>mitigated</w:t>
            </w:r>
            <w:r w:rsidRPr="00013BDC">
              <w:rPr>
                <w:noProof/>
                <w:sz w:val="20"/>
                <w:szCs w:val="20"/>
                <w:lang w:val="en-IE"/>
              </w:rPr>
              <w:t xml:space="preserve"> through the EPR scheme</w:t>
            </w:r>
            <w:r w:rsidR="00F95ED5" w:rsidRPr="00013BDC">
              <w:rPr>
                <w:noProof/>
                <w:sz w:val="20"/>
                <w:szCs w:val="20"/>
                <w:lang w:val="en-IE"/>
              </w:rPr>
              <w:t>.</w:t>
            </w:r>
          </w:p>
        </w:tc>
      </w:tr>
      <w:tr w:rsidR="00BA440D" w:rsidRPr="00013BDC" w14:paraId="301D9644" w14:textId="77777777" w:rsidTr="00EF2DB4">
        <w:trPr>
          <w:trHeight w:val="300"/>
        </w:trPr>
        <w:tc>
          <w:tcPr>
            <w:tcW w:w="1720" w:type="dxa"/>
            <w:tcBorders>
              <w:top w:val="single" w:sz="4" w:space="0" w:color="auto"/>
            </w:tcBorders>
          </w:tcPr>
          <w:p w14:paraId="01F45616" w14:textId="18386ABE" w:rsidR="00BA440D" w:rsidRPr="00013BDC" w:rsidRDefault="00BA440D" w:rsidP="00D40A07">
            <w:pPr>
              <w:spacing w:after="120"/>
              <w:rPr>
                <w:noProof/>
                <w:sz w:val="20"/>
                <w:szCs w:val="20"/>
                <w:lang w:val="en-IE"/>
              </w:rPr>
            </w:pPr>
            <w:r w:rsidRPr="00013BDC">
              <w:rPr>
                <w:noProof/>
                <w:sz w:val="20"/>
                <w:szCs w:val="20"/>
                <w:lang w:val="en-IE"/>
              </w:rPr>
              <w:t>SDG no. 11 - Make cities and human settlements inclusive, safe, resilient and sustainable</w:t>
            </w:r>
          </w:p>
        </w:tc>
        <w:tc>
          <w:tcPr>
            <w:tcW w:w="3366" w:type="dxa"/>
            <w:tcBorders>
              <w:top w:val="single" w:sz="4" w:space="0" w:color="auto"/>
            </w:tcBorders>
            <w:tcMar>
              <w:top w:w="57" w:type="dxa"/>
              <w:left w:w="57" w:type="dxa"/>
              <w:bottom w:w="57" w:type="dxa"/>
              <w:right w:w="57" w:type="dxa"/>
            </w:tcMar>
          </w:tcPr>
          <w:p w14:paraId="159748EF" w14:textId="77777777" w:rsidR="00BA440D" w:rsidRPr="00013BDC" w:rsidRDefault="00BA440D" w:rsidP="00D40A07">
            <w:pPr>
              <w:spacing w:after="120"/>
              <w:rPr>
                <w:noProof/>
                <w:sz w:val="20"/>
                <w:szCs w:val="20"/>
                <w:lang w:val="en-IE"/>
              </w:rPr>
            </w:pPr>
            <w:r w:rsidRPr="00013BDC">
              <w:rPr>
                <w:noProof/>
                <w:sz w:val="20"/>
                <w:szCs w:val="20"/>
                <w:lang w:val="en-IE"/>
              </w:rPr>
              <w:t xml:space="preserve">The target </w:t>
            </w:r>
            <w:r w:rsidRPr="00013BDC">
              <w:rPr>
                <w:b/>
                <w:noProof/>
                <w:sz w:val="20"/>
                <w:szCs w:val="20"/>
                <w:lang w:val="en-IE"/>
              </w:rPr>
              <w:t>11.6</w:t>
            </w:r>
            <w:r w:rsidRPr="00013BDC">
              <w:rPr>
                <w:noProof/>
                <w:sz w:val="20"/>
                <w:szCs w:val="20"/>
                <w:lang w:val="en-IE"/>
              </w:rPr>
              <w:t xml:space="preserve"> refers to the reduction of the adverse per capita environmental impact of cities, including by paying special attention to air quality and municipal and other waste management. This will be achieved by increasing the proportion of municipal solid waste collected and managed in controlled facilities. </w:t>
            </w:r>
          </w:p>
        </w:tc>
        <w:tc>
          <w:tcPr>
            <w:tcW w:w="4714" w:type="dxa"/>
            <w:tcBorders>
              <w:top w:val="single" w:sz="4" w:space="0" w:color="auto"/>
            </w:tcBorders>
            <w:tcMar>
              <w:top w:w="57" w:type="dxa"/>
              <w:left w:w="57" w:type="dxa"/>
              <w:bottom w:w="57" w:type="dxa"/>
              <w:right w:w="57" w:type="dxa"/>
            </w:tcMar>
          </w:tcPr>
          <w:p w14:paraId="67D5C27B" w14:textId="77777777" w:rsidR="00BA440D" w:rsidRPr="00013BDC" w:rsidRDefault="00BA440D" w:rsidP="00D40A07">
            <w:pPr>
              <w:spacing w:after="120"/>
              <w:rPr>
                <w:noProof/>
                <w:sz w:val="20"/>
                <w:szCs w:val="20"/>
                <w:lang w:val="en-IE"/>
              </w:rPr>
            </w:pPr>
            <w:r w:rsidRPr="00013BDC">
              <w:rPr>
                <w:noProof/>
                <w:sz w:val="20"/>
                <w:szCs w:val="20"/>
                <w:lang w:val="en-IE"/>
              </w:rPr>
              <w:t>Trade-offs with targets 12.4 and 12.5.</w:t>
            </w:r>
          </w:p>
          <w:p w14:paraId="0E92C85F" w14:textId="77777777" w:rsidR="00BA440D" w:rsidRPr="00013BDC" w:rsidRDefault="00BA440D" w:rsidP="00D40A07">
            <w:pPr>
              <w:spacing w:after="120"/>
              <w:rPr>
                <w:noProof/>
                <w:sz w:val="20"/>
                <w:szCs w:val="20"/>
                <w:lang w:val="en-IE"/>
              </w:rPr>
            </w:pPr>
            <w:r w:rsidRPr="00013BDC">
              <w:rPr>
                <w:noProof/>
                <w:sz w:val="20"/>
                <w:szCs w:val="20"/>
                <w:lang w:val="en-IE"/>
              </w:rPr>
              <w:t xml:space="preserve">The trade-offs will be mitigated by introducing requirements for recyclability of components and availability of spare parts for 7-years after the end of production. </w:t>
            </w:r>
          </w:p>
        </w:tc>
      </w:tr>
      <w:tr w:rsidR="00BA440D" w:rsidRPr="00013BDC" w14:paraId="6ECDF8E4" w14:textId="77777777" w:rsidTr="00EF2DB4">
        <w:trPr>
          <w:trHeight w:val="300"/>
        </w:trPr>
        <w:tc>
          <w:tcPr>
            <w:tcW w:w="1720" w:type="dxa"/>
            <w:tcBorders>
              <w:top w:val="single" w:sz="4" w:space="0" w:color="auto"/>
            </w:tcBorders>
          </w:tcPr>
          <w:p w14:paraId="7A98688B" w14:textId="5ADB3CF3" w:rsidR="00BA440D" w:rsidRPr="00013BDC" w:rsidRDefault="00BA440D" w:rsidP="00D40A07">
            <w:pPr>
              <w:spacing w:after="120"/>
              <w:rPr>
                <w:noProof/>
                <w:sz w:val="20"/>
                <w:szCs w:val="20"/>
                <w:lang w:val="en-IE"/>
              </w:rPr>
            </w:pPr>
            <w:r w:rsidRPr="00013BDC">
              <w:rPr>
                <w:noProof/>
                <w:sz w:val="20"/>
                <w:szCs w:val="20"/>
                <w:lang w:val="en-IE"/>
              </w:rPr>
              <w:t>SDG no. 12 - Responsible production and consumption: Ensure sustainable consumption and production patterns</w:t>
            </w:r>
          </w:p>
        </w:tc>
        <w:tc>
          <w:tcPr>
            <w:tcW w:w="3366" w:type="dxa"/>
            <w:tcBorders>
              <w:top w:val="single" w:sz="4" w:space="0" w:color="auto"/>
            </w:tcBorders>
            <w:tcMar>
              <w:top w:w="57" w:type="dxa"/>
              <w:left w:w="57" w:type="dxa"/>
              <w:bottom w:w="57" w:type="dxa"/>
              <w:right w:w="57" w:type="dxa"/>
            </w:tcMar>
          </w:tcPr>
          <w:p w14:paraId="43EF9FB2" w14:textId="77777777" w:rsidR="00BA440D" w:rsidRPr="00013BDC" w:rsidRDefault="00BA440D" w:rsidP="00D40A07">
            <w:pPr>
              <w:spacing w:after="120"/>
              <w:rPr>
                <w:noProof/>
                <w:sz w:val="20"/>
                <w:szCs w:val="20"/>
                <w:lang w:val="en-IE"/>
              </w:rPr>
            </w:pPr>
            <w:r w:rsidRPr="00013BDC">
              <w:rPr>
                <w:noProof/>
                <w:sz w:val="20"/>
                <w:szCs w:val="20"/>
                <w:lang w:val="en-IE"/>
              </w:rPr>
              <w:t xml:space="preserve">The specific targets linked to the project are: </w:t>
            </w:r>
            <w:r w:rsidRPr="00013BDC">
              <w:rPr>
                <w:b/>
                <w:noProof/>
                <w:sz w:val="20"/>
                <w:szCs w:val="20"/>
                <w:lang w:val="en-IE"/>
              </w:rPr>
              <w:t>12.1</w:t>
            </w:r>
            <w:r w:rsidRPr="00013BDC">
              <w:rPr>
                <w:noProof/>
                <w:sz w:val="20"/>
                <w:szCs w:val="20"/>
                <w:lang w:val="en-IE"/>
              </w:rPr>
              <w:t xml:space="preserve"> “Implement the 10-year framework of programmes on sustainable consumption and production, all countries taking action, with developed countries taking the lead, taking into account the development and capabilities of developing countries.”, </w:t>
            </w:r>
          </w:p>
          <w:p w14:paraId="5ACE4B9A" w14:textId="694A29A6" w:rsidR="00BA440D" w:rsidRPr="00013BDC" w:rsidRDefault="00BA440D" w:rsidP="00D40A07">
            <w:pPr>
              <w:spacing w:after="120"/>
              <w:rPr>
                <w:noProof/>
                <w:sz w:val="20"/>
                <w:szCs w:val="20"/>
                <w:lang w:val="en-IE"/>
              </w:rPr>
            </w:pPr>
            <w:r w:rsidRPr="00013BDC">
              <w:rPr>
                <w:b/>
                <w:noProof/>
                <w:sz w:val="20"/>
                <w:szCs w:val="20"/>
                <w:lang w:val="en-IE"/>
              </w:rPr>
              <w:t>12.3</w:t>
            </w:r>
            <w:r w:rsidRPr="00013BDC">
              <w:rPr>
                <w:noProof/>
                <w:sz w:val="20"/>
                <w:szCs w:val="20"/>
                <w:lang w:val="en-IE"/>
              </w:rPr>
              <w:t xml:space="preserve"> ‘By 2030, halve per capita global food waste at the retail and consumer levels and reduce food losses along production and supply chains, including post-harvest losses.’</w:t>
            </w:r>
          </w:p>
          <w:p w14:paraId="373727EA" w14:textId="0C17CDF0" w:rsidR="00BA440D" w:rsidRPr="00013BDC" w:rsidRDefault="00BA440D" w:rsidP="00D40A07">
            <w:pPr>
              <w:spacing w:after="120"/>
              <w:rPr>
                <w:noProof/>
                <w:sz w:val="20"/>
                <w:szCs w:val="20"/>
                <w:lang w:val="en-IE"/>
              </w:rPr>
            </w:pPr>
            <w:r w:rsidRPr="00013BDC">
              <w:rPr>
                <w:b/>
                <w:noProof/>
                <w:sz w:val="20"/>
                <w:szCs w:val="20"/>
                <w:lang w:val="en-IE"/>
              </w:rPr>
              <w:t>12.4</w:t>
            </w:r>
            <w:r w:rsidRPr="00013BDC">
              <w:rPr>
                <w:noProof/>
                <w:sz w:val="20"/>
                <w:szCs w:val="20"/>
                <w:lang w:val="en-IE"/>
              </w:rPr>
              <w:t xml:space="preserve">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 </w:t>
            </w:r>
            <w:r w:rsidRPr="00013BDC">
              <w:rPr>
                <w:b/>
                <w:noProof/>
                <w:sz w:val="20"/>
                <w:szCs w:val="20"/>
                <w:lang w:val="en-IE"/>
              </w:rPr>
              <w:t>12.5</w:t>
            </w:r>
            <w:r w:rsidRPr="00013BDC">
              <w:rPr>
                <w:noProof/>
                <w:sz w:val="20"/>
                <w:szCs w:val="20"/>
                <w:lang w:val="en-IE"/>
              </w:rPr>
              <w:t xml:space="preserve"> “By 2030, substantially reduce waste generation through prevention, reduction, recycling and reuse.”, </w:t>
            </w:r>
            <w:r w:rsidRPr="00013BDC">
              <w:rPr>
                <w:b/>
                <w:noProof/>
                <w:sz w:val="20"/>
                <w:szCs w:val="20"/>
                <w:lang w:val="en-IE"/>
              </w:rPr>
              <w:t>12.6</w:t>
            </w:r>
            <w:r w:rsidRPr="00013BDC">
              <w:rPr>
                <w:noProof/>
                <w:sz w:val="20"/>
                <w:szCs w:val="20"/>
                <w:lang w:val="en-IE"/>
              </w:rPr>
              <w:t xml:space="preserve"> “Encourage companies, especially large and transnational companies, to adopt sustainable practices and to integrate sustainability information into their reporting cycle.” and </w:t>
            </w:r>
            <w:r w:rsidRPr="00013BDC">
              <w:rPr>
                <w:b/>
                <w:noProof/>
                <w:sz w:val="20"/>
                <w:szCs w:val="20"/>
                <w:lang w:val="en-IE"/>
              </w:rPr>
              <w:t>12.8</w:t>
            </w:r>
            <w:r w:rsidRPr="00013BDC">
              <w:rPr>
                <w:noProof/>
                <w:sz w:val="20"/>
                <w:szCs w:val="20"/>
                <w:lang w:val="en-IE"/>
              </w:rPr>
              <w:t xml:space="preserve"> “By 2030, ensure that people everywhere have the relevant information and awareness for sustainable development and lifestyles in harmony with nature”.</w:t>
            </w:r>
          </w:p>
          <w:p w14:paraId="434D38CC" w14:textId="1364188F" w:rsidR="00BA440D" w:rsidRPr="00013BDC" w:rsidRDefault="00BA440D" w:rsidP="00D40A07">
            <w:pPr>
              <w:spacing w:after="120"/>
              <w:rPr>
                <w:noProof/>
                <w:sz w:val="20"/>
                <w:szCs w:val="20"/>
                <w:lang w:val="en-IE"/>
              </w:rPr>
            </w:pPr>
            <w:r w:rsidRPr="00013BDC">
              <w:rPr>
                <w:noProof/>
                <w:sz w:val="20"/>
                <w:szCs w:val="20"/>
                <w:lang w:val="en-IE"/>
              </w:rPr>
              <w:t>WFD’s primary objective is the prevention of waste, namely the reduction of textile waste generation including through reuse. Further, adopting clarified definitions would help people and businesses to have all the relevant information on textiles.</w:t>
            </w:r>
          </w:p>
        </w:tc>
        <w:tc>
          <w:tcPr>
            <w:tcW w:w="4714" w:type="dxa"/>
            <w:tcBorders>
              <w:top w:val="single" w:sz="4" w:space="0" w:color="auto"/>
            </w:tcBorders>
            <w:tcMar>
              <w:top w:w="57" w:type="dxa"/>
              <w:left w:w="57" w:type="dxa"/>
              <w:bottom w:w="57" w:type="dxa"/>
              <w:right w:w="57" w:type="dxa"/>
            </w:tcMar>
          </w:tcPr>
          <w:p w14:paraId="0488C65A" w14:textId="77777777" w:rsidR="00BA440D" w:rsidRPr="00013BDC" w:rsidRDefault="00BA440D" w:rsidP="00D40A07">
            <w:pPr>
              <w:spacing w:after="120"/>
              <w:rPr>
                <w:noProof/>
                <w:sz w:val="20"/>
                <w:szCs w:val="20"/>
                <w:lang w:val="en-IE"/>
              </w:rPr>
            </w:pPr>
            <w:r w:rsidRPr="00013BDC">
              <w:rPr>
                <w:noProof/>
                <w:sz w:val="20"/>
                <w:szCs w:val="20"/>
                <w:lang w:val="en-IE"/>
              </w:rPr>
              <w:t>Trade-off of target 12.1 with target 17.11 “Significantly increase the exports of developing countries, in particular with a view to doubling the least developed countries' share of global exports”.</w:t>
            </w:r>
          </w:p>
          <w:p w14:paraId="0E2E0ED0" w14:textId="77777777" w:rsidR="00BA440D" w:rsidRPr="00013BDC" w:rsidRDefault="00BA440D" w:rsidP="00D40A07">
            <w:pPr>
              <w:spacing w:after="120"/>
              <w:rPr>
                <w:noProof/>
                <w:sz w:val="20"/>
                <w:szCs w:val="20"/>
                <w:lang w:val="en-IE"/>
              </w:rPr>
            </w:pPr>
            <w:r w:rsidRPr="00013BDC">
              <w:rPr>
                <w:noProof/>
                <w:sz w:val="20"/>
                <w:szCs w:val="20"/>
                <w:lang w:val="en-IE"/>
              </w:rPr>
              <w:t>Trade-off of target 12.4 with targets 6.3, 7.1, 8.1, 9.2, 9c and 17.8.</w:t>
            </w:r>
          </w:p>
          <w:p w14:paraId="17FB0A2C" w14:textId="77777777" w:rsidR="00BA440D" w:rsidRPr="00013BDC" w:rsidRDefault="00BA440D" w:rsidP="00D40A07">
            <w:pPr>
              <w:spacing w:after="120"/>
              <w:rPr>
                <w:noProof/>
                <w:sz w:val="20"/>
                <w:szCs w:val="20"/>
                <w:lang w:val="en-IE"/>
              </w:rPr>
            </w:pPr>
            <w:r w:rsidRPr="00013BDC">
              <w:rPr>
                <w:noProof/>
                <w:sz w:val="20"/>
                <w:szCs w:val="20"/>
                <w:lang w:val="en-IE"/>
              </w:rPr>
              <w:t>Trade-off of target 12.5 with targets 6.3 and 17.11.</w:t>
            </w:r>
          </w:p>
          <w:p w14:paraId="14C1EDD6" w14:textId="77777777" w:rsidR="00BA440D" w:rsidRPr="00013BDC" w:rsidRDefault="00BA440D" w:rsidP="00D40A07">
            <w:pPr>
              <w:spacing w:after="120"/>
              <w:rPr>
                <w:noProof/>
                <w:sz w:val="20"/>
                <w:szCs w:val="20"/>
                <w:lang w:val="en-IE"/>
              </w:rPr>
            </w:pPr>
            <w:r w:rsidRPr="00013BDC">
              <w:rPr>
                <w:noProof/>
                <w:sz w:val="20"/>
                <w:szCs w:val="20"/>
                <w:lang w:val="en-IE"/>
              </w:rPr>
              <w:t>Trade-off of target 12.8 with target 3.3.</w:t>
            </w:r>
          </w:p>
        </w:tc>
      </w:tr>
    </w:tbl>
    <w:p w14:paraId="65E0DE05" w14:textId="77777777" w:rsidR="0000623E" w:rsidRPr="00013BDC" w:rsidRDefault="0000623E" w:rsidP="001B1E6E">
      <w:pPr>
        <w:rPr>
          <w:noProof/>
          <w:lang w:val="en-IE"/>
        </w:rPr>
      </w:pPr>
    </w:p>
    <w:p w14:paraId="4AFA32D9" w14:textId="506B706D" w:rsidR="007260C3" w:rsidRPr="00013BDC" w:rsidRDefault="007260C3" w:rsidP="00BA440D">
      <w:pPr>
        <w:spacing w:after="120"/>
        <w:rPr>
          <w:rFonts w:eastAsia="Calibri"/>
          <w:b/>
          <w:noProof/>
          <w:color w:val="000000" w:themeColor="text1"/>
          <w:shd w:val="clear" w:color="auto" w:fill="FFFFFF"/>
          <w:lang w:val="en-IE"/>
        </w:rPr>
      </w:pPr>
      <w:r w:rsidRPr="00013BDC">
        <w:rPr>
          <w:rFonts w:eastAsia="Calibri"/>
          <w:b/>
          <w:noProof/>
          <w:color w:val="000000" w:themeColor="text1"/>
          <w:shd w:val="clear" w:color="auto" w:fill="FFFFFF"/>
          <w:lang w:val="en-IE"/>
        </w:rPr>
        <w:t>Values of SDG indicators linked to food waste reduction:</w:t>
      </w:r>
    </w:p>
    <w:p w14:paraId="7B7D9DF3" w14:textId="50CB148F" w:rsidR="007260C3" w:rsidRPr="00013BDC" w:rsidRDefault="007260C3" w:rsidP="007260C3">
      <w:pPr>
        <w:rPr>
          <w:rFonts w:eastAsia="Calibri"/>
          <w:noProof/>
          <w:color w:val="000000" w:themeColor="text1"/>
          <w:shd w:val="clear" w:color="auto" w:fill="FFFFFF"/>
          <w:lang w:val="en-IE"/>
        </w:rPr>
      </w:pPr>
      <w:r w:rsidRPr="00013BDC">
        <w:rPr>
          <w:rFonts w:eastAsia="Calibri"/>
          <w:noProof/>
          <w:color w:val="000000" w:themeColor="text1"/>
          <w:shd w:val="clear" w:color="auto" w:fill="FFFFFF"/>
          <w:lang w:val="en-IE"/>
        </w:rPr>
        <w:t xml:space="preserve">As food waste reduction have very wide environmental and economic impact, the most relevant SDG indicators linked to food waste reduction was identified for each of the four environmental impact categories considered in this analysis. The outcome is presented in Annex 11, </w:t>
      </w:r>
      <w:r w:rsidR="0089114D" w:rsidRPr="00013BDC">
        <w:rPr>
          <w:rFonts w:eastAsia="Calibri"/>
          <w:noProof/>
          <w:color w:val="000000" w:themeColor="text1"/>
          <w:shd w:val="clear" w:color="auto" w:fill="FFFFFF"/>
          <w:lang w:val="en-IE"/>
        </w:rPr>
        <w:t>section 2.5.1.</w:t>
      </w:r>
    </w:p>
    <w:p w14:paraId="67D8624F" w14:textId="37EF93EE" w:rsidR="007C6CDD" w:rsidRPr="00013BDC" w:rsidRDefault="00F64258" w:rsidP="00F64258">
      <w:pPr>
        <w:pStyle w:val="Heading2"/>
        <w:rPr>
          <w:noProof/>
          <w:lang w:val="en-IE"/>
        </w:rPr>
      </w:pPr>
      <w:bookmarkStart w:id="229" w:name="_Toc1806591885"/>
      <w:bookmarkStart w:id="230" w:name="_Toc1991136406"/>
      <w:bookmarkStart w:id="231" w:name="_Toc1353613926"/>
      <w:bookmarkStart w:id="232" w:name="_Toc1571585758"/>
      <w:bookmarkStart w:id="233" w:name="_Toc1695428676"/>
      <w:bookmarkStart w:id="234" w:name="_Toc1540390323"/>
      <w:bookmarkStart w:id="235" w:name="_Toc1137596346"/>
      <w:bookmarkStart w:id="236" w:name="_Toc942201669"/>
      <w:bookmarkStart w:id="237" w:name="_Toc139032946"/>
      <w:r w:rsidRPr="00F64258">
        <w:t>7-</w:t>
      </w:r>
      <w:r w:rsidRPr="00F64258">
        <w:tab/>
      </w:r>
      <w:r w:rsidR="007C6CDD" w:rsidRPr="00013BDC">
        <w:rPr>
          <w:noProof/>
          <w:lang w:val="en-IE"/>
        </w:rPr>
        <w:t>Summary of overall costs and benefits</w:t>
      </w:r>
      <w:bookmarkEnd w:id="229"/>
      <w:bookmarkEnd w:id="230"/>
      <w:bookmarkEnd w:id="231"/>
      <w:bookmarkEnd w:id="232"/>
      <w:bookmarkEnd w:id="233"/>
      <w:bookmarkEnd w:id="234"/>
      <w:bookmarkEnd w:id="235"/>
      <w:bookmarkEnd w:id="236"/>
      <w:bookmarkEnd w:id="237"/>
    </w:p>
    <w:p w14:paraId="29B6761C" w14:textId="4ADDC87F" w:rsidR="00171E8F" w:rsidRPr="00013BDC" w:rsidRDefault="00171E8F" w:rsidP="00171E8F">
      <w:pPr>
        <w:pStyle w:val="Caption"/>
        <w:keepNext/>
        <w:rPr>
          <w:noProof/>
          <w:color w:val="auto"/>
          <w:sz w:val="24"/>
          <w:szCs w:val="24"/>
          <w:lang w:val="en-IE"/>
        </w:rPr>
      </w:pPr>
      <w:bookmarkStart w:id="238" w:name="_Toc133229416"/>
      <w:bookmarkStart w:id="239" w:name="_Toc139033037"/>
      <w:r w:rsidRPr="00013BDC">
        <w:rPr>
          <w:noProof/>
          <w:color w:val="auto"/>
          <w:sz w:val="24"/>
          <w:szCs w:val="24"/>
          <w:lang w:val="en-IE"/>
        </w:rPr>
        <w:t xml:space="preserve">Table </w:t>
      </w:r>
      <w:r w:rsidR="004C5576">
        <w:rPr>
          <w:noProof/>
          <w:color w:val="auto"/>
          <w:sz w:val="24"/>
          <w:szCs w:val="24"/>
        </w:rPr>
        <w:t>7</w:t>
      </w:r>
      <w:r w:rsidRPr="00013BDC">
        <w:rPr>
          <w:noProof/>
          <w:color w:val="auto"/>
          <w:sz w:val="24"/>
          <w:szCs w:val="24"/>
          <w:lang w:val="en-IE"/>
        </w:rPr>
        <w:t>– Summary of overall costs and benefits</w:t>
      </w:r>
      <w:bookmarkEnd w:id="238"/>
      <w:bookmarkEnd w:id="239"/>
    </w:p>
    <w:tbl>
      <w:tblPr>
        <w:tblStyle w:val="TableGrid"/>
        <w:tblW w:w="9209" w:type="dxa"/>
        <w:tblLook w:val="04A0" w:firstRow="1" w:lastRow="0" w:firstColumn="1" w:lastColumn="0" w:noHBand="0" w:noVBand="1"/>
      </w:tblPr>
      <w:tblGrid>
        <w:gridCol w:w="2405"/>
        <w:gridCol w:w="3827"/>
        <w:gridCol w:w="2977"/>
      </w:tblGrid>
      <w:tr w:rsidR="003B4E6C" w:rsidRPr="00013BDC" w14:paraId="66B150BD" w14:textId="77777777" w:rsidTr="003B4E6C">
        <w:trPr>
          <w:trHeight w:val="386"/>
        </w:trPr>
        <w:tc>
          <w:tcPr>
            <w:tcW w:w="240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0682888" w14:textId="77777777" w:rsidR="003B4E6C" w:rsidRPr="00013BDC" w:rsidRDefault="003B4E6C" w:rsidP="003B4E6C">
            <w:pPr>
              <w:spacing w:after="120" w:line="240" w:lineRule="atLeast"/>
              <w:jc w:val="left"/>
              <w:rPr>
                <w:rFonts w:eastAsiaTheme="minorHAnsi"/>
                <w:b/>
                <w:noProof/>
                <w:color w:val="000000"/>
                <w:lang w:val="en-IE" w:eastAsia="en-US"/>
              </w:rPr>
            </w:pPr>
            <w:r w:rsidRPr="00013BDC">
              <w:rPr>
                <w:rFonts w:eastAsiaTheme="minorHAnsi"/>
                <w:b/>
                <w:noProof/>
                <w:color w:val="000000"/>
                <w:lang w:val="en-IE" w:eastAsia="en-US"/>
              </w:rPr>
              <w:t xml:space="preserve">Preferred combined option </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E7B802" w14:textId="77777777" w:rsidR="003B4E6C" w:rsidRPr="00013BDC" w:rsidRDefault="003B4E6C" w:rsidP="003B4E6C">
            <w:pPr>
              <w:spacing w:after="120" w:line="240" w:lineRule="atLeast"/>
              <w:jc w:val="center"/>
              <w:rPr>
                <w:rFonts w:eastAsiaTheme="minorHAnsi"/>
                <w:b/>
                <w:noProof/>
                <w:color w:val="000000"/>
                <w:lang w:val="en-IE" w:eastAsia="en-US"/>
              </w:rPr>
            </w:pPr>
            <w:r w:rsidRPr="00013BDC">
              <w:rPr>
                <w:rFonts w:eastAsiaTheme="minorHAnsi"/>
                <w:b/>
                <w:noProof/>
                <w:color w:val="000000"/>
                <w:lang w:val="en-IE" w:eastAsia="en-US"/>
              </w:rPr>
              <w:t>Description of impact</w:t>
            </w:r>
          </w:p>
        </w:tc>
        <w:tc>
          <w:tcPr>
            <w:tcW w:w="29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8AECF5" w14:textId="77777777" w:rsidR="003B4E6C" w:rsidRPr="00013BDC" w:rsidRDefault="003B4E6C" w:rsidP="003B4E6C">
            <w:pPr>
              <w:spacing w:after="120" w:line="240" w:lineRule="atLeast"/>
              <w:jc w:val="center"/>
              <w:rPr>
                <w:rFonts w:eastAsiaTheme="minorHAnsi"/>
                <w:b/>
                <w:noProof/>
                <w:color w:val="000000"/>
                <w:lang w:val="en-IE" w:eastAsia="en-US"/>
              </w:rPr>
            </w:pPr>
            <w:r w:rsidRPr="00013BDC">
              <w:rPr>
                <w:rFonts w:eastAsiaTheme="minorHAnsi"/>
                <w:b/>
                <w:noProof/>
                <w:color w:val="000000"/>
                <w:lang w:val="en-IE" w:eastAsia="en-US"/>
              </w:rPr>
              <w:t>Overall balance</w:t>
            </w:r>
          </w:p>
        </w:tc>
      </w:tr>
      <w:tr w:rsidR="003B4E6C" w:rsidRPr="00013BDC" w14:paraId="55280B8F" w14:textId="77777777" w:rsidTr="003B4E6C">
        <w:tc>
          <w:tcPr>
            <w:tcW w:w="240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B73456B" w14:textId="77777777" w:rsidR="003B4E6C" w:rsidRPr="00013BDC" w:rsidRDefault="003B4E6C" w:rsidP="003B4E6C">
            <w:pPr>
              <w:spacing w:after="120" w:line="240" w:lineRule="atLeast"/>
              <w:jc w:val="left"/>
              <w:rPr>
                <w:rFonts w:eastAsiaTheme="minorHAnsi"/>
                <w:b/>
                <w:noProof/>
                <w:color w:val="000000"/>
                <w:lang w:val="en-IE" w:eastAsia="en-US"/>
              </w:rPr>
            </w:pPr>
            <w:r w:rsidRPr="00013BDC">
              <w:rPr>
                <w:rFonts w:eastAsiaTheme="minorHAnsi"/>
                <w:b/>
                <w:noProof/>
                <w:color w:val="000000"/>
                <w:lang w:val="en-IE" w:eastAsia="en-US"/>
              </w:rPr>
              <w:t xml:space="preserve">Option 2 - </w:t>
            </w:r>
            <w:r w:rsidRPr="00013BDC">
              <w:rPr>
                <w:b/>
                <w:noProof/>
                <w:lang w:val="en-IE"/>
              </w:rPr>
              <w:t>Additional regulatory requirements + 2 targets for textiles</w:t>
            </w:r>
          </w:p>
        </w:tc>
        <w:tc>
          <w:tcPr>
            <w:tcW w:w="382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03ADCC8" w14:textId="77777777" w:rsidR="003B4E6C" w:rsidRPr="00013BDC" w:rsidRDefault="003B4E6C" w:rsidP="003B4E6C">
            <w:pPr>
              <w:spacing w:after="120" w:line="240" w:lineRule="atLeast"/>
              <w:jc w:val="left"/>
              <w:rPr>
                <w:noProof/>
                <w:color w:val="000000" w:themeColor="text1"/>
                <w:lang w:val="en-IE"/>
              </w:rPr>
            </w:pPr>
            <w:r w:rsidRPr="00013BDC">
              <w:rPr>
                <w:b/>
                <w:noProof/>
                <w:color w:val="000000" w:themeColor="text1"/>
                <w:lang w:val="en-IE"/>
              </w:rPr>
              <w:t>Economic costs</w:t>
            </w:r>
            <w:r w:rsidRPr="00013BDC">
              <w:rPr>
                <w:noProof/>
                <w:color w:val="000000" w:themeColor="text1"/>
                <w:lang w:val="en-IE"/>
              </w:rPr>
              <w:t xml:space="preserve">: </w:t>
            </w:r>
          </w:p>
          <w:p w14:paraId="4A0BF794" w14:textId="2B170EB6" w:rsidR="005E6B0C" w:rsidRPr="00013BDC" w:rsidRDefault="005E6B0C" w:rsidP="005E6B0C">
            <w:pPr>
              <w:spacing w:after="120" w:line="240" w:lineRule="atLeast"/>
              <w:jc w:val="left"/>
              <w:rPr>
                <w:noProof/>
                <w:color w:val="000000" w:themeColor="text1"/>
                <w:lang w:val="en-IE"/>
              </w:rPr>
            </w:pPr>
            <w:r w:rsidRPr="00013BDC">
              <w:rPr>
                <w:noProof/>
                <w:color w:val="000000" w:themeColor="text1"/>
                <w:lang w:val="en-IE"/>
              </w:rPr>
              <w:t>€913 million per year for sorting obligations</w:t>
            </w:r>
          </w:p>
          <w:p w14:paraId="4825BB69" w14:textId="3681AFB3" w:rsidR="005E6B0C" w:rsidRPr="00013BDC" w:rsidRDefault="005E6B0C" w:rsidP="005E6B0C">
            <w:pPr>
              <w:spacing w:after="120" w:line="240" w:lineRule="atLeast"/>
              <w:jc w:val="left"/>
              <w:rPr>
                <w:noProof/>
                <w:color w:val="000000" w:themeColor="text1"/>
                <w:lang w:val="en-IE"/>
              </w:rPr>
            </w:pPr>
            <w:r w:rsidRPr="00013BDC">
              <w:rPr>
                <w:noProof/>
                <w:color w:val="000000" w:themeColor="text1"/>
                <w:lang w:val="en-IE"/>
              </w:rPr>
              <w:t>Register development costs of €2-12.3 million across Member States and maintenance costs of €11 200 and 69 000 per Member State per year</w:t>
            </w:r>
          </w:p>
          <w:p w14:paraId="6A939265" w14:textId="74AC95C5" w:rsidR="005E6B0C" w:rsidRPr="00013BDC" w:rsidRDefault="005E6B0C" w:rsidP="005E6B0C">
            <w:pPr>
              <w:spacing w:after="120" w:line="240" w:lineRule="atLeast"/>
              <w:jc w:val="left"/>
              <w:rPr>
                <w:noProof/>
                <w:color w:val="000000" w:themeColor="text1"/>
                <w:lang w:val="en-IE"/>
              </w:rPr>
            </w:pPr>
            <w:r w:rsidRPr="00013BDC">
              <w:rPr>
                <w:noProof/>
                <w:color w:val="000000" w:themeColor="text1"/>
                <w:lang w:val="en-IE"/>
              </w:rPr>
              <w:t>€4.53 million per year for producers to report for the purpose of EPR</w:t>
            </w:r>
          </w:p>
          <w:p w14:paraId="3A641212" w14:textId="77AEFE66" w:rsidR="005E6B0C" w:rsidRPr="00013BDC" w:rsidRDefault="005E6B0C" w:rsidP="005E6B0C">
            <w:pPr>
              <w:spacing w:after="120" w:line="240" w:lineRule="atLeast"/>
              <w:jc w:val="left"/>
              <w:rPr>
                <w:noProof/>
                <w:color w:val="000000" w:themeColor="text1"/>
                <w:lang w:val="en-IE"/>
              </w:rPr>
            </w:pPr>
            <w:r w:rsidRPr="00013BDC">
              <w:rPr>
                <w:noProof/>
                <w:color w:val="000000" w:themeColor="text1"/>
                <w:lang w:val="en-IE"/>
              </w:rPr>
              <w:t>€2.34 million costs of operating PRO registers and inspections</w:t>
            </w:r>
          </w:p>
          <w:p w14:paraId="2C160D2A" w14:textId="532D0800" w:rsidR="005E6B0C" w:rsidRPr="00013BDC" w:rsidRDefault="005E6B0C" w:rsidP="005E6B0C">
            <w:pPr>
              <w:spacing w:after="120" w:line="240" w:lineRule="atLeast"/>
              <w:jc w:val="left"/>
              <w:rPr>
                <w:noProof/>
                <w:color w:val="000000" w:themeColor="text1"/>
                <w:lang w:val="en-IE"/>
              </w:rPr>
            </w:pPr>
            <w:r w:rsidRPr="00013BDC">
              <w:rPr>
                <w:noProof/>
                <w:color w:val="000000" w:themeColor="text1"/>
                <w:lang w:val="en-IE"/>
              </w:rPr>
              <w:t>€39.2 million euro per year for additional textile collection, sorting and treatment in Member States that are unlikely to meet a 50% collection target by 2035</w:t>
            </w:r>
          </w:p>
          <w:p w14:paraId="6503C8D1" w14:textId="5EE928E7" w:rsidR="005E6B0C" w:rsidRPr="00013BDC" w:rsidRDefault="005E6B0C" w:rsidP="005E6B0C">
            <w:pPr>
              <w:spacing w:after="120" w:line="240" w:lineRule="atLeast"/>
              <w:jc w:val="left"/>
              <w:rPr>
                <w:noProof/>
                <w:color w:val="000000" w:themeColor="text1"/>
                <w:lang w:val="en-IE"/>
              </w:rPr>
            </w:pPr>
            <w:r w:rsidRPr="00013BDC">
              <w:rPr>
                <w:noProof/>
                <w:color w:val="000000" w:themeColor="text1"/>
                <w:lang w:val="en-IE"/>
              </w:rPr>
              <w:t xml:space="preserve">€208 euro per competent authority and €78 per exporter annualised per inspection </w:t>
            </w:r>
          </w:p>
          <w:p w14:paraId="5D3BDB7B" w14:textId="07AA671B" w:rsidR="005E6B0C" w:rsidRPr="00013BDC" w:rsidRDefault="005E6B0C" w:rsidP="005E6B0C">
            <w:pPr>
              <w:spacing w:after="120" w:line="240" w:lineRule="atLeast"/>
              <w:jc w:val="left"/>
              <w:rPr>
                <w:noProof/>
                <w:color w:val="000000" w:themeColor="text1"/>
                <w:lang w:val="en-IE"/>
              </w:rPr>
            </w:pPr>
            <w:r w:rsidRPr="00013BDC">
              <w:rPr>
                <w:noProof/>
                <w:color w:val="000000" w:themeColor="text1"/>
                <w:lang w:val="en-IE"/>
              </w:rPr>
              <w:t xml:space="preserve">€750 000 per year for EU enterprises to comply with EU reporting obligations </w:t>
            </w:r>
          </w:p>
          <w:p w14:paraId="2806131D" w14:textId="77777777" w:rsidR="005E6B0C" w:rsidRPr="00013BDC" w:rsidRDefault="005E6B0C" w:rsidP="005E6B0C">
            <w:pPr>
              <w:spacing w:after="120" w:line="240" w:lineRule="atLeast"/>
              <w:jc w:val="left"/>
              <w:rPr>
                <w:noProof/>
                <w:color w:val="000000" w:themeColor="text1"/>
                <w:lang w:val="en-IE"/>
              </w:rPr>
            </w:pPr>
            <w:r w:rsidRPr="00013BDC">
              <w:rPr>
                <w:noProof/>
                <w:color w:val="000000" w:themeColor="text1"/>
                <w:lang w:val="en-IE"/>
              </w:rPr>
              <w:t xml:space="preserve">€26.5 million landfill tax loss for Member States due to textiles diverted from landfills </w:t>
            </w:r>
          </w:p>
          <w:p w14:paraId="60723454" w14:textId="77777777" w:rsidR="003B4E6C" w:rsidRPr="00013BDC" w:rsidRDefault="003B4E6C" w:rsidP="003B4E6C">
            <w:pPr>
              <w:spacing w:after="120" w:line="240" w:lineRule="atLeast"/>
              <w:jc w:val="left"/>
              <w:rPr>
                <w:noProof/>
                <w:lang w:val="en-IE"/>
              </w:rPr>
            </w:pPr>
            <w:r w:rsidRPr="00013BDC">
              <w:rPr>
                <w:noProof/>
                <w:lang w:val="en-IE"/>
              </w:rPr>
              <w:t>Reduction in demand for food of 4.2% and a change in value of agri-food production of -1.8% alongside a fall in market prices of between 0.1 and 2.58%.</w:t>
            </w:r>
          </w:p>
          <w:p w14:paraId="184E563B" w14:textId="77777777" w:rsidR="003B4E6C" w:rsidRPr="00013BDC" w:rsidRDefault="003B4E6C" w:rsidP="003B4E6C">
            <w:pPr>
              <w:spacing w:after="120" w:line="240" w:lineRule="atLeast"/>
              <w:jc w:val="left"/>
              <w:rPr>
                <w:noProof/>
                <w:color w:val="000000"/>
                <w:lang w:val="en-IE"/>
              </w:rPr>
            </w:pPr>
            <w:r w:rsidRPr="00013BDC">
              <w:rPr>
                <w:noProof/>
                <w:color w:val="000000"/>
                <w:lang w:val="en-IE"/>
              </w:rPr>
              <w:t>A fall in farm income of euro 4.2 billion euro per annum.</w:t>
            </w:r>
          </w:p>
          <w:p w14:paraId="104ED580" w14:textId="77777777" w:rsidR="003B4E6C" w:rsidRPr="00013BDC" w:rsidRDefault="003B4E6C" w:rsidP="003B4E6C">
            <w:pPr>
              <w:spacing w:after="120" w:line="240" w:lineRule="atLeast"/>
              <w:jc w:val="left"/>
              <w:rPr>
                <w:noProof/>
                <w:color w:val="000000"/>
                <w:lang w:val="en-IE"/>
              </w:rPr>
            </w:pPr>
            <w:r w:rsidRPr="00013BDC">
              <w:rPr>
                <w:noProof/>
                <w:color w:val="000000"/>
                <w:lang w:val="en-IE"/>
              </w:rPr>
              <w:t xml:space="preserve">Implementation costs of </w:t>
            </w:r>
            <w:r w:rsidRPr="00013BDC">
              <w:rPr>
                <w:noProof/>
                <w:color w:val="000000" w:themeColor="text1"/>
                <w:sz w:val="22"/>
                <w:szCs w:val="22"/>
                <w:lang w:val="en-IE" w:eastAsia="en-IE"/>
              </w:rPr>
              <w:t>43 EUR/ton to 70 EUR/ton for household, 7 EUR/ton to 22 EUR/ton for producers and 34 EUR/ton to 53 EUR/ton  for retailers.</w:t>
            </w:r>
          </w:p>
          <w:p w14:paraId="62CCD237" w14:textId="62AAA4B2" w:rsidR="003B4E6C" w:rsidRPr="00013BDC" w:rsidRDefault="003B4E6C" w:rsidP="00AB7EED">
            <w:pPr>
              <w:spacing w:after="120" w:line="240" w:lineRule="atLeast"/>
              <w:rPr>
                <w:b/>
                <w:noProof/>
                <w:color w:val="000000"/>
                <w:lang w:val="en-IE"/>
              </w:rPr>
            </w:pPr>
            <w:r w:rsidRPr="00013BDC">
              <w:rPr>
                <w:b/>
                <w:noProof/>
                <w:color w:val="000000"/>
                <w:lang w:val="en-IE"/>
              </w:rPr>
              <w:t>Economic benefits</w:t>
            </w:r>
          </w:p>
          <w:p w14:paraId="5AD931C1" w14:textId="55A5A264" w:rsidR="00AB7EED" w:rsidRPr="00013BDC" w:rsidRDefault="00AB7EED" w:rsidP="00AB7EED">
            <w:pPr>
              <w:spacing w:after="120" w:line="240" w:lineRule="atLeast"/>
              <w:rPr>
                <w:noProof/>
                <w:color w:val="000000"/>
                <w:lang w:val="en-IE"/>
              </w:rPr>
            </w:pPr>
            <w:r w:rsidRPr="00013BDC">
              <w:rPr>
                <w:noProof/>
                <w:color w:val="000000"/>
                <w:u w:val="single"/>
                <w:lang w:val="en-IE"/>
              </w:rPr>
              <w:t>EPR</w:t>
            </w:r>
            <w:r w:rsidRPr="00013BDC">
              <w:rPr>
                <w:noProof/>
                <w:color w:val="000000"/>
                <w:lang w:val="en-IE"/>
              </w:rPr>
              <w:t xml:space="preserve">: €3.5-4.5 billion annual </w:t>
            </w:r>
            <w:r w:rsidR="001E1D9A" w:rsidRPr="00013BDC">
              <w:rPr>
                <w:noProof/>
                <w:color w:val="000000"/>
                <w:lang w:val="en-IE"/>
              </w:rPr>
              <w:t>overall</w:t>
            </w:r>
            <w:r w:rsidRPr="00013BDC">
              <w:rPr>
                <w:noProof/>
                <w:color w:val="000000"/>
                <w:lang w:val="en-IE"/>
              </w:rPr>
              <w:t xml:space="preserve"> returns on recycling investment (including the benefits indicated for the other measures)</w:t>
            </w:r>
          </w:p>
          <w:p w14:paraId="59569EF1" w14:textId="77777777" w:rsidR="00AB7EED" w:rsidRPr="00013BDC" w:rsidRDefault="00AB7EED" w:rsidP="00AB7EED">
            <w:pPr>
              <w:spacing w:after="120" w:line="240" w:lineRule="atLeast"/>
              <w:rPr>
                <w:noProof/>
                <w:color w:val="000000"/>
                <w:lang w:val="en-IE"/>
              </w:rPr>
            </w:pPr>
            <w:r w:rsidRPr="00013BDC">
              <w:rPr>
                <w:noProof/>
                <w:color w:val="000000"/>
                <w:u w:val="single"/>
                <w:lang w:val="en-IE"/>
              </w:rPr>
              <w:t>Additional sorting</w:t>
            </w:r>
            <w:r w:rsidRPr="00013BDC">
              <w:rPr>
                <w:noProof/>
                <w:color w:val="000000"/>
                <w:lang w:val="en-IE"/>
              </w:rPr>
              <w:t>: €534 million per year of reuse value and €94 million per year of recycling value</w:t>
            </w:r>
          </w:p>
          <w:p w14:paraId="294B6C0C" w14:textId="4113B975" w:rsidR="00AB7EED" w:rsidRPr="00013BDC" w:rsidRDefault="00AB7EED" w:rsidP="00AB7EED">
            <w:pPr>
              <w:spacing w:after="120" w:line="240" w:lineRule="atLeast"/>
              <w:rPr>
                <w:noProof/>
                <w:color w:val="000000"/>
                <w:lang w:val="en-IE"/>
              </w:rPr>
            </w:pPr>
            <w:r w:rsidRPr="00013BDC">
              <w:rPr>
                <w:noProof/>
                <w:color w:val="000000"/>
                <w:u w:val="single"/>
                <w:lang w:val="en-IE"/>
              </w:rPr>
              <w:t>Additional collection</w:t>
            </w:r>
            <w:r w:rsidRPr="00013BDC">
              <w:rPr>
                <w:b/>
                <w:noProof/>
                <w:color w:val="000000"/>
                <w:lang w:val="en-IE"/>
              </w:rPr>
              <w:t>:</w:t>
            </w:r>
            <w:r w:rsidRPr="00013BDC">
              <w:rPr>
                <w:noProof/>
                <w:color w:val="000000"/>
                <w:lang w:val="en-IE"/>
              </w:rPr>
              <w:t xml:space="preserve"> €28 million per year of combined reuse and recycling value</w:t>
            </w:r>
          </w:p>
          <w:p w14:paraId="66A969E9" w14:textId="77777777" w:rsidR="003B4E6C" w:rsidRPr="00013BDC" w:rsidRDefault="003B4E6C" w:rsidP="003B4E6C">
            <w:pPr>
              <w:spacing w:after="120" w:line="240" w:lineRule="atLeast"/>
              <w:jc w:val="left"/>
              <w:rPr>
                <w:noProof/>
                <w:color w:val="000000"/>
                <w:lang w:val="en-IE"/>
              </w:rPr>
            </w:pPr>
            <w:r w:rsidRPr="00013BDC">
              <w:rPr>
                <w:b/>
                <w:noProof/>
                <w:color w:val="000000"/>
                <w:lang w:val="en-IE"/>
              </w:rPr>
              <w:t>Economic benefits of savings in household food expenditure</w:t>
            </w:r>
            <w:r w:rsidRPr="00013BDC">
              <w:rPr>
                <w:noProof/>
                <w:color w:val="000000"/>
                <w:lang w:val="en-IE"/>
              </w:rPr>
              <w:t xml:space="preserve"> of 439 euro per year</w:t>
            </w:r>
          </w:p>
          <w:p w14:paraId="264C8A23" w14:textId="77777777" w:rsidR="007F6EF0" w:rsidRPr="00013BDC" w:rsidRDefault="003B4E6C" w:rsidP="003B4E6C">
            <w:pPr>
              <w:spacing w:after="120" w:line="240" w:lineRule="atLeast"/>
              <w:rPr>
                <w:noProof/>
                <w:color w:val="000000"/>
                <w:lang w:val="en-IE"/>
              </w:rPr>
            </w:pPr>
            <w:r w:rsidRPr="00013BDC">
              <w:rPr>
                <w:b/>
                <w:noProof/>
                <w:color w:val="000000"/>
                <w:lang w:val="en-IE"/>
              </w:rPr>
              <w:t>Env benefits</w:t>
            </w:r>
            <w:r w:rsidRPr="00013BDC">
              <w:rPr>
                <w:noProof/>
                <w:color w:val="000000"/>
                <w:lang w:val="en-IE"/>
              </w:rPr>
              <w:t xml:space="preserve">: </w:t>
            </w:r>
          </w:p>
          <w:p w14:paraId="23E3F0EF" w14:textId="77777777" w:rsidR="007F6EF0" w:rsidRPr="00013BDC" w:rsidRDefault="007F6EF0" w:rsidP="003B4E6C">
            <w:pPr>
              <w:spacing w:after="120" w:line="240" w:lineRule="atLeast"/>
              <w:rPr>
                <w:noProof/>
                <w:color w:val="000000"/>
                <w:lang w:val="en-IE"/>
              </w:rPr>
            </w:pPr>
            <w:r w:rsidRPr="00013BDC">
              <w:rPr>
                <w:noProof/>
                <w:color w:val="000000"/>
                <w:lang w:val="en-IE"/>
              </w:rPr>
              <w:t xml:space="preserve">€16 million from GHG emission reduction from textile waste as well as reduction in release of pollutants to air, water and land that would otherwise result from poor waste management </w:t>
            </w:r>
          </w:p>
          <w:p w14:paraId="0C50F8FF" w14:textId="1288017D" w:rsidR="003B4E6C" w:rsidRPr="00013BDC" w:rsidRDefault="003B4E6C" w:rsidP="003B4E6C">
            <w:pPr>
              <w:spacing w:after="120" w:line="240" w:lineRule="atLeast"/>
              <w:rPr>
                <w:noProof/>
                <w:color w:val="000000"/>
                <w:lang w:val="en-IE"/>
              </w:rPr>
            </w:pPr>
            <w:r w:rsidRPr="00013BDC">
              <w:rPr>
                <w:noProof/>
                <w:color w:val="000000"/>
                <w:lang w:val="en-IE"/>
              </w:rPr>
              <w:t xml:space="preserve">4.1 million tonnes GHG emission reduction as well as reduction in release of pollutants to air, water and land that would otherwise result from poor waste management. Reduced impact on land use of </w:t>
            </w:r>
            <w:r w:rsidR="00E86E11" w:rsidRPr="00013BDC">
              <w:rPr>
                <w:noProof/>
                <w:color w:val="000000"/>
                <w:lang w:val="en-IE"/>
              </w:rPr>
              <w:t>2.16</w:t>
            </w:r>
            <w:r w:rsidRPr="00013BDC">
              <w:rPr>
                <w:noProof/>
                <w:color w:val="000000"/>
                <w:lang w:val="en-IE"/>
              </w:rPr>
              <w:t xml:space="preserve"> </w:t>
            </w:r>
            <w:r w:rsidR="00532211" w:rsidRPr="00013BDC">
              <w:rPr>
                <w:noProof/>
                <w:color w:val="000000"/>
                <w:lang w:val="en-IE"/>
              </w:rPr>
              <w:t>trillion</w:t>
            </w:r>
            <w:r w:rsidRPr="00013BDC">
              <w:rPr>
                <w:noProof/>
                <w:color w:val="000000"/>
                <w:lang w:val="en-IE"/>
              </w:rPr>
              <w:t xml:space="preserve"> Pt, reduction in marine eutrophication of </w:t>
            </w:r>
            <w:r w:rsidR="00E86E11" w:rsidRPr="00013BDC">
              <w:rPr>
                <w:noProof/>
                <w:color w:val="000000"/>
                <w:lang w:val="en-IE"/>
              </w:rPr>
              <w:t xml:space="preserve">532 </w:t>
            </w:r>
            <w:r w:rsidRPr="00013BDC">
              <w:rPr>
                <w:noProof/>
                <w:color w:val="000000"/>
                <w:lang w:val="en-IE"/>
              </w:rPr>
              <w:t xml:space="preserve">million kg of Neq and reduction of water use of </w:t>
            </w:r>
            <w:r w:rsidR="00F22A08" w:rsidRPr="00013BDC">
              <w:rPr>
                <w:noProof/>
                <w:color w:val="000000"/>
                <w:lang w:val="en-IE"/>
              </w:rPr>
              <w:t xml:space="preserve">80 </w:t>
            </w:r>
            <w:r w:rsidRPr="00013BDC">
              <w:rPr>
                <w:noProof/>
                <w:color w:val="000000"/>
                <w:lang w:val="en-IE"/>
              </w:rPr>
              <w:t>billion m3 per annum.</w:t>
            </w:r>
          </w:p>
          <w:p w14:paraId="196D10F3" w14:textId="77777777" w:rsidR="003B4E6C" w:rsidRPr="00013BDC" w:rsidRDefault="003B4E6C" w:rsidP="003B4E6C">
            <w:pPr>
              <w:spacing w:after="120" w:line="240" w:lineRule="atLeast"/>
              <w:rPr>
                <w:rFonts w:eastAsiaTheme="minorHAnsi"/>
                <w:noProof/>
                <w:color w:val="000000"/>
                <w:lang w:val="en-IE" w:eastAsia="en-US"/>
              </w:rPr>
            </w:pPr>
            <w:r w:rsidRPr="00013BDC">
              <w:rPr>
                <w:b/>
                <w:noProof/>
                <w:color w:val="000000"/>
                <w:lang w:val="en-IE"/>
              </w:rPr>
              <w:t>Social benefits</w:t>
            </w:r>
            <w:r w:rsidRPr="00013BDC">
              <w:rPr>
                <w:noProof/>
                <w:color w:val="000000"/>
                <w:lang w:val="en-IE"/>
              </w:rPr>
              <w:t>: 8 740 jobs created in relation to textiles and social impacts of EU waste in third countries mitigated. 135 000 jobs lost in agri-food sectors.</w:t>
            </w:r>
          </w:p>
        </w:tc>
        <w:tc>
          <w:tcPr>
            <w:tcW w:w="29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8300A9B" w14:textId="77777777" w:rsidR="003B4E6C" w:rsidRPr="00013BDC" w:rsidRDefault="003B4E6C" w:rsidP="003B4E6C">
            <w:pPr>
              <w:spacing w:after="120" w:line="240" w:lineRule="atLeast"/>
              <w:jc w:val="center"/>
              <w:rPr>
                <w:noProof/>
                <w:color w:val="000000"/>
                <w:lang w:val="en-IE"/>
              </w:rPr>
            </w:pPr>
            <w:r w:rsidRPr="00013BDC">
              <w:rPr>
                <w:b/>
                <w:noProof/>
                <w:color w:val="000000"/>
                <w:lang w:val="en-IE"/>
              </w:rPr>
              <w:t>Costs</w:t>
            </w:r>
            <w:r w:rsidRPr="00013BDC">
              <w:rPr>
                <w:noProof/>
                <w:color w:val="000000"/>
                <w:lang w:val="en-IE"/>
              </w:rPr>
              <w:t xml:space="preserve">: </w:t>
            </w:r>
          </w:p>
          <w:p w14:paraId="197557BB" w14:textId="77777777" w:rsidR="00411C66" w:rsidRPr="00013BDC" w:rsidRDefault="00411C66" w:rsidP="00411C66">
            <w:pPr>
              <w:spacing w:after="120" w:line="240" w:lineRule="atLeast"/>
              <w:jc w:val="center"/>
              <w:rPr>
                <w:noProof/>
                <w:color w:val="000000"/>
                <w:lang w:val="en-IE"/>
              </w:rPr>
            </w:pPr>
            <w:r w:rsidRPr="00013BDC">
              <w:rPr>
                <w:noProof/>
                <w:color w:val="000000"/>
                <w:lang w:val="en-IE"/>
              </w:rPr>
              <w:t xml:space="preserve">€970 million (these costs may fall on consumers, producers or a mix of both). </w:t>
            </w:r>
          </w:p>
          <w:p w14:paraId="361384FF" w14:textId="636AF63C" w:rsidR="003B4E6C" w:rsidRPr="00013BDC" w:rsidRDefault="003B4E6C" w:rsidP="003B4E6C">
            <w:pPr>
              <w:spacing w:after="120" w:line="240" w:lineRule="atLeast"/>
              <w:jc w:val="center"/>
              <w:rPr>
                <w:noProof/>
                <w:color w:val="000000"/>
                <w:lang w:val="en-IE"/>
              </w:rPr>
            </w:pPr>
            <w:r w:rsidRPr="00013BDC">
              <w:rPr>
                <w:noProof/>
                <w:color w:val="000000"/>
                <w:lang w:val="en-IE"/>
              </w:rPr>
              <w:t>Combined costs of 84 euro / tonne to 145 euro per tonne of food produced for food.</w:t>
            </w:r>
          </w:p>
          <w:p w14:paraId="25E1F651" w14:textId="77777777" w:rsidR="003B4E6C" w:rsidRPr="00013BDC" w:rsidRDefault="003B4E6C" w:rsidP="003B4E6C">
            <w:pPr>
              <w:spacing w:after="120" w:line="240" w:lineRule="atLeast"/>
              <w:jc w:val="center"/>
              <w:rPr>
                <w:noProof/>
                <w:color w:val="000000"/>
                <w:lang w:val="en-IE"/>
              </w:rPr>
            </w:pPr>
            <w:r w:rsidRPr="00013BDC">
              <w:rPr>
                <w:b/>
                <w:noProof/>
                <w:color w:val="000000" w:themeColor="text1"/>
                <w:lang w:val="en-IE"/>
              </w:rPr>
              <w:t>Benefits</w:t>
            </w:r>
            <w:r w:rsidRPr="00013BDC">
              <w:rPr>
                <w:noProof/>
                <w:color w:val="000000" w:themeColor="text1"/>
                <w:lang w:val="en-IE"/>
              </w:rPr>
              <w:t xml:space="preserve">: </w:t>
            </w:r>
          </w:p>
          <w:p w14:paraId="557F4445" w14:textId="5EAF9376" w:rsidR="00411C66" w:rsidRPr="00013BDC" w:rsidRDefault="00411C66" w:rsidP="003B4E6C">
            <w:pPr>
              <w:spacing w:after="120" w:line="240" w:lineRule="atLeast"/>
              <w:jc w:val="center"/>
              <w:rPr>
                <w:noProof/>
                <w:color w:val="000000"/>
                <w:lang w:val="en-IE"/>
              </w:rPr>
            </w:pPr>
            <w:r w:rsidRPr="00013BDC">
              <w:rPr>
                <w:noProof/>
                <w:color w:val="000000"/>
                <w:lang w:val="en-IE"/>
              </w:rPr>
              <w:t>Direct</w:t>
            </w:r>
            <w:r w:rsidR="003B4E6C" w:rsidRPr="00013BDC">
              <w:rPr>
                <w:noProof/>
                <w:color w:val="000000"/>
                <w:lang w:val="en-IE"/>
              </w:rPr>
              <w:t xml:space="preserve"> benefits </w:t>
            </w:r>
            <w:r w:rsidRPr="00013BDC">
              <w:rPr>
                <w:noProof/>
                <w:color w:val="000000"/>
                <w:lang w:val="en-IE"/>
              </w:rPr>
              <w:t xml:space="preserve">of €656 million of reusable and recyclable textiles for the EU reuse and recycling market as well as support to €3.5-4.5 billion </w:t>
            </w:r>
            <w:r w:rsidR="003B4E6C" w:rsidRPr="00013BDC">
              <w:rPr>
                <w:noProof/>
                <w:color w:val="000000"/>
                <w:lang w:val="en-IE"/>
              </w:rPr>
              <w:t xml:space="preserve">annual </w:t>
            </w:r>
            <w:r w:rsidR="001E1D9A" w:rsidRPr="00013BDC">
              <w:rPr>
                <w:noProof/>
                <w:color w:val="000000"/>
                <w:lang w:val="en-IE"/>
              </w:rPr>
              <w:t>overall</w:t>
            </w:r>
            <w:r w:rsidR="003B4E6C" w:rsidRPr="00013BDC">
              <w:rPr>
                <w:noProof/>
                <w:color w:val="000000"/>
                <w:lang w:val="en-IE"/>
              </w:rPr>
              <w:t xml:space="preserve"> returns </w:t>
            </w:r>
            <w:r w:rsidRPr="00013BDC">
              <w:rPr>
                <w:noProof/>
                <w:color w:val="000000"/>
                <w:lang w:val="en-IE"/>
              </w:rPr>
              <w:t xml:space="preserve">from EPR investments </w:t>
            </w:r>
          </w:p>
          <w:p w14:paraId="02816BDE" w14:textId="77777777" w:rsidR="00411C66" w:rsidRPr="00013BDC" w:rsidRDefault="00411C66" w:rsidP="003B4E6C">
            <w:pPr>
              <w:spacing w:after="120" w:line="240" w:lineRule="atLeast"/>
              <w:jc w:val="center"/>
              <w:rPr>
                <w:noProof/>
                <w:color w:val="000000"/>
                <w:lang w:val="en-IE"/>
              </w:rPr>
            </w:pPr>
            <w:r w:rsidRPr="00013BDC">
              <w:rPr>
                <w:noProof/>
                <w:color w:val="000000"/>
                <w:lang w:val="en-IE"/>
              </w:rPr>
              <w:t>A</w:t>
            </w:r>
            <w:r w:rsidR="003B4E6C" w:rsidRPr="00013BDC">
              <w:rPr>
                <w:noProof/>
                <w:color w:val="000000"/>
                <w:lang w:val="en-IE"/>
              </w:rPr>
              <w:t xml:space="preserve"> reduction in household food costs of 439 euro per year. </w:t>
            </w:r>
          </w:p>
          <w:p w14:paraId="0A256B9A" w14:textId="77777777" w:rsidR="003922D3" w:rsidRPr="00013BDC" w:rsidRDefault="003922D3" w:rsidP="003922D3">
            <w:pPr>
              <w:spacing w:after="120" w:line="240" w:lineRule="atLeast"/>
              <w:jc w:val="center"/>
              <w:rPr>
                <w:noProof/>
                <w:color w:val="000000"/>
                <w:lang w:val="en-IE"/>
              </w:rPr>
            </w:pPr>
            <w:r w:rsidRPr="00013BDC">
              <w:rPr>
                <w:noProof/>
                <w:color w:val="000000"/>
                <w:lang w:val="en-IE"/>
              </w:rPr>
              <w:t xml:space="preserve">Additional GHG emission reduction equal to €16 million per year from textiles and additional GHG emission reduction equal to 62 million tonnes per year (overall environmental savings monetised - €9-23 bn), </w:t>
            </w:r>
          </w:p>
          <w:p w14:paraId="589D9928" w14:textId="77777777" w:rsidR="003922D3" w:rsidRPr="00013BDC" w:rsidRDefault="003922D3" w:rsidP="003922D3">
            <w:pPr>
              <w:spacing w:after="120" w:line="240" w:lineRule="atLeast"/>
              <w:jc w:val="center"/>
              <w:rPr>
                <w:noProof/>
                <w:color w:val="000000"/>
                <w:lang w:val="en-IE"/>
              </w:rPr>
            </w:pPr>
            <w:r w:rsidRPr="00013BDC">
              <w:rPr>
                <w:noProof/>
                <w:color w:val="000000"/>
                <w:lang w:val="en-IE"/>
              </w:rPr>
              <w:t>8 740 jobs created in waste management but up to 135 000 lost in agri-food sectors (expected to be compensated in other sectors)</w:t>
            </w:r>
          </w:p>
          <w:p w14:paraId="40A1F554" w14:textId="6A9F89B5" w:rsidR="003B4E6C" w:rsidRPr="00013BDC" w:rsidRDefault="003B4E6C" w:rsidP="003B4E6C">
            <w:pPr>
              <w:spacing w:after="120" w:line="240" w:lineRule="atLeast"/>
              <w:jc w:val="center"/>
              <w:rPr>
                <w:rFonts w:eastAsiaTheme="minorHAnsi"/>
                <w:noProof/>
                <w:color w:val="000000"/>
                <w:lang w:val="en-IE" w:eastAsia="en-US"/>
              </w:rPr>
            </w:pPr>
            <w:r w:rsidRPr="00013BDC">
              <w:rPr>
                <w:rFonts w:eastAsiaTheme="minorHAnsi"/>
                <w:b/>
                <w:noProof/>
                <w:color w:val="000000"/>
                <w:lang w:val="en-IE" w:eastAsia="en-US"/>
              </w:rPr>
              <w:t>Overall effectiveness</w:t>
            </w:r>
            <w:r w:rsidR="003922D3" w:rsidRPr="00013BDC">
              <w:rPr>
                <w:rFonts w:eastAsiaTheme="minorHAnsi"/>
                <w:b/>
                <w:noProof/>
                <w:color w:val="000000"/>
                <w:lang w:val="en-IE" w:eastAsia="en-US"/>
              </w:rPr>
              <w:t xml:space="preserve">, </w:t>
            </w:r>
            <w:r w:rsidRPr="00013BDC">
              <w:rPr>
                <w:rFonts w:eastAsiaTheme="minorHAnsi"/>
                <w:b/>
                <w:noProof/>
                <w:color w:val="000000"/>
                <w:lang w:val="en-IE" w:eastAsia="en-US"/>
              </w:rPr>
              <w:t>efficiency</w:t>
            </w:r>
            <w:r w:rsidR="003922D3" w:rsidRPr="00013BDC">
              <w:rPr>
                <w:rFonts w:eastAsiaTheme="minorHAnsi"/>
                <w:b/>
                <w:noProof/>
                <w:color w:val="000000"/>
                <w:lang w:val="en-IE" w:eastAsia="en-US"/>
              </w:rPr>
              <w:t xml:space="preserve"> and coherence</w:t>
            </w:r>
            <w:r w:rsidRPr="00013BDC">
              <w:rPr>
                <w:rFonts w:eastAsiaTheme="minorHAnsi"/>
                <w:noProof/>
                <w:color w:val="000000"/>
                <w:lang w:val="en-IE" w:eastAsia="en-US"/>
              </w:rPr>
              <w:t>: positive</w:t>
            </w:r>
          </w:p>
          <w:p w14:paraId="204D6BAA" w14:textId="77777777" w:rsidR="003B4E6C" w:rsidRPr="00013BDC" w:rsidRDefault="003B4E6C" w:rsidP="003B4E6C">
            <w:pPr>
              <w:spacing w:after="120" w:line="240" w:lineRule="atLeast"/>
              <w:jc w:val="center"/>
              <w:rPr>
                <w:rFonts w:eastAsiaTheme="minorHAnsi"/>
                <w:noProof/>
                <w:color w:val="000000"/>
                <w:lang w:val="en-IE" w:eastAsia="en-US"/>
              </w:rPr>
            </w:pPr>
          </w:p>
        </w:tc>
      </w:tr>
    </w:tbl>
    <w:p w14:paraId="6B879E5A" w14:textId="3EBCA3B3" w:rsidR="00E319C2" w:rsidRPr="00013BDC" w:rsidRDefault="00E319C2" w:rsidP="001B1E6E">
      <w:pPr>
        <w:rPr>
          <w:noProof/>
          <w:lang w:val="en-IE"/>
        </w:rPr>
      </w:pPr>
      <w:r w:rsidRPr="00013BDC">
        <w:rPr>
          <w:noProof/>
          <w:lang w:val="en-IE"/>
        </w:rPr>
        <w:br w:type="page"/>
      </w:r>
    </w:p>
    <w:p w14:paraId="4CD2C18E" w14:textId="4DFB1B7A" w:rsidR="00E319C2" w:rsidRPr="00013BDC" w:rsidRDefault="00E319C2" w:rsidP="004A0ACC">
      <w:pPr>
        <w:pStyle w:val="AnnexTitle"/>
        <w:rPr>
          <w:noProof/>
          <w:lang w:val="en-IE"/>
        </w:rPr>
      </w:pPr>
      <w:bookmarkStart w:id="240" w:name="_Toc117004513"/>
      <w:bookmarkStart w:id="241" w:name="_Toc118014797"/>
      <w:bookmarkStart w:id="242" w:name="_Toc120782542"/>
      <w:bookmarkStart w:id="243" w:name="_Toc124777286"/>
      <w:bookmarkStart w:id="244" w:name="_Toc132761282"/>
      <w:bookmarkStart w:id="245" w:name="_Toc1746280543"/>
      <w:bookmarkStart w:id="246" w:name="_Toc1162119387"/>
      <w:bookmarkStart w:id="247" w:name="_Toc392786392"/>
      <w:bookmarkStart w:id="248" w:name="_Toc575901312"/>
      <w:bookmarkStart w:id="249" w:name="_Toc741214349"/>
      <w:bookmarkStart w:id="250" w:name="_Toc802329908"/>
      <w:bookmarkStart w:id="251" w:name="_Toc77225055"/>
      <w:bookmarkStart w:id="252" w:name="_Toc139032947"/>
      <w:r w:rsidRPr="00013BDC">
        <w:rPr>
          <w:noProof/>
          <w:lang w:val="en-IE"/>
        </w:rPr>
        <w:t>Annex 4: Analytical methods</w:t>
      </w:r>
      <w:bookmarkEnd w:id="240"/>
      <w:bookmarkEnd w:id="241"/>
      <w:bookmarkEnd w:id="242"/>
      <w:bookmarkEnd w:id="243"/>
      <w:bookmarkEnd w:id="244"/>
      <w:bookmarkEnd w:id="245"/>
      <w:bookmarkEnd w:id="246"/>
      <w:bookmarkEnd w:id="247"/>
      <w:bookmarkEnd w:id="248"/>
      <w:bookmarkEnd w:id="249"/>
      <w:bookmarkEnd w:id="250"/>
      <w:bookmarkEnd w:id="251"/>
      <w:bookmarkEnd w:id="252"/>
    </w:p>
    <w:p w14:paraId="118091E1" w14:textId="6B09977D" w:rsidR="00E319C2" w:rsidRPr="00013BDC" w:rsidRDefault="00E319C2" w:rsidP="001B1E6E">
      <w:pPr>
        <w:rPr>
          <w:noProof/>
          <w:lang w:val="en-IE"/>
        </w:rPr>
      </w:pPr>
      <w:r w:rsidRPr="00013BDC">
        <w:rPr>
          <w:noProof/>
          <w:lang w:val="en-IE"/>
        </w:rPr>
        <w:t xml:space="preserve">The assessment presented in this report establishes the impacts of measures that may be used to address the challenges identified in the current EU legislative framework addressing waste generation, reuse, and preparation for </w:t>
      </w:r>
      <w:r w:rsidR="00D96247" w:rsidRPr="00013BDC">
        <w:rPr>
          <w:noProof/>
          <w:lang w:val="en-IE"/>
        </w:rPr>
        <w:t>reuse</w:t>
      </w:r>
      <w:r w:rsidRPr="00013BDC">
        <w:rPr>
          <w:noProof/>
          <w:lang w:val="en-IE"/>
        </w:rPr>
        <w:t xml:space="preserve"> and quality recycling.</w:t>
      </w:r>
    </w:p>
    <w:p w14:paraId="5E8F0212" w14:textId="0209402C" w:rsidR="00BA750C" w:rsidRPr="00013BDC" w:rsidRDefault="00F64258" w:rsidP="00F64258">
      <w:pPr>
        <w:pStyle w:val="Heading2"/>
        <w:rPr>
          <w:noProof/>
          <w:lang w:val="en-IE"/>
        </w:rPr>
      </w:pPr>
      <w:bookmarkStart w:id="253" w:name="_Toc493280872"/>
      <w:bookmarkStart w:id="254" w:name="_Toc1428446075"/>
      <w:bookmarkStart w:id="255" w:name="_Toc1724888585"/>
      <w:bookmarkStart w:id="256" w:name="_Toc440728538"/>
      <w:bookmarkStart w:id="257" w:name="_Toc1398816391"/>
      <w:bookmarkStart w:id="258" w:name="_Toc857384835"/>
      <w:bookmarkStart w:id="259" w:name="_Toc887585434"/>
      <w:bookmarkStart w:id="260" w:name="_Toc1251783960"/>
      <w:bookmarkStart w:id="261" w:name="_Toc139032948"/>
      <w:r w:rsidRPr="00F64258">
        <w:t>1.</w:t>
      </w:r>
      <w:r w:rsidRPr="00F64258">
        <w:tab/>
      </w:r>
      <w:r w:rsidR="00BA750C" w:rsidRPr="00013BDC">
        <w:rPr>
          <w:noProof/>
          <w:lang w:val="en-IE"/>
        </w:rPr>
        <w:t>Textiles</w:t>
      </w:r>
      <w:bookmarkEnd w:id="253"/>
      <w:bookmarkEnd w:id="254"/>
      <w:bookmarkEnd w:id="255"/>
      <w:bookmarkEnd w:id="256"/>
      <w:bookmarkEnd w:id="257"/>
      <w:bookmarkEnd w:id="258"/>
      <w:bookmarkEnd w:id="259"/>
      <w:bookmarkEnd w:id="260"/>
      <w:bookmarkEnd w:id="261"/>
      <w:r w:rsidR="00BA750C" w:rsidRPr="00013BDC">
        <w:rPr>
          <w:noProof/>
          <w:lang w:val="en-IE"/>
        </w:rPr>
        <w:t xml:space="preserve"> </w:t>
      </w:r>
    </w:p>
    <w:p w14:paraId="5EF0A4BE" w14:textId="4DFB1B7A" w:rsidR="00E319C2" w:rsidRPr="00013BDC" w:rsidRDefault="34E0979A" w:rsidP="5ACF8ADB">
      <w:pPr>
        <w:spacing w:after="120"/>
        <w:ind w:left="720" w:firstLine="720"/>
        <w:rPr>
          <w:rStyle w:val="Heading3Char"/>
          <w:rFonts w:eastAsiaTheme="minorEastAsia"/>
          <w:noProof/>
          <w:lang w:val="en-IE"/>
        </w:rPr>
      </w:pPr>
      <w:bookmarkStart w:id="262" w:name="_Toc703820501"/>
      <w:bookmarkStart w:id="263" w:name="_Toc1160655734"/>
      <w:bookmarkStart w:id="264" w:name="_Toc1806920397"/>
      <w:bookmarkStart w:id="265" w:name="_Toc521658661"/>
      <w:bookmarkStart w:id="266" w:name="_Toc139032949"/>
      <w:r w:rsidRPr="00013BDC">
        <w:rPr>
          <w:rStyle w:val="Heading3Char"/>
          <w:rFonts w:eastAsiaTheme="minorEastAsia"/>
          <w:noProof/>
          <w:lang w:val="en-IE"/>
        </w:rPr>
        <w:t>Methodology</w:t>
      </w:r>
      <w:bookmarkEnd w:id="262"/>
      <w:bookmarkEnd w:id="263"/>
      <w:bookmarkEnd w:id="264"/>
      <w:bookmarkEnd w:id="265"/>
      <w:bookmarkEnd w:id="266"/>
    </w:p>
    <w:p w14:paraId="4C583CED" w14:textId="4F02D27F" w:rsidR="00E319C2" w:rsidRPr="00013BDC" w:rsidRDefault="00E319C2" w:rsidP="001B1E6E">
      <w:pPr>
        <w:spacing w:after="120"/>
        <w:rPr>
          <w:noProof/>
          <w:lang w:val="en-IE"/>
        </w:rPr>
      </w:pPr>
      <w:r w:rsidRPr="00013BDC">
        <w:rPr>
          <w:noProof/>
          <w:lang w:val="en-IE"/>
        </w:rPr>
        <w:t>The method used for the analysis was as follows:</w:t>
      </w:r>
    </w:p>
    <w:p w14:paraId="70262FDA" w14:textId="508223E9" w:rsidR="00E319C2" w:rsidRPr="00013BDC" w:rsidRDefault="093858CC" w:rsidP="00CF0DFB">
      <w:pPr>
        <w:pStyle w:val="ListParagraph"/>
        <w:numPr>
          <w:ilvl w:val="0"/>
          <w:numId w:val="108"/>
        </w:numPr>
        <w:spacing w:after="0"/>
        <w:rPr>
          <w:noProof/>
          <w:lang w:val="en-IE"/>
        </w:rPr>
      </w:pPr>
      <w:r w:rsidRPr="00013BDC">
        <w:rPr>
          <w:noProof/>
          <w:lang w:val="en-IE"/>
        </w:rPr>
        <w:t xml:space="preserve">Identifying the </w:t>
      </w:r>
      <w:r w:rsidR="00C932A9" w:rsidRPr="00013BDC">
        <w:rPr>
          <w:noProof/>
          <w:lang w:val="en-IE"/>
        </w:rPr>
        <w:t>problems</w:t>
      </w:r>
      <w:r w:rsidRPr="00013BDC">
        <w:rPr>
          <w:noProof/>
          <w:lang w:val="en-IE"/>
        </w:rPr>
        <w:t xml:space="preserve"> that </w:t>
      </w:r>
      <w:r w:rsidR="00C932A9" w:rsidRPr="00013BDC">
        <w:rPr>
          <w:noProof/>
          <w:lang w:val="en-IE"/>
        </w:rPr>
        <w:t xml:space="preserve">need </w:t>
      </w:r>
      <w:r w:rsidRPr="00013BDC">
        <w:rPr>
          <w:noProof/>
          <w:lang w:val="en-IE"/>
        </w:rPr>
        <w:t>to be addressed through an examination of the results of existing literature and a small number of pilot interviews with stakeholders</w:t>
      </w:r>
      <w:r w:rsidR="00C932A9" w:rsidRPr="00013BDC">
        <w:rPr>
          <w:noProof/>
          <w:lang w:val="en-IE"/>
        </w:rPr>
        <w:t>, including</w:t>
      </w:r>
      <w:r w:rsidRPr="00013BDC">
        <w:rPr>
          <w:noProof/>
          <w:lang w:val="en-IE"/>
        </w:rPr>
        <w:t xml:space="preserve"> Member States, </w:t>
      </w:r>
      <w:r w:rsidR="00C932A9" w:rsidRPr="00013BDC">
        <w:rPr>
          <w:noProof/>
          <w:lang w:val="en-IE"/>
        </w:rPr>
        <w:t xml:space="preserve">waste management actors (mainly SMEs) and </w:t>
      </w:r>
      <w:r w:rsidRPr="00013BDC">
        <w:rPr>
          <w:noProof/>
          <w:lang w:val="en-IE"/>
        </w:rPr>
        <w:t>non-governmental organisation</w:t>
      </w:r>
      <w:r w:rsidR="00C932A9" w:rsidRPr="00013BDC">
        <w:rPr>
          <w:noProof/>
          <w:lang w:val="en-IE"/>
        </w:rPr>
        <w:t>s</w:t>
      </w:r>
      <w:r w:rsidRPr="00013BDC">
        <w:rPr>
          <w:noProof/>
          <w:lang w:val="en-IE"/>
        </w:rPr>
        <w:t>.</w:t>
      </w:r>
    </w:p>
    <w:p w14:paraId="0406C3A6" w14:textId="2BA882AE" w:rsidR="00E319C2" w:rsidRPr="00013BDC" w:rsidRDefault="00E319C2" w:rsidP="00CF0DFB">
      <w:pPr>
        <w:pStyle w:val="ListParagraph"/>
        <w:numPr>
          <w:ilvl w:val="0"/>
          <w:numId w:val="108"/>
        </w:numPr>
        <w:spacing w:after="0"/>
        <w:rPr>
          <w:noProof/>
          <w:lang w:val="en-IE"/>
        </w:rPr>
      </w:pPr>
      <w:r w:rsidRPr="00013BDC">
        <w:rPr>
          <w:noProof/>
          <w:lang w:val="en-IE"/>
        </w:rPr>
        <w:t>Defining the baseline by considering:</w:t>
      </w:r>
    </w:p>
    <w:p w14:paraId="128C57C0" w14:textId="7AAA204E" w:rsidR="00E319C2" w:rsidRPr="00013BDC" w:rsidRDefault="00E319C2" w:rsidP="00CF0DFB">
      <w:pPr>
        <w:pStyle w:val="ListParagraph"/>
        <w:numPr>
          <w:ilvl w:val="1"/>
          <w:numId w:val="108"/>
        </w:numPr>
        <w:spacing w:after="0"/>
        <w:rPr>
          <w:noProof/>
          <w:lang w:val="en-IE"/>
        </w:rPr>
      </w:pPr>
      <w:r w:rsidRPr="00013BDC">
        <w:rPr>
          <w:noProof/>
          <w:lang w:val="en-IE"/>
        </w:rPr>
        <w:t>Static aspects – the existing framework for waste management, namely the Waste Framework Directive and experiences to date in implementation including in relation to quality of data.</w:t>
      </w:r>
    </w:p>
    <w:p w14:paraId="2D0F2D2E" w14:textId="2FFE1AE8" w:rsidR="00E319C2" w:rsidRPr="00013BDC" w:rsidRDefault="33433F32" w:rsidP="00CF0DFB">
      <w:pPr>
        <w:pStyle w:val="ListParagraph"/>
        <w:numPr>
          <w:ilvl w:val="1"/>
          <w:numId w:val="108"/>
        </w:numPr>
        <w:spacing w:after="0"/>
        <w:rPr>
          <w:noProof/>
          <w:lang w:val="en-IE"/>
        </w:rPr>
      </w:pPr>
      <w:r w:rsidRPr="00013BDC">
        <w:rPr>
          <w:noProof/>
          <w:lang w:val="en-IE"/>
        </w:rPr>
        <w:t xml:space="preserve">Dynamic aspects </w:t>
      </w:r>
      <w:r w:rsidR="005A28B7" w:rsidRPr="00013BDC">
        <w:rPr>
          <w:noProof/>
          <w:lang w:val="en-IE"/>
        </w:rPr>
        <w:t xml:space="preserve">– </w:t>
      </w:r>
      <w:r w:rsidRPr="00013BDC">
        <w:rPr>
          <w:noProof/>
          <w:lang w:val="en-IE"/>
        </w:rPr>
        <w:t>including</w:t>
      </w:r>
      <w:r w:rsidR="000101A7" w:rsidRPr="00013BDC">
        <w:rPr>
          <w:noProof/>
          <w:lang w:val="en-IE"/>
        </w:rPr>
        <w:t xml:space="preserve"> the expected </w:t>
      </w:r>
      <w:r w:rsidRPr="00013BDC">
        <w:rPr>
          <w:noProof/>
          <w:lang w:val="en-IE"/>
        </w:rPr>
        <w:t>interaction of the Waste Framework Directive with other EU policies including circular economy and bioeconomy policies</w:t>
      </w:r>
      <w:r w:rsidR="00762246" w:rsidRPr="00013BDC">
        <w:rPr>
          <w:noProof/>
          <w:lang w:val="en-IE"/>
        </w:rPr>
        <w:t>,</w:t>
      </w:r>
      <w:r w:rsidRPr="00013BDC">
        <w:rPr>
          <w:noProof/>
          <w:lang w:val="en-IE"/>
        </w:rPr>
        <w:t xml:space="preserve"> the European Green Deal</w:t>
      </w:r>
      <w:r w:rsidR="00762246" w:rsidRPr="00013BDC">
        <w:rPr>
          <w:noProof/>
          <w:lang w:val="en-IE"/>
        </w:rPr>
        <w:t xml:space="preserve"> and the Waste Shipment</w:t>
      </w:r>
      <w:r w:rsidR="1AF22F27" w:rsidRPr="00013BDC">
        <w:rPr>
          <w:noProof/>
          <w:lang w:val="en-IE"/>
        </w:rPr>
        <w:t xml:space="preserve"> Regulation</w:t>
      </w:r>
      <w:r w:rsidR="1B0AD964" w:rsidRPr="00013BDC">
        <w:rPr>
          <w:noProof/>
          <w:lang w:val="en-IE"/>
        </w:rPr>
        <w:t>.</w:t>
      </w:r>
      <w:r w:rsidR="00440066" w:rsidRPr="00013BDC">
        <w:rPr>
          <w:noProof/>
          <w:lang w:val="en-IE"/>
        </w:rPr>
        <w:t xml:space="preserve"> Given the uncertainty on measures in relation to textiles under the ESPR, the JRC baseline has not considered this initiative.</w:t>
      </w:r>
    </w:p>
    <w:p w14:paraId="3A44FBAD" w14:textId="54D6A747" w:rsidR="00E319C2" w:rsidRPr="00013BDC" w:rsidRDefault="093858CC" w:rsidP="00CF0DFB">
      <w:pPr>
        <w:pStyle w:val="ListParagraph"/>
        <w:numPr>
          <w:ilvl w:val="0"/>
          <w:numId w:val="108"/>
        </w:numPr>
        <w:spacing w:after="0"/>
        <w:rPr>
          <w:noProof/>
          <w:lang w:val="en-IE"/>
        </w:rPr>
      </w:pPr>
      <w:r w:rsidRPr="00013BDC">
        <w:rPr>
          <w:noProof/>
          <w:lang w:val="en-IE"/>
        </w:rPr>
        <w:t xml:space="preserve">Defining policy objectives. These objectives were </w:t>
      </w:r>
      <w:r w:rsidR="00193499" w:rsidRPr="00013BDC">
        <w:rPr>
          <w:noProof/>
          <w:lang w:val="en-IE"/>
        </w:rPr>
        <w:t>defined</w:t>
      </w:r>
      <w:r w:rsidRPr="00013BDC">
        <w:rPr>
          <w:noProof/>
          <w:lang w:val="en-IE"/>
        </w:rPr>
        <w:t xml:space="preserve"> </w:t>
      </w:r>
      <w:r w:rsidR="00D05BA4" w:rsidRPr="00013BDC">
        <w:rPr>
          <w:noProof/>
          <w:lang w:val="en-IE"/>
        </w:rPr>
        <w:t>based on</w:t>
      </w:r>
      <w:r w:rsidR="00C932A9" w:rsidRPr="00013BDC">
        <w:rPr>
          <w:noProof/>
          <w:lang w:val="en-IE"/>
        </w:rPr>
        <w:t xml:space="preserve"> the problems </w:t>
      </w:r>
      <w:r w:rsidRPr="00013BDC">
        <w:rPr>
          <w:noProof/>
          <w:lang w:val="en-IE"/>
        </w:rPr>
        <w:t>identified</w:t>
      </w:r>
      <w:r w:rsidR="00C932A9" w:rsidRPr="00013BDC">
        <w:rPr>
          <w:noProof/>
          <w:lang w:val="en-IE"/>
        </w:rPr>
        <w:t xml:space="preserve"> and </w:t>
      </w:r>
      <w:r w:rsidR="00D05BA4" w:rsidRPr="00013BDC">
        <w:rPr>
          <w:noProof/>
          <w:lang w:val="en-IE"/>
        </w:rPr>
        <w:t>with the input from stakeholders and the Inter</w:t>
      </w:r>
      <w:r w:rsidRPr="00013BDC">
        <w:rPr>
          <w:noProof/>
          <w:lang w:val="en-IE"/>
        </w:rPr>
        <w:t>-Service Group.</w:t>
      </w:r>
    </w:p>
    <w:p w14:paraId="0377FE02" w14:textId="651B7B57" w:rsidR="00E319C2" w:rsidRPr="00013BDC" w:rsidRDefault="093858CC" w:rsidP="00CF0DFB">
      <w:pPr>
        <w:pStyle w:val="ListParagraph"/>
        <w:numPr>
          <w:ilvl w:val="0"/>
          <w:numId w:val="108"/>
        </w:numPr>
        <w:spacing w:after="0"/>
        <w:rPr>
          <w:noProof/>
          <w:lang w:val="en-IE"/>
        </w:rPr>
      </w:pPr>
      <w:r w:rsidRPr="00013BDC">
        <w:rPr>
          <w:noProof/>
          <w:lang w:val="en-IE"/>
        </w:rPr>
        <w:t xml:space="preserve">Assessing the effect of possible measures to achieve the objectives. The measures </w:t>
      </w:r>
      <w:r w:rsidR="00316C67" w:rsidRPr="00013BDC">
        <w:rPr>
          <w:noProof/>
          <w:lang w:val="en-IE"/>
        </w:rPr>
        <w:t>w</w:t>
      </w:r>
      <w:r w:rsidR="00FD4CD4" w:rsidRPr="00013BDC">
        <w:rPr>
          <w:noProof/>
          <w:lang w:val="en-IE"/>
        </w:rPr>
        <w:t>ere</w:t>
      </w:r>
      <w:r w:rsidR="00316C67" w:rsidRPr="00013BDC">
        <w:rPr>
          <w:noProof/>
          <w:lang w:val="en-IE"/>
        </w:rPr>
        <w:t xml:space="preserve"> </w:t>
      </w:r>
      <w:r w:rsidRPr="00013BDC">
        <w:rPr>
          <w:noProof/>
          <w:lang w:val="en-IE"/>
        </w:rPr>
        <w:t>assessed</w:t>
      </w:r>
      <w:r w:rsidR="00316C67" w:rsidRPr="00013BDC">
        <w:rPr>
          <w:noProof/>
          <w:lang w:val="en-IE"/>
        </w:rPr>
        <w:t xml:space="preserve"> </w:t>
      </w:r>
      <w:r w:rsidRPr="00013BDC">
        <w:rPr>
          <w:noProof/>
          <w:lang w:val="en-IE"/>
        </w:rPr>
        <w:t xml:space="preserve">using a specific modelling </w:t>
      </w:r>
      <w:r w:rsidR="00FD4CD4" w:rsidRPr="00013BDC">
        <w:rPr>
          <w:noProof/>
          <w:lang w:val="en-IE"/>
        </w:rPr>
        <w:t xml:space="preserve">to estimate the effects on consumption, waste </w:t>
      </w:r>
      <w:r w:rsidRPr="00013BDC">
        <w:rPr>
          <w:noProof/>
          <w:lang w:val="en-IE"/>
        </w:rPr>
        <w:t>generation and treatment of waste</w:t>
      </w:r>
      <w:r w:rsidR="00FD4CD4" w:rsidRPr="00013BDC">
        <w:rPr>
          <w:noProof/>
          <w:lang w:val="en-IE"/>
        </w:rPr>
        <w:t>. For other measures that could not be modelled to estimate a quantitative effect</w:t>
      </w:r>
      <w:r w:rsidRPr="00013BDC">
        <w:rPr>
          <w:noProof/>
          <w:lang w:val="en-IE"/>
        </w:rPr>
        <w:t xml:space="preserve">, </w:t>
      </w:r>
      <w:r w:rsidR="00FD4CD4" w:rsidRPr="00013BDC">
        <w:rPr>
          <w:noProof/>
          <w:lang w:val="en-IE"/>
        </w:rPr>
        <w:t xml:space="preserve">a </w:t>
      </w:r>
      <w:r w:rsidRPr="00013BDC">
        <w:rPr>
          <w:noProof/>
          <w:lang w:val="en-IE"/>
        </w:rPr>
        <w:t>qualitative explanation of the expected effects</w:t>
      </w:r>
      <w:r w:rsidR="00FD4CD4" w:rsidRPr="00013BDC">
        <w:rPr>
          <w:noProof/>
          <w:lang w:val="en-IE"/>
        </w:rPr>
        <w:t xml:space="preserve"> </w:t>
      </w:r>
      <w:r w:rsidR="008174D8" w:rsidRPr="00013BDC">
        <w:rPr>
          <w:noProof/>
          <w:lang w:val="en-IE"/>
        </w:rPr>
        <w:t>is provided</w:t>
      </w:r>
      <w:r w:rsidRPr="00013BDC">
        <w:rPr>
          <w:noProof/>
          <w:lang w:val="en-IE"/>
        </w:rPr>
        <w:t>.</w:t>
      </w:r>
    </w:p>
    <w:p w14:paraId="2D584441" w14:textId="72EB9CBA" w:rsidR="00E319C2" w:rsidRPr="00013BDC" w:rsidRDefault="33433F32" w:rsidP="00CF0DFB">
      <w:pPr>
        <w:pStyle w:val="ListParagraph"/>
        <w:numPr>
          <w:ilvl w:val="0"/>
          <w:numId w:val="108"/>
        </w:numPr>
        <w:spacing w:after="0"/>
        <w:rPr>
          <w:noProof/>
          <w:lang w:val="en-IE"/>
        </w:rPr>
      </w:pPr>
      <w:r w:rsidRPr="00013BDC">
        <w:rPr>
          <w:noProof/>
          <w:lang w:val="en-IE"/>
        </w:rPr>
        <w:t>Modelling economic impacts</w:t>
      </w:r>
      <w:r w:rsidR="1F795F95" w:rsidRPr="00013BDC">
        <w:rPr>
          <w:noProof/>
          <w:lang w:val="en-IE"/>
        </w:rPr>
        <w:t xml:space="preserve"> of the measures</w:t>
      </w:r>
      <w:r w:rsidR="00F93766" w:rsidRPr="00013BDC">
        <w:rPr>
          <w:noProof/>
          <w:lang w:val="en-IE"/>
        </w:rPr>
        <w:t xml:space="preserve"> (Annex 11)</w:t>
      </w:r>
      <w:r w:rsidRPr="00013BDC">
        <w:rPr>
          <w:noProof/>
          <w:lang w:val="en-IE"/>
        </w:rPr>
        <w:t xml:space="preserve">. </w:t>
      </w:r>
      <w:r w:rsidR="00E0293F" w:rsidRPr="00013BDC">
        <w:rPr>
          <w:noProof/>
          <w:lang w:val="en-IE"/>
        </w:rPr>
        <w:t>Modelling consider</w:t>
      </w:r>
      <w:r w:rsidR="001B4BC5" w:rsidRPr="00013BDC">
        <w:rPr>
          <w:noProof/>
          <w:lang w:val="en-IE"/>
        </w:rPr>
        <w:t>s</w:t>
      </w:r>
      <w:r w:rsidR="00E0293F" w:rsidRPr="00013BDC">
        <w:rPr>
          <w:noProof/>
          <w:lang w:val="en-IE"/>
        </w:rPr>
        <w:t xml:space="preserve"> i) t</w:t>
      </w:r>
      <w:r w:rsidRPr="00013BDC">
        <w:rPr>
          <w:noProof/>
          <w:lang w:val="en-IE"/>
        </w:rPr>
        <w:t>he effect</w:t>
      </w:r>
      <w:r w:rsidR="00E0293F" w:rsidRPr="00013BDC">
        <w:rPr>
          <w:noProof/>
          <w:lang w:val="en-IE"/>
        </w:rPr>
        <w:t>s</w:t>
      </w:r>
      <w:r w:rsidRPr="00013BDC">
        <w:rPr>
          <w:noProof/>
          <w:lang w:val="en-IE"/>
        </w:rPr>
        <w:t xml:space="preserve"> of changes in both the </w:t>
      </w:r>
      <w:r w:rsidR="0D180A28" w:rsidRPr="00013BDC">
        <w:rPr>
          <w:noProof/>
          <w:lang w:val="en-IE"/>
        </w:rPr>
        <w:t xml:space="preserve">volume and </w:t>
      </w:r>
      <w:r w:rsidRPr="00013BDC">
        <w:rPr>
          <w:noProof/>
          <w:lang w:val="en-IE"/>
        </w:rPr>
        <w:t xml:space="preserve">nature </w:t>
      </w:r>
      <w:r w:rsidR="001B4BC5" w:rsidRPr="00013BDC">
        <w:rPr>
          <w:noProof/>
          <w:lang w:val="en-IE"/>
        </w:rPr>
        <w:t xml:space="preserve">(in terms of </w:t>
      </w:r>
      <w:r w:rsidR="00D96247" w:rsidRPr="00013BDC">
        <w:rPr>
          <w:noProof/>
          <w:lang w:val="en-IE"/>
        </w:rPr>
        <w:t>reuse</w:t>
      </w:r>
      <w:r w:rsidR="001B4BC5" w:rsidRPr="00013BDC">
        <w:rPr>
          <w:noProof/>
          <w:lang w:val="en-IE"/>
        </w:rPr>
        <w:t xml:space="preserve"> and recycling potential)</w:t>
      </w:r>
      <w:r w:rsidRPr="00013BDC">
        <w:rPr>
          <w:noProof/>
          <w:lang w:val="en-IE"/>
        </w:rPr>
        <w:t xml:space="preserve"> of waste generated</w:t>
      </w:r>
      <w:r w:rsidR="2EC26CC3" w:rsidRPr="00013BDC">
        <w:rPr>
          <w:noProof/>
          <w:lang w:val="en-IE"/>
        </w:rPr>
        <w:t xml:space="preserve"> that will require investment in additional collection, sorting and recycling capacity</w:t>
      </w:r>
      <w:r w:rsidR="00E0293F" w:rsidRPr="00013BDC">
        <w:rPr>
          <w:noProof/>
          <w:lang w:val="en-IE"/>
        </w:rPr>
        <w:t xml:space="preserve"> under the baseline</w:t>
      </w:r>
      <w:r w:rsidR="00F77665" w:rsidRPr="00013BDC">
        <w:rPr>
          <w:noProof/>
          <w:lang w:val="en-IE"/>
        </w:rPr>
        <w:t xml:space="preserve"> – this is particularly important in respect to the application of extended producer responsibility</w:t>
      </w:r>
      <w:r w:rsidR="00E0293F" w:rsidRPr="00013BDC">
        <w:rPr>
          <w:noProof/>
          <w:lang w:val="en-IE"/>
        </w:rPr>
        <w:t xml:space="preserve"> ii)</w:t>
      </w:r>
      <w:r w:rsidR="24D15A30" w:rsidRPr="00013BDC">
        <w:rPr>
          <w:noProof/>
          <w:lang w:val="en-IE"/>
        </w:rPr>
        <w:t xml:space="preserve"> the effects of </w:t>
      </w:r>
      <w:r w:rsidRPr="00013BDC">
        <w:rPr>
          <w:noProof/>
          <w:lang w:val="en-IE"/>
        </w:rPr>
        <w:t>additional measures</w:t>
      </w:r>
      <w:r w:rsidR="00E0293F" w:rsidRPr="00013BDC">
        <w:rPr>
          <w:noProof/>
          <w:lang w:val="en-IE"/>
        </w:rPr>
        <w:t xml:space="preserve"> beyond the baseline that would require</w:t>
      </w:r>
      <w:r w:rsidR="00F77665" w:rsidRPr="00013BDC">
        <w:rPr>
          <w:noProof/>
          <w:lang w:val="en-IE"/>
        </w:rPr>
        <w:t xml:space="preserve"> additional</w:t>
      </w:r>
      <w:r w:rsidR="00E0293F" w:rsidRPr="00013BDC">
        <w:rPr>
          <w:noProof/>
          <w:lang w:val="en-IE"/>
        </w:rPr>
        <w:t xml:space="preserve"> investment</w:t>
      </w:r>
      <w:r w:rsidRPr="00013BDC">
        <w:rPr>
          <w:noProof/>
          <w:lang w:val="en-IE"/>
        </w:rPr>
        <w:t xml:space="preserve"> </w:t>
      </w:r>
      <w:r w:rsidR="00E0293F" w:rsidRPr="00013BDC">
        <w:rPr>
          <w:noProof/>
          <w:lang w:val="en-IE"/>
        </w:rPr>
        <w:t>iii)</w:t>
      </w:r>
      <w:r w:rsidRPr="00013BDC">
        <w:rPr>
          <w:noProof/>
          <w:lang w:val="en-IE"/>
        </w:rPr>
        <w:t xml:space="preserve"> the resulting potential savings made by moving waste management higher up the waste hierarchy</w:t>
      </w:r>
      <w:r w:rsidR="00E0293F" w:rsidRPr="00013BDC">
        <w:rPr>
          <w:noProof/>
          <w:lang w:val="en-IE"/>
        </w:rPr>
        <w:t xml:space="preserve"> and recovering the economic value of the waste concerned by this shift in treatment</w:t>
      </w:r>
      <w:r w:rsidRPr="00013BDC">
        <w:rPr>
          <w:noProof/>
          <w:lang w:val="en-IE"/>
        </w:rPr>
        <w:t>.</w:t>
      </w:r>
    </w:p>
    <w:p w14:paraId="2E3F4DED" w14:textId="6732B4C6" w:rsidR="00E319C2" w:rsidRPr="00013BDC" w:rsidRDefault="093858CC" w:rsidP="00CF0DFB">
      <w:pPr>
        <w:pStyle w:val="ListParagraph"/>
        <w:numPr>
          <w:ilvl w:val="0"/>
          <w:numId w:val="108"/>
        </w:numPr>
        <w:spacing w:after="0"/>
        <w:rPr>
          <w:noProof/>
          <w:lang w:val="en-IE"/>
        </w:rPr>
      </w:pPr>
      <w:r w:rsidRPr="00013BDC">
        <w:rPr>
          <w:noProof/>
          <w:lang w:val="en-IE"/>
        </w:rPr>
        <w:t>Modelling environmental impacts</w:t>
      </w:r>
      <w:r w:rsidR="008642F7" w:rsidRPr="00013BDC">
        <w:rPr>
          <w:noProof/>
          <w:lang w:val="en-IE"/>
        </w:rPr>
        <w:t>. F</w:t>
      </w:r>
      <w:r w:rsidRPr="00013BDC">
        <w:rPr>
          <w:noProof/>
          <w:lang w:val="en-IE"/>
        </w:rPr>
        <w:t xml:space="preserve">ocussing on the environmental impacts of changes in </w:t>
      </w:r>
      <w:r w:rsidR="008174D8" w:rsidRPr="00013BDC">
        <w:rPr>
          <w:noProof/>
          <w:lang w:val="en-IE"/>
        </w:rPr>
        <w:t xml:space="preserve">consumption, </w:t>
      </w:r>
      <w:r w:rsidRPr="00013BDC">
        <w:rPr>
          <w:noProof/>
          <w:lang w:val="en-IE"/>
        </w:rPr>
        <w:t>waste generation (in particular waste prevention) and waste treatment</w:t>
      </w:r>
      <w:r w:rsidR="00F147E7" w:rsidRPr="00013BDC">
        <w:rPr>
          <w:noProof/>
          <w:lang w:val="en-IE"/>
        </w:rPr>
        <w:t>. This</w:t>
      </w:r>
      <w:r w:rsidR="00E450B5" w:rsidRPr="00013BDC">
        <w:rPr>
          <w:noProof/>
          <w:lang w:val="en-IE"/>
        </w:rPr>
        <w:t xml:space="preserve"> includ</w:t>
      </w:r>
      <w:r w:rsidR="00F147E7" w:rsidRPr="00013BDC">
        <w:rPr>
          <w:noProof/>
          <w:lang w:val="en-IE"/>
        </w:rPr>
        <w:t xml:space="preserve">es the estimation of </w:t>
      </w:r>
      <w:r w:rsidR="00E450B5" w:rsidRPr="00013BDC">
        <w:rPr>
          <w:noProof/>
          <w:lang w:val="en-IE"/>
        </w:rPr>
        <w:t>climate impacts</w:t>
      </w:r>
      <w:r w:rsidR="00F147E7" w:rsidRPr="00013BDC">
        <w:rPr>
          <w:noProof/>
          <w:lang w:val="en-IE"/>
        </w:rPr>
        <w:t xml:space="preserve"> in terms of GHG emissions</w:t>
      </w:r>
      <w:r w:rsidRPr="00013BDC">
        <w:rPr>
          <w:noProof/>
          <w:lang w:val="en-IE"/>
        </w:rPr>
        <w:t xml:space="preserve">. </w:t>
      </w:r>
    </w:p>
    <w:p w14:paraId="4D9D4E8B" w14:textId="3B382836" w:rsidR="00E319C2" w:rsidRPr="00013BDC" w:rsidRDefault="33433F32" w:rsidP="00CF0DFB">
      <w:pPr>
        <w:pStyle w:val="ListParagraph"/>
        <w:numPr>
          <w:ilvl w:val="0"/>
          <w:numId w:val="108"/>
        </w:numPr>
        <w:spacing w:after="120"/>
        <w:rPr>
          <w:noProof/>
          <w:lang w:val="en-IE"/>
        </w:rPr>
      </w:pPr>
      <w:r w:rsidRPr="00013BDC">
        <w:rPr>
          <w:noProof/>
          <w:lang w:val="en-IE"/>
        </w:rPr>
        <w:t>Modelling social impacts in terms of the likely changes in waste generation within the EU</w:t>
      </w:r>
      <w:r w:rsidR="00F147E7" w:rsidRPr="00013BDC">
        <w:rPr>
          <w:noProof/>
          <w:lang w:val="en-IE"/>
        </w:rPr>
        <w:t xml:space="preserve"> and its treatment routes,</w:t>
      </w:r>
      <w:r w:rsidRPr="00013BDC">
        <w:rPr>
          <w:noProof/>
          <w:lang w:val="en-IE"/>
        </w:rPr>
        <w:t xml:space="preserve"> including impacts on employment.</w:t>
      </w:r>
    </w:p>
    <w:p w14:paraId="3DCEAB8F" w14:textId="4DFB1B7A" w:rsidR="00E319C2" w:rsidRPr="00013BDC" w:rsidRDefault="093858CC" w:rsidP="0B9E2EEF">
      <w:pPr>
        <w:spacing w:after="120"/>
        <w:ind w:left="720" w:firstLine="720"/>
        <w:rPr>
          <w:b/>
          <w:noProof/>
          <w:lang w:val="en-IE"/>
        </w:rPr>
      </w:pPr>
      <w:bookmarkStart w:id="267" w:name="_Toc1520353137"/>
      <w:bookmarkStart w:id="268" w:name="_Toc1753850558"/>
      <w:bookmarkStart w:id="269" w:name="_Toc1242401347"/>
      <w:bookmarkStart w:id="270" w:name="_Toc1596148586"/>
      <w:bookmarkStart w:id="271" w:name="_Toc139032950"/>
      <w:r w:rsidRPr="00013BDC">
        <w:rPr>
          <w:rStyle w:val="Heading3Char"/>
          <w:rFonts w:eastAsiaTheme="minorEastAsia"/>
          <w:noProof/>
          <w:lang w:val="en-IE"/>
        </w:rPr>
        <w:t>Assumptions</w:t>
      </w:r>
      <w:bookmarkEnd w:id="267"/>
      <w:bookmarkEnd w:id="268"/>
      <w:bookmarkEnd w:id="269"/>
      <w:bookmarkEnd w:id="270"/>
      <w:bookmarkEnd w:id="271"/>
    </w:p>
    <w:p w14:paraId="3C985794" w14:textId="77777777" w:rsidR="00E319C2" w:rsidRPr="00013BDC" w:rsidRDefault="00E319C2" w:rsidP="001B1E6E">
      <w:pPr>
        <w:spacing w:after="120"/>
        <w:rPr>
          <w:noProof/>
          <w:lang w:val="en-IE"/>
        </w:rPr>
      </w:pPr>
      <w:r w:rsidRPr="00013BDC">
        <w:rPr>
          <w:noProof/>
          <w:lang w:val="en-IE"/>
        </w:rPr>
        <w:t>This report assumes the following:</w:t>
      </w:r>
    </w:p>
    <w:p w14:paraId="3B649F4F" w14:textId="1597A7DE" w:rsidR="00E319C2" w:rsidRPr="00013BDC" w:rsidRDefault="3A601323" w:rsidP="00CF0DFB">
      <w:pPr>
        <w:pStyle w:val="ListParagraph"/>
        <w:numPr>
          <w:ilvl w:val="0"/>
          <w:numId w:val="109"/>
        </w:numPr>
        <w:spacing w:after="120"/>
        <w:rPr>
          <w:noProof/>
          <w:lang w:val="en-IE"/>
        </w:rPr>
      </w:pPr>
      <w:r w:rsidRPr="00013BDC">
        <w:rPr>
          <w:noProof/>
          <w:lang w:val="en-IE"/>
        </w:rPr>
        <w:t>W</w:t>
      </w:r>
      <w:r w:rsidR="00B608BA" w:rsidRPr="00013BDC">
        <w:rPr>
          <w:noProof/>
          <w:lang w:val="en-IE"/>
        </w:rPr>
        <w:t xml:space="preserve">ithout further policy intervention, </w:t>
      </w:r>
      <w:r w:rsidR="00566E13" w:rsidRPr="00013BDC">
        <w:rPr>
          <w:noProof/>
          <w:lang w:val="en-IE"/>
        </w:rPr>
        <w:t xml:space="preserve">until at least 2030, </w:t>
      </w:r>
      <w:r w:rsidR="00B608BA" w:rsidRPr="00013BDC">
        <w:rPr>
          <w:noProof/>
          <w:lang w:val="en-IE"/>
        </w:rPr>
        <w:t>w</w:t>
      </w:r>
      <w:r w:rsidRPr="00013BDC">
        <w:rPr>
          <w:noProof/>
          <w:lang w:val="en-IE"/>
        </w:rPr>
        <w:t xml:space="preserve">aste management in the EU will remain largely </w:t>
      </w:r>
      <w:r w:rsidR="00B608BA" w:rsidRPr="00013BDC">
        <w:rPr>
          <w:noProof/>
          <w:lang w:val="en-IE"/>
        </w:rPr>
        <w:t xml:space="preserve">aligned </w:t>
      </w:r>
      <w:r w:rsidRPr="00013BDC">
        <w:rPr>
          <w:noProof/>
          <w:lang w:val="en-IE"/>
        </w:rPr>
        <w:t xml:space="preserve">with the varying levels of compliance identified in the European Commission’s </w:t>
      </w:r>
      <w:r w:rsidR="1BCA0AB4" w:rsidRPr="00013BDC">
        <w:rPr>
          <w:rFonts w:eastAsiaTheme="minorEastAsia"/>
          <w:noProof/>
          <w:lang w:val="en-IE"/>
        </w:rPr>
        <w:t>Early Warning Report (EWR)</w:t>
      </w:r>
      <w:r w:rsidR="1BCA0AB4" w:rsidRPr="00013BDC">
        <w:rPr>
          <w:noProof/>
          <w:lang w:val="en-IE"/>
        </w:rPr>
        <w:t xml:space="preserve"> </w:t>
      </w:r>
      <w:r w:rsidR="00B608BA" w:rsidRPr="00013BDC">
        <w:rPr>
          <w:noProof/>
          <w:lang w:val="en-IE"/>
        </w:rPr>
        <w:t xml:space="preserve">planned for </w:t>
      </w:r>
      <w:r w:rsidR="00566E13" w:rsidRPr="00013BDC">
        <w:rPr>
          <w:noProof/>
          <w:lang w:val="en-IE"/>
        </w:rPr>
        <w:t xml:space="preserve">adoption </w:t>
      </w:r>
      <w:r w:rsidR="0029574A" w:rsidRPr="00013BDC">
        <w:rPr>
          <w:noProof/>
          <w:lang w:val="en-IE"/>
        </w:rPr>
        <w:t>Q2</w:t>
      </w:r>
      <w:r w:rsidR="00566E13" w:rsidRPr="00013BDC">
        <w:rPr>
          <w:noProof/>
          <w:lang w:val="en-IE"/>
        </w:rPr>
        <w:t xml:space="preserve"> </w:t>
      </w:r>
      <w:r w:rsidR="00B608BA" w:rsidRPr="00013BDC">
        <w:rPr>
          <w:noProof/>
          <w:lang w:val="en-IE"/>
        </w:rPr>
        <w:t>2023</w:t>
      </w:r>
      <w:r w:rsidRPr="00013BDC">
        <w:rPr>
          <w:noProof/>
          <w:lang w:val="en-IE"/>
        </w:rPr>
        <w:t>.</w:t>
      </w:r>
      <w:r w:rsidR="00B608BA" w:rsidRPr="00013BDC">
        <w:rPr>
          <w:noProof/>
          <w:lang w:val="en-IE"/>
        </w:rPr>
        <w:t xml:space="preserve"> In addition,</w:t>
      </w:r>
      <w:r w:rsidRPr="00013BDC">
        <w:rPr>
          <w:noProof/>
          <w:lang w:val="en-IE"/>
        </w:rPr>
        <w:t xml:space="preserve"> Directive 2019/904 </w:t>
      </w:r>
      <w:r w:rsidR="00F92471" w:rsidRPr="00013BDC">
        <w:rPr>
          <w:rStyle w:val="FootnoteReference"/>
          <w:noProof/>
          <w:lang w:val="en-IE"/>
        </w:rPr>
        <w:footnoteReference w:id="31"/>
      </w:r>
      <w:r w:rsidRPr="00013BDC">
        <w:rPr>
          <w:noProof/>
          <w:lang w:val="en-IE"/>
        </w:rPr>
        <w:t xml:space="preserve"> on the reduction of the impact of certain plastic products on the environment (the SUP Directive), the </w:t>
      </w:r>
      <w:r w:rsidR="00B608BA" w:rsidRPr="00013BDC">
        <w:rPr>
          <w:noProof/>
          <w:lang w:val="en-IE"/>
        </w:rPr>
        <w:t xml:space="preserve">proposal for the </w:t>
      </w:r>
      <w:r w:rsidRPr="00013BDC">
        <w:rPr>
          <w:noProof/>
          <w:lang w:val="en-IE"/>
        </w:rPr>
        <w:t xml:space="preserve">revision of </w:t>
      </w:r>
      <w:r w:rsidR="000B66F1" w:rsidRPr="00013BDC">
        <w:rPr>
          <w:noProof/>
          <w:lang w:val="en-IE"/>
        </w:rPr>
        <w:t>the PPWD</w:t>
      </w:r>
      <w:r w:rsidRPr="00013BDC">
        <w:rPr>
          <w:noProof/>
          <w:lang w:val="en-IE"/>
        </w:rPr>
        <w:t xml:space="preserve"> </w:t>
      </w:r>
      <w:r w:rsidR="00DF4B20" w:rsidRPr="00013BDC">
        <w:rPr>
          <w:rStyle w:val="FootnoteReference"/>
          <w:noProof/>
          <w:lang w:val="en-IE"/>
        </w:rPr>
        <w:footnoteReference w:id="32"/>
      </w:r>
      <w:r w:rsidR="00842642" w:rsidRPr="00013BDC">
        <w:rPr>
          <w:noProof/>
          <w:lang w:val="en-IE"/>
        </w:rPr>
        <w:t xml:space="preserve"> </w:t>
      </w:r>
      <w:r w:rsidRPr="00013BDC">
        <w:rPr>
          <w:noProof/>
          <w:lang w:val="en-IE"/>
        </w:rPr>
        <w:t xml:space="preserve">and the impacts of the proposal for a Regulation establishing a framework for setting ecodesign requirements for sustainable products </w:t>
      </w:r>
      <w:bookmarkStart w:id="272" w:name="_Ref133616997"/>
      <w:r w:rsidR="00CB2FC5" w:rsidRPr="00013BDC">
        <w:rPr>
          <w:rStyle w:val="FootnoteReference"/>
          <w:noProof/>
          <w:lang w:val="en-IE"/>
        </w:rPr>
        <w:footnoteReference w:id="33"/>
      </w:r>
      <w:bookmarkEnd w:id="272"/>
      <w:r w:rsidRPr="00013BDC">
        <w:rPr>
          <w:noProof/>
          <w:lang w:val="en-IE"/>
        </w:rPr>
        <w:t xml:space="preserve"> </w:t>
      </w:r>
      <w:r w:rsidR="00CB2FC5" w:rsidRPr="00013BDC">
        <w:rPr>
          <w:noProof/>
          <w:lang w:val="en-IE"/>
        </w:rPr>
        <w:t xml:space="preserve">will have an impact on the baseline. The support study used the </w:t>
      </w:r>
      <w:r w:rsidRPr="00013BDC">
        <w:rPr>
          <w:noProof/>
          <w:lang w:val="en-IE"/>
        </w:rPr>
        <w:t>impact assessment materials developed under those initiatives</w:t>
      </w:r>
      <w:r w:rsidR="00CB2FC5" w:rsidRPr="00013BDC">
        <w:rPr>
          <w:noProof/>
          <w:lang w:val="en-IE"/>
        </w:rPr>
        <w:t xml:space="preserve"> to ensure full consistency of </w:t>
      </w:r>
      <w:r w:rsidR="00BF1C1C" w:rsidRPr="00013BDC">
        <w:rPr>
          <w:noProof/>
          <w:lang w:val="en-IE"/>
        </w:rPr>
        <w:t>the baseline</w:t>
      </w:r>
      <w:r w:rsidR="00842642" w:rsidRPr="00013BDC">
        <w:rPr>
          <w:noProof/>
          <w:lang w:val="en-IE"/>
        </w:rPr>
        <w:t xml:space="preserve"> (Annex 10)</w:t>
      </w:r>
      <w:r w:rsidRPr="00013BDC">
        <w:rPr>
          <w:noProof/>
          <w:lang w:val="en-IE"/>
        </w:rPr>
        <w:t>.</w:t>
      </w:r>
    </w:p>
    <w:p w14:paraId="1E406BAC" w14:textId="00582D7B" w:rsidR="00E319C2" w:rsidRPr="00013BDC" w:rsidRDefault="093858CC" w:rsidP="00CF0DFB">
      <w:pPr>
        <w:pStyle w:val="ListParagraph"/>
        <w:numPr>
          <w:ilvl w:val="0"/>
          <w:numId w:val="109"/>
        </w:numPr>
        <w:spacing w:after="120"/>
        <w:rPr>
          <w:noProof/>
          <w:lang w:val="en-IE"/>
        </w:rPr>
      </w:pPr>
      <w:r w:rsidRPr="00013BDC">
        <w:rPr>
          <w:noProof/>
          <w:lang w:val="en-IE"/>
        </w:rPr>
        <w:t xml:space="preserve">The </w:t>
      </w:r>
      <w:r w:rsidR="00380401" w:rsidRPr="00013BDC">
        <w:rPr>
          <w:noProof/>
          <w:lang w:val="en-IE"/>
        </w:rPr>
        <w:t xml:space="preserve">support study used the most reliable data </w:t>
      </w:r>
      <w:r w:rsidRPr="00013BDC">
        <w:rPr>
          <w:noProof/>
          <w:lang w:val="en-IE"/>
        </w:rPr>
        <w:t xml:space="preserve">and statistics </w:t>
      </w:r>
      <w:r w:rsidR="00B96B0E" w:rsidRPr="00013BDC">
        <w:rPr>
          <w:noProof/>
          <w:lang w:val="en-IE"/>
        </w:rPr>
        <w:t xml:space="preserve">available. The sources were analysed and discussed amongst the study team, the Commission services (including the JRC and Eurostat), and the European Environment Agency (EEA). </w:t>
      </w:r>
      <w:r w:rsidR="00205C59" w:rsidRPr="00013BDC">
        <w:rPr>
          <w:noProof/>
          <w:lang w:val="en-IE"/>
        </w:rPr>
        <w:t>P</w:t>
      </w:r>
      <w:r w:rsidRPr="00013BDC">
        <w:rPr>
          <w:noProof/>
          <w:lang w:val="en-IE"/>
        </w:rPr>
        <w:t xml:space="preserve">riority </w:t>
      </w:r>
      <w:r w:rsidR="00205C59" w:rsidRPr="00013BDC">
        <w:rPr>
          <w:noProof/>
          <w:lang w:val="en-IE"/>
        </w:rPr>
        <w:t xml:space="preserve">was given </w:t>
      </w:r>
      <w:r w:rsidRPr="00013BDC">
        <w:rPr>
          <w:noProof/>
          <w:lang w:val="en-IE"/>
        </w:rPr>
        <w:t>to the data and statistical sources of evidence referred to in the European Commission’s Better Regulation Toolbox.</w:t>
      </w:r>
    </w:p>
    <w:p w14:paraId="56D0B7B4" w14:textId="3B446F13" w:rsidR="00E319C2" w:rsidRPr="00013BDC" w:rsidRDefault="093858CC" w:rsidP="00432BC6">
      <w:pPr>
        <w:rPr>
          <w:noProof/>
          <w:lang w:val="en-IE"/>
        </w:rPr>
      </w:pPr>
      <w:r w:rsidRPr="00013BDC">
        <w:rPr>
          <w:noProof/>
          <w:lang w:val="en-IE"/>
        </w:rPr>
        <w:t xml:space="preserve">Assumptions made in relation to individual policy measures are included in the description against each of the measures in Annex </w:t>
      </w:r>
      <w:r w:rsidR="00205C59" w:rsidRPr="00013BDC">
        <w:rPr>
          <w:noProof/>
          <w:lang w:val="en-IE"/>
        </w:rPr>
        <w:t>10</w:t>
      </w:r>
      <w:r w:rsidRPr="00013BDC">
        <w:rPr>
          <w:noProof/>
          <w:lang w:val="en-IE"/>
        </w:rPr>
        <w:t>.</w:t>
      </w:r>
      <w:r w:rsidR="00432BC6" w:rsidRPr="00013BDC">
        <w:rPr>
          <w:noProof/>
          <w:lang w:val="en-IE"/>
        </w:rPr>
        <w:t xml:space="preserve"> </w:t>
      </w:r>
      <w:r w:rsidR="00E319C2" w:rsidRPr="00013BDC">
        <w:rPr>
          <w:noProof/>
          <w:lang w:val="en-IE"/>
        </w:rPr>
        <w:t>There are instances when views from stakeholders appear in contrast with hard evidence, within unavoidable (presumed or stated) uncertainty margins. Where such differences were encountered</w:t>
      </w:r>
      <w:r w:rsidR="00205C59" w:rsidRPr="00013BDC">
        <w:rPr>
          <w:noProof/>
          <w:lang w:val="en-IE"/>
        </w:rPr>
        <w:t>,</w:t>
      </w:r>
      <w:r w:rsidR="00E319C2" w:rsidRPr="00013BDC">
        <w:rPr>
          <w:noProof/>
          <w:lang w:val="en-IE"/>
        </w:rPr>
        <w:t xml:space="preserve"> the approach taken to assess</w:t>
      </w:r>
      <w:r w:rsidR="00205C59" w:rsidRPr="00013BDC">
        <w:rPr>
          <w:noProof/>
          <w:lang w:val="en-IE"/>
        </w:rPr>
        <w:t xml:space="preserve"> the</w:t>
      </w:r>
      <w:r w:rsidR="00E319C2" w:rsidRPr="00013BDC">
        <w:rPr>
          <w:noProof/>
          <w:lang w:val="en-IE"/>
        </w:rPr>
        <w:t xml:space="preserve"> impacts is further explained in the specific instances. Further, determining the impacts of preventing waste generation in the EU is </w:t>
      </w:r>
      <w:r w:rsidR="00F06ED8" w:rsidRPr="00013BDC">
        <w:rPr>
          <w:noProof/>
          <w:lang w:val="en-IE"/>
        </w:rPr>
        <w:t>complex</w:t>
      </w:r>
      <w:r w:rsidR="00E319C2" w:rsidRPr="00013BDC">
        <w:rPr>
          <w:noProof/>
          <w:lang w:val="en-IE"/>
        </w:rPr>
        <w:t xml:space="preserve"> because of the lack of available and harmonised indicators and because of the relatively recent amendments in the ‘2018 waste package’.</w:t>
      </w:r>
    </w:p>
    <w:p w14:paraId="20246802" w14:textId="4DFB1B7A" w:rsidR="00E319C2" w:rsidRPr="00013BDC" w:rsidRDefault="33433F32" w:rsidP="0B9E2EEF">
      <w:pPr>
        <w:pStyle w:val="Heading3"/>
        <w:rPr>
          <w:b/>
          <w:noProof/>
          <w:lang w:val="en-IE"/>
        </w:rPr>
      </w:pPr>
      <w:bookmarkStart w:id="273" w:name="_Toc995450189"/>
      <w:bookmarkStart w:id="274" w:name="_Toc921450052"/>
      <w:bookmarkStart w:id="275" w:name="_Toc1114739122"/>
      <w:bookmarkStart w:id="276" w:name="_Toc403348606"/>
      <w:bookmarkStart w:id="277" w:name="_Toc139032951"/>
      <w:r w:rsidRPr="00013BDC">
        <w:rPr>
          <w:noProof/>
          <w:lang w:val="en-IE"/>
        </w:rPr>
        <w:t>Calculations performed in the analysis</w:t>
      </w:r>
      <w:bookmarkEnd w:id="273"/>
      <w:bookmarkEnd w:id="274"/>
      <w:bookmarkEnd w:id="275"/>
      <w:bookmarkEnd w:id="276"/>
      <w:bookmarkEnd w:id="277"/>
    </w:p>
    <w:p w14:paraId="23727956" w14:textId="62075918" w:rsidR="00F71BF8" w:rsidRPr="00013BDC" w:rsidRDefault="00E319C2" w:rsidP="00F71BF8">
      <w:pPr>
        <w:spacing w:after="120"/>
        <w:rPr>
          <w:noProof/>
          <w:lang w:val="en-IE"/>
        </w:rPr>
      </w:pPr>
      <w:r w:rsidRPr="00013BDC">
        <w:rPr>
          <w:noProof/>
          <w:lang w:val="en-IE"/>
        </w:rPr>
        <w:t>This section describes the calculation methods employed and the source data used in the modelling work undertaken.</w:t>
      </w:r>
      <w:r w:rsidR="00F71BF8" w:rsidRPr="00013BDC">
        <w:rPr>
          <w:noProof/>
          <w:lang w:val="en-IE"/>
        </w:rPr>
        <w:t xml:space="preserve"> It is important to note, however, that not all impacts can be assessed quantitatively. A description of the quantitative and qualitative approaches is provided below.</w:t>
      </w:r>
    </w:p>
    <w:p w14:paraId="79A58CD7" w14:textId="77777777" w:rsidR="00F71BF8" w:rsidRPr="00013BDC" w:rsidRDefault="00F71BF8" w:rsidP="00F71BF8">
      <w:pPr>
        <w:spacing w:after="120"/>
        <w:rPr>
          <w:b/>
          <w:noProof/>
          <w:lang w:val="en-IE"/>
        </w:rPr>
      </w:pPr>
      <w:r w:rsidRPr="00013BDC">
        <w:rPr>
          <w:b/>
          <w:noProof/>
          <w:lang w:val="en-IE"/>
        </w:rPr>
        <w:t>Quantitative Assessment</w:t>
      </w:r>
    </w:p>
    <w:p w14:paraId="715E2252" w14:textId="0E6CFBD0" w:rsidR="004B2922" w:rsidRPr="00013BDC" w:rsidRDefault="004B2922" w:rsidP="00A52BFA">
      <w:pPr>
        <w:spacing w:after="120"/>
        <w:rPr>
          <w:noProof/>
          <w:lang w:val="en-IE"/>
        </w:rPr>
      </w:pPr>
      <w:r w:rsidRPr="00013BDC">
        <w:rPr>
          <w:noProof/>
          <w:lang w:val="en-IE"/>
        </w:rPr>
        <w:t>In relation to examining trends in textile waste generation, collection and sorting the basis of calculations is the JRC study</w:t>
      </w:r>
      <w:r w:rsidR="00A52BFA" w:rsidRPr="00013BDC">
        <w:rPr>
          <w:noProof/>
          <w:lang w:val="en-IE"/>
        </w:rPr>
        <w:t xml:space="preserve"> </w:t>
      </w:r>
      <w:r w:rsidRPr="00013BDC">
        <w:rPr>
          <w:rStyle w:val="FootnoteReference"/>
          <w:noProof/>
          <w:lang w:val="en-IE"/>
        </w:rPr>
        <w:footnoteReference w:id="34"/>
      </w:r>
      <w:r w:rsidRPr="00013BDC">
        <w:rPr>
          <w:noProof/>
          <w:lang w:val="en-IE"/>
        </w:rPr>
        <w:t xml:space="preserve">. </w:t>
      </w:r>
      <w:r w:rsidR="00A52BFA" w:rsidRPr="00013BDC">
        <w:rPr>
          <w:noProof/>
          <w:lang w:val="en-IE"/>
        </w:rPr>
        <w:t>It</w:t>
      </w:r>
      <w:r w:rsidRPr="00013BDC">
        <w:rPr>
          <w:noProof/>
          <w:lang w:val="en-IE"/>
        </w:rPr>
        <w:t xml:space="preserve"> examined materials flows and value chains of textiles products and the subsequent flows and treatment of post-consumer textiles. The study considered raw fibres, yarns and fabrics as well as finished garments and home textiles. Given the majority of textile waste generated stems from finished garments and home textiles this part of the report has been used for determining future trends.</w:t>
      </w:r>
    </w:p>
    <w:p w14:paraId="43579C80" w14:textId="26C258EE" w:rsidR="004B2922" w:rsidRPr="00013BDC" w:rsidRDefault="004B2922" w:rsidP="00A52BFA">
      <w:pPr>
        <w:spacing w:after="120"/>
        <w:rPr>
          <w:noProof/>
          <w:lang w:val="en-IE"/>
        </w:rPr>
      </w:pPr>
      <w:r w:rsidRPr="00013BDC">
        <w:rPr>
          <w:noProof/>
          <w:lang w:val="en-IE"/>
        </w:rPr>
        <w:t>The JRC study uses information from both ProdCom and Comext.</w:t>
      </w:r>
    </w:p>
    <w:p w14:paraId="68F9F054" w14:textId="7BDC44A4" w:rsidR="006856A6" w:rsidRPr="00013BDC" w:rsidRDefault="004B2922" w:rsidP="00CF0DFB">
      <w:pPr>
        <w:pStyle w:val="ListParagraph"/>
        <w:numPr>
          <w:ilvl w:val="0"/>
          <w:numId w:val="72"/>
        </w:numPr>
        <w:rPr>
          <w:noProof/>
          <w:lang w:val="en-IE"/>
        </w:rPr>
      </w:pPr>
      <w:r w:rsidRPr="00013BDC">
        <w:rPr>
          <w:noProof/>
          <w:lang w:val="en-IE"/>
        </w:rPr>
        <w:t>Eurostat’s ProdCom database</w:t>
      </w:r>
      <w:r w:rsidRPr="00013BDC">
        <w:rPr>
          <w:rStyle w:val="FootnoteReference"/>
          <w:noProof/>
          <w:lang w:val="en-IE"/>
        </w:rPr>
        <w:footnoteReference w:id="35"/>
      </w:r>
      <w:r w:rsidRPr="00013BDC">
        <w:rPr>
          <w:noProof/>
          <w:lang w:val="en-IE"/>
        </w:rPr>
        <w:t xml:space="preserve"> comprises statistics on manufactured goods and services together with trade data for the same products. The study notes that at the 8-digit disaggregation level, the database includes approximately 3900 distinct product types defined using a Prod</w:t>
      </w:r>
      <w:r w:rsidR="00F03440" w:rsidRPr="00013BDC">
        <w:rPr>
          <w:noProof/>
          <w:lang w:val="en-IE"/>
        </w:rPr>
        <w:t>c</w:t>
      </w:r>
      <w:r w:rsidRPr="00013BDC">
        <w:rPr>
          <w:noProof/>
          <w:lang w:val="en-IE"/>
        </w:rPr>
        <w:t>om code which is derived from 6-digit CPA headings and 4-digit NACE codes. Broadly speaking, the Prodcom data includes for each product category: — the volume of production (sold and/or produced) given in a physical unit selected according to the product type (pieces, kg, m2 etc.) — the physical volume of the product exported and imported in the same physical unit — the value of production sold in Euros — the value of imports and exports In each reporting country, the National Statistics Institute carries out a survey of industrial production in that country, collates the results and transmits them to Eurostat. Eurostat calculates EU totals and publishes the national and EU data together with the related external trade data. Individual EU and EEA countries can be selected as reporting countries or groupings of countries including the grouping EU-27_2020.EU Comext</w:t>
      </w:r>
      <w:r w:rsidRPr="00013BDC">
        <w:rPr>
          <w:rStyle w:val="FootnoteReference"/>
          <w:noProof/>
          <w:lang w:val="en-IE"/>
        </w:rPr>
        <w:footnoteReference w:id="36"/>
      </w:r>
      <w:r w:rsidRPr="00013BDC">
        <w:rPr>
          <w:noProof/>
          <w:lang w:val="en-IE"/>
        </w:rPr>
        <w:t xml:space="preserve"> is Eurostat</w:t>
      </w:r>
      <w:r w:rsidR="0038733E" w:rsidRPr="00013BDC">
        <w:rPr>
          <w:noProof/>
          <w:lang w:val="en-IE"/>
        </w:rPr>
        <w:t>’</w:t>
      </w:r>
      <w:r w:rsidRPr="00013BDC">
        <w:rPr>
          <w:noProof/>
          <w:lang w:val="en-IE"/>
        </w:rPr>
        <w:t>s</w:t>
      </w:r>
      <w:r w:rsidR="0038733E" w:rsidRPr="00013BDC">
        <w:rPr>
          <w:noProof/>
          <w:lang w:val="en-IE"/>
        </w:rPr>
        <w:t>’</w:t>
      </w:r>
      <w:r w:rsidRPr="00013BDC">
        <w:rPr>
          <w:noProof/>
          <w:lang w:val="en-IE"/>
        </w:rPr>
        <w:t xml:space="preserve"> reference database for detailed statistics on international trade in goods. Data included in Comext addresses imports and exports to and from the EU both by value (Euro) and by weight (100 kg) of all goods including textiles. </w:t>
      </w:r>
      <w:r w:rsidR="006856A6" w:rsidRPr="00013BDC">
        <w:rPr>
          <w:noProof/>
          <w:lang w:val="en-IE"/>
        </w:rPr>
        <w:t>Data is captured in two different ways within COMEXT:</w:t>
      </w:r>
    </w:p>
    <w:p w14:paraId="5785BA0E" w14:textId="78723EE8" w:rsidR="006856A6" w:rsidRPr="00013BDC" w:rsidRDefault="006856A6" w:rsidP="00CF0DFB">
      <w:pPr>
        <w:pStyle w:val="ListParagraph"/>
        <w:numPr>
          <w:ilvl w:val="1"/>
          <w:numId w:val="73"/>
        </w:numPr>
        <w:rPr>
          <w:noProof/>
          <w:lang w:val="en-IE"/>
        </w:rPr>
      </w:pPr>
      <w:r w:rsidRPr="00013BDC">
        <w:rPr>
          <w:noProof/>
          <w:lang w:val="en-IE"/>
        </w:rPr>
        <w:t xml:space="preserve">Extrastat: data on trade in goods with non-EU countries collected by customs authorities and based on the records of trade transactions in customs declarations. The dataset on trade with third parties is considered particularly robust as it is based on all reported customs </w:t>
      </w:r>
      <w:r w:rsidR="00CD5953" w:rsidRPr="00013BDC">
        <w:rPr>
          <w:noProof/>
          <w:lang w:val="en-IE"/>
        </w:rPr>
        <w:t>movements.</w:t>
      </w:r>
    </w:p>
    <w:p w14:paraId="403F885F" w14:textId="6750A55E" w:rsidR="006856A6" w:rsidRPr="00013BDC" w:rsidRDefault="006856A6" w:rsidP="00CF0DFB">
      <w:pPr>
        <w:pStyle w:val="ListParagraph"/>
        <w:numPr>
          <w:ilvl w:val="1"/>
          <w:numId w:val="73"/>
        </w:numPr>
        <w:rPr>
          <w:noProof/>
          <w:lang w:val="en-IE"/>
        </w:rPr>
      </w:pPr>
      <w:r w:rsidRPr="00013BDC">
        <w:rPr>
          <w:noProof/>
          <w:lang w:val="en-IE"/>
        </w:rPr>
        <w:t xml:space="preserve">Intrastat: When the EU was created and the original member states became part of the EU Single Market, customs and border formalities were removed. The dismantling of customs clearances and controls within the EU meant it </w:t>
      </w:r>
      <w:r w:rsidR="00417E6C" w:rsidRPr="00013BDC">
        <w:rPr>
          <w:noProof/>
          <w:lang w:val="en-IE"/>
        </w:rPr>
        <w:t xml:space="preserve">was </w:t>
      </w:r>
      <w:r w:rsidRPr="00013BDC">
        <w:rPr>
          <w:noProof/>
          <w:lang w:val="en-IE"/>
        </w:rPr>
        <w:t xml:space="preserve">no longer possible to obtain information about the movement of goods (i.e. dispatches and arrivals) between EU member states from customs documents. </w:t>
      </w:r>
      <w:r w:rsidR="00417E6C" w:rsidRPr="00013BDC">
        <w:rPr>
          <w:noProof/>
          <w:lang w:val="en-IE"/>
        </w:rPr>
        <w:t xml:space="preserve">Intrastat was developed </w:t>
      </w:r>
      <w:r w:rsidRPr="00013BDC">
        <w:rPr>
          <w:noProof/>
          <w:lang w:val="en-IE"/>
        </w:rPr>
        <w:t>to address this gap in data the statistical system</w:t>
      </w:r>
      <w:r w:rsidR="00417E6C" w:rsidRPr="00013BDC">
        <w:rPr>
          <w:noProof/>
          <w:lang w:val="en-IE"/>
        </w:rPr>
        <w:t>. It</w:t>
      </w:r>
      <w:r w:rsidRPr="00013BDC">
        <w:rPr>
          <w:noProof/>
          <w:lang w:val="en-IE"/>
        </w:rPr>
        <w:t xml:space="preserve"> replace</w:t>
      </w:r>
      <w:r w:rsidR="00417E6C" w:rsidRPr="00013BDC">
        <w:rPr>
          <w:noProof/>
          <w:lang w:val="en-IE"/>
        </w:rPr>
        <w:t>s</w:t>
      </w:r>
      <w:r w:rsidRPr="00013BDC">
        <w:rPr>
          <w:noProof/>
          <w:lang w:val="en-IE"/>
        </w:rPr>
        <w:t xml:space="preserve"> the customs declarations and collect</w:t>
      </w:r>
      <w:r w:rsidR="00417E6C" w:rsidRPr="00013BDC">
        <w:rPr>
          <w:noProof/>
          <w:lang w:val="en-IE"/>
        </w:rPr>
        <w:t>s</w:t>
      </w:r>
      <w:r w:rsidRPr="00013BDC">
        <w:rPr>
          <w:noProof/>
          <w:lang w:val="en-IE"/>
        </w:rPr>
        <w:t xml:space="preserve"> information directly from traders about dispatches and arrivals of goods among the Member States by collecting data directly from intra-EU trade operators once a month.</w:t>
      </w:r>
    </w:p>
    <w:p w14:paraId="4B50EAED" w14:textId="77777777" w:rsidR="006856A6" w:rsidRPr="00013BDC" w:rsidRDefault="006856A6" w:rsidP="00CF0DFB">
      <w:pPr>
        <w:pStyle w:val="ListParagraph"/>
        <w:numPr>
          <w:ilvl w:val="0"/>
          <w:numId w:val="72"/>
        </w:numPr>
        <w:rPr>
          <w:noProof/>
          <w:lang w:val="en-IE"/>
        </w:rPr>
      </w:pPr>
      <w:r w:rsidRPr="00013BDC">
        <w:rPr>
          <w:noProof/>
          <w:lang w:val="en-IE"/>
        </w:rPr>
        <w:t>There are a number of points in relation to Intrastat data in particular that may be considered shortcomings in the comprehensive nature of the data, albeit these shortcomings are considered minor in relation to the overall quality of the data available. These shortcomings include:</w:t>
      </w:r>
    </w:p>
    <w:p w14:paraId="7A51658E" w14:textId="77777777" w:rsidR="006856A6" w:rsidRPr="00013BDC" w:rsidRDefault="006856A6" w:rsidP="00CF0DFB">
      <w:pPr>
        <w:pStyle w:val="ListParagraph"/>
        <w:numPr>
          <w:ilvl w:val="1"/>
          <w:numId w:val="73"/>
        </w:numPr>
        <w:rPr>
          <w:noProof/>
          <w:lang w:val="en-IE"/>
        </w:rPr>
      </w:pPr>
      <w:r w:rsidRPr="00013BDC">
        <w:rPr>
          <w:noProof/>
          <w:lang w:val="en-IE"/>
        </w:rPr>
        <w:t>Businesses and private individuals that are registered for VAT purposes and that dispatch or receive goods are required to submit Intrastat declarations only if the dispatches or the arrivals exceed the relevant threshold.</w:t>
      </w:r>
    </w:p>
    <w:p w14:paraId="1FB1E22A" w14:textId="437BCD45" w:rsidR="006856A6" w:rsidRPr="00013BDC" w:rsidRDefault="006856A6" w:rsidP="00CF0DFB">
      <w:pPr>
        <w:pStyle w:val="ListParagraph"/>
        <w:numPr>
          <w:ilvl w:val="1"/>
          <w:numId w:val="73"/>
        </w:numPr>
        <w:rPr>
          <w:noProof/>
          <w:lang w:val="en-IE"/>
        </w:rPr>
      </w:pPr>
      <w:r w:rsidRPr="00013BDC">
        <w:rPr>
          <w:noProof/>
          <w:lang w:val="en-IE"/>
        </w:rPr>
        <w:t xml:space="preserve">The Intrastat system is based on EU Regulation No. 638/2004 (EU Regulation) and supplemented </w:t>
      </w:r>
      <w:r w:rsidR="00D273D4" w:rsidRPr="00013BDC">
        <w:rPr>
          <w:noProof/>
          <w:lang w:val="en-IE"/>
        </w:rPr>
        <w:t xml:space="preserve">by </w:t>
      </w:r>
      <w:r w:rsidRPr="00013BDC">
        <w:rPr>
          <w:noProof/>
          <w:lang w:val="en-IE"/>
        </w:rPr>
        <w:t>Commission Regulation (EC) No. 1982/2004. Since the main Intrastat rules are provided in the Regulation the rules should normally be applied uniformly across the EU.  However, there are differences in implementation as some Member States provide guidelines on how the general principles in the Regulation should be applied in specific situations (e.g.</w:t>
      </w:r>
      <w:r w:rsidR="00432BC6" w:rsidRPr="00013BDC">
        <w:rPr>
          <w:noProof/>
          <w:lang w:val="en-IE"/>
        </w:rPr>
        <w:t>,</w:t>
      </w:r>
      <w:r w:rsidRPr="00013BDC">
        <w:rPr>
          <w:noProof/>
          <w:lang w:val="en-IE"/>
        </w:rPr>
        <w:t xml:space="preserve"> commercial samples, return of goods, etc.). Consequently, these guidelines may produce different results for various situations in EU member states.</w:t>
      </w:r>
    </w:p>
    <w:p w14:paraId="19E40578" w14:textId="3A77CEF7" w:rsidR="006856A6" w:rsidRPr="00013BDC" w:rsidRDefault="006856A6" w:rsidP="00CF0DFB">
      <w:pPr>
        <w:pStyle w:val="ListParagraph"/>
        <w:numPr>
          <w:ilvl w:val="1"/>
          <w:numId w:val="73"/>
        </w:numPr>
        <w:rPr>
          <w:noProof/>
          <w:lang w:val="en-IE"/>
        </w:rPr>
      </w:pPr>
      <w:r w:rsidRPr="00013BDC">
        <w:rPr>
          <w:noProof/>
          <w:lang w:val="en-IE"/>
        </w:rPr>
        <w:t>The authorities responsible for Intrastat reporting differ from country to country. Some Member States delegate oversight of Intrastat to their tax or customs authorities, others to their statistics office and still others to their national bank.  The nature of reporting by each Member State may, therefore, vary in approach.</w:t>
      </w:r>
    </w:p>
    <w:p w14:paraId="55D2F52D" w14:textId="350FA4A5" w:rsidR="004B2922" w:rsidRPr="00013BDC" w:rsidRDefault="004B2922" w:rsidP="00CF0DFB">
      <w:pPr>
        <w:pStyle w:val="ListParagraph"/>
        <w:numPr>
          <w:ilvl w:val="0"/>
          <w:numId w:val="72"/>
        </w:numPr>
        <w:spacing w:after="120"/>
        <w:rPr>
          <w:noProof/>
          <w:lang w:val="en-IE"/>
        </w:rPr>
      </w:pPr>
      <w:r w:rsidRPr="00013BDC">
        <w:rPr>
          <w:noProof/>
          <w:lang w:val="en-IE"/>
        </w:rPr>
        <w:t>Domestic production data for finished garments and home textiles is available from Prod</w:t>
      </w:r>
      <w:r w:rsidR="00F03440" w:rsidRPr="00013BDC">
        <w:rPr>
          <w:noProof/>
          <w:lang w:val="en-IE"/>
        </w:rPr>
        <w:t>c</w:t>
      </w:r>
      <w:r w:rsidRPr="00013BDC">
        <w:rPr>
          <w:noProof/>
          <w:lang w:val="en-IE"/>
        </w:rPr>
        <w:t xml:space="preserve">om in Euro, but the physical unit is </w:t>
      </w:r>
      <w:r w:rsidR="00E9533C" w:rsidRPr="00013BDC">
        <w:rPr>
          <w:noProof/>
          <w:lang w:val="en-IE"/>
        </w:rPr>
        <w:t xml:space="preserve">not a weight but </w:t>
      </w:r>
      <w:r w:rsidRPr="00013BDC">
        <w:rPr>
          <w:noProof/>
          <w:lang w:val="en-IE"/>
        </w:rPr>
        <w:t>provided in ‘pieces’ or m2. Moreover, Prod</w:t>
      </w:r>
      <w:r w:rsidR="00F03440" w:rsidRPr="00013BDC">
        <w:rPr>
          <w:noProof/>
          <w:lang w:val="en-IE"/>
        </w:rPr>
        <w:t>c</w:t>
      </w:r>
      <w:r w:rsidRPr="00013BDC">
        <w:rPr>
          <w:noProof/>
          <w:lang w:val="en-IE"/>
        </w:rPr>
        <w:t>om codes and the CN8 codes given in the Comext database are not immediately compatible</w:t>
      </w:r>
      <w:r w:rsidR="00917D73" w:rsidRPr="00013BDC">
        <w:rPr>
          <w:noProof/>
          <w:lang w:val="en-IE"/>
        </w:rPr>
        <w:t xml:space="preserve"> despite there being</w:t>
      </w:r>
      <w:r w:rsidRPr="00013BDC">
        <w:rPr>
          <w:noProof/>
          <w:lang w:val="en-IE"/>
        </w:rPr>
        <w:t xml:space="preserve"> a many-to-one relationship between Prod</w:t>
      </w:r>
      <w:r w:rsidR="00F03440" w:rsidRPr="00013BDC">
        <w:rPr>
          <w:noProof/>
          <w:lang w:val="en-IE"/>
        </w:rPr>
        <w:t>c</w:t>
      </w:r>
      <w:r w:rsidRPr="00013BDC">
        <w:rPr>
          <w:noProof/>
          <w:lang w:val="en-IE"/>
        </w:rPr>
        <w:t>om 8-digit and CN4 4-digit codes in Comext. In the case of the JRC report this allowed for estimating weights of production for each 4-digit CN code by using a Euro/kg conversion factor derived from the Comext trade data.</w:t>
      </w:r>
    </w:p>
    <w:p w14:paraId="1914925F" w14:textId="6A284654" w:rsidR="004B2922" w:rsidRPr="00013BDC" w:rsidRDefault="004B2922" w:rsidP="004B2922">
      <w:pPr>
        <w:rPr>
          <w:noProof/>
          <w:lang w:val="en-IE"/>
        </w:rPr>
      </w:pPr>
      <w:r w:rsidRPr="00013BDC">
        <w:rPr>
          <w:noProof/>
          <w:lang w:val="en-IE"/>
        </w:rPr>
        <w:t xml:space="preserve">An overview of the method for calculating supply of new clothing and home textiles to EU final users </w:t>
      </w:r>
      <w:r w:rsidR="00D04DF1" w:rsidRPr="00013BDC">
        <w:rPr>
          <w:noProof/>
          <w:lang w:val="en-IE"/>
        </w:rPr>
        <w:t>and, thereby, the generation of textile waste</w:t>
      </w:r>
      <w:r w:rsidRPr="00013BDC">
        <w:rPr>
          <w:noProof/>
          <w:lang w:val="en-IE"/>
        </w:rPr>
        <w:t xml:space="preserve"> is presented below.</w:t>
      </w:r>
    </w:p>
    <w:p w14:paraId="454003E1" w14:textId="6BA9C800" w:rsidR="004B2922" w:rsidRPr="00013BDC" w:rsidRDefault="004B2922" w:rsidP="004B2922">
      <w:pPr>
        <w:pStyle w:val="Caption"/>
        <w:rPr>
          <w:noProof/>
          <w:color w:val="auto"/>
          <w:sz w:val="24"/>
          <w:szCs w:val="24"/>
          <w:lang w:val="en-IE"/>
        </w:rPr>
      </w:pPr>
      <w:bookmarkStart w:id="278" w:name="_Toc133229271"/>
      <w:bookmarkStart w:id="279" w:name="_Toc139032998"/>
      <w:r w:rsidRPr="00013BDC">
        <w:rPr>
          <w:noProof/>
          <w:color w:val="auto"/>
          <w:sz w:val="24"/>
          <w:szCs w:val="24"/>
          <w:lang w:val="en-IE"/>
        </w:rPr>
        <w:t xml:space="preserve">Figure </w:t>
      </w:r>
      <w:r w:rsidR="004C5576">
        <w:rPr>
          <w:noProof/>
          <w:sz w:val="24"/>
          <w:szCs w:val="24"/>
          <w:lang w:val="en-IE"/>
        </w:rPr>
        <w:t>1</w:t>
      </w:r>
      <w:r w:rsidRPr="00013BDC">
        <w:rPr>
          <w:noProof/>
          <w:color w:val="auto"/>
          <w:sz w:val="24"/>
          <w:szCs w:val="24"/>
          <w:lang w:val="en-IE"/>
        </w:rPr>
        <w:t xml:space="preserve"> </w:t>
      </w:r>
      <w:r w:rsidR="00161EAB" w:rsidRPr="00013BDC">
        <w:rPr>
          <w:noProof/>
          <w:color w:val="auto"/>
          <w:sz w:val="24"/>
          <w:szCs w:val="24"/>
          <w:lang w:val="en-IE"/>
        </w:rPr>
        <w:t>–</w:t>
      </w:r>
      <w:r w:rsidRPr="00013BDC">
        <w:rPr>
          <w:noProof/>
          <w:color w:val="auto"/>
          <w:sz w:val="24"/>
          <w:szCs w:val="24"/>
          <w:lang w:val="en-IE"/>
        </w:rPr>
        <w:t xml:space="preserve"> Method used for calculating total supply of new clothing and home textiles to European final users</w:t>
      </w:r>
      <w:bookmarkEnd w:id="278"/>
      <w:bookmarkEnd w:id="279"/>
    </w:p>
    <w:p w14:paraId="43E19F83" w14:textId="77777777" w:rsidR="004B2922" w:rsidRPr="00013BDC" w:rsidRDefault="004B2922" w:rsidP="004B2922">
      <w:pPr>
        <w:jc w:val="center"/>
        <w:rPr>
          <w:noProof/>
          <w:lang w:val="en-IE"/>
        </w:rPr>
      </w:pPr>
      <w:r w:rsidRPr="00013BDC">
        <w:rPr>
          <w:noProof/>
          <w:color w:val="2B579A"/>
          <w:shd w:val="clear" w:color="auto" w:fill="E6E6E6"/>
          <w:lang w:eastAsia="en-GB"/>
        </w:rPr>
        <w:drawing>
          <wp:inline distT="0" distB="0" distL="0" distR="0" wp14:anchorId="48333DF5" wp14:editId="044E394C">
            <wp:extent cx="4156556" cy="430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8870" cy="4307697"/>
                    </a:xfrm>
                    <a:prstGeom prst="rect">
                      <a:avLst/>
                    </a:prstGeom>
                    <a:noFill/>
                    <a:ln>
                      <a:noFill/>
                    </a:ln>
                  </pic:spPr>
                </pic:pic>
              </a:graphicData>
            </a:graphic>
          </wp:inline>
        </w:drawing>
      </w:r>
    </w:p>
    <w:p w14:paraId="41B13716" w14:textId="77777777" w:rsidR="004B2922" w:rsidRPr="00013BDC" w:rsidRDefault="004B2922" w:rsidP="00432BC6">
      <w:pPr>
        <w:jc w:val="center"/>
        <w:rPr>
          <w:noProof/>
          <w:sz w:val="22"/>
          <w:lang w:val="en-IE"/>
        </w:rPr>
      </w:pPr>
      <w:r w:rsidRPr="00013BDC">
        <w:rPr>
          <w:noProof/>
          <w:sz w:val="22"/>
          <w:lang w:val="en-IE"/>
        </w:rPr>
        <w:t>Source: JRC, 2021</w:t>
      </w:r>
      <w:r w:rsidRPr="00013BDC">
        <w:rPr>
          <w:rStyle w:val="FootnoteReference"/>
          <w:noProof/>
          <w:sz w:val="22"/>
          <w:lang w:val="en-IE"/>
        </w:rPr>
        <w:footnoteReference w:id="37"/>
      </w:r>
    </w:p>
    <w:p w14:paraId="470D1A39" w14:textId="2BB0D53C" w:rsidR="001F41C0" w:rsidRPr="00013BDC" w:rsidRDefault="004B2922" w:rsidP="009B73A4">
      <w:pPr>
        <w:rPr>
          <w:b/>
          <w:noProof/>
          <w:lang w:val="en-IE"/>
        </w:rPr>
      </w:pPr>
      <w:r w:rsidRPr="00013BDC">
        <w:rPr>
          <w:noProof/>
          <w:lang w:val="en-IE"/>
        </w:rPr>
        <w:t>The</w:t>
      </w:r>
      <w:r w:rsidR="00D55384" w:rsidRPr="00013BDC">
        <w:rPr>
          <w:noProof/>
          <w:lang w:val="en-IE"/>
        </w:rPr>
        <w:t xml:space="preserve"> support study</w:t>
      </w:r>
      <w:r w:rsidRPr="00013BDC">
        <w:rPr>
          <w:noProof/>
          <w:lang w:val="en-IE"/>
        </w:rPr>
        <w:t xml:space="preserve"> team </w:t>
      </w:r>
      <w:r w:rsidR="00D55384" w:rsidRPr="00013BDC">
        <w:rPr>
          <w:noProof/>
          <w:lang w:val="en-IE"/>
        </w:rPr>
        <w:t>was</w:t>
      </w:r>
      <w:r w:rsidRPr="00013BDC">
        <w:rPr>
          <w:noProof/>
          <w:lang w:val="en-IE"/>
        </w:rPr>
        <w:t xml:space="preserve"> provided with the </w:t>
      </w:r>
      <w:r w:rsidR="00BF7FC9" w:rsidRPr="00013BDC">
        <w:rPr>
          <w:noProof/>
          <w:lang w:val="en-IE"/>
        </w:rPr>
        <w:t xml:space="preserve">data </w:t>
      </w:r>
      <w:r w:rsidRPr="00013BDC">
        <w:rPr>
          <w:noProof/>
          <w:lang w:val="en-IE"/>
        </w:rPr>
        <w:t xml:space="preserve">used by the JRC covering the period 2004-2018. </w:t>
      </w:r>
      <w:r w:rsidR="28A33A65" w:rsidRPr="00013BDC">
        <w:rPr>
          <w:noProof/>
          <w:lang w:val="en-IE"/>
        </w:rPr>
        <w:t>It is noted that these data are limited to apparel and home textiles, and do not include other textiles included by households (e.g.</w:t>
      </w:r>
      <w:r w:rsidR="00F03440" w:rsidRPr="00013BDC">
        <w:rPr>
          <w:noProof/>
          <w:lang w:val="en-IE"/>
        </w:rPr>
        <w:t>,</w:t>
      </w:r>
      <w:r w:rsidR="28A33A65" w:rsidRPr="00013BDC">
        <w:rPr>
          <w:noProof/>
          <w:lang w:val="en-IE"/>
        </w:rPr>
        <w:t xml:space="preserve"> cleaning wipes) and industr</w:t>
      </w:r>
      <w:r w:rsidR="2026D71D" w:rsidRPr="00013BDC">
        <w:rPr>
          <w:noProof/>
          <w:lang w:val="en-IE"/>
        </w:rPr>
        <w:t xml:space="preserve">ial textiles. Nonetheless, apparel and home textiles </w:t>
      </w:r>
      <w:r w:rsidR="196AE39E" w:rsidRPr="00013BDC">
        <w:rPr>
          <w:noProof/>
          <w:lang w:val="en-IE"/>
        </w:rPr>
        <w:t>make up a major share of the total post-consumer textile waste.</w:t>
      </w:r>
      <w:r w:rsidRPr="00013BDC">
        <w:rPr>
          <w:noProof/>
          <w:lang w:val="en-IE"/>
        </w:rPr>
        <w:t xml:space="preserve"> </w:t>
      </w:r>
      <w:r w:rsidR="003119EF" w:rsidRPr="00013BDC">
        <w:rPr>
          <w:noProof/>
          <w:lang w:val="en-IE"/>
        </w:rPr>
        <w:t>To</w:t>
      </w:r>
      <w:r w:rsidRPr="00013BDC">
        <w:rPr>
          <w:noProof/>
          <w:lang w:val="en-IE"/>
        </w:rPr>
        <w:t xml:space="preserve"> forecast resulting trends in textile consumption up to 2035 a linear regression was applied with a 95% confidence rate applied to determine the likely high and low trends over the same period. Linear regression provides the opportunity to predict trends based on an observed set of values – the 2004 to 2018 data in this case – with a degree of certainty. This is important in the case of textiles given the somewhat wide variation in predictions of textile waste available from existing literature.  The</w:t>
      </w:r>
      <w:r w:rsidR="0052452A" w:rsidRPr="00013BDC">
        <w:rPr>
          <w:noProof/>
          <w:lang w:val="en-IE"/>
        </w:rPr>
        <w:t xml:space="preserve"> </w:t>
      </w:r>
      <w:r w:rsidRPr="00013BDC">
        <w:rPr>
          <w:noProof/>
          <w:lang w:val="en-IE"/>
        </w:rPr>
        <w:t xml:space="preserve">data </w:t>
      </w:r>
      <w:r w:rsidR="0052452A" w:rsidRPr="00013BDC">
        <w:rPr>
          <w:noProof/>
          <w:lang w:val="en-IE"/>
        </w:rPr>
        <w:t xml:space="preserve">used </w:t>
      </w:r>
      <w:r w:rsidRPr="00013BDC">
        <w:rPr>
          <w:noProof/>
          <w:lang w:val="en-IE"/>
        </w:rPr>
        <w:t xml:space="preserve">is also comparable to the </w:t>
      </w:r>
      <w:r w:rsidR="0052452A" w:rsidRPr="00013BDC">
        <w:rPr>
          <w:noProof/>
          <w:lang w:val="en-IE"/>
        </w:rPr>
        <w:t xml:space="preserve">one </w:t>
      </w:r>
      <w:r w:rsidRPr="00013BDC">
        <w:rPr>
          <w:noProof/>
          <w:lang w:val="en-IE"/>
        </w:rPr>
        <w:t>used in the context of the EU strategy for sustainable and circular textiles</w:t>
      </w:r>
      <w:r w:rsidRPr="00013BDC">
        <w:rPr>
          <w:rStyle w:val="FootnoteReference"/>
          <w:noProof/>
          <w:lang w:val="en-IE"/>
        </w:rPr>
        <w:footnoteReference w:id="38"/>
      </w:r>
      <w:r w:rsidRPr="00013BDC">
        <w:rPr>
          <w:noProof/>
          <w:lang w:val="en-IE"/>
        </w:rPr>
        <w:t xml:space="preserve"> that also refers to the JRC figures. </w:t>
      </w:r>
    </w:p>
    <w:p w14:paraId="02781C75" w14:textId="4DFB1B7A" w:rsidR="00465AF5" w:rsidRPr="00013BDC" w:rsidRDefault="4B701F95" w:rsidP="5ACF8ADB">
      <w:pPr>
        <w:pStyle w:val="Heading3"/>
        <w:rPr>
          <w:b/>
          <w:noProof/>
          <w:lang w:val="en-IE"/>
        </w:rPr>
      </w:pPr>
      <w:bookmarkStart w:id="280" w:name="_Toc414319367"/>
      <w:bookmarkStart w:id="281" w:name="_Toc1507447618"/>
      <w:bookmarkStart w:id="282" w:name="_Toc1697526772"/>
      <w:bookmarkStart w:id="283" w:name="_Toc1683674417"/>
      <w:bookmarkStart w:id="284" w:name="_Toc139032952"/>
      <w:r w:rsidRPr="00013BDC">
        <w:rPr>
          <w:noProof/>
          <w:lang w:val="en-IE"/>
        </w:rPr>
        <w:t>Impacts calculations</w:t>
      </w:r>
      <w:bookmarkEnd w:id="280"/>
      <w:bookmarkEnd w:id="281"/>
      <w:bookmarkEnd w:id="282"/>
      <w:bookmarkEnd w:id="283"/>
      <w:bookmarkEnd w:id="284"/>
    </w:p>
    <w:p w14:paraId="07AF3DE7" w14:textId="24099979" w:rsidR="00A07003" w:rsidRPr="00013BDC" w:rsidRDefault="00A07003" w:rsidP="00CC2001">
      <w:pPr>
        <w:pStyle w:val="WDBody"/>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The Better Regulation Toolbox groups impacts in three main categories, economic, social, and environmental, as well as their mutual combination. However, for the purpose of this impact assessment, the different impacts have been grouped by the three main categories, according to the table below.</w:t>
      </w:r>
    </w:p>
    <w:p w14:paraId="1871AA5B" w14:textId="75D203EA" w:rsidR="00161EAB" w:rsidRPr="00013BDC" w:rsidRDefault="00161EAB" w:rsidP="00161EAB">
      <w:pPr>
        <w:pStyle w:val="Caption"/>
        <w:rPr>
          <w:noProof/>
          <w:color w:val="auto"/>
          <w:sz w:val="24"/>
          <w:szCs w:val="24"/>
          <w:lang w:val="en-IE"/>
        </w:rPr>
      </w:pPr>
      <w:bookmarkStart w:id="285" w:name="_Toc133229417"/>
      <w:bookmarkStart w:id="286" w:name="_Toc139033038"/>
      <w:r w:rsidRPr="00013BDC">
        <w:rPr>
          <w:noProof/>
          <w:color w:val="auto"/>
          <w:sz w:val="24"/>
          <w:szCs w:val="24"/>
          <w:lang w:val="en-IE"/>
        </w:rPr>
        <w:t xml:space="preserve">Table </w:t>
      </w:r>
      <w:r w:rsidR="004C5576">
        <w:rPr>
          <w:noProof/>
          <w:color w:val="auto"/>
          <w:sz w:val="24"/>
          <w:szCs w:val="24"/>
        </w:rPr>
        <w:t>8</w:t>
      </w:r>
      <w:r w:rsidRPr="00013BDC">
        <w:rPr>
          <w:noProof/>
          <w:color w:val="auto"/>
          <w:sz w:val="24"/>
          <w:szCs w:val="24"/>
          <w:lang w:val="en-IE"/>
        </w:rPr>
        <w:t xml:space="preserve"> – </w:t>
      </w:r>
      <w:r w:rsidR="00C024DA" w:rsidRPr="00013BDC">
        <w:rPr>
          <w:noProof/>
          <w:color w:val="auto"/>
          <w:sz w:val="24"/>
          <w:szCs w:val="24"/>
          <w:lang w:val="en-IE"/>
        </w:rPr>
        <w:t>Categorisation of impacts</w:t>
      </w:r>
      <w:bookmarkEnd w:id="285"/>
      <w:bookmarkEnd w:id="286"/>
    </w:p>
    <w:tbl>
      <w:tblPr>
        <w:tblStyle w:val="Table1"/>
        <w:tblW w:w="9639" w:type="dxa"/>
        <w:tblInd w:w="137" w:type="dxa"/>
        <w:tblLook w:val="04A0" w:firstRow="1" w:lastRow="0" w:firstColumn="1" w:lastColumn="0" w:noHBand="0" w:noVBand="1"/>
      </w:tblPr>
      <w:tblGrid>
        <w:gridCol w:w="3631"/>
        <w:gridCol w:w="2039"/>
        <w:gridCol w:w="1985"/>
        <w:gridCol w:w="1984"/>
      </w:tblGrid>
      <w:tr w:rsidR="00A07003" w:rsidRPr="00013BDC" w14:paraId="256B2C3F" w14:textId="77777777" w:rsidTr="00F82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1" w:type="dxa"/>
            <w:shd w:val="clear" w:color="auto" w:fill="8DB3E2" w:themeFill="text2" w:themeFillTint="66"/>
          </w:tcPr>
          <w:p w14:paraId="6B48D980"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Specific impacts</w:t>
            </w:r>
          </w:p>
        </w:tc>
        <w:tc>
          <w:tcPr>
            <w:tcW w:w="2039" w:type="dxa"/>
            <w:shd w:val="clear" w:color="auto" w:fill="8DB3E2" w:themeFill="text2" w:themeFillTint="66"/>
          </w:tcPr>
          <w:p w14:paraId="64CCFF5B" w14:textId="57CBBC9E" w:rsidR="00A07003" w:rsidRPr="00013BDC" w:rsidRDefault="00A07003" w:rsidP="00F314C3">
            <w:pPr>
              <w:pStyle w:val="WDBody"/>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Broad categories according to Better Regulation Toolbox</w:t>
            </w:r>
            <w:r w:rsidR="006449E2" w:rsidRPr="00013BDC">
              <w:rPr>
                <w:rFonts w:ascii="Times New Roman" w:hAnsi="Times New Roman" w:cs="Times New Roman"/>
                <w:noProof/>
                <w:sz w:val="24"/>
                <w:szCs w:val="24"/>
                <w:lang w:val="en-IE"/>
              </w:rPr>
              <w:t xml:space="preserve"> (BRT)</w:t>
            </w:r>
          </w:p>
        </w:tc>
        <w:tc>
          <w:tcPr>
            <w:tcW w:w="1985" w:type="dxa"/>
            <w:shd w:val="clear" w:color="auto" w:fill="8DB3E2" w:themeFill="text2" w:themeFillTint="66"/>
          </w:tcPr>
          <w:p w14:paraId="276D29A4" w14:textId="77777777" w:rsidR="00A07003" w:rsidRPr="00013BDC" w:rsidRDefault="00A07003" w:rsidP="00F314C3">
            <w:pPr>
              <w:pStyle w:val="WDBody"/>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Broad categories that will be used in this assessment</w:t>
            </w:r>
          </w:p>
        </w:tc>
        <w:tc>
          <w:tcPr>
            <w:tcW w:w="1984" w:type="dxa"/>
            <w:shd w:val="clear" w:color="auto" w:fill="8DB3E2" w:themeFill="text2" w:themeFillTint="66"/>
          </w:tcPr>
          <w:p w14:paraId="21E33B6B" w14:textId="19924395" w:rsidR="00A07003" w:rsidRPr="00013BDC" w:rsidRDefault="00A07003" w:rsidP="00F314C3">
            <w:pPr>
              <w:pStyle w:val="WDBody"/>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Change compared to B</w:t>
            </w:r>
            <w:r w:rsidR="00E73A31" w:rsidRPr="00013BDC">
              <w:rPr>
                <w:rFonts w:ascii="Times New Roman" w:hAnsi="Times New Roman" w:cs="Times New Roman"/>
                <w:noProof/>
                <w:sz w:val="24"/>
                <w:szCs w:val="24"/>
                <w:lang w:val="en-IE"/>
              </w:rPr>
              <w:t>R</w:t>
            </w:r>
            <w:r w:rsidRPr="00013BDC">
              <w:rPr>
                <w:rFonts w:ascii="Times New Roman" w:hAnsi="Times New Roman" w:cs="Times New Roman"/>
                <w:noProof/>
                <w:sz w:val="24"/>
                <w:szCs w:val="24"/>
                <w:lang w:val="en-IE"/>
              </w:rPr>
              <w:t>T</w:t>
            </w:r>
          </w:p>
        </w:tc>
      </w:tr>
      <w:tr w:rsidR="00A07003" w:rsidRPr="00013BDC" w14:paraId="740FECE9"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1B8D4574"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Conduct of business</w:t>
            </w:r>
          </w:p>
          <w:p w14:paraId="15AE4172"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Position of SMEs</w:t>
            </w:r>
          </w:p>
          <w:p w14:paraId="59115EC5"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Administrative burdens on business</w:t>
            </w:r>
          </w:p>
          <w:p w14:paraId="0A6D99CA"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Sectoral competitiveness, trade and investment flows</w:t>
            </w:r>
          </w:p>
          <w:p w14:paraId="29B19547"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Public authorities and budget</w:t>
            </w:r>
          </w:p>
        </w:tc>
        <w:tc>
          <w:tcPr>
            <w:tcW w:w="2039" w:type="dxa"/>
          </w:tcPr>
          <w:p w14:paraId="1CB895CB"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w:t>
            </w:r>
          </w:p>
        </w:tc>
        <w:tc>
          <w:tcPr>
            <w:tcW w:w="1985" w:type="dxa"/>
          </w:tcPr>
          <w:p w14:paraId="70574DC8"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w:t>
            </w:r>
          </w:p>
        </w:tc>
        <w:tc>
          <w:tcPr>
            <w:tcW w:w="1984" w:type="dxa"/>
          </w:tcPr>
          <w:p w14:paraId="604FE4F8"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No change</w:t>
            </w:r>
          </w:p>
        </w:tc>
      </w:tr>
      <w:tr w:rsidR="00A07003" w:rsidRPr="00013BDC" w14:paraId="2B514D4B"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22009949"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Working conditions, job standards and quality</w:t>
            </w:r>
          </w:p>
          <w:p w14:paraId="0C055C11"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Public health and safety, and health systems</w:t>
            </w:r>
          </w:p>
          <w:p w14:paraId="44A9A3C9"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Governance, participation, and good administration</w:t>
            </w:r>
          </w:p>
        </w:tc>
        <w:tc>
          <w:tcPr>
            <w:tcW w:w="2039" w:type="dxa"/>
          </w:tcPr>
          <w:p w14:paraId="3AFD24EB"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Social</w:t>
            </w:r>
          </w:p>
        </w:tc>
        <w:tc>
          <w:tcPr>
            <w:tcW w:w="1985" w:type="dxa"/>
          </w:tcPr>
          <w:p w14:paraId="1C7E2F7A"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Social</w:t>
            </w:r>
          </w:p>
        </w:tc>
        <w:tc>
          <w:tcPr>
            <w:tcW w:w="1984" w:type="dxa"/>
          </w:tcPr>
          <w:p w14:paraId="2FF02893"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No change</w:t>
            </w:r>
          </w:p>
        </w:tc>
      </w:tr>
      <w:tr w:rsidR="00A07003" w:rsidRPr="00013BDC" w14:paraId="74B1F99B"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690F116F"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Climate</w:t>
            </w:r>
          </w:p>
          <w:p w14:paraId="021CAB57"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Quality of natural resource</w:t>
            </w:r>
          </w:p>
          <w:p w14:paraId="20E5DE2E"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Biodiversity, including flora, fauna, ecosystems, and landscapes</w:t>
            </w:r>
          </w:p>
        </w:tc>
        <w:tc>
          <w:tcPr>
            <w:tcW w:w="2039" w:type="dxa"/>
          </w:tcPr>
          <w:p w14:paraId="2D895FAF"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Environment</w:t>
            </w:r>
          </w:p>
        </w:tc>
        <w:tc>
          <w:tcPr>
            <w:tcW w:w="1985" w:type="dxa"/>
          </w:tcPr>
          <w:p w14:paraId="0A28864F"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Environment</w:t>
            </w:r>
          </w:p>
        </w:tc>
        <w:tc>
          <w:tcPr>
            <w:tcW w:w="1984" w:type="dxa"/>
          </w:tcPr>
          <w:p w14:paraId="4FB52DFC"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No change</w:t>
            </w:r>
          </w:p>
        </w:tc>
      </w:tr>
      <w:tr w:rsidR="00A07003" w:rsidRPr="00013BDC" w14:paraId="3540EA5A"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6AC1A013"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Education and training, education and training systems</w:t>
            </w:r>
          </w:p>
          <w:p w14:paraId="2126E0FB"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Employment</w:t>
            </w:r>
          </w:p>
          <w:p w14:paraId="6B91BC1F"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Income distribution, social protection, and social inclusion</w:t>
            </w:r>
          </w:p>
          <w:p w14:paraId="50EAE147"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Consumers and households</w:t>
            </w:r>
          </w:p>
        </w:tc>
        <w:tc>
          <w:tcPr>
            <w:tcW w:w="2039" w:type="dxa"/>
          </w:tcPr>
          <w:p w14:paraId="5DD14FE9"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 Social</w:t>
            </w:r>
          </w:p>
        </w:tc>
        <w:tc>
          <w:tcPr>
            <w:tcW w:w="1985" w:type="dxa"/>
          </w:tcPr>
          <w:p w14:paraId="41F385CC"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Social</w:t>
            </w:r>
          </w:p>
        </w:tc>
        <w:tc>
          <w:tcPr>
            <w:tcW w:w="1984" w:type="dxa"/>
          </w:tcPr>
          <w:p w14:paraId="3660A905"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Change</w:t>
            </w:r>
          </w:p>
        </w:tc>
      </w:tr>
      <w:tr w:rsidR="00A07003" w:rsidRPr="00013BDC" w14:paraId="7F7A42E3"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166B47C1"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Technology development/ Digital economy</w:t>
            </w:r>
          </w:p>
        </w:tc>
        <w:tc>
          <w:tcPr>
            <w:tcW w:w="2039" w:type="dxa"/>
          </w:tcPr>
          <w:p w14:paraId="2CAC6E69"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 Social</w:t>
            </w:r>
          </w:p>
        </w:tc>
        <w:tc>
          <w:tcPr>
            <w:tcW w:w="1985" w:type="dxa"/>
          </w:tcPr>
          <w:p w14:paraId="6E148DEE"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w:t>
            </w:r>
          </w:p>
        </w:tc>
        <w:tc>
          <w:tcPr>
            <w:tcW w:w="1984" w:type="dxa"/>
          </w:tcPr>
          <w:p w14:paraId="2595D0DC"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Change</w:t>
            </w:r>
          </w:p>
        </w:tc>
      </w:tr>
      <w:tr w:rsidR="00A07003" w:rsidRPr="00013BDC" w14:paraId="34607364"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1064FCCC"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Sustainable consumption and production</w:t>
            </w:r>
          </w:p>
          <w:p w14:paraId="0D42DB2E"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Efficient use of resources (renewable and non-renewable)</w:t>
            </w:r>
          </w:p>
        </w:tc>
        <w:tc>
          <w:tcPr>
            <w:tcW w:w="2039" w:type="dxa"/>
          </w:tcPr>
          <w:p w14:paraId="58DF289C"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 Environmental</w:t>
            </w:r>
          </w:p>
        </w:tc>
        <w:tc>
          <w:tcPr>
            <w:tcW w:w="1985" w:type="dxa"/>
          </w:tcPr>
          <w:p w14:paraId="0425CBA8"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w:t>
            </w:r>
          </w:p>
        </w:tc>
        <w:tc>
          <w:tcPr>
            <w:tcW w:w="1984" w:type="dxa"/>
          </w:tcPr>
          <w:p w14:paraId="39029D7C"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Change</w:t>
            </w:r>
          </w:p>
        </w:tc>
      </w:tr>
      <w:tr w:rsidR="00A07003" w:rsidRPr="00013BDC" w14:paraId="0205745A"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733798E5"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Land use</w:t>
            </w:r>
          </w:p>
          <w:p w14:paraId="36F173AA"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The likelihood or scale of environmental risks</w:t>
            </w:r>
          </w:p>
        </w:tc>
        <w:tc>
          <w:tcPr>
            <w:tcW w:w="2039" w:type="dxa"/>
          </w:tcPr>
          <w:p w14:paraId="67EF1EF1"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 Environmental</w:t>
            </w:r>
          </w:p>
        </w:tc>
        <w:tc>
          <w:tcPr>
            <w:tcW w:w="1985" w:type="dxa"/>
          </w:tcPr>
          <w:p w14:paraId="5B82E9C0"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Environmental</w:t>
            </w:r>
          </w:p>
        </w:tc>
        <w:tc>
          <w:tcPr>
            <w:tcW w:w="1984" w:type="dxa"/>
          </w:tcPr>
          <w:p w14:paraId="484E61A9"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Change</w:t>
            </w:r>
          </w:p>
        </w:tc>
      </w:tr>
      <w:tr w:rsidR="00A07003" w:rsidRPr="00013BDC" w14:paraId="1389AED2"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264D6003"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Innovation and research</w:t>
            </w:r>
          </w:p>
        </w:tc>
        <w:tc>
          <w:tcPr>
            <w:tcW w:w="2039" w:type="dxa"/>
          </w:tcPr>
          <w:p w14:paraId="0169193B"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 Social, Environmental</w:t>
            </w:r>
          </w:p>
        </w:tc>
        <w:tc>
          <w:tcPr>
            <w:tcW w:w="1985" w:type="dxa"/>
          </w:tcPr>
          <w:p w14:paraId="37F99126"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w:t>
            </w:r>
          </w:p>
        </w:tc>
        <w:tc>
          <w:tcPr>
            <w:tcW w:w="1984" w:type="dxa"/>
          </w:tcPr>
          <w:p w14:paraId="7C4238CB"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Change</w:t>
            </w:r>
          </w:p>
        </w:tc>
      </w:tr>
      <w:tr w:rsidR="00A07003" w:rsidRPr="00013BDC" w14:paraId="28463267"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2404777F"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Waste production, generation and recycling</w:t>
            </w:r>
          </w:p>
          <w:p w14:paraId="5A69085F"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Sustainable development</w:t>
            </w:r>
          </w:p>
        </w:tc>
        <w:tc>
          <w:tcPr>
            <w:tcW w:w="2039" w:type="dxa"/>
          </w:tcPr>
          <w:p w14:paraId="0A72F80F"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 Social, Environmental</w:t>
            </w:r>
          </w:p>
        </w:tc>
        <w:tc>
          <w:tcPr>
            <w:tcW w:w="1985" w:type="dxa"/>
          </w:tcPr>
          <w:p w14:paraId="77A31F3A"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Environmental</w:t>
            </w:r>
          </w:p>
        </w:tc>
        <w:tc>
          <w:tcPr>
            <w:tcW w:w="1984" w:type="dxa"/>
          </w:tcPr>
          <w:p w14:paraId="47F1F4B9"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Change</w:t>
            </w:r>
          </w:p>
        </w:tc>
      </w:tr>
      <w:tr w:rsidR="00A07003" w:rsidRPr="00013BDC" w14:paraId="242D86EB" w14:textId="77777777" w:rsidTr="00F823BA">
        <w:tc>
          <w:tcPr>
            <w:cnfStyle w:val="001000000000" w:firstRow="0" w:lastRow="0" w:firstColumn="1" w:lastColumn="0" w:oddVBand="0" w:evenVBand="0" w:oddHBand="0" w:evenHBand="0" w:firstRowFirstColumn="0" w:firstRowLastColumn="0" w:lastRowFirstColumn="0" w:lastRowLastColumn="0"/>
            <w:tcW w:w="3631" w:type="dxa"/>
          </w:tcPr>
          <w:p w14:paraId="2808610D" w14:textId="77777777" w:rsidR="00A07003" w:rsidRPr="00013BDC" w:rsidRDefault="00A07003" w:rsidP="00F314C3">
            <w:pPr>
              <w:pStyle w:val="WDBody"/>
              <w:spacing w:after="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Third countries, developing countries, and international relations</w:t>
            </w:r>
          </w:p>
        </w:tc>
        <w:tc>
          <w:tcPr>
            <w:tcW w:w="2039" w:type="dxa"/>
          </w:tcPr>
          <w:p w14:paraId="647FFC13"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Economic, Social, Environmental</w:t>
            </w:r>
          </w:p>
        </w:tc>
        <w:tc>
          <w:tcPr>
            <w:tcW w:w="1985" w:type="dxa"/>
          </w:tcPr>
          <w:p w14:paraId="1CF64244"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Social</w:t>
            </w:r>
          </w:p>
        </w:tc>
        <w:tc>
          <w:tcPr>
            <w:tcW w:w="1984" w:type="dxa"/>
          </w:tcPr>
          <w:p w14:paraId="2E58EA9E" w14:textId="77777777" w:rsidR="00A07003" w:rsidRPr="00013BDC" w:rsidRDefault="00A07003" w:rsidP="00F314C3">
            <w:pPr>
              <w:pStyle w:val="WDBody"/>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Change</w:t>
            </w:r>
          </w:p>
        </w:tc>
      </w:tr>
    </w:tbl>
    <w:p w14:paraId="019D9ED8" w14:textId="77777777" w:rsidR="00A07003" w:rsidRPr="00013BDC" w:rsidRDefault="00A07003" w:rsidP="00F314C3">
      <w:pPr>
        <w:pStyle w:val="WDBody"/>
        <w:spacing w:after="0"/>
        <w:rPr>
          <w:rFonts w:ascii="Times New Roman" w:hAnsi="Times New Roman" w:cs="Times New Roman"/>
          <w:noProof/>
          <w:sz w:val="24"/>
          <w:szCs w:val="24"/>
          <w:lang w:val="en-IE"/>
        </w:rPr>
      </w:pPr>
    </w:p>
    <w:p w14:paraId="61FF89CD" w14:textId="4ACD115D" w:rsidR="001C7BCE" w:rsidRPr="00013BDC" w:rsidRDefault="005F7178" w:rsidP="00F314C3">
      <w:pPr>
        <w:pStyle w:val="WDBody"/>
        <w:spacing w:after="12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The assessment includes a mix of qualitative and quantitative assessments of costs and benefits. </w:t>
      </w:r>
      <w:r w:rsidR="00A07003" w:rsidRPr="00013BDC">
        <w:rPr>
          <w:rFonts w:ascii="Times New Roman" w:hAnsi="Times New Roman" w:cs="Times New Roman"/>
          <w:noProof/>
          <w:sz w:val="24"/>
          <w:szCs w:val="24"/>
          <w:lang w:val="en-IE"/>
        </w:rPr>
        <w:t>To make the assessment robust and make it possible to compare all the measures in terms of their respective net impact, a qualitative scoring indicating the direction of impact</w:t>
      </w:r>
      <w:r w:rsidR="001C7BCE" w:rsidRPr="00013BDC">
        <w:rPr>
          <w:rFonts w:ascii="Times New Roman" w:hAnsi="Times New Roman" w:cs="Times New Roman"/>
          <w:noProof/>
          <w:sz w:val="24"/>
          <w:szCs w:val="24"/>
          <w:lang w:val="en-IE"/>
        </w:rPr>
        <w:t xml:space="preserve"> has</w:t>
      </w:r>
      <w:r w:rsidR="00A07003" w:rsidRPr="00013BDC">
        <w:rPr>
          <w:rFonts w:ascii="Times New Roman" w:hAnsi="Times New Roman" w:cs="Times New Roman"/>
          <w:noProof/>
          <w:sz w:val="24"/>
          <w:szCs w:val="24"/>
          <w:lang w:val="en-IE"/>
        </w:rPr>
        <w:t xml:space="preserve"> assigned to each sub-category of impact. </w:t>
      </w:r>
      <w:r w:rsidR="001C7BCE" w:rsidRPr="00013BDC">
        <w:rPr>
          <w:rFonts w:ascii="Times New Roman" w:hAnsi="Times New Roman" w:cs="Times New Roman"/>
          <w:noProof/>
          <w:sz w:val="24"/>
          <w:szCs w:val="24"/>
          <w:lang w:val="en-IE"/>
        </w:rPr>
        <w:t xml:space="preserve">The qualitative assessment uses a + and – approach to determine the direction of impacts with – indicating a negative impact or cost and </w:t>
      </w:r>
      <w:r w:rsidR="00584D8C" w:rsidRPr="00013BDC">
        <w:rPr>
          <w:rFonts w:ascii="Times New Roman" w:hAnsi="Times New Roman" w:cs="Times New Roman"/>
          <w:noProof/>
          <w:sz w:val="24"/>
          <w:szCs w:val="24"/>
          <w:lang w:val="en-IE"/>
        </w:rPr>
        <w:t xml:space="preserve">+ </w:t>
      </w:r>
      <w:r w:rsidR="001C7BCE" w:rsidRPr="00013BDC">
        <w:rPr>
          <w:rFonts w:ascii="Times New Roman" w:hAnsi="Times New Roman" w:cs="Times New Roman"/>
          <w:noProof/>
          <w:sz w:val="24"/>
          <w:szCs w:val="24"/>
          <w:lang w:val="en-IE"/>
        </w:rPr>
        <w:t>indicating a positive impact or saving. The quantitative assessment was performed using the methods outlined below.</w:t>
      </w:r>
    </w:p>
    <w:p w14:paraId="39DE6B43" w14:textId="6262CDCF" w:rsidR="00A07003" w:rsidRPr="00013BDC" w:rsidRDefault="00A07003" w:rsidP="00A07003">
      <w:pPr>
        <w:pStyle w:val="WDBody"/>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In addition, to simplify the assessment, each measure is assessed individually and the changes in impacts stemming from a combination of measures will not be calculated.</w:t>
      </w:r>
    </w:p>
    <w:p w14:paraId="7FB55D3C" w14:textId="4DFB1B7A" w:rsidR="00D97052" w:rsidRPr="00013BDC" w:rsidRDefault="00D97052" w:rsidP="5ACF8ADB">
      <w:pPr>
        <w:pStyle w:val="Heading3"/>
        <w:rPr>
          <w:b/>
          <w:noProof/>
          <w:lang w:val="en-IE"/>
        </w:rPr>
      </w:pPr>
      <w:bookmarkStart w:id="287" w:name="_Toc1362129543"/>
      <w:bookmarkStart w:id="288" w:name="_Toc2037522251"/>
      <w:bookmarkStart w:id="289" w:name="_Toc426807377"/>
      <w:bookmarkStart w:id="290" w:name="_Toc1548763645"/>
      <w:bookmarkStart w:id="291" w:name="_Toc139032953"/>
      <w:r w:rsidRPr="00013BDC">
        <w:rPr>
          <w:noProof/>
          <w:lang w:val="en-IE"/>
        </w:rPr>
        <w:t>Determining economic costs and benefits</w:t>
      </w:r>
      <w:bookmarkEnd w:id="287"/>
      <w:bookmarkEnd w:id="288"/>
      <w:bookmarkEnd w:id="289"/>
      <w:bookmarkEnd w:id="290"/>
      <w:bookmarkEnd w:id="291"/>
    </w:p>
    <w:p w14:paraId="6D79FF6D" w14:textId="43F89BA9" w:rsidR="00D97052" w:rsidRPr="00013BDC" w:rsidRDefault="00D97052" w:rsidP="009C739C">
      <w:pPr>
        <w:pStyle w:val="WDBody"/>
        <w:spacing w:after="12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Measures result</w:t>
      </w:r>
      <w:r w:rsidR="00CC2001" w:rsidRPr="00013BDC">
        <w:rPr>
          <w:rFonts w:ascii="Times New Roman" w:hAnsi="Times New Roman" w:cs="Times New Roman"/>
          <w:noProof/>
          <w:sz w:val="24"/>
          <w:szCs w:val="24"/>
          <w:lang w:val="en-IE"/>
        </w:rPr>
        <w:t>ing</w:t>
      </w:r>
      <w:r w:rsidRPr="00013BDC">
        <w:rPr>
          <w:rFonts w:ascii="Times New Roman" w:hAnsi="Times New Roman" w:cs="Times New Roman"/>
          <w:noProof/>
          <w:sz w:val="24"/>
          <w:szCs w:val="24"/>
          <w:lang w:val="en-IE"/>
        </w:rPr>
        <w:t xml:space="preserve"> in </w:t>
      </w:r>
      <w:r w:rsidR="002D2B94" w:rsidRPr="00013BDC">
        <w:rPr>
          <w:rFonts w:ascii="Times New Roman" w:hAnsi="Times New Roman" w:cs="Times New Roman"/>
          <w:noProof/>
          <w:sz w:val="24"/>
          <w:szCs w:val="24"/>
          <w:lang w:val="en-IE"/>
        </w:rPr>
        <w:t>changes to the volumes of textiles collected and managed carry both administrative and waste management costs.</w:t>
      </w:r>
    </w:p>
    <w:p w14:paraId="538B29A1" w14:textId="406CC807" w:rsidR="002D2B94" w:rsidRPr="00013BDC" w:rsidRDefault="002D2B94" w:rsidP="009C739C">
      <w:pPr>
        <w:pStyle w:val="WDBody"/>
        <w:spacing w:after="120"/>
        <w:jc w:val="both"/>
        <w:rPr>
          <w:rFonts w:ascii="Times New Roman" w:hAnsi="Times New Roman"/>
          <w:noProof/>
          <w:sz w:val="24"/>
          <w:szCs w:val="24"/>
          <w:lang w:val="en-IE"/>
        </w:rPr>
      </w:pPr>
      <w:r w:rsidRPr="00013BDC">
        <w:rPr>
          <w:rFonts w:ascii="Times New Roman" w:hAnsi="Times New Roman" w:cs="Times New Roman"/>
          <w:b/>
          <w:i/>
          <w:noProof/>
          <w:sz w:val="24"/>
          <w:szCs w:val="24"/>
          <w:lang w:val="en-IE"/>
        </w:rPr>
        <w:t>Administrative costs</w:t>
      </w:r>
      <w:r w:rsidRPr="00013BDC">
        <w:rPr>
          <w:rFonts w:ascii="Times New Roman" w:hAnsi="Times New Roman" w:cs="Times New Roman"/>
          <w:noProof/>
          <w:sz w:val="24"/>
          <w:szCs w:val="24"/>
          <w:lang w:val="en-IE"/>
        </w:rPr>
        <w:t xml:space="preserve"> have been calculated using the ENV Admin burden calculator v2 that is based on the </w:t>
      </w:r>
      <w:r w:rsidRPr="00013BDC">
        <w:rPr>
          <w:rFonts w:ascii="Times New Roman" w:hAnsi="Times New Roman"/>
          <w:noProof/>
          <w:sz w:val="24"/>
          <w:szCs w:val="24"/>
          <w:lang w:val="en-IE"/>
        </w:rPr>
        <w:t xml:space="preserve">Eurostat Structure of earnings survey, Labour Force Survey data for non-Wage labour Costs (last updated 2021). The average hourly wage of 26 </w:t>
      </w:r>
      <w:r w:rsidR="00CC2001" w:rsidRPr="00013BDC">
        <w:rPr>
          <w:rFonts w:ascii="Times New Roman" w:hAnsi="Times New Roman"/>
          <w:noProof/>
          <w:sz w:val="24"/>
          <w:szCs w:val="24"/>
          <w:lang w:val="en-IE"/>
        </w:rPr>
        <w:t>euro</w:t>
      </w:r>
      <w:r w:rsidRPr="00013BDC">
        <w:rPr>
          <w:rFonts w:ascii="Times New Roman" w:hAnsi="Times New Roman"/>
          <w:noProof/>
          <w:sz w:val="24"/>
          <w:szCs w:val="24"/>
          <w:lang w:val="en-IE"/>
        </w:rPr>
        <w:t xml:space="preserve"> </w:t>
      </w:r>
      <w:r w:rsidR="00D86CF7" w:rsidRPr="00013BDC">
        <w:rPr>
          <w:rFonts w:ascii="Times New Roman" w:hAnsi="Times New Roman"/>
          <w:noProof/>
          <w:sz w:val="24"/>
          <w:szCs w:val="24"/>
          <w:lang w:val="en-IE"/>
        </w:rPr>
        <w:t xml:space="preserve">per hour </w:t>
      </w:r>
      <w:r w:rsidR="00CA3699" w:rsidRPr="00013BDC">
        <w:rPr>
          <w:rFonts w:ascii="Times New Roman" w:hAnsi="Times New Roman"/>
          <w:noProof/>
          <w:sz w:val="24"/>
          <w:szCs w:val="24"/>
          <w:lang w:val="en-IE"/>
        </w:rPr>
        <w:t>was</w:t>
      </w:r>
      <w:r w:rsidR="00D86CF7" w:rsidRPr="00013BDC">
        <w:rPr>
          <w:rFonts w:ascii="Times New Roman" w:hAnsi="Times New Roman"/>
          <w:noProof/>
          <w:sz w:val="24"/>
          <w:szCs w:val="24"/>
          <w:lang w:val="en-IE"/>
        </w:rPr>
        <w:t xml:space="preserve"> applied to </w:t>
      </w:r>
      <w:r w:rsidR="00CA3699" w:rsidRPr="00013BDC">
        <w:rPr>
          <w:rFonts w:ascii="Times New Roman" w:hAnsi="Times New Roman"/>
          <w:noProof/>
          <w:sz w:val="24"/>
          <w:szCs w:val="24"/>
          <w:lang w:val="en-IE"/>
        </w:rPr>
        <w:t>the actions needed</w:t>
      </w:r>
      <w:r w:rsidR="00D86CF7" w:rsidRPr="00013BDC">
        <w:rPr>
          <w:rFonts w:ascii="Times New Roman" w:hAnsi="Times New Roman"/>
          <w:noProof/>
          <w:sz w:val="24"/>
          <w:szCs w:val="24"/>
          <w:lang w:val="en-IE"/>
        </w:rPr>
        <w:t xml:space="preserve"> to improve the management of used textiles and textile wastes. This value </w:t>
      </w:r>
      <w:r w:rsidR="00CA3699" w:rsidRPr="00013BDC">
        <w:rPr>
          <w:rFonts w:ascii="Times New Roman" w:hAnsi="Times New Roman"/>
          <w:noProof/>
          <w:sz w:val="24"/>
          <w:szCs w:val="24"/>
          <w:lang w:val="en-IE"/>
        </w:rPr>
        <w:t>was</w:t>
      </w:r>
      <w:r w:rsidR="00D86CF7" w:rsidRPr="00013BDC">
        <w:rPr>
          <w:rFonts w:ascii="Times New Roman" w:hAnsi="Times New Roman"/>
          <w:noProof/>
          <w:sz w:val="24"/>
          <w:szCs w:val="24"/>
          <w:lang w:val="en-IE"/>
        </w:rPr>
        <w:t xml:space="preserve"> multiplied by </w:t>
      </w:r>
      <w:r w:rsidR="004D1855" w:rsidRPr="00013BDC">
        <w:rPr>
          <w:rFonts w:ascii="Times New Roman" w:hAnsi="Times New Roman"/>
          <w:noProof/>
          <w:sz w:val="24"/>
          <w:szCs w:val="24"/>
          <w:lang w:val="en-IE"/>
        </w:rPr>
        <w:t>the</w:t>
      </w:r>
      <w:r w:rsidR="00CA3699" w:rsidRPr="00013BDC">
        <w:rPr>
          <w:rFonts w:ascii="Times New Roman" w:hAnsi="Times New Roman"/>
          <w:noProof/>
          <w:sz w:val="24"/>
          <w:szCs w:val="24"/>
          <w:lang w:val="en-IE"/>
        </w:rPr>
        <w:t xml:space="preserve"> estimated</w:t>
      </w:r>
      <w:r w:rsidR="004D1855" w:rsidRPr="00013BDC">
        <w:rPr>
          <w:rFonts w:ascii="Times New Roman" w:hAnsi="Times New Roman"/>
          <w:noProof/>
          <w:sz w:val="24"/>
          <w:szCs w:val="24"/>
          <w:lang w:val="en-IE"/>
        </w:rPr>
        <w:t xml:space="preserve"> time required to perform a particular action as well as the number of entities that would be required to perform the action to determine the total administrative burden resulting from the measure concerned. In some cases</w:t>
      </w:r>
      <w:r w:rsidR="0066030E" w:rsidRPr="00013BDC">
        <w:rPr>
          <w:rFonts w:ascii="Times New Roman" w:hAnsi="Times New Roman"/>
          <w:noProof/>
          <w:sz w:val="24"/>
          <w:szCs w:val="24"/>
          <w:lang w:val="en-IE"/>
        </w:rPr>
        <w:t>,</w:t>
      </w:r>
      <w:r w:rsidR="004D1855" w:rsidRPr="00013BDC">
        <w:rPr>
          <w:rFonts w:ascii="Times New Roman" w:hAnsi="Times New Roman"/>
          <w:noProof/>
          <w:sz w:val="24"/>
          <w:szCs w:val="24"/>
          <w:lang w:val="en-IE"/>
        </w:rPr>
        <w:t xml:space="preserve"> the number of entities concerned is not known. In such cases a cost per entity has been provided only.</w:t>
      </w:r>
    </w:p>
    <w:p w14:paraId="14F44D4D" w14:textId="68D2DEF9" w:rsidR="003834C4" w:rsidRPr="00013BDC" w:rsidRDefault="003834C4" w:rsidP="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The following assumptions have been used in the calculations of administrative burden.</w:t>
      </w:r>
    </w:p>
    <w:p w14:paraId="0C6F5003" w14:textId="66079593" w:rsidR="003D3D55" w:rsidRPr="00013BDC" w:rsidRDefault="003D3D55" w:rsidP="003D3D55">
      <w:pPr>
        <w:pStyle w:val="Caption"/>
        <w:rPr>
          <w:noProof/>
          <w:color w:val="auto"/>
          <w:sz w:val="24"/>
          <w:szCs w:val="24"/>
          <w:lang w:val="en-IE"/>
        </w:rPr>
      </w:pPr>
      <w:bookmarkStart w:id="292" w:name="_Toc133229418"/>
      <w:bookmarkStart w:id="293" w:name="_Toc139033039"/>
      <w:r w:rsidRPr="00013BDC">
        <w:rPr>
          <w:noProof/>
          <w:color w:val="auto"/>
          <w:sz w:val="24"/>
          <w:szCs w:val="24"/>
          <w:lang w:val="en-IE"/>
        </w:rPr>
        <w:t xml:space="preserve">Table </w:t>
      </w:r>
      <w:r w:rsidR="004C5576">
        <w:rPr>
          <w:noProof/>
          <w:color w:val="auto"/>
          <w:sz w:val="24"/>
          <w:szCs w:val="24"/>
        </w:rPr>
        <w:t>9</w:t>
      </w:r>
      <w:r w:rsidRPr="00013BDC">
        <w:rPr>
          <w:noProof/>
          <w:color w:val="auto"/>
          <w:sz w:val="24"/>
          <w:szCs w:val="24"/>
          <w:lang w:val="en-IE"/>
        </w:rPr>
        <w:t>: Assumptions made to calculate the administrative burden</w:t>
      </w:r>
      <w:bookmarkEnd w:id="292"/>
      <w:bookmarkEnd w:id="293"/>
    </w:p>
    <w:tbl>
      <w:tblPr>
        <w:tblStyle w:val="TableGrid"/>
        <w:tblW w:w="0" w:type="auto"/>
        <w:tblLook w:val="04A0" w:firstRow="1" w:lastRow="0" w:firstColumn="1" w:lastColumn="0" w:noHBand="0" w:noVBand="1"/>
      </w:tblPr>
      <w:tblGrid>
        <w:gridCol w:w="3200"/>
        <w:gridCol w:w="3201"/>
        <w:gridCol w:w="3201"/>
      </w:tblGrid>
      <w:tr w:rsidR="003834C4" w:rsidRPr="00013BDC" w14:paraId="50B1DF4B" w14:textId="77777777">
        <w:tc>
          <w:tcPr>
            <w:tcW w:w="9602" w:type="dxa"/>
            <w:gridSpan w:val="3"/>
            <w:shd w:val="clear" w:color="auto" w:fill="F2F2F2" w:themeFill="background1" w:themeFillShade="F2"/>
          </w:tcPr>
          <w:p w14:paraId="7B463D7D" w14:textId="77777777" w:rsidR="003834C4" w:rsidRPr="00013BDC" w:rsidRDefault="003834C4">
            <w:pPr>
              <w:pStyle w:val="WDBody"/>
              <w:spacing w:after="120"/>
              <w:jc w:val="both"/>
              <w:rPr>
                <w:rFonts w:ascii="Times New Roman" w:hAnsi="Times New Roman"/>
                <w:b/>
                <w:noProof/>
                <w:sz w:val="24"/>
                <w:szCs w:val="24"/>
                <w:lang w:val="en-IE"/>
              </w:rPr>
            </w:pPr>
            <w:r w:rsidRPr="00013BDC">
              <w:rPr>
                <w:rFonts w:ascii="Times New Roman" w:hAnsi="Times New Roman"/>
                <w:b/>
                <w:noProof/>
                <w:sz w:val="24"/>
                <w:szCs w:val="24"/>
                <w:lang w:val="en-IE"/>
              </w:rPr>
              <w:t>One-off admin costs</w:t>
            </w:r>
          </w:p>
        </w:tc>
      </w:tr>
      <w:tr w:rsidR="003834C4" w:rsidRPr="00013BDC" w14:paraId="580F62AC" w14:textId="77777777">
        <w:tc>
          <w:tcPr>
            <w:tcW w:w="3200" w:type="dxa"/>
          </w:tcPr>
          <w:p w14:paraId="52D015E3" w14:textId="77777777" w:rsidR="003834C4" w:rsidRPr="00013BDC" w:rsidRDefault="003834C4">
            <w:pPr>
              <w:pStyle w:val="WDBody"/>
              <w:spacing w:after="120"/>
              <w:jc w:val="both"/>
              <w:rPr>
                <w:rFonts w:ascii="Times New Roman" w:hAnsi="Times New Roman"/>
                <w:b/>
                <w:noProof/>
                <w:sz w:val="24"/>
                <w:szCs w:val="24"/>
                <w:lang w:val="en-IE"/>
              </w:rPr>
            </w:pPr>
            <w:r w:rsidRPr="00013BDC">
              <w:rPr>
                <w:rFonts w:ascii="Times New Roman" w:hAnsi="Times New Roman"/>
                <w:b/>
                <w:noProof/>
                <w:sz w:val="24"/>
                <w:szCs w:val="24"/>
                <w:lang w:val="en-IE"/>
              </w:rPr>
              <w:t>Target group</w:t>
            </w:r>
          </w:p>
        </w:tc>
        <w:tc>
          <w:tcPr>
            <w:tcW w:w="3201" w:type="dxa"/>
          </w:tcPr>
          <w:p w14:paraId="13E496E9" w14:textId="77777777" w:rsidR="003834C4" w:rsidRPr="00013BDC" w:rsidRDefault="003834C4">
            <w:pPr>
              <w:pStyle w:val="WDBody"/>
              <w:spacing w:after="120"/>
              <w:jc w:val="both"/>
              <w:rPr>
                <w:rFonts w:ascii="Times New Roman" w:hAnsi="Times New Roman"/>
                <w:b/>
                <w:noProof/>
                <w:sz w:val="24"/>
                <w:szCs w:val="24"/>
                <w:lang w:val="en-IE"/>
              </w:rPr>
            </w:pPr>
            <w:r w:rsidRPr="00013BDC">
              <w:rPr>
                <w:rFonts w:ascii="Times New Roman" w:hAnsi="Times New Roman"/>
                <w:b/>
                <w:noProof/>
                <w:sz w:val="24"/>
                <w:szCs w:val="24"/>
                <w:lang w:val="en-IE"/>
              </w:rPr>
              <w:t>Description of the action</w:t>
            </w:r>
          </w:p>
        </w:tc>
        <w:tc>
          <w:tcPr>
            <w:tcW w:w="3201" w:type="dxa"/>
          </w:tcPr>
          <w:p w14:paraId="437E1C45" w14:textId="77777777" w:rsidR="003834C4" w:rsidRPr="00013BDC" w:rsidRDefault="003834C4">
            <w:pPr>
              <w:pStyle w:val="WDBody"/>
              <w:spacing w:after="120"/>
              <w:jc w:val="both"/>
              <w:rPr>
                <w:rFonts w:ascii="Times New Roman" w:hAnsi="Times New Roman"/>
                <w:b/>
                <w:noProof/>
                <w:sz w:val="24"/>
                <w:szCs w:val="24"/>
                <w:lang w:val="en-IE"/>
              </w:rPr>
            </w:pPr>
            <w:r w:rsidRPr="00013BDC">
              <w:rPr>
                <w:rFonts w:ascii="Times New Roman" w:hAnsi="Times New Roman"/>
                <w:b/>
                <w:noProof/>
                <w:sz w:val="24"/>
                <w:szCs w:val="24"/>
                <w:lang w:val="en-IE"/>
              </w:rPr>
              <w:t>Initial cost (EUR)</w:t>
            </w:r>
          </w:p>
        </w:tc>
      </w:tr>
      <w:tr w:rsidR="003834C4" w:rsidRPr="00013BDC" w14:paraId="02A14785" w14:textId="77777777">
        <w:tc>
          <w:tcPr>
            <w:tcW w:w="3200" w:type="dxa"/>
          </w:tcPr>
          <w:p w14:paraId="614957FE"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Textile producers</w:t>
            </w:r>
          </w:p>
        </w:tc>
        <w:tc>
          <w:tcPr>
            <w:tcW w:w="3201" w:type="dxa"/>
          </w:tcPr>
          <w:p w14:paraId="55C1A09C"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Registration of producers in producer register</w:t>
            </w:r>
          </w:p>
        </w:tc>
        <w:tc>
          <w:tcPr>
            <w:tcW w:w="3201" w:type="dxa"/>
          </w:tcPr>
          <w:p w14:paraId="003B6BC0"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€108 comprising four hours to complete the necessary registration process in a national register</w:t>
            </w:r>
          </w:p>
        </w:tc>
      </w:tr>
      <w:tr w:rsidR="003834C4" w:rsidRPr="00013BDC" w14:paraId="6A95752B" w14:textId="77777777">
        <w:tc>
          <w:tcPr>
            <w:tcW w:w="9602" w:type="dxa"/>
            <w:gridSpan w:val="3"/>
            <w:shd w:val="clear" w:color="auto" w:fill="F2F2F2" w:themeFill="background1" w:themeFillShade="F2"/>
          </w:tcPr>
          <w:p w14:paraId="00417796" w14:textId="77777777" w:rsidR="003834C4" w:rsidRPr="00013BDC" w:rsidRDefault="003834C4">
            <w:pPr>
              <w:pStyle w:val="WDBody"/>
              <w:spacing w:after="120"/>
              <w:jc w:val="both"/>
              <w:rPr>
                <w:rFonts w:ascii="Times New Roman" w:hAnsi="Times New Roman"/>
                <w:b/>
                <w:noProof/>
                <w:sz w:val="24"/>
                <w:szCs w:val="24"/>
                <w:lang w:val="en-IE"/>
              </w:rPr>
            </w:pPr>
            <w:r w:rsidRPr="00013BDC">
              <w:rPr>
                <w:rFonts w:ascii="Times New Roman" w:hAnsi="Times New Roman"/>
                <w:b/>
                <w:noProof/>
                <w:sz w:val="24"/>
                <w:szCs w:val="24"/>
                <w:lang w:val="en-IE"/>
              </w:rPr>
              <w:t>Recurrent admin costs</w:t>
            </w:r>
          </w:p>
        </w:tc>
      </w:tr>
      <w:tr w:rsidR="003834C4" w:rsidRPr="00013BDC" w14:paraId="0F407BCD" w14:textId="77777777">
        <w:tc>
          <w:tcPr>
            <w:tcW w:w="3200" w:type="dxa"/>
          </w:tcPr>
          <w:p w14:paraId="02BCDBB6" w14:textId="77777777" w:rsidR="003834C4" w:rsidRPr="00013BDC" w:rsidRDefault="003834C4">
            <w:pPr>
              <w:pStyle w:val="WDBody"/>
              <w:spacing w:after="120"/>
              <w:jc w:val="both"/>
              <w:rPr>
                <w:rFonts w:ascii="Times New Roman" w:hAnsi="Times New Roman"/>
                <w:b/>
                <w:noProof/>
                <w:sz w:val="24"/>
                <w:szCs w:val="24"/>
                <w:lang w:val="en-IE"/>
              </w:rPr>
            </w:pPr>
            <w:r w:rsidRPr="00013BDC">
              <w:rPr>
                <w:rFonts w:ascii="Times New Roman" w:hAnsi="Times New Roman"/>
                <w:b/>
                <w:noProof/>
                <w:sz w:val="24"/>
                <w:szCs w:val="24"/>
                <w:lang w:val="en-IE"/>
              </w:rPr>
              <w:t>Target group</w:t>
            </w:r>
          </w:p>
        </w:tc>
        <w:tc>
          <w:tcPr>
            <w:tcW w:w="3201" w:type="dxa"/>
          </w:tcPr>
          <w:p w14:paraId="22458992" w14:textId="77777777" w:rsidR="003834C4" w:rsidRPr="00013BDC" w:rsidRDefault="003834C4">
            <w:pPr>
              <w:pStyle w:val="WDBody"/>
              <w:spacing w:after="120"/>
              <w:jc w:val="both"/>
              <w:rPr>
                <w:rFonts w:ascii="Times New Roman" w:hAnsi="Times New Roman"/>
                <w:b/>
                <w:noProof/>
                <w:sz w:val="24"/>
                <w:szCs w:val="24"/>
                <w:lang w:val="en-IE"/>
              </w:rPr>
            </w:pPr>
            <w:r w:rsidRPr="00013BDC">
              <w:rPr>
                <w:rFonts w:ascii="Times New Roman" w:hAnsi="Times New Roman"/>
                <w:b/>
                <w:noProof/>
                <w:sz w:val="24"/>
                <w:szCs w:val="24"/>
                <w:lang w:val="en-IE"/>
              </w:rPr>
              <w:t>Description of the action</w:t>
            </w:r>
          </w:p>
        </w:tc>
        <w:tc>
          <w:tcPr>
            <w:tcW w:w="3201" w:type="dxa"/>
          </w:tcPr>
          <w:p w14:paraId="60BB5F36" w14:textId="77777777" w:rsidR="003834C4" w:rsidRPr="00013BDC" w:rsidRDefault="003834C4">
            <w:pPr>
              <w:pStyle w:val="WDBody"/>
              <w:spacing w:after="120"/>
              <w:jc w:val="both"/>
              <w:rPr>
                <w:rFonts w:ascii="Times New Roman" w:hAnsi="Times New Roman"/>
                <w:b/>
                <w:noProof/>
                <w:sz w:val="24"/>
                <w:szCs w:val="24"/>
                <w:lang w:val="en-IE"/>
              </w:rPr>
            </w:pPr>
            <w:r w:rsidRPr="00013BDC">
              <w:rPr>
                <w:rFonts w:ascii="Times New Roman" w:hAnsi="Times New Roman"/>
                <w:b/>
                <w:noProof/>
                <w:sz w:val="24"/>
                <w:szCs w:val="24"/>
                <w:lang w:val="en-IE"/>
              </w:rPr>
              <w:t>Time required per action per year in hours</w:t>
            </w:r>
          </w:p>
        </w:tc>
      </w:tr>
      <w:tr w:rsidR="003834C4" w:rsidRPr="00013BDC" w14:paraId="4D80E761" w14:textId="77777777">
        <w:tc>
          <w:tcPr>
            <w:tcW w:w="3200" w:type="dxa"/>
          </w:tcPr>
          <w:p w14:paraId="37DA3181"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Used textile exporters to third countries</w:t>
            </w:r>
          </w:p>
        </w:tc>
        <w:tc>
          <w:tcPr>
            <w:tcW w:w="3201" w:type="dxa"/>
          </w:tcPr>
          <w:p w14:paraId="48A9E706"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Filling in forms in relation to exports for reuse</w:t>
            </w:r>
          </w:p>
        </w:tc>
        <w:tc>
          <w:tcPr>
            <w:tcW w:w="3201" w:type="dxa"/>
          </w:tcPr>
          <w:p w14:paraId="39109DC2"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8 hours</w:t>
            </w:r>
          </w:p>
        </w:tc>
      </w:tr>
      <w:tr w:rsidR="003834C4" w:rsidRPr="00013BDC" w14:paraId="6313B231" w14:textId="77777777">
        <w:tc>
          <w:tcPr>
            <w:tcW w:w="3200" w:type="dxa"/>
          </w:tcPr>
          <w:p w14:paraId="65394E26"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Used textile exporters to third countries</w:t>
            </w:r>
          </w:p>
        </w:tc>
        <w:tc>
          <w:tcPr>
            <w:tcW w:w="3201" w:type="dxa"/>
          </w:tcPr>
          <w:p w14:paraId="627806CE"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Cooperating with competent authority inspections</w:t>
            </w:r>
          </w:p>
        </w:tc>
        <w:tc>
          <w:tcPr>
            <w:tcW w:w="3201" w:type="dxa"/>
          </w:tcPr>
          <w:p w14:paraId="31AA0878"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3 hours</w:t>
            </w:r>
          </w:p>
        </w:tc>
      </w:tr>
      <w:tr w:rsidR="003834C4" w:rsidRPr="00013BDC" w14:paraId="5FCB6DF8" w14:textId="77777777">
        <w:tc>
          <w:tcPr>
            <w:tcW w:w="3200" w:type="dxa"/>
          </w:tcPr>
          <w:p w14:paraId="05A7F066"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Producers of textiles</w:t>
            </w:r>
          </w:p>
        </w:tc>
        <w:tc>
          <w:tcPr>
            <w:tcW w:w="3201" w:type="dxa"/>
          </w:tcPr>
          <w:p w14:paraId="16BE306E"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Reporting on volumes of goods placed on the market and eco-modulation data</w:t>
            </w:r>
          </w:p>
        </w:tc>
        <w:tc>
          <w:tcPr>
            <w:tcW w:w="3201" w:type="dxa"/>
          </w:tcPr>
          <w:p w14:paraId="1954A85B"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20 hours</w:t>
            </w:r>
          </w:p>
        </w:tc>
      </w:tr>
      <w:tr w:rsidR="003834C4" w:rsidRPr="00013BDC" w14:paraId="6B72E98E" w14:textId="77777777">
        <w:tc>
          <w:tcPr>
            <w:tcW w:w="3200" w:type="dxa"/>
          </w:tcPr>
          <w:p w14:paraId="1A46A4CE"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Producers of textiles</w:t>
            </w:r>
          </w:p>
        </w:tc>
        <w:tc>
          <w:tcPr>
            <w:tcW w:w="3201" w:type="dxa"/>
          </w:tcPr>
          <w:p w14:paraId="232D20EB" w14:textId="046E6D0E"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 xml:space="preserve">Cooperating with Producer Responsibility </w:t>
            </w:r>
            <w:r w:rsidR="00083C83" w:rsidRPr="00013BDC">
              <w:rPr>
                <w:rFonts w:ascii="Times New Roman" w:hAnsi="Times New Roman"/>
                <w:noProof/>
                <w:sz w:val="24"/>
                <w:szCs w:val="24"/>
                <w:lang w:val="en-IE"/>
              </w:rPr>
              <w:t>Organisation inspections</w:t>
            </w:r>
          </w:p>
        </w:tc>
        <w:tc>
          <w:tcPr>
            <w:tcW w:w="3201" w:type="dxa"/>
          </w:tcPr>
          <w:p w14:paraId="1554A60C"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3 hours</w:t>
            </w:r>
          </w:p>
        </w:tc>
      </w:tr>
      <w:tr w:rsidR="003834C4" w:rsidRPr="00013BDC" w14:paraId="5416BAF0" w14:textId="77777777">
        <w:tc>
          <w:tcPr>
            <w:tcW w:w="3200" w:type="dxa"/>
          </w:tcPr>
          <w:p w14:paraId="3276EC91"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Textiles waste management operators</w:t>
            </w:r>
          </w:p>
        </w:tc>
        <w:tc>
          <w:tcPr>
            <w:tcW w:w="3201" w:type="dxa"/>
          </w:tcPr>
          <w:p w14:paraId="175E3372"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Submission of waste management data</w:t>
            </w:r>
          </w:p>
        </w:tc>
        <w:tc>
          <w:tcPr>
            <w:tcW w:w="3201" w:type="dxa"/>
          </w:tcPr>
          <w:p w14:paraId="13E85BCE"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21 hours</w:t>
            </w:r>
          </w:p>
        </w:tc>
      </w:tr>
      <w:tr w:rsidR="003834C4" w:rsidRPr="00013BDC" w14:paraId="0E94E936" w14:textId="77777777">
        <w:tc>
          <w:tcPr>
            <w:tcW w:w="3200" w:type="dxa"/>
          </w:tcPr>
          <w:p w14:paraId="070E5F82"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Competent authorities</w:t>
            </w:r>
          </w:p>
        </w:tc>
        <w:tc>
          <w:tcPr>
            <w:tcW w:w="3201" w:type="dxa"/>
          </w:tcPr>
          <w:p w14:paraId="4D72BB4B"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Inspections of enterprises involved in the export of used textiles</w:t>
            </w:r>
          </w:p>
        </w:tc>
        <w:tc>
          <w:tcPr>
            <w:tcW w:w="3201" w:type="dxa"/>
          </w:tcPr>
          <w:p w14:paraId="45880782"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21 hours (per inspection)</w:t>
            </w:r>
          </w:p>
        </w:tc>
      </w:tr>
      <w:tr w:rsidR="003834C4" w:rsidRPr="00013BDC" w14:paraId="394CCD99" w14:textId="77777777">
        <w:tc>
          <w:tcPr>
            <w:tcW w:w="3200" w:type="dxa"/>
          </w:tcPr>
          <w:p w14:paraId="01C36E13"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Producer Responsibility Organisations</w:t>
            </w:r>
          </w:p>
        </w:tc>
        <w:tc>
          <w:tcPr>
            <w:tcW w:w="3201" w:type="dxa"/>
          </w:tcPr>
          <w:p w14:paraId="41627DE2"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Operation of the producer register</w:t>
            </w:r>
          </w:p>
        </w:tc>
        <w:tc>
          <w:tcPr>
            <w:tcW w:w="3201" w:type="dxa"/>
          </w:tcPr>
          <w:p w14:paraId="7A841CAB"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1 716 hours (1 FTE per Member State)</w:t>
            </w:r>
          </w:p>
        </w:tc>
      </w:tr>
      <w:tr w:rsidR="003834C4" w:rsidRPr="00013BDC" w14:paraId="3ACAD0BC" w14:textId="77777777">
        <w:tc>
          <w:tcPr>
            <w:tcW w:w="3200" w:type="dxa"/>
          </w:tcPr>
          <w:p w14:paraId="52783BA0"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Producer Responsibility Organisations</w:t>
            </w:r>
          </w:p>
        </w:tc>
        <w:tc>
          <w:tcPr>
            <w:tcW w:w="3201" w:type="dxa"/>
          </w:tcPr>
          <w:p w14:paraId="6994492E"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Inspections of producers</w:t>
            </w:r>
          </w:p>
        </w:tc>
        <w:tc>
          <w:tcPr>
            <w:tcW w:w="3201" w:type="dxa"/>
          </w:tcPr>
          <w:p w14:paraId="78C864AA"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3 384 hours (2 FTEs per Member State)</w:t>
            </w:r>
          </w:p>
        </w:tc>
      </w:tr>
      <w:tr w:rsidR="003834C4" w:rsidRPr="00013BDC" w14:paraId="21D62EFB" w14:textId="77777777">
        <w:tc>
          <w:tcPr>
            <w:tcW w:w="9602" w:type="dxa"/>
            <w:gridSpan w:val="3"/>
            <w:shd w:val="clear" w:color="auto" w:fill="F2F2F2" w:themeFill="background1" w:themeFillShade="F2"/>
          </w:tcPr>
          <w:p w14:paraId="11B68342" w14:textId="77777777" w:rsidR="003834C4" w:rsidRPr="00013BDC" w:rsidRDefault="003834C4">
            <w:pPr>
              <w:pStyle w:val="WDBody"/>
              <w:spacing w:after="120"/>
              <w:jc w:val="both"/>
              <w:rPr>
                <w:rFonts w:ascii="Times New Roman" w:hAnsi="Times New Roman"/>
                <w:b/>
                <w:noProof/>
                <w:sz w:val="24"/>
                <w:szCs w:val="24"/>
                <w:lang w:val="en-IE"/>
              </w:rPr>
            </w:pPr>
            <w:r w:rsidRPr="00013BDC">
              <w:rPr>
                <w:rFonts w:ascii="Times New Roman" w:hAnsi="Times New Roman"/>
                <w:b/>
                <w:noProof/>
                <w:sz w:val="24"/>
                <w:szCs w:val="24"/>
                <w:lang w:val="en-IE"/>
              </w:rPr>
              <w:t>Reduced administrative obligations</w:t>
            </w:r>
          </w:p>
        </w:tc>
      </w:tr>
      <w:tr w:rsidR="003834C4" w:rsidRPr="00013BDC" w14:paraId="03C6CB10" w14:textId="77777777">
        <w:tc>
          <w:tcPr>
            <w:tcW w:w="3200" w:type="dxa"/>
          </w:tcPr>
          <w:p w14:paraId="30D508E9"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b/>
                <w:noProof/>
                <w:sz w:val="24"/>
                <w:szCs w:val="24"/>
                <w:lang w:val="en-IE"/>
              </w:rPr>
              <w:t>Target group</w:t>
            </w:r>
          </w:p>
        </w:tc>
        <w:tc>
          <w:tcPr>
            <w:tcW w:w="3201" w:type="dxa"/>
          </w:tcPr>
          <w:p w14:paraId="77C38F2F"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b/>
                <w:noProof/>
                <w:sz w:val="24"/>
                <w:szCs w:val="24"/>
                <w:lang w:val="en-IE"/>
              </w:rPr>
              <w:t>Description of the action</w:t>
            </w:r>
          </w:p>
        </w:tc>
        <w:tc>
          <w:tcPr>
            <w:tcW w:w="3201" w:type="dxa"/>
          </w:tcPr>
          <w:p w14:paraId="2458F54A"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b/>
                <w:noProof/>
                <w:sz w:val="24"/>
                <w:szCs w:val="24"/>
                <w:lang w:val="en-IE"/>
              </w:rPr>
              <w:t>Time required per action per year in hours</w:t>
            </w:r>
          </w:p>
        </w:tc>
      </w:tr>
      <w:tr w:rsidR="003834C4" w:rsidRPr="00013BDC" w14:paraId="5071DB34" w14:textId="77777777">
        <w:tc>
          <w:tcPr>
            <w:tcW w:w="3200" w:type="dxa"/>
          </w:tcPr>
          <w:p w14:paraId="7C68DA9C"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Used textile reuse companies</w:t>
            </w:r>
          </w:p>
        </w:tc>
        <w:tc>
          <w:tcPr>
            <w:tcW w:w="3201" w:type="dxa"/>
          </w:tcPr>
          <w:p w14:paraId="5D977C8B"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Simplification of data reporting through better scope of textiles to be reported against</w:t>
            </w:r>
          </w:p>
        </w:tc>
        <w:tc>
          <w:tcPr>
            <w:tcW w:w="3201" w:type="dxa"/>
          </w:tcPr>
          <w:p w14:paraId="1791D3AA"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4 hours</w:t>
            </w:r>
          </w:p>
        </w:tc>
      </w:tr>
      <w:tr w:rsidR="003834C4" w:rsidRPr="00013BDC" w14:paraId="4794F500" w14:textId="77777777">
        <w:tc>
          <w:tcPr>
            <w:tcW w:w="3200" w:type="dxa"/>
          </w:tcPr>
          <w:p w14:paraId="3AF32771"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 xml:space="preserve">Textile waste management operators </w:t>
            </w:r>
          </w:p>
        </w:tc>
        <w:tc>
          <w:tcPr>
            <w:tcW w:w="3201" w:type="dxa"/>
          </w:tcPr>
          <w:p w14:paraId="1D3CF3D1"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Simplification of data reporting through better scope of textiles to be reported against</w:t>
            </w:r>
          </w:p>
        </w:tc>
        <w:tc>
          <w:tcPr>
            <w:tcW w:w="3201" w:type="dxa"/>
          </w:tcPr>
          <w:p w14:paraId="466263A1" w14:textId="77777777" w:rsidR="003834C4" w:rsidRPr="00013BDC" w:rsidRDefault="003834C4">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4 hours</w:t>
            </w:r>
          </w:p>
        </w:tc>
      </w:tr>
    </w:tbl>
    <w:p w14:paraId="682DFB16" w14:textId="77777777" w:rsidR="003834C4" w:rsidRPr="00013BDC" w:rsidRDefault="003834C4" w:rsidP="009C739C">
      <w:pPr>
        <w:pStyle w:val="WDBody"/>
        <w:spacing w:after="120"/>
        <w:jc w:val="both"/>
        <w:rPr>
          <w:rFonts w:ascii="Times New Roman" w:hAnsi="Times New Roman"/>
          <w:noProof/>
          <w:sz w:val="24"/>
          <w:szCs w:val="24"/>
          <w:lang w:val="en-IE"/>
        </w:rPr>
      </w:pPr>
    </w:p>
    <w:p w14:paraId="455B62E5" w14:textId="1BEAD53C" w:rsidR="004D1855" w:rsidRPr="00013BDC" w:rsidRDefault="004D1855" w:rsidP="00CC2001">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 xml:space="preserve">Waste management costs result from changes in the way in which used textiles and textile wastes would be </w:t>
      </w:r>
      <w:r w:rsidR="00E73598" w:rsidRPr="00013BDC">
        <w:rPr>
          <w:rFonts w:ascii="Times New Roman" w:hAnsi="Times New Roman"/>
          <w:noProof/>
          <w:sz w:val="24"/>
          <w:szCs w:val="24"/>
          <w:lang w:val="en-IE"/>
        </w:rPr>
        <w:t xml:space="preserve">collected, sorted, reused, recycled and subject to further treatment in comparison to the status quo. </w:t>
      </w:r>
      <w:r w:rsidR="0060146D" w:rsidRPr="00013BDC">
        <w:rPr>
          <w:rFonts w:ascii="Times New Roman" w:hAnsi="Times New Roman"/>
          <w:noProof/>
          <w:sz w:val="24"/>
          <w:szCs w:val="24"/>
          <w:lang w:val="en-IE"/>
        </w:rPr>
        <w:t>Two different sources have been used to determine the costs of collection and the costs of subsequent sorting and management as described below</w:t>
      </w:r>
      <w:r w:rsidR="00BD1111" w:rsidRPr="00013BDC">
        <w:rPr>
          <w:rFonts w:ascii="Times New Roman" w:hAnsi="Times New Roman"/>
          <w:noProof/>
          <w:sz w:val="24"/>
          <w:szCs w:val="24"/>
          <w:lang w:val="en-IE"/>
        </w:rPr>
        <w:t>.</w:t>
      </w:r>
    </w:p>
    <w:p w14:paraId="584C1AE7" w14:textId="304CBCFB" w:rsidR="0060146D" w:rsidRPr="00013BDC" w:rsidRDefault="008F627A" w:rsidP="009C739C">
      <w:pPr>
        <w:spacing w:after="120"/>
        <w:rPr>
          <w:noProof/>
          <w:lang w:val="en-IE"/>
        </w:rPr>
      </w:pPr>
      <w:r w:rsidRPr="00013BDC">
        <w:rPr>
          <w:b/>
          <w:i/>
          <w:noProof/>
          <w:lang w:val="en-IE"/>
        </w:rPr>
        <w:t>Costs of collection:</w:t>
      </w:r>
      <w:r w:rsidRPr="00013BDC">
        <w:rPr>
          <w:noProof/>
          <w:lang w:val="en-IE"/>
        </w:rPr>
        <w:t xml:space="preserve"> </w:t>
      </w:r>
      <w:r w:rsidR="004A4358" w:rsidRPr="00013BDC">
        <w:rPr>
          <w:noProof/>
          <w:lang w:val="en-IE"/>
        </w:rPr>
        <w:t xml:space="preserve">The costs of collection are dependent on the type of additional infrastructure that would be required to be added. In keeping with </w:t>
      </w:r>
      <w:r w:rsidR="00BD1111" w:rsidRPr="00013BDC">
        <w:rPr>
          <w:noProof/>
          <w:lang w:val="en-IE"/>
        </w:rPr>
        <w:t xml:space="preserve">most of </w:t>
      </w:r>
      <w:r w:rsidR="004A4358" w:rsidRPr="00013BDC">
        <w:rPr>
          <w:noProof/>
          <w:lang w:val="en-IE"/>
        </w:rPr>
        <w:t xml:space="preserve">the collection being made </w:t>
      </w:r>
      <w:r w:rsidR="00BD1111" w:rsidRPr="00013BDC">
        <w:rPr>
          <w:noProof/>
          <w:lang w:val="en-IE"/>
        </w:rPr>
        <w:t>via</w:t>
      </w:r>
      <w:r w:rsidR="004A4358" w:rsidRPr="00013BDC">
        <w:rPr>
          <w:noProof/>
          <w:lang w:val="en-IE"/>
        </w:rPr>
        <w:t xml:space="preserve"> separate bins, the costs of collection have been based on the operation of separate textile collection bins.</w:t>
      </w:r>
      <w:r w:rsidR="00BD1111" w:rsidRPr="00013BDC">
        <w:rPr>
          <w:noProof/>
          <w:lang w:val="en-IE"/>
        </w:rPr>
        <w:t xml:space="preserve"> </w:t>
      </w:r>
      <w:r w:rsidR="004A4358" w:rsidRPr="00013BDC">
        <w:rPr>
          <w:noProof/>
          <w:lang w:val="en-IE"/>
        </w:rPr>
        <w:t>Data from the CESME project that considered the Humanita textile recycling programme in BG</w:t>
      </w:r>
      <w:r w:rsidR="00453F5D" w:rsidRPr="00013BDC">
        <w:rPr>
          <w:noProof/>
          <w:lang w:val="en-IE"/>
        </w:rPr>
        <w:t xml:space="preserve"> </w:t>
      </w:r>
      <w:r w:rsidR="004A4358" w:rsidRPr="00013BDC">
        <w:rPr>
          <w:rStyle w:val="FootnoteReference"/>
          <w:noProof/>
          <w:lang w:val="en-IE"/>
        </w:rPr>
        <w:footnoteReference w:id="39"/>
      </w:r>
      <w:r w:rsidR="004A4358" w:rsidRPr="00013BDC">
        <w:rPr>
          <w:noProof/>
          <w:lang w:val="en-IE"/>
        </w:rPr>
        <w:t xml:space="preserve"> indicates that addressing approximately 3</w:t>
      </w:r>
      <w:r w:rsidR="002261AC" w:rsidRPr="00013BDC">
        <w:rPr>
          <w:noProof/>
          <w:lang w:val="en-IE"/>
        </w:rPr>
        <w:t xml:space="preserve"> </w:t>
      </w:r>
      <w:r w:rsidR="004A4358" w:rsidRPr="00013BDC">
        <w:rPr>
          <w:noProof/>
          <w:lang w:val="en-IE"/>
        </w:rPr>
        <w:t xml:space="preserve">400 tonnes of textile per </w:t>
      </w:r>
      <w:r w:rsidR="00D00D1B" w:rsidRPr="00013BDC">
        <w:rPr>
          <w:noProof/>
          <w:lang w:val="en-IE"/>
        </w:rPr>
        <w:t>year</w:t>
      </w:r>
      <w:r w:rsidR="004A4358" w:rsidRPr="00013BDC">
        <w:rPr>
          <w:noProof/>
          <w:lang w:val="en-IE"/>
        </w:rPr>
        <w:t xml:space="preserve"> came with combined container, transport and storing costs of 367</w:t>
      </w:r>
      <w:r w:rsidR="002261AC" w:rsidRPr="00013BDC">
        <w:rPr>
          <w:noProof/>
          <w:lang w:val="en-IE"/>
        </w:rPr>
        <w:t xml:space="preserve"> </w:t>
      </w:r>
      <w:r w:rsidR="004A4358" w:rsidRPr="00013BDC">
        <w:rPr>
          <w:noProof/>
          <w:lang w:val="en-IE"/>
        </w:rPr>
        <w:t xml:space="preserve">000 </w:t>
      </w:r>
      <w:r w:rsidR="00453F5D" w:rsidRPr="00013BDC">
        <w:rPr>
          <w:noProof/>
          <w:lang w:val="en-IE"/>
        </w:rPr>
        <w:t xml:space="preserve">euro </w:t>
      </w:r>
      <w:r w:rsidR="004A4358" w:rsidRPr="00013BDC">
        <w:rPr>
          <w:noProof/>
          <w:lang w:val="en-IE"/>
        </w:rPr>
        <w:t xml:space="preserve">of costs per </w:t>
      </w:r>
      <w:r w:rsidR="00D00D1B" w:rsidRPr="00013BDC">
        <w:rPr>
          <w:noProof/>
          <w:lang w:val="en-IE"/>
        </w:rPr>
        <w:t>year</w:t>
      </w:r>
      <w:r w:rsidR="004A4358" w:rsidRPr="00013BDC">
        <w:rPr>
          <w:noProof/>
          <w:lang w:val="en-IE"/>
        </w:rPr>
        <w:t xml:space="preserve"> leading to an average cost of 108 </w:t>
      </w:r>
      <w:r w:rsidR="00453F5D" w:rsidRPr="00013BDC">
        <w:rPr>
          <w:noProof/>
          <w:lang w:val="en-IE"/>
        </w:rPr>
        <w:t xml:space="preserve">euro </w:t>
      </w:r>
      <w:r w:rsidR="004A4358" w:rsidRPr="00013BDC">
        <w:rPr>
          <w:noProof/>
          <w:lang w:val="en-IE"/>
        </w:rPr>
        <w:t xml:space="preserve">per tonne collected. </w:t>
      </w:r>
      <w:r w:rsidR="0073142A" w:rsidRPr="00013BDC">
        <w:rPr>
          <w:noProof/>
          <w:lang w:val="en-IE"/>
        </w:rPr>
        <w:t>However, t</w:t>
      </w:r>
      <w:r w:rsidR="004A4358" w:rsidRPr="00013BDC">
        <w:rPr>
          <w:noProof/>
          <w:lang w:val="en-IE"/>
        </w:rPr>
        <w:t>his figure appears low in comparison to data from the ECAP study on used textile collection in European Cities</w:t>
      </w:r>
      <w:r w:rsidR="004A4358" w:rsidRPr="00013BDC">
        <w:rPr>
          <w:rStyle w:val="FootnoteReference"/>
          <w:noProof/>
          <w:lang w:val="en-IE"/>
        </w:rPr>
        <w:footnoteReference w:id="40"/>
      </w:r>
      <w:r w:rsidR="004A4358" w:rsidRPr="00013BDC">
        <w:rPr>
          <w:noProof/>
          <w:lang w:val="en-IE"/>
        </w:rPr>
        <w:t xml:space="preserve"> that indicates costs of collection in the NL of 165 </w:t>
      </w:r>
      <w:r w:rsidR="00453F5D" w:rsidRPr="00013BDC">
        <w:rPr>
          <w:noProof/>
          <w:lang w:val="en-IE"/>
        </w:rPr>
        <w:t xml:space="preserve">euro </w:t>
      </w:r>
      <w:r w:rsidR="004A4358" w:rsidRPr="00013BDC">
        <w:rPr>
          <w:noProof/>
          <w:lang w:val="en-IE"/>
        </w:rPr>
        <w:t>per tonne.</w:t>
      </w:r>
      <w:r w:rsidR="0073142A" w:rsidRPr="00013BDC">
        <w:rPr>
          <w:noProof/>
          <w:lang w:val="en-IE"/>
        </w:rPr>
        <w:t xml:space="preserve"> </w:t>
      </w:r>
      <w:r w:rsidR="00B17545" w:rsidRPr="00013BDC">
        <w:rPr>
          <w:noProof/>
          <w:lang w:val="en-IE"/>
        </w:rPr>
        <w:t>T</w:t>
      </w:r>
      <w:r w:rsidR="0073142A" w:rsidRPr="00013BDC">
        <w:rPr>
          <w:noProof/>
          <w:lang w:val="en-IE"/>
        </w:rPr>
        <w:t>he BG figures are considered to be at the low end of costs within the EU and the NL figures at the higher end</w:t>
      </w:r>
      <w:r w:rsidR="00B17545" w:rsidRPr="00013BDC">
        <w:rPr>
          <w:noProof/>
          <w:lang w:val="en-IE"/>
        </w:rPr>
        <w:t>. The</w:t>
      </w:r>
      <w:r w:rsidR="0073142A" w:rsidRPr="00013BDC">
        <w:rPr>
          <w:noProof/>
          <w:lang w:val="en-IE"/>
        </w:rPr>
        <w:t xml:space="preserve"> high value </w:t>
      </w:r>
      <w:r w:rsidR="001306DA" w:rsidRPr="00013BDC">
        <w:rPr>
          <w:noProof/>
          <w:lang w:val="en-IE"/>
        </w:rPr>
        <w:t xml:space="preserve">was </w:t>
      </w:r>
      <w:r w:rsidR="0073142A" w:rsidRPr="00013BDC">
        <w:rPr>
          <w:noProof/>
          <w:lang w:val="en-IE"/>
        </w:rPr>
        <w:t xml:space="preserve">used to perform </w:t>
      </w:r>
      <w:r w:rsidR="001306DA" w:rsidRPr="00013BDC">
        <w:rPr>
          <w:noProof/>
          <w:lang w:val="en-IE"/>
        </w:rPr>
        <w:t xml:space="preserve">the </w:t>
      </w:r>
      <w:r w:rsidR="0073142A" w:rsidRPr="00013BDC">
        <w:rPr>
          <w:noProof/>
          <w:lang w:val="en-IE"/>
        </w:rPr>
        <w:t>cal</w:t>
      </w:r>
      <w:r w:rsidR="00453F5D" w:rsidRPr="00013BDC">
        <w:rPr>
          <w:noProof/>
          <w:lang w:val="en-IE"/>
        </w:rPr>
        <w:t>cul</w:t>
      </w:r>
      <w:r w:rsidR="0073142A" w:rsidRPr="00013BDC">
        <w:rPr>
          <w:noProof/>
          <w:lang w:val="en-IE"/>
        </w:rPr>
        <w:t xml:space="preserve">ations of collection costs to avoid </w:t>
      </w:r>
      <w:r w:rsidR="001306DA" w:rsidRPr="00013BDC">
        <w:rPr>
          <w:noProof/>
          <w:lang w:val="en-IE"/>
        </w:rPr>
        <w:t>their</w:t>
      </w:r>
      <w:r w:rsidR="0073142A" w:rsidRPr="00013BDC">
        <w:rPr>
          <w:noProof/>
          <w:lang w:val="en-IE"/>
        </w:rPr>
        <w:t xml:space="preserve"> underestimation.</w:t>
      </w:r>
    </w:p>
    <w:p w14:paraId="2C5A3050" w14:textId="6FE3E021" w:rsidR="00FD5898" w:rsidRPr="00013BDC" w:rsidRDefault="00586F2C" w:rsidP="00F148E4">
      <w:pPr>
        <w:spacing w:after="120"/>
        <w:rPr>
          <w:noProof/>
          <w:lang w:val="en-IE"/>
        </w:rPr>
      </w:pPr>
      <w:r w:rsidRPr="00013BDC">
        <w:rPr>
          <w:b/>
          <w:i/>
          <w:noProof/>
          <w:lang w:val="en-IE"/>
        </w:rPr>
        <w:t>Costs of sorting and treatment:</w:t>
      </w:r>
      <w:r w:rsidRPr="00013BDC">
        <w:rPr>
          <w:noProof/>
          <w:lang w:val="en-IE"/>
        </w:rPr>
        <w:t xml:space="preserve"> In keeping with the Staff Working Document</w:t>
      </w:r>
      <w:r w:rsidRPr="00013BDC">
        <w:rPr>
          <w:rStyle w:val="FootnoteReference"/>
          <w:noProof/>
          <w:lang w:val="en-IE"/>
        </w:rPr>
        <w:footnoteReference w:id="41"/>
      </w:r>
      <w:r w:rsidRPr="00013BDC">
        <w:rPr>
          <w:noProof/>
          <w:lang w:val="en-IE"/>
        </w:rPr>
        <w:t xml:space="preserve"> accompanying the proposal for a Regulation on shipments of waste</w:t>
      </w:r>
      <w:r w:rsidR="002831C9" w:rsidRPr="00013BDC">
        <w:rPr>
          <w:noProof/>
          <w:lang w:val="en-IE"/>
        </w:rPr>
        <w:t xml:space="preserve"> (WSR)</w:t>
      </w:r>
      <w:r w:rsidR="005724E2" w:rsidRPr="00013BDC">
        <w:rPr>
          <w:rStyle w:val="FootnoteReference"/>
          <w:noProof/>
          <w:lang w:val="en-IE"/>
        </w:rPr>
        <w:footnoteReference w:id="42"/>
      </w:r>
      <w:r w:rsidRPr="00013BDC">
        <w:rPr>
          <w:noProof/>
          <w:lang w:val="en-IE"/>
        </w:rPr>
        <w:t xml:space="preserve"> </w:t>
      </w:r>
      <w:r w:rsidR="005724E2" w:rsidRPr="00013BDC">
        <w:rPr>
          <w:noProof/>
          <w:lang w:val="en-IE"/>
        </w:rPr>
        <w:t>the costs of treating textile wastes</w:t>
      </w:r>
      <w:r w:rsidR="002831C9" w:rsidRPr="00013BDC">
        <w:rPr>
          <w:noProof/>
          <w:lang w:val="en-IE"/>
        </w:rPr>
        <w:t xml:space="preserve"> need to consider the capital and operational expenditure related to material sorting and treatment costs. The source material for the WSR Impact Assessment in relation to textile waste has been used in this assessment to ensure consistency in the calculations performed given the significant crossover between the WSR proposal and this initiative in relation to </w:t>
      </w:r>
      <w:r w:rsidR="00312D07" w:rsidRPr="00013BDC">
        <w:rPr>
          <w:noProof/>
          <w:lang w:val="en-IE"/>
        </w:rPr>
        <w:t xml:space="preserve">textiles. The sorting and treatment costs of 650 </w:t>
      </w:r>
      <w:r w:rsidR="00116F96" w:rsidRPr="00013BDC">
        <w:rPr>
          <w:noProof/>
          <w:lang w:val="en-IE"/>
        </w:rPr>
        <w:t>euro</w:t>
      </w:r>
      <w:r w:rsidR="00312D07" w:rsidRPr="00013BDC">
        <w:rPr>
          <w:noProof/>
          <w:lang w:val="en-IE"/>
        </w:rPr>
        <w:t xml:space="preserve"> per tonne have been</w:t>
      </w:r>
      <w:r w:rsidR="000C3A73" w:rsidRPr="00013BDC">
        <w:rPr>
          <w:noProof/>
          <w:lang w:val="en-IE"/>
        </w:rPr>
        <w:t xml:space="preserve"> used which are taken from a</w:t>
      </w:r>
      <w:r w:rsidR="00312D07" w:rsidRPr="00013BDC">
        <w:rPr>
          <w:noProof/>
          <w:lang w:val="en-IE"/>
        </w:rPr>
        <w:t xml:space="preserve"> </w:t>
      </w:r>
      <w:r w:rsidR="000C3A73" w:rsidRPr="00013BDC">
        <w:rPr>
          <w:noProof/>
          <w:lang w:val="en-IE" w:eastAsia="en-GB"/>
        </w:rPr>
        <w:t>COWI, Eunomia Study on investment needs in the waste sector and on the financing of municipal waste management in Member States</w:t>
      </w:r>
      <w:r w:rsidR="009509C5" w:rsidRPr="00013BDC">
        <w:rPr>
          <w:rStyle w:val="FootnoteReference"/>
          <w:noProof/>
          <w:lang w:val="en-IE" w:eastAsia="en-GB"/>
        </w:rPr>
        <w:footnoteReference w:id="43"/>
      </w:r>
      <w:r w:rsidR="000C3A73" w:rsidRPr="00013BDC">
        <w:rPr>
          <w:noProof/>
          <w:lang w:val="en-IE" w:eastAsia="en-GB"/>
        </w:rPr>
        <w:t>. The costs consider a textile reuse/recycling process based including sorting and grading, preparation for reuse for high and low value clothes/other items that require no further treatment, mechanical recycling to low quality recycled fibres and chemical recycling for high quality recycled fibres.</w:t>
      </w:r>
      <w:r w:rsidR="00BD1111" w:rsidRPr="00013BDC">
        <w:rPr>
          <w:noProof/>
          <w:lang w:val="en-IE" w:eastAsia="en-GB"/>
        </w:rPr>
        <w:t xml:space="preserve"> </w:t>
      </w:r>
      <w:r w:rsidR="006F03FA" w:rsidRPr="00013BDC">
        <w:rPr>
          <w:noProof/>
          <w:lang w:val="en-IE"/>
        </w:rPr>
        <w:t xml:space="preserve">The economic values of the wastes retained under certain measures </w:t>
      </w:r>
      <w:r w:rsidR="00C74895" w:rsidRPr="00013BDC">
        <w:rPr>
          <w:noProof/>
          <w:lang w:val="en-IE"/>
        </w:rPr>
        <w:t>because</w:t>
      </w:r>
      <w:r w:rsidR="006F03FA" w:rsidRPr="00013BDC">
        <w:rPr>
          <w:noProof/>
          <w:lang w:val="en-IE"/>
        </w:rPr>
        <w:t xml:space="preserve"> of their treatment higher up the waste hierarchy is challenging due to the wide variety of textile types that are addressed by separate collection, with the </w:t>
      </w:r>
      <w:r w:rsidR="007F7745" w:rsidRPr="00013BDC">
        <w:rPr>
          <w:noProof/>
          <w:lang w:val="en-IE"/>
        </w:rPr>
        <w:t xml:space="preserve">reuse </w:t>
      </w:r>
      <w:r w:rsidR="006F03FA" w:rsidRPr="00013BDC">
        <w:rPr>
          <w:noProof/>
          <w:lang w:val="en-IE"/>
        </w:rPr>
        <w:t xml:space="preserve">value of, for example, collected t-shirts lower than </w:t>
      </w:r>
      <w:r w:rsidR="007F7745" w:rsidRPr="00013BDC">
        <w:rPr>
          <w:noProof/>
          <w:lang w:val="en-IE"/>
        </w:rPr>
        <w:t xml:space="preserve">that of jackets and coats. </w:t>
      </w:r>
      <w:r w:rsidR="00B81D98" w:rsidRPr="00013BDC">
        <w:rPr>
          <w:noProof/>
          <w:lang w:val="en-IE"/>
        </w:rPr>
        <w:t>This variation in terms of types of materials collected is addressed by the JRC</w:t>
      </w:r>
      <w:r w:rsidR="00C74895" w:rsidRPr="00013BDC">
        <w:rPr>
          <w:rStyle w:val="FootnoteReference"/>
          <w:noProof/>
          <w:lang w:val="en-IE"/>
        </w:rPr>
        <w:footnoteReference w:id="44"/>
      </w:r>
      <w:r w:rsidR="00B81D98" w:rsidRPr="00013BDC">
        <w:rPr>
          <w:noProof/>
          <w:lang w:val="en-IE"/>
        </w:rPr>
        <w:t xml:space="preserve"> </w:t>
      </w:r>
      <w:r w:rsidR="00D903DF" w:rsidRPr="00013BDC">
        <w:rPr>
          <w:noProof/>
          <w:lang w:val="en-IE"/>
        </w:rPr>
        <w:t>at</w:t>
      </w:r>
      <w:r w:rsidR="00B81D98" w:rsidRPr="00013BDC">
        <w:rPr>
          <w:noProof/>
          <w:lang w:val="en-IE"/>
        </w:rPr>
        <w:t xml:space="preserve"> table </w:t>
      </w:r>
      <w:r w:rsidR="00D903DF" w:rsidRPr="00013BDC">
        <w:rPr>
          <w:i/>
          <w:noProof/>
          <w:u w:val="single"/>
          <w:lang w:val="en-IE"/>
        </w:rPr>
        <w:fldChar w:fldCharType="begin"/>
      </w:r>
      <w:r w:rsidR="00D903DF" w:rsidRPr="00013BDC">
        <w:rPr>
          <w:i/>
          <w:noProof/>
          <w:u w:val="single"/>
          <w:lang w:val="en-IE"/>
        </w:rPr>
        <w:instrText xml:space="preserve"> REF _Ref132976755 \h </w:instrText>
      </w:r>
      <w:r w:rsidR="005D1EB3" w:rsidRPr="00013BDC">
        <w:rPr>
          <w:i/>
          <w:noProof/>
          <w:u w:val="single"/>
          <w:lang w:val="en-IE"/>
        </w:rPr>
        <w:instrText xml:space="preserve"> \* MERGEFORMAT </w:instrText>
      </w:r>
      <w:r w:rsidR="00D903DF" w:rsidRPr="00013BDC">
        <w:rPr>
          <w:i/>
          <w:noProof/>
          <w:u w:val="single"/>
          <w:lang w:val="en-IE"/>
        </w:rPr>
      </w:r>
      <w:r w:rsidR="00D903DF" w:rsidRPr="00013BDC">
        <w:rPr>
          <w:i/>
          <w:noProof/>
          <w:u w:val="single"/>
          <w:lang w:val="en-IE"/>
        </w:rPr>
        <w:fldChar w:fldCharType="separate"/>
      </w:r>
      <w:r w:rsidR="004C5576" w:rsidRPr="004C5576">
        <w:rPr>
          <w:i/>
          <w:noProof/>
          <w:u w:val="single"/>
          <w:lang w:val="en-IE"/>
        </w:rPr>
        <w:t xml:space="preserve">Table </w:t>
      </w:r>
      <w:r w:rsidR="004C5576" w:rsidRPr="004C5576">
        <w:rPr>
          <w:noProof/>
          <w:lang w:val="en-IE"/>
        </w:rPr>
        <w:t>25</w:t>
      </w:r>
      <w:r w:rsidR="00D903DF" w:rsidRPr="00013BDC">
        <w:rPr>
          <w:i/>
          <w:noProof/>
          <w:u w:val="single"/>
          <w:lang w:val="en-IE"/>
        </w:rPr>
        <w:fldChar w:fldCharType="end"/>
      </w:r>
      <w:r w:rsidR="00D903DF" w:rsidRPr="00013BDC">
        <w:rPr>
          <w:noProof/>
          <w:u w:val="single"/>
          <w:lang w:val="en-IE"/>
        </w:rPr>
        <w:t xml:space="preserve"> i</w:t>
      </w:r>
      <w:r w:rsidR="00D903DF" w:rsidRPr="00013BDC">
        <w:rPr>
          <w:noProof/>
          <w:lang w:val="en-IE"/>
        </w:rPr>
        <w:t>n Annex 6.</w:t>
      </w:r>
    </w:p>
    <w:p w14:paraId="019F7475" w14:textId="219AAB75" w:rsidR="00C74895" w:rsidRPr="00013BDC" w:rsidRDefault="00C74895" w:rsidP="00884DA3">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It is not possible to determine a</w:t>
      </w:r>
      <w:r w:rsidR="00B924DA" w:rsidRPr="00013BDC">
        <w:rPr>
          <w:rFonts w:ascii="Times New Roman" w:hAnsi="Times New Roman"/>
          <w:noProof/>
          <w:sz w:val="24"/>
          <w:szCs w:val="24"/>
          <w:lang w:val="en-IE"/>
        </w:rPr>
        <w:t>n accurate</w:t>
      </w:r>
      <w:r w:rsidRPr="00013BDC">
        <w:rPr>
          <w:rFonts w:ascii="Times New Roman" w:hAnsi="Times New Roman"/>
          <w:noProof/>
          <w:sz w:val="24"/>
          <w:szCs w:val="24"/>
          <w:lang w:val="en-IE"/>
        </w:rPr>
        <w:t xml:space="preserve"> </w:t>
      </w:r>
      <w:r w:rsidR="00E61A39" w:rsidRPr="00013BDC">
        <w:rPr>
          <w:rFonts w:ascii="Times New Roman" w:hAnsi="Times New Roman"/>
          <w:noProof/>
          <w:sz w:val="24"/>
          <w:szCs w:val="24"/>
          <w:lang w:val="en-IE"/>
        </w:rPr>
        <w:t xml:space="preserve">resale </w:t>
      </w:r>
      <w:r w:rsidRPr="00013BDC">
        <w:rPr>
          <w:rFonts w:ascii="Times New Roman" w:hAnsi="Times New Roman"/>
          <w:noProof/>
          <w:sz w:val="24"/>
          <w:szCs w:val="24"/>
          <w:lang w:val="en-IE"/>
        </w:rPr>
        <w:t>value</w:t>
      </w:r>
      <w:r w:rsidR="1EB354AA" w:rsidRPr="00013BDC">
        <w:rPr>
          <w:rFonts w:ascii="Times New Roman" w:hAnsi="Times New Roman"/>
          <w:noProof/>
          <w:sz w:val="24"/>
          <w:szCs w:val="24"/>
          <w:lang w:val="en-IE"/>
        </w:rPr>
        <w:t xml:space="preserve"> </w:t>
      </w:r>
      <w:r w:rsidRPr="00013BDC">
        <w:rPr>
          <w:rFonts w:ascii="Times New Roman" w:hAnsi="Times New Roman"/>
          <w:noProof/>
          <w:sz w:val="24"/>
          <w:szCs w:val="24"/>
          <w:lang w:val="en-IE"/>
        </w:rPr>
        <w:t>for each of these constituent parts</w:t>
      </w:r>
      <w:r w:rsidR="00E61A39" w:rsidRPr="00013BDC">
        <w:rPr>
          <w:rFonts w:ascii="Times New Roman" w:hAnsi="Times New Roman"/>
          <w:noProof/>
          <w:sz w:val="24"/>
          <w:szCs w:val="24"/>
          <w:lang w:val="en-IE"/>
        </w:rPr>
        <w:t xml:space="preserve"> for reuse or recycling</w:t>
      </w:r>
      <w:r w:rsidRPr="00013BDC">
        <w:rPr>
          <w:rFonts w:ascii="Times New Roman" w:hAnsi="Times New Roman"/>
          <w:noProof/>
          <w:sz w:val="24"/>
          <w:szCs w:val="24"/>
          <w:lang w:val="en-IE"/>
        </w:rPr>
        <w:t xml:space="preserve"> separately. Consequently, the market value of</w:t>
      </w:r>
      <w:r w:rsidR="00272C97" w:rsidRPr="00013BDC">
        <w:rPr>
          <w:rFonts w:ascii="Times New Roman" w:hAnsi="Times New Roman"/>
          <w:noProof/>
          <w:sz w:val="24"/>
          <w:szCs w:val="24"/>
          <w:lang w:val="en-IE"/>
        </w:rPr>
        <w:t xml:space="preserve"> used and waste</w:t>
      </w:r>
      <w:r w:rsidRPr="00013BDC">
        <w:rPr>
          <w:rFonts w:ascii="Times New Roman" w:hAnsi="Times New Roman"/>
          <w:noProof/>
          <w:sz w:val="24"/>
          <w:szCs w:val="24"/>
          <w:lang w:val="en-IE"/>
        </w:rPr>
        <w:t xml:space="preserve"> </w:t>
      </w:r>
      <w:r w:rsidR="00272C97" w:rsidRPr="00013BDC">
        <w:rPr>
          <w:rFonts w:ascii="Times New Roman" w:hAnsi="Times New Roman"/>
          <w:noProof/>
          <w:sz w:val="24"/>
          <w:szCs w:val="24"/>
          <w:lang w:val="en-IE"/>
        </w:rPr>
        <w:t>textiles sold on the market have been applied using sales values per tonne from Fashion for Good for 2022</w:t>
      </w:r>
      <w:r w:rsidR="00272C97" w:rsidRPr="00013BDC">
        <w:rPr>
          <w:rStyle w:val="FootnoteReference"/>
          <w:rFonts w:ascii="Times New Roman" w:hAnsi="Times New Roman"/>
          <w:noProof/>
          <w:sz w:val="24"/>
          <w:szCs w:val="24"/>
          <w:lang w:val="en-IE"/>
        </w:rPr>
        <w:footnoteReference w:id="45"/>
      </w:r>
      <w:r w:rsidR="00272C97" w:rsidRPr="00013BDC">
        <w:rPr>
          <w:rFonts w:ascii="Times New Roman" w:hAnsi="Times New Roman"/>
          <w:noProof/>
          <w:sz w:val="24"/>
          <w:szCs w:val="24"/>
          <w:lang w:val="en-IE"/>
        </w:rPr>
        <w:t>. These values are broken down as in the table below.</w:t>
      </w:r>
    </w:p>
    <w:p w14:paraId="4AEBB9CB" w14:textId="0589E5C6" w:rsidR="00FD3A6B" w:rsidRPr="00013BDC" w:rsidRDefault="006C32A3" w:rsidP="00FD3A6B">
      <w:pPr>
        <w:pStyle w:val="Caption"/>
        <w:rPr>
          <w:noProof/>
          <w:color w:val="auto"/>
          <w:sz w:val="24"/>
          <w:szCs w:val="24"/>
          <w:lang w:val="en-IE"/>
        </w:rPr>
      </w:pPr>
      <w:bookmarkStart w:id="294" w:name="_Toc133229419"/>
      <w:bookmarkStart w:id="295" w:name="_Toc139033040"/>
      <w:r w:rsidRPr="00013BDC">
        <w:rPr>
          <w:noProof/>
          <w:color w:val="auto"/>
          <w:sz w:val="24"/>
          <w:szCs w:val="24"/>
          <w:lang w:val="en-IE"/>
        </w:rPr>
        <w:t xml:space="preserve">Table </w:t>
      </w:r>
      <w:r w:rsidR="004C5576">
        <w:rPr>
          <w:noProof/>
          <w:color w:val="auto"/>
          <w:sz w:val="24"/>
          <w:szCs w:val="24"/>
        </w:rPr>
        <w:t>10</w:t>
      </w:r>
      <w:r w:rsidRPr="00013BDC">
        <w:rPr>
          <w:noProof/>
          <w:color w:val="auto"/>
          <w:sz w:val="24"/>
          <w:szCs w:val="24"/>
          <w:lang w:val="en-IE"/>
        </w:rPr>
        <w:t xml:space="preserve"> – Sales value by textile treatment route, euro per tonne</w:t>
      </w:r>
      <w:bookmarkEnd w:id="294"/>
      <w:bookmarkEnd w:id="295"/>
    </w:p>
    <w:tbl>
      <w:tblPr>
        <w:tblStyle w:val="TableGrid"/>
        <w:tblW w:w="6663" w:type="dxa"/>
        <w:jc w:val="center"/>
        <w:tblLayout w:type="fixed"/>
        <w:tblLook w:val="04A0" w:firstRow="1" w:lastRow="0" w:firstColumn="1" w:lastColumn="0" w:noHBand="0" w:noVBand="1"/>
      </w:tblPr>
      <w:tblGrid>
        <w:gridCol w:w="3120"/>
        <w:gridCol w:w="3543"/>
      </w:tblGrid>
      <w:tr w:rsidR="00272C97" w:rsidRPr="00013BDC" w14:paraId="497A0CD9" w14:textId="77777777" w:rsidTr="00C35E10">
        <w:trPr>
          <w:trHeight w:val="557"/>
          <w:jc w:val="center"/>
        </w:trPr>
        <w:tc>
          <w:tcPr>
            <w:tcW w:w="3120" w:type="dxa"/>
          </w:tcPr>
          <w:p w14:paraId="62B59BA5" w14:textId="0F1858E5" w:rsidR="00272C97" w:rsidRPr="00013BDC" w:rsidRDefault="00272C97">
            <w:pPr>
              <w:pStyle w:val="WDBody"/>
              <w:spacing w:after="120"/>
              <w:rPr>
                <w:rFonts w:ascii="Times New Roman" w:hAnsi="Times New Roman"/>
                <w:b/>
                <w:noProof/>
                <w:sz w:val="24"/>
                <w:szCs w:val="24"/>
                <w:lang w:val="en-IE"/>
              </w:rPr>
            </w:pPr>
            <w:r w:rsidRPr="00013BDC">
              <w:rPr>
                <w:rFonts w:ascii="Times New Roman" w:hAnsi="Times New Roman"/>
                <w:b/>
                <w:noProof/>
                <w:sz w:val="24"/>
                <w:szCs w:val="24"/>
                <w:lang w:val="en-IE"/>
              </w:rPr>
              <w:t xml:space="preserve">Textile </w:t>
            </w:r>
            <w:r w:rsidR="002A79C9" w:rsidRPr="00013BDC">
              <w:rPr>
                <w:rFonts w:ascii="Times New Roman" w:hAnsi="Times New Roman"/>
                <w:b/>
                <w:noProof/>
                <w:sz w:val="24"/>
                <w:szCs w:val="24"/>
                <w:lang w:val="en-IE"/>
              </w:rPr>
              <w:t xml:space="preserve">treatment </w:t>
            </w:r>
            <w:r w:rsidR="003B72D3" w:rsidRPr="00013BDC">
              <w:rPr>
                <w:rFonts w:ascii="Times New Roman" w:hAnsi="Times New Roman"/>
                <w:b/>
                <w:noProof/>
                <w:sz w:val="24"/>
                <w:szCs w:val="24"/>
                <w:lang w:val="en-IE"/>
              </w:rPr>
              <w:t>route</w:t>
            </w:r>
          </w:p>
        </w:tc>
        <w:tc>
          <w:tcPr>
            <w:tcW w:w="3543" w:type="dxa"/>
          </w:tcPr>
          <w:p w14:paraId="6C2102EC" w14:textId="34170DC0" w:rsidR="00272C97" w:rsidRPr="00013BDC" w:rsidRDefault="002A79C9">
            <w:pPr>
              <w:pStyle w:val="WDBody"/>
              <w:spacing w:after="120"/>
              <w:rPr>
                <w:rFonts w:ascii="Times New Roman" w:hAnsi="Times New Roman"/>
                <w:b/>
                <w:noProof/>
                <w:sz w:val="24"/>
                <w:szCs w:val="24"/>
                <w:lang w:val="en-IE"/>
              </w:rPr>
            </w:pPr>
            <w:r w:rsidRPr="00013BDC">
              <w:rPr>
                <w:rFonts w:ascii="Times New Roman" w:hAnsi="Times New Roman"/>
                <w:b/>
                <w:noProof/>
                <w:sz w:val="24"/>
                <w:szCs w:val="24"/>
                <w:lang w:val="en-IE"/>
              </w:rPr>
              <w:t xml:space="preserve">Sales value in </w:t>
            </w:r>
            <w:r w:rsidR="003B72D3" w:rsidRPr="00013BDC">
              <w:rPr>
                <w:rFonts w:ascii="Times New Roman" w:hAnsi="Times New Roman"/>
                <w:b/>
                <w:noProof/>
                <w:sz w:val="24"/>
                <w:szCs w:val="24"/>
                <w:lang w:val="en-IE"/>
              </w:rPr>
              <w:t>EUR</w:t>
            </w:r>
            <w:r w:rsidRPr="00013BDC">
              <w:rPr>
                <w:rFonts w:ascii="Times New Roman" w:hAnsi="Times New Roman"/>
                <w:b/>
                <w:noProof/>
                <w:sz w:val="24"/>
                <w:szCs w:val="24"/>
                <w:lang w:val="en-IE"/>
              </w:rPr>
              <w:t xml:space="preserve"> per tonne</w:t>
            </w:r>
          </w:p>
        </w:tc>
      </w:tr>
      <w:tr w:rsidR="00272C97" w:rsidRPr="00013BDC" w14:paraId="784B11D1" w14:textId="77777777" w:rsidTr="00C35E10">
        <w:trPr>
          <w:trHeight w:val="984"/>
          <w:jc w:val="center"/>
        </w:trPr>
        <w:tc>
          <w:tcPr>
            <w:tcW w:w="3120" w:type="dxa"/>
          </w:tcPr>
          <w:p w14:paraId="37C43305" w14:textId="1ABBB40E" w:rsidR="00272C97" w:rsidRPr="00013BDC" w:rsidRDefault="00272C97">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Value of textiles</w:t>
            </w:r>
            <w:r w:rsidR="007A41BA" w:rsidRPr="00013BDC">
              <w:rPr>
                <w:rFonts w:ascii="Times New Roman" w:hAnsi="Times New Roman"/>
                <w:noProof/>
                <w:sz w:val="24"/>
                <w:szCs w:val="24"/>
                <w:lang w:val="en-IE"/>
              </w:rPr>
              <w:t xml:space="preserve"> suitable for reuse</w:t>
            </w:r>
            <w:r w:rsidRPr="00013BDC">
              <w:rPr>
                <w:rFonts w:ascii="Times New Roman" w:hAnsi="Times New Roman"/>
                <w:noProof/>
                <w:sz w:val="24"/>
                <w:szCs w:val="24"/>
                <w:lang w:val="en-IE"/>
              </w:rPr>
              <w:t xml:space="preserve"> per tonne for export outside the EU (EUR)</w:t>
            </w:r>
          </w:p>
        </w:tc>
        <w:tc>
          <w:tcPr>
            <w:tcW w:w="3543" w:type="dxa"/>
          </w:tcPr>
          <w:p w14:paraId="7CE6115E" w14:textId="77777777" w:rsidR="00272C97" w:rsidRPr="00013BDC" w:rsidRDefault="00272C97">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760</w:t>
            </w:r>
          </w:p>
        </w:tc>
      </w:tr>
      <w:tr w:rsidR="00272C97" w:rsidRPr="00013BDC" w14:paraId="5F27C91D" w14:textId="77777777" w:rsidTr="00C35E10">
        <w:trPr>
          <w:trHeight w:val="269"/>
          <w:jc w:val="center"/>
        </w:trPr>
        <w:tc>
          <w:tcPr>
            <w:tcW w:w="3120" w:type="dxa"/>
          </w:tcPr>
          <w:p w14:paraId="72F788B7" w14:textId="1662D75B" w:rsidR="00272C97" w:rsidRPr="00013BDC" w:rsidRDefault="00272C97">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 xml:space="preserve">Value of </w:t>
            </w:r>
            <w:r w:rsidR="00E61A39" w:rsidRPr="00013BDC">
              <w:rPr>
                <w:rFonts w:ascii="Times New Roman" w:hAnsi="Times New Roman"/>
                <w:noProof/>
                <w:sz w:val="24"/>
                <w:szCs w:val="24"/>
                <w:lang w:val="en-IE"/>
              </w:rPr>
              <w:t xml:space="preserve">textiles suitable </w:t>
            </w:r>
            <w:r w:rsidR="007A41BA" w:rsidRPr="00013BDC">
              <w:rPr>
                <w:rFonts w:ascii="Times New Roman" w:hAnsi="Times New Roman"/>
                <w:noProof/>
                <w:sz w:val="24"/>
                <w:szCs w:val="24"/>
                <w:lang w:val="en-IE"/>
              </w:rPr>
              <w:t>as</w:t>
            </w:r>
            <w:r w:rsidR="00E61A39" w:rsidRPr="00013BDC">
              <w:rPr>
                <w:rFonts w:ascii="Times New Roman" w:hAnsi="Times New Roman"/>
                <w:noProof/>
                <w:sz w:val="24"/>
                <w:szCs w:val="24"/>
                <w:lang w:val="en-IE"/>
              </w:rPr>
              <w:t xml:space="preserve"> </w:t>
            </w:r>
            <w:r w:rsidR="007A41BA" w:rsidRPr="00013BDC">
              <w:rPr>
                <w:rFonts w:ascii="Times New Roman" w:hAnsi="Times New Roman"/>
                <w:noProof/>
                <w:sz w:val="24"/>
                <w:szCs w:val="24"/>
                <w:lang w:val="en-IE"/>
              </w:rPr>
              <w:t xml:space="preserve">feedstock for </w:t>
            </w:r>
            <w:r w:rsidRPr="00013BDC">
              <w:rPr>
                <w:rFonts w:ascii="Times New Roman" w:hAnsi="Times New Roman"/>
                <w:noProof/>
                <w:sz w:val="24"/>
                <w:szCs w:val="24"/>
                <w:lang w:val="en-IE"/>
              </w:rPr>
              <w:t xml:space="preserve">closed loop </w:t>
            </w:r>
            <w:r w:rsidR="007A41BA" w:rsidRPr="00013BDC">
              <w:rPr>
                <w:rFonts w:ascii="Times New Roman" w:hAnsi="Times New Roman"/>
                <w:noProof/>
                <w:sz w:val="24"/>
                <w:szCs w:val="24"/>
                <w:lang w:val="en-IE"/>
              </w:rPr>
              <w:t xml:space="preserve">recycling </w:t>
            </w:r>
            <w:r w:rsidRPr="00013BDC">
              <w:rPr>
                <w:rFonts w:ascii="Times New Roman" w:hAnsi="Times New Roman"/>
                <w:noProof/>
                <w:sz w:val="24"/>
                <w:szCs w:val="24"/>
                <w:lang w:val="en-IE"/>
              </w:rPr>
              <w:t>per tonne (EUR)</w:t>
            </w:r>
          </w:p>
        </w:tc>
        <w:tc>
          <w:tcPr>
            <w:tcW w:w="3543" w:type="dxa"/>
          </w:tcPr>
          <w:p w14:paraId="1D44D62F" w14:textId="77777777" w:rsidR="00272C97" w:rsidRPr="00013BDC" w:rsidRDefault="00272C97">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230</w:t>
            </w:r>
          </w:p>
        </w:tc>
      </w:tr>
      <w:tr w:rsidR="00272C97" w:rsidRPr="00013BDC" w14:paraId="4EBD552D" w14:textId="77777777" w:rsidTr="00C35E10">
        <w:trPr>
          <w:trHeight w:val="255"/>
          <w:jc w:val="center"/>
        </w:trPr>
        <w:tc>
          <w:tcPr>
            <w:tcW w:w="3120" w:type="dxa"/>
          </w:tcPr>
          <w:p w14:paraId="145B3DE5" w14:textId="2DF60DC3" w:rsidR="00272C97" w:rsidRPr="00013BDC" w:rsidRDefault="00272C97">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Value of</w:t>
            </w:r>
            <w:r w:rsidR="007A41BA" w:rsidRPr="00013BDC">
              <w:rPr>
                <w:rFonts w:ascii="Times New Roman" w:hAnsi="Times New Roman"/>
                <w:noProof/>
                <w:sz w:val="24"/>
                <w:szCs w:val="24"/>
                <w:lang w:val="en-IE"/>
              </w:rPr>
              <w:t xml:space="preserve"> textiles suitable as feedstock for</w:t>
            </w:r>
            <w:r w:rsidRPr="00013BDC">
              <w:rPr>
                <w:rFonts w:ascii="Times New Roman" w:hAnsi="Times New Roman"/>
                <w:noProof/>
                <w:sz w:val="24"/>
                <w:szCs w:val="24"/>
                <w:lang w:val="en-IE"/>
              </w:rPr>
              <w:t xml:space="preserve"> open loop textiles per tonne (EUR)</w:t>
            </w:r>
          </w:p>
        </w:tc>
        <w:tc>
          <w:tcPr>
            <w:tcW w:w="3543" w:type="dxa"/>
          </w:tcPr>
          <w:p w14:paraId="0B62444D" w14:textId="77777777" w:rsidR="00272C97" w:rsidRPr="00013BDC" w:rsidRDefault="00272C97">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120</w:t>
            </w:r>
          </w:p>
        </w:tc>
      </w:tr>
    </w:tbl>
    <w:p w14:paraId="48C6C553" w14:textId="77777777" w:rsidR="00272C97" w:rsidRPr="00013BDC" w:rsidRDefault="00272C97" w:rsidP="00C35E10">
      <w:pPr>
        <w:pStyle w:val="WDBody"/>
        <w:spacing w:after="0"/>
        <w:jc w:val="both"/>
        <w:rPr>
          <w:rFonts w:ascii="Times New Roman" w:hAnsi="Times New Roman"/>
          <w:noProof/>
          <w:sz w:val="24"/>
          <w:szCs w:val="24"/>
          <w:lang w:val="en-IE"/>
        </w:rPr>
      </w:pPr>
    </w:p>
    <w:p w14:paraId="103910CA" w14:textId="45309407" w:rsidR="00272C97" w:rsidRPr="00013BDC" w:rsidRDefault="002A79C9" w:rsidP="00292961">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 xml:space="preserve">Subsequently, in </w:t>
      </w:r>
      <w:r w:rsidR="003D4FD9" w:rsidRPr="00013BDC">
        <w:rPr>
          <w:rFonts w:ascii="Times New Roman" w:hAnsi="Times New Roman"/>
          <w:noProof/>
          <w:sz w:val="24"/>
          <w:szCs w:val="24"/>
          <w:lang w:val="en-IE"/>
        </w:rPr>
        <w:t>determining</w:t>
      </w:r>
      <w:r w:rsidRPr="00013BDC">
        <w:rPr>
          <w:rFonts w:ascii="Times New Roman" w:hAnsi="Times New Roman"/>
          <w:noProof/>
          <w:sz w:val="24"/>
          <w:szCs w:val="24"/>
          <w:lang w:val="en-IE"/>
        </w:rPr>
        <w:t xml:space="preserve"> the economic benefits stemming from the movement of used textiles and textile waste up the waste hierarchy to the tonnes of textiles affected.</w:t>
      </w:r>
    </w:p>
    <w:p w14:paraId="0AFD5002" w14:textId="5E59F850" w:rsidR="003D3D55" w:rsidRPr="00013BDC" w:rsidRDefault="003D3D55" w:rsidP="003D3D55">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 xml:space="preserve">Calculation of the impacts on prices of individual items as a result of the proposed measures is complicated by the sheer variety of textile goods collected (see Table </w:t>
      </w:r>
      <w:r w:rsidR="00324540" w:rsidRPr="00013BDC">
        <w:rPr>
          <w:rFonts w:ascii="Times New Roman" w:hAnsi="Times New Roman"/>
          <w:noProof/>
          <w:sz w:val="24"/>
          <w:szCs w:val="24"/>
          <w:lang w:val="en-IE"/>
        </w:rPr>
        <w:t>9</w:t>
      </w:r>
      <w:r w:rsidRPr="00013BDC">
        <w:rPr>
          <w:rFonts w:ascii="Times New Roman" w:hAnsi="Times New Roman"/>
          <w:noProof/>
          <w:sz w:val="24"/>
          <w:szCs w:val="24"/>
          <w:lang w:val="en-IE"/>
        </w:rPr>
        <w:t xml:space="preserve"> above) and the fact that the prices of textile goods also vary.  In the case of fees that may be applied in the case of extended producer responsibility schemes Ecologic</w:t>
      </w:r>
      <w:r w:rsidRPr="00013BDC">
        <w:rPr>
          <w:rStyle w:val="FootnoteReference"/>
          <w:rFonts w:ascii="Times New Roman" w:hAnsi="Times New Roman"/>
          <w:noProof/>
          <w:sz w:val="24"/>
          <w:szCs w:val="24"/>
          <w:lang w:val="en-IE"/>
        </w:rPr>
        <w:footnoteReference w:id="46"/>
      </w:r>
      <w:r w:rsidRPr="00013BDC">
        <w:rPr>
          <w:rFonts w:ascii="Times New Roman" w:hAnsi="Times New Roman"/>
          <w:noProof/>
          <w:sz w:val="24"/>
          <w:szCs w:val="24"/>
          <w:lang w:val="en-IE"/>
        </w:rPr>
        <w:t xml:space="preserve"> examined the EPR fees in comparison to product costs for a number of product types including textiles as shown in the figure below.</w:t>
      </w:r>
    </w:p>
    <w:p w14:paraId="32F30198" w14:textId="47ED8090" w:rsidR="003D3D55" w:rsidRPr="00013BDC" w:rsidRDefault="003D3D55" w:rsidP="003D3D55">
      <w:pPr>
        <w:pStyle w:val="Caption"/>
        <w:rPr>
          <w:noProof/>
          <w:color w:val="auto"/>
          <w:sz w:val="24"/>
          <w:szCs w:val="24"/>
          <w:lang w:val="en-IE"/>
        </w:rPr>
      </w:pPr>
      <w:bookmarkStart w:id="296" w:name="_Toc133229272"/>
      <w:bookmarkStart w:id="297" w:name="_Toc139032999"/>
      <w:r w:rsidRPr="00013BDC">
        <w:rPr>
          <w:noProof/>
          <w:color w:val="auto"/>
          <w:sz w:val="24"/>
          <w:szCs w:val="24"/>
          <w:lang w:val="en-IE"/>
        </w:rPr>
        <w:t xml:space="preserve">Figure </w:t>
      </w:r>
      <w:r w:rsidR="004C5576">
        <w:rPr>
          <w:noProof/>
          <w:color w:val="auto"/>
          <w:sz w:val="24"/>
          <w:szCs w:val="24"/>
          <w:lang w:val="en-IE"/>
        </w:rPr>
        <w:t>2</w:t>
      </w:r>
      <w:r w:rsidRPr="00013BDC">
        <w:rPr>
          <w:noProof/>
          <w:color w:val="auto"/>
          <w:sz w:val="24"/>
          <w:szCs w:val="24"/>
          <w:lang w:val="en-IE"/>
        </w:rPr>
        <w:t xml:space="preserve"> EPR fee to product cost ratios identified by Ecologic</w:t>
      </w:r>
      <w:bookmarkEnd w:id="296"/>
      <w:bookmarkEnd w:id="297"/>
    </w:p>
    <w:p w14:paraId="2F90E5C8" w14:textId="77777777" w:rsidR="003D3D55" w:rsidRPr="00013BDC" w:rsidRDefault="003D3D55" w:rsidP="003D3D55">
      <w:pPr>
        <w:pStyle w:val="WDBody"/>
        <w:spacing w:after="240"/>
        <w:jc w:val="center"/>
        <w:rPr>
          <w:rFonts w:ascii="Times New Roman" w:hAnsi="Times New Roman"/>
          <w:noProof/>
          <w:sz w:val="24"/>
          <w:szCs w:val="24"/>
          <w:lang w:val="en-IE"/>
        </w:rPr>
      </w:pPr>
      <w:r w:rsidRPr="00013BDC">
        <w:rPr>
          <w:noProof/>
          <w:lang w:eastAsia="en-GB"/>
        </w:rPr>
        <w:drawing>
          <wp:inline distT="0" distB="0" distL="0" distR="0" wp14:anchorId="19BB2E65" wp14:editId="3CEF8AD2">
            <wp:extent cx="4533900" cy="3001314"/>
            <wp:effectExtent l="0" t="0" r="0" b="8890"/>
            <wp:docPr id="1200524298" name="Picture 1200524298"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24298" name="Picture 1200524298" descr="A picture containing text, screenshot, businesscard&#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2388" cy="3006933"/>
                    </a:xfrm>
                    <a:prstGeom prst="rect">
                      <a:avLst/>
                    </a:prstGeom>
                    <a:noFill/>
                    <a:ln>
                      <a:noFill/>
                    </a:ln>
                  </pic:spPr>
                </pic:pic>
              </a:graphicData>
            </a:graphic>
          </wp:inline>
        </w:drawing>
      </w:r>
    </w:p>
    <w:p w14:paraId="64CC0105" w14:textId="3C97FD23" w:rsidR="003D3D55" w:rsidRPr="00013BDC" w:rsidRDefault="003D3D55" w:rsidP="003D3D55">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In the case of textiles</w:t>
      </w:r>
      <w:r w:rsidR="00324540" w:rsidRPr="00013BDC">
        <w:rPr>
          <w:rFonts w:ascii="Times New Roman" w:hAnsi="Times New Roman"/>
          <w:noProof/>
          <w:sz w:val="24"/>
          <w:szCs w:val="24"/>
          <w:lang w:val="en-IE"/>
        </w:rPr>
        <w:t>,</w:t>
      </w:r>
      <w:r w:rsidRPr="00013BDC">
        <w:rPr>
          <w:rFonts w:ascii="Times New Roman" w:hAnsi="Times New Roman"/>
          <w:noProof/>
          <w:sz w:val="24"/>
          <w:szCs w:val="24"/>
          <w:lang w:val="en-IE"/>
        </w:rPr>
        <w:t xml:space="preserve"> it was identified that the costs currently applied in FR represent a small cost in comparison to the product cost – approximately 0.04% of the total cost.  </w:t>
      </w:r>
    </w:p>
    <w:p w14:paraId="01501515" w14:textId="2CB1906C" w:rsidR="003D3D55" w:rsidRPr="00013BDC" w:rsidRDefault="003D3D55" w:rsidP="003D3D55">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In order to consider the maximum increase that may apply on an item whereby all waste management costs for all discarded textiles are applied to the cost of a product, a T-shirt has been used as an example item in keeping with the Ecologic example above.  The costs of sorting and collection per tonne of discarded textiles is presented above as €815 per tonne encompassing €165 per tonne collection costs and €650 per tonne sorting and treatment costs.  Using a theoretical example of a T-shirt which, as noted under determining environmental costs and benefits weights on average 155g, in a tonne of textiles waste that were composed entirely of T-shirts there would be 6,450 T-shirts contained therein. Dividing the total costs per tonne by the number of T-shirts would give a maximum cost of €0.12 per T-shirt.  This represents an extremely conservative estimate of cost given that T-Shirts are generally easier to treat than other textile products.  However, even at this cost the potential fee applicable would represent 0.6% of the total cost of the product. Where possible impacts on costs are presented against the measures assessed.</w:t>
      </w:r>
    </w:p>
    <w:p w14:paraId="5FF667E9" w14:textId="2E9D42C2" w:rsidR="003D3D55" w:rsidRPr="00013BDC" w:rsidRDefault="003D3D55" w:rsidP="00292961">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In some cases</w:t>
      </w:r>
      <w:r w:rsidR="00C44B3A" w:rsidRPr="00013BDC">
        <w:rPr>
          <w:rFonts w:ascii="Times New Roman" w:hAnsi="Times New Roman"/>
          <w:noProof/>
          <w:sz w:val="24"/>
          <w:szCs w:val="24"/>
          <w:lang w:val="en-IE"/>
        </w:rPr>
        <w:t>,</w:t>
      </w:r>
      <w:r w:rsidRPr="00013BDC">
        <w:rPr>
          <w:rFonts w:ascii="Times New Roman" w:hAnsi="Times New Roman"/>
          <w:noProof/>
          <w:sz w:val="24"/>
          <w:szCs w:val="24"/>
          <w:lang w:val="en-IE"/>
        </w:rPr>
        <w:t xml:space="preserve"> measures would have an impact on a fraction of the total discarded textiles.  This may be the case where a target is set for collection that would require an additional percentage of discarded textiles would be required to be collected but the costs of that collection could be applied to all goods placed on the market.  In such cases the relative value is presented as a fraction of the 0.6% used as the maximum total cost calculated above.</w:t>
      </w:r>
    </w:p>
    <w:p w14:paraId="13078F98" w14:textId="77777777" w:rsidR="00CA26DB" w:rsidRPr="00013BDC" w:rsidRDefault="00CA26DB" w:rsidP="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There are several economic costs and/or benefits that could not be calculated as part of this assessment as outlined in the table below.</w:t>
      </w:r>
    </w:p>
    <w:p w14:paraId="0A52BD6E" w14:textId="63BCC185" w:rsidR="00CA26DB" w:rsidRPr="00013BDC" w:rsidRDefault="00CA26DB" w:rsidP="00CA26DB">
      <w:pPr>
        <w:pStyle w:val="Caption"/>
        <w:rPr>
          <w:noProof/>
          <w:color w:val="auto"/>
          <w:sz w:val="24"/>
          <w:szCs w:val="24"/>
          <w:lang w:val="en-IE"/>
        </w:rPr>
      </w:pPr>
      <w:bookmarkStart w:id="298" w:name="_Toc133229420"/>
      <w:bookmarkStart w:id="299" w:name="_Toc139033041"/>
      <w:r w:rsidRPr="00013BDC">
        <w:rPr>
          <w:noProof/>
          <w:color w:val="auto"/>
          <w:sz w:val="24"/>
          <w:szCs w:val="24"/>
          <w:lang w:val="en-IE"/>
        </w:rPr>
        <w:t xml:space="preserve">Table </w:t>
      </w:r>
      <w:r w:rsidR="004C5576">
        <w:rPr>
          <w:noProof/>
          <w:color w:val="auto"/>
          <w:sz w:val="24"/>
          <w:szCs w:val="24"/>
          <w:lang w:val="en-IE"/>
        </w:rPr>
        <w:t>11</w:t>
      </w:r>
      <w:r w:rsidRPr="00013BDC">
        <w:rPr>
          <w:noProof/>
          <w:color w:val="auto"/>
          <w:sz w:val="24"/>
          <w:szCs w:val="24"/>
          <w:lang w:val="en-IE"/>
        </w:rPr>
        <w:t xml:space="preserve"> - Economic costs and benefits that are relevant for the assessment but could not be quantified</w:t>
      </w:r>
      <w:bookmarkEnd w:id="298"/>
      <w:bookmarkEnd w:id="299"/>
    </w:p>
    <w:tbl>
      <w:tblPr>
        <w:tblStyle w:val="TableGrid"/>
        <w:tblW w:w="0" w:type="auto"/>
        <w:tblLook w:val="04A0" w:firstRow="1" w:lastRow="0" w:firstColumn="1" w:lastColumn="0" w:noHBand="0" w:noVBand="1"/>
      </w:tblPr>
      <w:tblGrid>
        <w:gridCol w:w="4801"/>
        <w:gridCol w:w="4692"/>
      </w:tblGrid>
      <w:tr w:rsidR="00CA26DB" w:rsidRPr="00013BDC" w14:paraId="77740EF8" w14:textId="77777777" w:rsidTr="00CA26DB">
        <w:tc>
          <w:tcPr>
            <w:tcW w:w="4801" w:type="dxa"/>
            <w:tcBorders>
              <w:top w:val="single" w:sz="4" w:space="0" w:color="auto"/>
              <w:left w:val="single" w:sz="4" w:space="0" w:color="auto"/>
              <w:bottom w:val="single" w:sz="4" w:space="0" w:color="auto"/>
              <w:right w:val="single" w:sz="4" w:space="0" w:color="auto"/>
            </w:tcBorders>
            <w:hideMark/>
          </w:tcPr>
          <w:p w14:paraId="735E03AD" w14:textId="77777777" w:rsidR="00CA26DB" w:rsidRPr="00013BDC" w:rsidRDefault="00CA26DB">
            <w:pPr>
              <w:pStyle w:val="WDBody"/>
              <w:spacing w:after="240"/>
              <w:jc w:val="both"/>
              <w:rPr>
                <w:rFonts w:ascii="Times New Roman" w:hAnsi="Times New Roman"/>
                <w:b/>
                <w:noProof/>
                <w:sz w:val="24"/>
                <w:szCs w:val="24"/>
                <w:lang w:val="en-IE"/>
              </w:rPr>
            </w:pPr>
            <w:r w:rsidRPr="00013BDC">
              <w:rPr>
                <w:rFonts w:ascii="Times New Roman" w:hAnsi="Times New Roman"/>
                <w:b/>
                <w:noProof/>
                <w:sz w:val="24"/>
                <w:szCs w:val="24"/>
                <w:lang w:val="en-IE"/>
              </w:rPr>
              <w:t>Type of cost and/or benefit</w:t>
            </w:r>
          </w:p>
        </w:tc>
        <w:tc>
          <w:tcPr>
            <w:tcW w:w="4692" w:type="dxa"/>
            <w:tcBorders>
              <w:top w:val="single" w:sz="4" w:space="0" w:color="auto"/>
              <w:left w:val="single" w:sz="4" w:space="0" w:color="auto"/>
              <w:bottom w:val="single" w:sz="4" w:space="0" w:color="auto"/>
              <w:right w:val="single" w:sz="4" w:space="0" w:color="auto"/>
            </w:tcBorders>
            <w:hideMark/>
          </w:tcPr>
          <w:p w14:paraId="78BFF702" w14:textId="77777777" w:rsidR="00CA26DB" w:rsidRPr="00013BDC" w:rsidRDefault="00CA26DB">
            <w:pPr>
              <w:pStyle w:val="WDBody"/>
              <w:spacing w:after="240"/>
              <w:jc w:val="both"/>
              <w:rPr>
                <w:rFonts w:ascii="Times New Roman" w:hAnsi="Times New Roman"/>
                <w:b/>
                <w:noProof/>
                <w:sz w:val="24"/>
                <w:szCs w:val="24"/>
                <w:lang w:val="en-IE"/>
              </w:rPr>
            </w:pPr>
            <w:r w:rsidRPr="00013BDC">
              <w:rPr>
                <w:rFonts w:ascii="Times New Roman" w:hAnsi="Times New Roman"/>
                <w:b/>
                <w:noProof/>
                <w:sz w:val="24"/>
                <w:szCs w:val="24"/>
                <w:lang w:val="en-IE"/>
              </w:rPr>
              <w:t>Reason for lack of quantified assessment</w:t>
            </w:r>
          </w:p>
        </w:tc>
      </w:tr>
      <w:tr w:rsidR="00CA26DB" w:rsidRPr="00013BDC" w14:paraId="271C1012" w14:textId="77777777" w:rsidTr="00CA26DB">
        <w:tc>
          <w:tcPr>
            <w:tcW w:w="4801" w:type="dxa"/>
            <w:tcBorders>
              <w:top w:val="single" w:sz="4" w:space="0" w:color="auto"/>
              <w:left w:val="single" w:sz="4" w:space="0" w:color="auto"/>
              <w:bottom w:val="single" w:sz="4" w:space="0" w:color="auto"/>
              <w:right w:val="single" w:sz="4" w:space="0" w:color="auto"/>
            </w:tcBorders>
            <w:hideMark/>
          </w:tcPr>
          <w:p w14:paraId="3A6F3B0D" w14:textId="77777777" w:rsidR="00CA26DB" w:rsidRPr="00013BDC" w:rsidRDefault="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The costs of reusing and recycling textiles that are not generally approached by Member States at present</w:t>
            </w:r>
          </w:p>
        </w:tc>
        <w:tc>
          <w:tcPr>
            <w:tcW w:w="4692" w:type="dxa"/>
            <w:tcBorders>
              <w:top w:val="single" w:sz="4" w:space="0" w:color="auto"/>
              <w:left w:val="single" w:sz="4" w:space="0" w:color="auto"/>
              <w:bottom w:val="single" w:sz="4" w:space="0" w:color="auto"/>
              <w:right w:val="single" w:sz="4" w:space="0" w:color="auto"/>
            </w:tcBorders>
            <w:hideMark/>
          </w:tcPr>
          <w:p w14:paraId="58393E68" w14:textId="77777777" w:rsidR="00CA26DB" w:rsidRPr="00013BDC" w:rsidRDefault="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The levels of collection, reuse and recycling of textiles that are not generally separately collected by Member States at present are not well known, with little research in existence in respect to possible innovations that would increase reuse and recycling for products including carpets and mattresses.  This prevents an assessment of the full costs and benefits that might result from the additional collection of those materials in future.</w:t>
            </w:r>
          </w:p>
        </w:tc>
      </w:tr>
      <w:tr w:rsidR="00CA26DB" w:rsidRPr="00013BDC" w14:paraId="63E4D76E" w14:textId="77777777" w:rsidTr="00CA26DB">
        <w:tc>
          <w:tcPr>
            <w:tcW w:w="4801" w:type="dxa"/>
            <w:tcBorders>
              <w:top w:val="single" w:sz="4" w:space="0" w:color="auto"/>
              <w:left w:val="single" w:sz="4" w:space="0" w:color="auto"/>
              <w:bottom w:val="single" w:sz="4" w:space="0" w:color="auto"/>
              <w:right w:val="single" w:sz="4" w:space="0" w:color="auto"/>
            </w:tcBorders>
            <w:hideMark/>
          </w:tcPr>
          <w:p w14:paraId="7AA158C7" w14:textId="77777777" w:rsidR="00CA26DB" w:rsidRPr="00013BDC" w:rsidRDefault="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Total EU reduction in costs of waste management licensing for textile waste collectors</w:t>
            </w:r>
          </w:p>
        </w:tc>
        <w:tc>
          <w:tcPr>
            <w:tcW w:w="4692" w:type="dxa"/>
            <w:tcBorders>
              <w:top w:val="single" w:sz="4" w:space="0" w:color="auto"/>
              <w:left w:val="single" w:sz="4" w:space="0" w:color="auto"/>
              <w:bottom w:val="single" w:sz="4" w:space="0" w:color="auto"/>
              <w:right w:val="single" w:sz="4" w:space="0" w:color="auto"/>
            </w:tcBorders>
            <w:hideMark/>
          </w:tcPr>
          <w:p w14:paraId="1AD7CD1F" w14:textId="77777777" w:rsidR="00CA26DB" w:rsidRPr="00013BDC" w:rsidRDefault="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Member States employ a variety of approaches to the collection of textile wastes and for determining whether a waste license is required for collectors of such materials.  Consequently, no data exists that identifies the number of licenses that currently apply at the EU level for such collection.  This makes it impossible to determine the total reduction in costs that might result from removal of waste licensing requirements where it is currently obligatory.</w:t>
            </w:r>
          </w:p>
        </w:tc>
      </w:tr>
      <w:tr w:rsidR="00CA26DB" w:rsidRPr="00013BDC" w14:paraId="42EFCBB4" w14:textId="77777777" w:rsidTr="00CA26DB">
        <w:tc>
          <w:tcPr>
            <w:tcW w:w="4801" w:type="dxa"/>
            <w:tcBorders>
              <w:top w:val="single" w:sz="4" w:space="0" w:color="auto"/>
              <w:left w:val="single" w:sz="4" w:space="0" w:color="auto"/>
              <w:bottom w:val="single" w:sz="4" w:space="0" w:color="auto"/>
              <w:right w:val="single" w:sz="4" w:space="0" w:color="auto"/>
            </w:tcBorders>
            <w:hideMark/>
          </w:tcPr>
          <w:p w14:paraId="5D298780" w14:textId="77777777" w:rsidR="00CA26DB" w:rsidRPr="00013BDC" w:rsidRDefault="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Total costs and benefits from the application of end-of-waste criteria for textiles</w:t>
            </w:r>
          </w:p>
        </w:tc>
        <w:tc>
          <w:tcPr>
            <w:tcW w:w="4692" w:type="dxa"/>
            <w:tcBorders>
              <w:top w:val="single" w:sz="4" w:space="0" w:color="auto"/>
              <w:left w:val="single" w:sz="4" w:space="0" w:color="auto"/>
              <w:bottom w:val="single" w:sz="4" w:space="0" w:color="auto"/>
              <w:right w:val="single" w:sz="4" w:space="0" w:color="auto"/>
            </w:tcBorders>
            <w:hideMark/>
          </w:tcPr>
          <w:p w14:paraId="1D4032F6" w14:textId="77777777" w:rsidR="00CA26DB" w:rsidRPr="00013BDC" w:rsidRDefault="00CA26DB">
            <w:pPr>
              <w:rPr>
                <w:noProof/>
                <w:lang w:val="en-IE"/>
              </w:rPr>
            </w:pPr>
            <w:r w:rsidRPr="00013BDC">
              <w:rPr>
                <w:noProof/>
                <w:lang w:val="en-IE"/>
              </w:rPr>
              <w:t>The impacts of end-of-waste criteria for textiles are dependent on the eventual scope of textile types that may be included and so the environmental impacts cannot be determined.  However, given the need under Article 6 of the WFD to not overall adversely impact the environment or human health the assessment considers that impacts would be minimal accordingly.</w:t>
            </w:r>
          </w:p>
        </w:tc>
      </w:tr>
      <w:tr w:rsidR="00CA26DB" w:rsidRPr="00013BDC" w14:paraId="74EF1F70" w14:textId="77777777" w:rsidTr="00CA26DB">
        <w:tc>
          <w:tcPr>
            <w:tcW w:w="4801" w:type="dxa"/>
            <w:tcBorders>
              <w:top w:val="single" w:sz="4" w:space="0" w:color="auto"/>
              <w:left w:val="single" w:sz="4" w:space="0" w:color="auto"/>
              <w:bottom w:val="single" w:sz="4" w:space="0" w:color="auto"/>
              <w:right w:val="single" w:sz="4" w:space="0" w:color="auto"/>
            </w:tcBorders>
            <w:hideMark/>
          </w:tcPr>
          <w:p w14:paraId="0466850C" w14:textId="77777777" w:rsidR="00CA26DB" w:rsidRPr="00013BDC" w:rsidRDefault="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Financial impacts of changes in waste management of EU textile wastes in third countries</w:t>
            </w:r>
          </w:p>
        </w:tc>
        <w:tc>
          <w:tcPr>
            <w:tcW w:w="4692" w:type="dxa"/>
            <w:tcBorders>
              <w:top w:val="single" w:sz="4" w:space="0" w:color="auto"/>
              <w:left w:val="single" w:sz="4" w:space="0" w:color="auto"/>
              <w:bottom w:val="single" w:sz="4" w:space="0" w:color="auto"/>
              <w:right w:val="single" w:sz="4" w:space="0" w:color="auto"/>
            </w:tcBorders>
            <w:hideMark/>
          </w:tcPr>
          <w:p w14:paraId="6C0AC9DD" w14:textId="77777777" w:rsidR="00CA26DB" w:rsidRPr="00013BDC" w:rsidRDefault="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The financial impacts that presently result from EU wastes being treated in third countries cannot be calculated given the diverse range of countries that receive used EU textiles and a lack of data on textile waste generation, textile waste collection and treatment costs in third countries.</w:t>
            </w:r>
          </w:p>
        </w:tc>
      </w:tr>
      <w:tr w:rsidR="00CA26DB" w:rsidRPr="00013BDC" w14:paraId="4AC9F3DA" w14:textId="77777777" w:rsidTr="00CA26DB">
        <w:tc>
          <w:tcPr>
            <w:tcW w:w="4801" w:type="dxa"/>
            <w:tcBorders>
              <w:top w:val="single" w:sz="4" w:space="0" w:color="auto"/>
              <w:left w:val="single" w:sz="4" w:space="0" w:color="auto"/>
              <w:bottom w:val="single" w:sz="4" w:space="0" w:color="auto"/>
              <w:right w:val="single" w:sz="4" w:space="0" w:color="auto"/>
            </w:tcBorders>
            <w:hideMark/>
          </w:tcPr>
          <w:p w14:paraId="14960B25" w14:textId="77777777" w:rsidR="00CA26DB" w:rsidRPr="00013BDC" w:rsidRDefault="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Savings resulting from treatment of separately collected waste in comparison to mixed waste</w:t>
            </w:r>
          </w:p>
        </w:tc>
        <w:tc>
          <w:tcPr>
            <w:tcW w:w="4692" w:type="dxa"/>
            <w:tcBorders>
              <w:top w:val="single" w:sz="4" w:space="0" w:color="auto"/>
              <w:left w:val="single" w:sz="4" w:space="0" w:color="auto"/>
              <w:bottom w:val="single" w:sz="4" w:space="0" w:color="auto"/>
              <w:right w:val="single" w:sz="4" w:space="0" w:color="auto"/>
            </w:tcBorders>
            <w:hideMark/>
          </w:tcPr>
          <w:p w14:paraId="5B363CDE" w14:textId="77777777" w:rsidR="00CA26DB" w:rsidRPr="00013BDC" w:rsidRDefault="00CA26DB">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Treatment of mixed waste is more expensive that treatment of separately collected waste. However, the application of the polluter pays principle in respect to waste management is not applied by all municipalities in the EU and where it is, it is implemented in a variety of ways, by weight, by volume, by collection, by bag etc rendering a cost saving calculation for the EU not possible.</w:t>
            </w:r>
          </w:p>
        </w:tc>
      </w:tr>
    </w:tbl>
    <w:p w14:paraId="1E554293" w14:textId="77777777" w:rsidR="00CA26DB" w:rsidRPr="00013BDC" w:rsidRDefault="00CA26DB" w:rsidP="00292961">
      <w:pPr>
        <w:pStyle w:val="WDBody"/>
        <w:spacing w:after="240"/>
        <w:jc w:val="both"/>
        <w:rPr>
          <w:rFonts w:ascii="Times New Roman" w:hAnsi="Times New Roman"/>
          <w:noProof/>
          <w:sz w:val="24"/>
          <w:szCs w:val="24"/>
          <w:lang w:val="en-IE"/>
        </w:rPr>
      </w:pPr>
    </w:p>
    <w:p w14:paraId="19203559" w14:textId="7BE86E32" w:rsidR="004C1EB8" w:rsidRPr="00013BDC" w:rsidRDefault="004C1EB8" w:rsidP="5ACF8ADB">
      <w:pPr>
        <w:pStyle w:val="Heading3"/>
        <w:rPr>
          <w:b/>
          <w:noProof/>
          <w:lang w:val="en-IE"/>
        </w:rPr>
      </w:pPr>
      <w:bookmarkStart w:id="300" w:name="_Toc1319019437"/>
      <w:bookmarkStart w:id="301" w:name="_Toc978934336"/>
      <w:bookmarkStart w:id="302" w:name="_Toc1786050987"/>
      <w:bookmarkStart w:id="303" w:name="_Toc1045705847"/>
      <w:bookmarkStart w:id="304" w:name="_Toc139032954"/>
      <w:r w:rsidRPr="00013BDC">
        <w:rPr>
          <w:noProof/>
          <w:lang w:val="en-IE"/>
        </w:rPr>
        <w:t xml:space="preserve">Determining </w:t>
      </w:r>
      <w:r w:rsidRPr="00013BDC">
        <w:rPr>
          <w:b/>
          <w:noProof/>
          <w:lang w:val="en-IE"/>
        </w:rPr>
        <w:t>social costs and benefits</w:t>
      </w:r>
      <w:bookmarkEnd w:id="300"/>
      <w:bookmarkEnd w:id="301"/>
      <w:bookmarkEnd w:id="302"/>
      <w:bookmarkEnd w:id="303"/>
      <w:bookmarkEnd w:id="304"/>
    </w:p>
    <w:p w14:paraId="074D62D4" w14:textId="1DD35543" w:rsidR="004D1855" w:rsidRPr="00013BDC" w:rsidRDefault="004C1EB8" w:rsidP="00292961">
      <w:pPr>
        <w:pStyle w:val="WDBody"/>
        <w:spacing w:after="12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There are </w:t>
      </w:r>
      <w:r w:rsidR="00B51FD1" w:rsidRPr="00013BDC">
        <w:rPr>
          <w:rFonts w:ascii="Times New Roman" w:hAnsi="Times New Roman" w:cs="Times New Roman"/>
          <w:noProof/>
          <w:sz w:val="24"/>
          <w:szCs w:val="24"/>
          <w:lang w:val="en-IE"/>
        </w:rPr>
        <w:t xml:space="preserve">two large social impacts stemming from some of the measures </w:t>
      </w:r>
      <w:r w:rsidR="006A5A58" w:rsidRPr="00013BDC">
        <w:rPr>
          <w:rFonts w:ascii="Times New Roman" w:hAnsi="Times New Roman" w:cs="Times New Roman"/>
          <w:noProof/>
          <w:sz w:val="24"/>
          <w:szCs w:val="24"/>
          <w:lang w:val="en-IE"/>
        </w:rPr>
        <w:t>foreseen</w:t>
      </w:r>
      <w:r w:rsidR="00B51FD1" w:rsidRPr="00013BDC">
        <w:rPr>
          <w:rFonts w:ascii="Times New Roman" w:hAnsi="Times New Roman" w:cs="Times New Roman"/>
          <w:noProof/>
          <w:sz w:val="24"/>
          <w:szCs w:val="24"/>
          <w:lang w:val="en-IE"/>
        </w:rPr>
        <w:t>:</w:t>
      </w:r>
    </w:p>
    <w:p w14:paraId="4838E040" w14:textId="1DD35543" w:rsidR="00B51FD1" w:rsidRPr="00013BDC" w:rsidRDefault="00B51FD1" w:rsidP="00CF0DFB">
      <w:pPr>
        <w:pStyle w:val="WDBody"/>
        <w:numPr>
          <w:ilvl w:val="0"/>
          <w:numId w:val="74"/>
        </w:numPr>
        <w:spacing w:after="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Those related to additional employment within the EU as a result of greater collection and treatment of used textiles and textile wastes that are currently disposed of.</w:t>
      </w:r>
    </w:p>
    <w:p w14:paraId="0575889F" w14:textId="1F33099E" w:rsidR="00B51FD1" w:rsidRPr="00013BDC" w:rsidRDefault="006A5A58" w:rsidP="00CF0DFB">
      <w:pPr>
        <w:pStyle w:val="WDBody"/>
        <w:numPr>
          <w:ilvl w:val="0"/>
          <w:numId w:val="74"/>
        </w:numPr>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Those related to the social impacts </w:t>
      </w:r>
      <w:bookmarkStart w:id="305" w:name="_Hlk128841317"/>
      <w:r w:rsidR="00EF6C8D" w:rsidRPr="00013BDC">
        <w:rPr>
          <w:rFonts w:ascii="Times New Roman" w:hAnsi="Times New Roman" w:cs="Times New Roman"/>
          <w:noProof/>
          <w:sz w:val="24"/>
          <w:szCs w:val="24"/>
          <w:lang w:val="en-IE"/>
        </w:rPr>
        <w:t xml:space="preserve">on standards of living </w:t>
      </w:r>
      <w:bookmarkStart w:id="306" w:name="_Hlk128841298"/>
      <w:r w:rsidR="00EF6C8D" w:rsidRPr="00013BDC">
        <w:rPr>
          <w:rFonts w:ascii="Times New Roman" w:hAnsi="Times New Roman" w:cs="Times New Roman"/>
          <w:noProof/>
          <w:sz w:val="24"/>
          <w:szCs w:val="24"/>
          <w:lang w:val="en-IE"/>
        </w:rPr>
        <w:t>i.e.</w:t>
      </w:r>
      <w:r w:rsidR="00F03440" w:rsidRPr="00013BDC">
        <w:rPr>
          <w:rFonts w:ascii="Times New Roman" w:hAnsi="Times New Roman" w:cs="Times New Roman"/>
          <w:noProof/>
          <w:sz w:val="24"/>
          <w:szCs w:val="24"/>
          <w:lang w:val="en-IE"/>
        </w:rPr>
        <w:t>,</w:t>
      </w:r>
      <w:r w:rsidR="00EF6C8D" w:rsidRPr="00013BDC">
        <w:rPr>
          <w:rFonts w:ascii="Times New Roman" w:hAnsi="Times New Roman" w:cs="Times New Roman"/>
          <w:noProof/>
          <w:sz w:val="24"/>
          <w:szCs w:val="24"/>
          <w:lang w:val="en-IE"/>
        </w:rPr>
        <w:t xml:space="preserve"> the living conditions of citizens that are or would be impacted</w:t>
      </w:r>
      <w:bookmarkEnd w:id="306"/>
      <w:r w:rsidR="00EF6C8D" w:rsidRPr="00013BDC">
        <w:rPr>
          <w:rFonts w:ascii="Times New Roman" w:hAnsi="Times New Roman" w:cs="Times New Roman"/>
          <w:noProof/>
          <w:sz w:val="24"/>
          <w:szCs w:val="24"/>
          <w:lang w:val="en-IE"/>
        </w:rPr>
        <w:t xml:space="preserve"> as</w:t>
      </w:r>
      <w:bookmarkEnd w:id="305"/>
      <w:r w:rsidR="00EF6C8D" w:rsidRPr="00013BDC">
        <w:rPr>
          <w:rFonts w:ascii="Times New Roman" w:hAnsi="Times New Roman" w:cs="Times New Roman"/>
          <w:noProof/>
          <w:sz w:val="24"/>
          <w:szCs w:val="24"/>
          <w:lang w:val="en-IE"/>
        </w:rPr>
        <w:t xml:space="preserve"> </w:t>
      </w:r>
      <w:r w:rsidRPr="00013BDC">
        <w:rPr>
          <w:rFonts w:ascii="Times New Roman" w:hAnsi="Times New Roman" w:cs="Times New Roman"/>
          <w:noProof/>
          <w:sz w:val="24"/>
          <w:szCs w:val="24"/>
          <w:lang w:val="en-IE"/>
        </w:rPr>
        <w:t>a result of the disposal of used textiles and textile wastes both within the EU and outside of the EU for used and waste textiles that are exported to third countries</w:t>
      </w:r>
      <w:r w:rsidR="002A15AB" w:rsidRPr="00013BDC">
        <w:rPr>
          <w:rFonts w:ascii="Times New Roman" w:hAnsi="Times New Roman" w:cs="Times New Roman"/>
          <w:noProof/>
          <w:sz w:val="24"/>
          <w:szCs w:val="24"/>
          <w:lang w:val="en-IE"/>
        </w:rPr>
        <w:t xml:space="preserve"> that would be mitigated under certain measures</w:t>
      </w:r>
      <w:r w:rsidRPr="00013BDC">
        <w:rPr>
          <w:rFonts w:ascii="Times New Roman" w:hAnsi="Times New Roman" w:cs="Times New Roman"/>
          <w:noProof/>
          <w:sz w:val="24"/>
          <w:szCs w:val="24"/>
          <w:lang w:val="en-IE"/>
        </w:rPr>
        <w:t>.</w:t>
      </w:r>
    </w:p>
    <w:p w14:paraId="1FD09963" w14:textId="1A82ED0A" w:rsidR="002A15AB" w:rsidRPr="00013BDC" w:rsidRDefault="008A03F5" w:rsidP="002A15AB">
      <w:pPr>
        <w:pStyle w:val="WDBody"/>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To</w:t>
      </w:r>
      <w:r w:rsidR="002A15AB" w:rsidRPr="00013BDC">
        <w:rPr>
          <w:rFonts w:ascii="Times New Roman" w:hAnsi="Times New Roman" w:cs="Times New Roman"/>
          <w:noProof/>
          <w:sz w:val="24"/>
          <w:szCs w:val="24"/>
          <w:lang w:val="en-IE"/>
        </w:rPr>
        <w:t xml:space="preserve"> calculate the employment </w:t>
      </w:r>
      <w:r w:rsidR="000842FE" w:rsidRPr="00013BDC">
        <w:rPr>
          <w:rFonts w:ascii="Times New Roman" w:hAnsi="Times New Roman" w:cs="Times New Roman"/>
          <w:noProof/>
          <w:sz w:val="24"/>
          <w:szCs w:val="24"/>
          <w:lang w:val="en-IE"/>
        </w:rPr>
        <w:t xml:space="preserve">benefits </w:t>
      </w:r>
      <w:r w:rsidR="002A15AB" w:rsidRPr="00013BDC">
        <w:rPr>
          <w:rFonts w:ascii="Times New Roman" w:hAnsi="Times New Roman" w:cs="Times New Roman"/>
          <w:noProof/>
          <w:sz w:val="24"/>
          <w:szCs w:val="24"/>
          <w:lang w:val="en-IE"/>
        </w:rPr>
        <w:t>o</w:t>
      </w:r>
      <w:r w:rsidR="00D37CBA" w:rsidRPr="00013BDC">
        <w:rPr>
          <w:rFonts w:ascii="Times New Roman" w:hAnsi="Times New Roman" w:cs="Times New Roman"/>
          <w:noProof/>
          <w:sz w:val="24"/>
          <w:szCs w:val="24"/>
          <w:lang w:val="en-IE"/>
        </w:rPr>
        <w:t>f</w:t>
      </w:r>
      <w:r w:rsidR="002A15AB" w:rsidRPr="00013BDC">
        <w:rPr>
          <w:rFonts w:ascii="Times New Roman" w:hAnsi="Times New Roman" w:cs="Times New Roman"/>
          <w:noProof/>
          <w:sz w:val="24"/>
          <w:szCs w:val="24"/>
          <w:lang w:val="en-IE"/>
        </w:rPr>
        <w:t xml:space="preserve"> greater collection and treatment of used textiles and </w:t>
      </w:r>
      <w:r w:rsidR="0013065D" w:rsidRPr="00013BDC">
        <w:rPr>
          <w:rFonts w:ascii="Times New Roman" w:hAnsi="Times New Roman" w:cs="Times New Roman"/>
          <w:noProof/>
          <w:sz w:val="24"/>
          <w:szCs w:val="24"/>
          <w:lang w:val="en-IE"/>
        </w:rPr>
        <w:t xml:space="preserve">textile waste </w:t>
      </w:r>
      <w:r w:rsidR="00D37CBA" w:rsidRPr="00013BDC">
        <w:rPr>
          <w:rFonts w:ascii="Times New Roman" w:hAnsi="Times New Roman" w:cs="Times New Roman"/>
          <w:noProof/>
          <w:sz w:val="24"/>
          <w:szCs w:val="24"/>
          <w:lang w:val="en-IE"/>
        </w:rPr>
        <w:t>the results of a report published by the Scottish government that averages the resul</w:t>
      </w:r>
      <w:r w:rsidR="006D3FD8" w:rsidRPr="00013BDC">
        <w:rPr>
          <w:rFonts w:ascii="Times New Roman" w:hAnsi="Times New Roman" w:cs="Times New Roman"/>
          <w:noProof/>
          <w:sz w:val="24"/>
          <w:szCs w:val="24"/>
          <w:lang w:val="en-IE"/>
        </w:rPr>
        <w:t>ts of four earlier studies</w:t>
      </w:r>
      <w:r w:rsidR="006D3FD8" w:rsidRPr="00013BDC">
        <w:rPr>
          <w:rStyle w:val="FootnoteReference"/>
          <w:rFonts w:ascii="Times New Roman" w:hAnsi="Times New Roman" w:cs="Times New Roman"/>
          <w:noProof/>
          <w:sz w:val="24"/>
          <w:szCs w:val="24"/>
          <w:lang w:val="en-IE"/>
        </w:rPr>
        <w:footnoteReference w:id="47"/>
      </w:r>
      <w:r w:rsidR="006D3FD8" w:rsidRPr="00013BDC">
        <w:rPr>
          <w:rFonts w:ascii="Times New Roman" w:hAnsi="Times New Roman" w:cs="Times New Roman"/>
          <w:noProof/>
          <w:sz w:val="24"/>
          <w:szCs w:val="24"/>
          <w:lang w:val="en-IE"/>
        </w:rPr>
        <w:t xml:space="preserve"> have been applied</w:t>
      </w:r>
      <w:r w:rsidR="00CA0400" w:rsidRPr="00013BDC">
        <w:rPr>
          <w:rFonts w:ascii="Times New Roman" w:hAnsi="Times New Roman" w:cs="Times New Roman"/>
          <w:noProof/>
          <w:sz w:val="24"/>
          <w:szCs w:val="24"/>
          <w:lang w:val="en-IE"/>
        </w:rPr>
        <w:t xml:space="preserve"> as shown below.</w:t>
      </w:r>
    </w:p>
    <w:p w14:paraId="0B1A8C22" w14:textId="7E952798" w:rsidR="006C32A3" w:rsidRPr="00013BDC" w:rsidRDefault="006C32A3" w:rsidP="006C32A3">
      <w:pPr>
        <w:pStyle w:val="Caption"/>
        <w:rPr>
          <w:noProof/>
          <w:color w:val="auto"/>
          <w:sz w:val="24"/>
          <w:szCs w:val="24"/>
          <w:lang w:val="en-IE"/>
        </w:rPr>
      </w:pPr>
      <w:bookmarkStart w:id="307" w:name="_Toc133229421"/>
      <w:bookmarkStart w:id="308" w:name="_Toc139033042"/>
      <w:r w:rsidRPr="00013BDC">
        <w:rPr>
          <w:noProof/>
          <w:color w:val="auto"/>
          <w:sz w:val="24"/>
          <w:szCs w:val="24"/>
          <w:lang w:val="en-IE"/>
        </w:rPr>
        <w:t xml:space="preserve">Table </w:t>
      </w:r>
      <w:r w:rsidR="004C5576">
        <w:rPr>
          <w:noProof/>
          <w:color w:val="auto"/>
          <w:sz w:val="24"/>
          <w:szCs w:val="24"/>
        </w:rPr>
        <w:t>12</w:t>
      </w:r>
      <w:r w:rsidRPr="00013BDC">
        <w:rPr>
          <w:noProof/>
          <w:color w:val="auto"/>
          <w:sz w:val="24"/>
          <w:szCs w:val="24"/>
          <w:lang w:val="en-IE"/>
        </w:rPr>
        <w:t xml:space="preserve"> – </w:t>
      </w:r>
      <w:r w:rsidR="004940FD" w:rsidRPr="00013BDC">
        <w:rPr>
          <w:noProof/>
          <w:color w:val="auto"/>
          <w:sz w:val="24"/>
          <w:szCs w:val="24"/>
          <w:lang w:val="en-IE"/>
        </w:rPr>
        <w:t xml:space="preserve">Employment </w:t>
      </w:r>
      <w:r w:rsidR="00F55A63" w:rsidRPr="00013BDC">
        <w:rPr>
          <w:noProof/>
          <w:color w:val="auto"/>
          <w:sz w:val="24"/>
          <w:szCs w:val="24"/>
          <w:lang w:val="en-IE"/>
        </w:rPr>
        <w:t xml:space="preserve">benefits </w:t>
      </w:r>
      <w:r w:rsidRPr="00013BDC">
        <w:rPr>
          <w:noProof/>
          <w:color w:val="auto"/>
          <w:sz w:val="24"/>
          <w:szCs w:val="24"/>
          <w:lang w:val="en-IE"/>
        </w:rPr>
        <w:t xml:space="preserve">of </w:t>
      </w:r>
      <w:r w:rsidR="004940FD" w:rsidRPr="00013BDC">
        <w:rPr>
          <w:noProof/>
          <w:color w:val="auto"/>
          <w:sz w:val="24"/>
          <w:szCs w:val="24"/>
          <w:lang w:val="en-IE"/>
        </w:rPr>
        <w:t xml:space="preserve">textiles </w:t>
      </w:r>
      <w:r w:rsidRPr="00013BDC">
        <w:rPr>
          <w:noProof/>
          <w:color w:val="auto"/>
          <w:sz w:val="24"/>
          <w:szCs w:val="24"/>
          <w:lang w:val="en-IE"/>
        </w:rPr>
        <w:t xml:space="preserve">waste </w:t>
      </w:r>
      <w:r w:rsidR="004940FD" w:rsidRPr="00013BDC">
        <w:rPr>
          <w:noProof/>
          <w:color w:val="auto"/>
          <w:sz w:val="24"/>
          <w:szCs w:val="24"/>
          <w:lang w:val="en-IE"/>
        </w:rPr>
        <w:t>management</w:t>
      </w:r>
      <w:bookmarkEnd w:id="307"/>
      <w:bookmarkEnd w:id="308"/>
    </w:p>
    <w:tbl>
      <w:tblPr>
        <w:tblStyle w:val="TableGrid"/>
        <w:tblW w:w="0" w:type="auto"/>
        <w:tblLook w:val="04A0" w:firstRow="1" w:lastRow="0" w:firstColumn="1" w:lastColumn="0" w:noHBand="0" w:noVBand="1"/>
      </w:tblPr>
      <w:tblGrid>
        <w:gridCol w:w="1600"/>
        <w:gridCol w:w="1600"/>
        <w:gridCol w:w="1600"/>
        <w:gridCol w:w="1600"/>
        <w:gridCol w:w="1601"/>
        <w:gridCol w:w="1816"/>
      </w:tblGrid>
      <w:tr w:rsidR="00D04A76" w:rsidRPr="00013BDC" w14:paraId="5F9D8A08" w14:textId="77777777" w:rsidTr="00D04A76">
        <w:tc>
          <w:tcPr>
            <w:tcW w:w="9602" w:type="dxa"/>
            <w:gridSpan w:val="6"/>
          </w:tcPr>
          <w:p w14:paraId="6A83DC0B" w14:textId="50831593" w:rsidR="00D04A76" w:rsidRPr="00013BDC" w:rsidRDefault="0097188D" w:rsidP="0097188D">
            <w:pPr>
              <w:pStyle w:val="WDBody"/>
              <w:jc w:val="center"/>
              <w:rPr>
                <w:rFonts w:ascii="Times New Roman" w:hAnsi="Times New Roman"/>
                <w:b/>
                <w:noProof/>
                <w:sz w:val="24"/>
                <w:szCs w:val="24"/>
                <w:lang w:val="en-IE"/>
              </w:rPr>
            </w:pPr>
            <w:r w:rsidRPr="00013BDC">
              <w:rPr>
                <w:rFonts w:ascii="Times New Roman" w:hAnsi="Times New Roman"/>
                <w:b/>
                <w:noProof/>
                <w:sz w:val="24"/>
                <w:szCs w:val="24"/>
                <w:lang w:val="en-IE"/>
              </w:rPr>
              <w:t xml:space="preserve">FTEs/10 000 tonnes of waste per </w:t>
            </w:r>
            <w:r w:rsidR="00D00D1B" w:rsidRPr="00013BDC">
              <w:rPr>
                <w:rFonts w:ascii="Times New Roman" w:hAnsi="Times New Roman"/>
                <w:b/>
                <w:noProof/>
                <w:sz w:val="24"/>
                <w:szCs w:val="24"/>
                <w:lang w:val="en-IE"/>
              </w:rPr>
              <w:t>year</w:t>
            </w:r>
          </w:p>
        </w:tc>
      </w:tr>
      <w:tr w:rsidR="00D04A76" w:rsidRPr="00013BDC" w14:paraId="20D127D8" w14:textId="77777777" w:rsidTr="00D04A76">
        <w:tc>
          <w:tcPr>
            <w:tcW w:w="6400" w:type="dxa"/>
            <w:gridSpan w:val="4"/>
          </w:tcPr>
          <w:p w14:paraId="6B2F7C1D" w14:textId="41AC1C7B" w:rsidR="00D04A76" w:rsidRPr="00013BDC" w:rsidRDefault="0097188D" w:rsidP="0097188D">
            <w:pPr>
              <w:pStyle w:val="WDBody"/>
              <w:jc w:val="center"/>
              <w:rPr>
                <w:rFonts w:ascii="Times New Roman" w:hAnsi="Times New Roman"/>
                <w:b/>
                <w:noProof/>
                <w:sz w:val="24"/>
                <w:szCs w:val="24"/>
                <w:lang w:val="en-IE"/>
              </w:rPr>
            </w:pPr>
            <w:r w:rsidRPr="00013BDC">
              <w:rPr>
                <w:rFonts w:ascii="Times New Roman" w:hAnsi="Times New Roman"/>
                <w:b/>
                <w:noProof/>
                <w:sz w:val="24"/>
                <w:szCs w:val="24"/>
                <w:lang w:val="en-IE"/>
              </w:rPr>
              <w:t>Source</w:t>
            </w:r>
          </w:p>
        </w:tc>
        <w:tc>
          <w:tcPr>
            <w:tcW w:w="3202" w:type="dxa"/>
            <w:gridSpan w:val="2"/>
          </w:tcPr>
          <w:p w14:paraId="39A8EE77" w14:textId="3E33D280" w:rsidR="00D04A76" w:rsidRPr="00013BDC" w:rsidRDefault="00004ED8" w:rsidP="00004ED8">
            <w:pPr>
              <w:pStyle w:val="WDBody"/>
              <w:jc w:val="center"/>
              <w:rPr>
                <w:rFonts w:ascii="Times New Roman" w:hAnsi="Times New Roman"/>
                <w:b/>
                <w:noProof/>
                <w:sz w:val="24"/>
                <w:szCs w:val="24"/>
                <w:lang w:val="en-IE"/>
              </w:rPr>
            </w:pPr>
            <w:r w:rsidRPr="00013BDC">
              <w:rPr>
                <w:rFonts w:ascii="Times New Roman" w:hAnsi="Times New Roman"/>
                <w:b/>
                <w:noProof/>
                <w:sz w:val="24"/>
                <w:szCs w:val="24"/>
                <w:lang w:val="en-IE"/>
              </w:rPr>
              <w:t>Value</w:t>
            </w:r>
          </w:p>
        </w:tc>
      </w:tr>
      <w:tr w:rsidR="00D04A76" w:rsidRPr="00013BDC" w14:paraId="5D19143D" w14:textId="77777777" w:rsidTr="00D04A76">
        <w:tc>
          <w:tcPr>
            <w:tcW w:w="1600" w:type="dxa"/>
          </w:tcPr>
          <w:p w14:paraId="12F2506E" w14:textId="3892C6CC"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Gray et al 2004</w:t>
            </w:r>
          </w:p>
        </w:tc>
        <w:tc>
          <w:tcPr>
            <w:tcW w:w="1600" w:type="dxa"/>
          </w:tcPr>
          <w:p w14:paraId="75043FF5" w14:textId="71ADFCD0"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Cascadia 2009</w:t>
            </w:r>
          </w:p>
        </w:tc>
        <w:tc>
          <w:tcPr>
            <w:tcW w:w="1600" w:type="dxa"/>
          </w:tcPr>
          <w:p w14:paraId="3F169C74" w14:textId="01874BAE"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FOTE 2010</w:t>
            </w:r>
          </w:p>
        </w:tc>
        <w:tc>
          <w:tcPr>
            <w:tcW w:w="1600" w:type="dxa"/>
          </w:tcPr>
          <w:p w14:paraId="617CF11F" w14:textId="2AA82430"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Eunomia 2014</w:t>
            </w:r>
          </w:p>
        </w:tc>
        <w:tc>
          <w:tcPr>
            <w:tcW w:w="1601" w:type="dxa"/>
          </w:tcPr>
          <w:p w14:paraId="113B0A15" w14:textId="569046D9"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Average</w:t>
            </w:r>
          </w:p>
        </w:tc>
        <w:tc>
          <w:tcPr>
            <w:tcW w:w="1601" w:type="dxa"/>
          </w:tcPr>
          <w:p w14:paraId="20FE769C" w14:textId="6C77BFE9"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FTEs/tonne</w:t>
            </w:r>
            <w:r w:rsidR="00057344" w:rsidRPr="00013BDC">
              <w:rPr>
                <w:rFonts w:ascii="Times New Roman" w:hAnsi="Times New Roman"/>
                <w:noProof/>
                <w:sz w:val="24"/>
                <w:szCs w:val="24"/>
                <w:lang w:val="en-IE"/>
              </w:rPr>
              <w:t>/year</w:t>
            </w:r>
          </w:p>
        </w:tc>
      </w:tr>
      <w:tr w:rsidR="00D04A76" w:rsidRPr="00013BDC" w14:paraId="41921C89" w14:textId="77777777" w:rsidTr="00D04A76">
        <w:tc>
          <w:tcPr>
            <w:tcW w:w="1600" w:type="dxa"/>
          </w:tcPr>
          <w:p w14:paraId="262A52A3" w14:textId="41381BD3"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50</w:t>
            </w:r>
          </w:p>
        </w:tc>
        <w:tc>
          <w:tcPr>
            <w:tcW w:w="1600" w:type="dxa"/>
          </w:tcPr>
          <w:p w14:paraId="40B0EEF6" w14:textId="6DA877D4"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85</w:t>
            </w:r>
          </w:p>
        </w:tc>
        <w:tc>
          <w:tcPr>
            <w:tcW w:w="1600" w:type="dxa"/>
          </w:tcPr>
          <w:p w14:paraId="5ECC3299" w14:textId="0A6BD376"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50</w:t>
            </w:r>
          </w:p>
        </w:tc>
        <w:tc>
          <w:tcPr>
            <w:tcW w:w="1600" w:type="dxa"/>
          </w:tcPr>
          <w:p w14:paraId="5ABE129D" w14:textId="197F4234"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50</w:t>
            </w:r>
          </w:p>
        </w:tc>
        <w:tc>
          <w:tcPr>
            <w:tcW w:w="1601" w:type="dxa"/>
          </w:tcPr>
          <w:p w14:paraId="48DCF49D" w14:textId="4BBE60A1"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58.8</w:t>
            </w:r>
          </w:p>
        </w:tc>
        <w:tc>
          <w:tcPr>
            <w:tcW w:w="1601" w:type="dxa"/>
          </w:tcPr>
          <w:p w14:paraId="5FA1143C" w14:textId="66036F0E" w:rsidR="00D04A76" w:rsidRPr="00013BDC" w:rsidRDefault="00004ED8" w:rsidP="002A15AB">
            <w:pPr>
              <w:pStyle w:val="WDBody"/>
              <w:jc w:val="both"/>
              <w:rPr>
                <w:rFonts w:ascii="Times New Roman" w:hAnsi="Times New Roman"/>
                <w:noProof/>
                <w:sz w:val="24"/>
                <w:szCs w:val="24"/>
                <w:lang w:val="en-IE"/>
              </w:rPr>
            </w:pPr>
            <w:r w:rsidRPr="00013BDC">
              <w:rPr>
                <w:rFonts w:ascii="Times New Roman" w:hAnsi="Times New Roman"/>
                <w:noProof/>
                <w:sz w:val="24"/>
                <w:szCs w:val="24"/>
                <w:lang w:val="en-IE"/>
              </w:rPr>
              <w:t>0.005875</w:t>
            </w:r>
          </w:p>
        </w:tc>
      </w:tr>
    </w:tbl>
    <w:p w14:paraId="083CA406" w14:textId="1DD35543" w:rsidR="00CA0400" w:rsidRPr="00013BDC" w:rsidRDefault="00CA0400" w:rsidP="002A15AB">
      <w:pPr>
        <w:pStyle w:val="WDBody"/>
        <w:jc w:val="both"/>
        <w:rPr>
          <w:rFonts w:ascii="Times New Roman" w:hAnsi="Times New Roman" w:cs="Times New Roman"/>
          <w:noProof/>
          <w:sz w:val="24"/>
          <w:szCs w:val="24"/>
          <w:lang w:val="en-IE"/>
        </w:rPr>
      </w:pPr>
    </w:p>
    <w:p w14:paraId="51982E2B" w14:textId="5637A2D3" w:rsidR="00D97052" w:rsidRPr="00013BDC" w:rsidRDefault="00B77839" w:rsidP="008A03F5">
      <w:pPr>
        <w:pStyle w:val="WDBody"/>
        <w:spacing w:after="12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Calculation of the employment </w:t>
      </w:r>
      <w:r w:rsidR="000842FE" w:rsidRPr="00013BDC">
        <w:rPr>
          <w:rFonts w:ascii="Times New Roman" w:hAnsi="Times New Roman" w:cs="Times New Roman"/>
          <w:noProof/>
          <w:sz w:val="24"/>
          <w:szCs w:val="24"/>
          <w:lang w:val="en-IE"/>
        </w:rPr>
        <w:t xml:space="preserve">benefits </w:t>
      </w:r>
      <w:r w:rsidRPr="00013BDC">
        <w:rPr>
          <w:rFonts w:ascii="Times New Roman" w:hAnsi="Times New Roman" w:cs="Times New Roman"/>
          <w:noProof/>
          <w:sz w:val="24"/>
          <w:szCs w:val="24"/>
          <w:lang w:val="en-IE"/>
        </w:rPr>
        <w:t>resulting from the retention of wastes</w:t>
      </w:r>
      <w:r w:rsidR="00577BF7" w:rsidRPr="00013BDC">
        <w:rPr>
          <w:rFonts w:ascii="Times New Roman" w:hAnsi="Times New Roman" w:cs="Times New Roman"/>
          <w:noProof/>
          <w:sz w:val="24"/>
          <w:szCs w:val="24"/>
          <w:lang w:val="en-IE"/>
        </w:rPr>
        <w:t xml:space="preserve"> in the EU, i.e</w:t>
      </w:r>
      <w:r w:rsidR="00CB7890" w:rsidRPr="00013BDC">
        <w:rPr>
          <w:rFonts w:ascii="Times New Roman" w:hAnsi="Times New Roman" w:cs="Times New Roman"/>
          <w:noProof/>
          <w:sz w:val="24"/>
          <w:szCs w:val="24"/>
          <w:lang w:val="en-IE"/>
        </w:rPr>
        <w:t>.</w:t>
      </w:r>
      <w:r w:rsidR="00433DB4" w:rsidRPr="00013BDC">
        <w:rPr>
          <w:rFonts w:ascii="Times New Roman" w:hAnsi="Times New Roman" w:cs="Times New Roman"/>
          <w:noProof/>
          <w:sz w:val="24"/>
          <w:szCs w:val="24"/>
          <w:lang w:val="en-IE"/>
        </w:rPr>
        <w:t>,</w:t>
      </w:r>
      <w:r w:rsidR="00CB7890" w:rsidRPr="00013BDC">
        <w:rPr>
          <w:rFonts w:ascii="Times New Roman" w:hAnsi="Times New Roman" w:cs="Times New Roman"/>
          <w:noProof/>
          <w:sz w:val="24"/>
          <w:szCs w:val="24"/>
          <w:lang w:val="en-IE"/>
        </w:rPr>
        <w:t xml:space="preserve"> the </w:t>
      </w:r>
      <w:r w:rsidR="001A6E33" w:rsidRPr="00013BDC">
        <w:rPr>
          <w:rFonts w:ascii="Times New Roman" w:hAnsi="Times New Roman" w:cs="Times New Roman"/>
          <w:noProof/>
          <w:sz w:val="24"/>
          <w:szCs w:val="24"/>
          <w:lang w:val="en-IE"/>
        </w:rPr>
        <w:t>additional collection, sorting</w:t>
      </w:r>
      <w:r w:rsidR="0063487D" w:rsidRPr="00013BDC">
        <w:rPr>
          <w:rFonts w:ascii="Times New Roman" w:hAnsi="Times New Roman" w:cs="Times New Roman"/>
          <w:noProof/>
          <w:sz w:val="24"/>
          <w:szCs w:val="24"/>
          <w:lang w:val="en-IE"/>
        </w:rPr>
        <w:t xml:space="preserve"> and recycling</w:t>
      </w:r>
      <w:r w:rsidRPr="00013BDC">
        <w:rPr>
          <w:rFonts w:ascii="Times New Roman" w:hAnsi="Times New Roman" w:cs="Times New Roman"/>
          <w:noProof/>
          <w:sz w:val="24"/>
          <w:szCs w:val="24"/>
          <w:lang w:val="en-IE"/>
        </w:rPr>
        <w:t xml:space="preserve"> </w:t>
      </w:r>
      <w:r w:rsidR="00BA1CD5" w:rsidRPr="00013BDC">
        <w:rPr>
          <w:rFonts w:ascii="Times New Roman" w:hAnsi="Times New Roman" w:cs="Times New Roman"/>
          <w:noProof/>
          <w:sz w:val="24"/>
          <w:szCs w:val="24"/>
          <w:lang w:val="en-IE"/>
        </w:rPr>
        <w:t xml:space="preserve">of wastes that would have otherwise been exported in the absence of the measures proposed, </w:t>
      </w:r>
      <w:r w:rsidRPr="00013BDC">
        <w:rPr>
          <w:rFonts w:ascii="Times New Roman" w:hAnsi="Times New Roman" w:cs="Times New Roman"/>
          <w:noProof/>
          <w:sz w:val="24"/>
          <w:szCs w:val="24"/>
          <w:lang w:val="en-IE"/>
        </w:rPr>
        <w:t>have used the FTE/tonne figure in the right-hand column.</w:t>
      </w:r>
      <w:r w:rsidR="00031ED8" w:rsidRPr="00013BDC">
        <w:rPr>
          <w:rFonts w:ascii="Times New Roman" w:hAnsi="Times New Roman" w:cs="Times New Roman"/>
          <w:noProof/>
          <w:sz w:val="24"/>
          <w:szCs w:val="24"/>
          <w:lang w:val="en-IE"/>
        </w:rPr>
        <w:t xml:space="preserve"> It should be noted that this assessment </w:t>
      </w:r>
      <w:r w:rsidR="0021028B" w:rsidRPr="00013BDC">
        <w:rPr>
          <w:rFonts w:ascii="Times New Roman" w:hAnsi="Times New Roman" w:cs="Times New Roman"/>
          <w:noProof/>
          <w:sz w:val="24"/>
          <w:szCs w:val="24"/>
          <w:lang w:val="en-IE"/>
        </w:rPr>
        <w:t>considers a partial equilibrium only and does therefore not factor in general equilibrium considerations that may arise, including negative employment effects</w:t>
      </w:r>
      <w:r w:rsidR="00F74B7D" w:rsidRPr="00013BDC">
        <w:rPr>
          <w:rFonts w:ascii="Times New Roman" w:hAnsi="Times New Roman" w:cs="Times New Roman"/>
          <w:noProof/>
          <w:sz w:val="24"/>
          <w:szCs w:val="24"/>
          <w:lang w:val="en-IE"/>
        </w:rPr>
        <w:t>.</w:t>
      </w:r>
    </w:p>
    <w:p w14:paraId="411C4918" w14:textId="7BE86E32" w:rsidR="00B02B80" w:rsidRPr="00013BDC" w:rsidRDefault="00B02B80" w:rsidP="5ACF8ADB">
      <w:pPr>
        <w:pStyle w:val="Heading3"/>
        <w:rPr>
          <w:b/>
          <w:noProof/>
          <w:lang w:val="en-IE"/>
        </w:rPr>
      </w:pPr>
      <w:bookmarkStart w:id="309" w:name="_Toc16913727"/>
      <w:bookmarkStart w:id="310" w:name="_Toc1886537583"/>
      <w:bookmarkStart w:id="311" w:name="_Toc1564221692"/>
      <w:bookmarkStart w:id="312" w:name="_Toc1677553372"/>
      <w:bookmarkStart w:id="313" w:name="_Toc139032955"/>
      <w:r w:rsidRPr="00013BDC">
        <w:rPr>
          <w:noProof/>
          <w:lang w:val="en-IE"/>
        </w:rPr>
        <w:t xml:space="preserve">Determining </w:t>
      </w:r>
      <w:r w:rsidRPr="00013BDC">
        <w:rPr>
          <w:b/>
          <w:noProof/>
          <w:lang w:val="en-IE"/>
        </w:rPr>
        <w:t>environmental costs and benefits</w:t>
      </w:r>
      <w:bookmarkEnd w:id="309"/>
      <w:bookmarkEnd w:id="310"/>
      <w:bookmarkEnd w:id="311"/>
      <w:bookmarkEnd w:id="312"/>
      <w:bookmarkEnd w:id="313"/>
    </w:p>
    <w:p w14:paraId="6AA64412" w14:textId="32C4D7B6" w:rsidR="008F294B" w:rsidRPr="00013BDC" w:rsidRDefault="00893B42" w:rsidP="001529C5">
      <w:pPr>
        <w:pStyle w:val="WDBody"/>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Calculating</w:t>
      </w:r>
      <w:r w:rsidR="00344007" w:rsidRPr="00013BDC">
        <w:rPr>
          <w:rFonts w:ascii="Times New Roman" w:hAnsi="Times New Roman" w:cs="Times New Roman"/>
          <w:noProof/>
          <w:sz w:val="24"/>
          <w:szCs w:val="24"/>
          <w:lang w:val="en-IE"/>
        </w:rPr>
        <w:t xml:space="preserve"> </w:t>
      </w:r>
      <w:r w:rsidRPr="00013BDC">
        <w:rPr>
          <w:rFonts w:ascii="Times New Roman" w:hAnsi="Times New Roman" w:cs="Times New Roman"/>
          <w:noProof/>
          <w:sz w:val="24"/>
          <w:szCs w:val="24"/>
          <w:lang w:val="en-IE"/>
        </w:rPr>
        <w:t>t</w:t>
      </w:r>
      <w:r w:rsidR="00344007" w:rsidRPr="00013BDC">
        <w:rPr>
          <w:rFonts w:ascii="Times New Roman" w:hAnsi="Times New Roman" w:cs="Times New Roman"/>
          <w:noProof/>
          <w:sz w:val="24"/>
          <w:szCs w:val="24"/>
          <w:lang w:val="en-IE"/>
        </w:rPr>
        <w:t>h</w:t>
      </w:r>
      <w:r w:rsidRPr="00013BDC">
        <w:rPr>
          <w:rFonts w:ascii="Times New Roman" w:hAnsi="Times New Roman" w:cs="Times New Roman"/>
          <w:noProof/>
          <w:sz w:val="24"/>
          <w:szCs w:val="24"/>
          <w:lang w:val="en-IE"/>
        </w:rPr>
        <w:t>e environmental benefits</w:t>
      </w:r>
      <w:r w:rsidR="00344007" w:rsidRPr="00013BDC">
        <w:rPr>
          <w:rFonts w:ascii="Times New Roman" w:hAnsi="Times New Roman" w:cs="Times New Roman"/>
          <w:noProof/>
          <w:sz w:val="24"/>
          <w:szCs w:val="24"/>
          <w:lang w:val="en-IE"/>
        </w:rPr>
        <w:t xml:space="preserve"> stemming from </w:t>
      </w:r>
      <w:r w:rsidR="00E25BF5" w:rsidRPr="00013BDC">
        <w:rPr>
          <w:rFonts w:ascii="Times New Roman" w:hAnsi="Times New Roman" w:cs="Times New Roman"/>
          <w:noProof/>
          <w:sz w:val="24"/>
          <w:szCs w:val="24"/>
          <w:lang w:val="en-IE"/>
        </w:rPr>
        <w:t>the measures concerned is also challenging given the different impacts that may result but which are subject to uncertainty (i.e. indirect uncertain costs and benefits) in comparison to those that are direct and more easy to measure.  An explanation of calculations discarded or retained is provided below.</w:t>
      </w:r>
    </w:p>
    <w:p w14:paraId="75EC6BAC" w14:textId="5EEEFD9A" w:rsidR="00AD123E" w:rsidRPr="00013BDC" w:rsidRDefault="00AD123E" w:rsidP="00AD123E">
      <w:pPr>
        <w:pStyle w:val="Caption"/>
        <w:rPr>
          <w:noProof/>
          <w:color w:val="auto"/>
          <w:sz w:val="24"/>
          <w:szCs w:val="24"/>
          <w:lang w:val="en-IE"/>
        </w:rPr>
      </w:pPr>
      <w:bookmarkStart w:id="314" w:name="_Toc133229422"/>
      <w:bookmarkStart w:id="315" w:name="_Toc139033043"/>
      <w:r w:rsidRPr="00013BDC">
        <w:rPr>
          <w:noProof/>
          <w:color w:val="auto"/>
          <w:sz w:val="24"/>
          <w:szCs w:val="24"/>
          <w:lang w:val="en-IE"/>
        </w:rPr>
        <w:t xml:space="preserve">Table </w:t>
      </w:r>
      <w:r w:rsidR="004C5576">
        <w:rPr>
          <w:noProof/>
          <w:color w:val="auto"/>
          <w:sz w:val="24"/>
          <w:szCs w:val="24"/>
        </w:rPr>
        <w:t>13</w:t>
      </w:r>
      <w:r w:rsidRPr="00013BDC">
        <w:rPr>
          <w:noProof/>
          <w:color w:val="auto"/>
          <w:sz w:val="24"/>
          <w:szCs w:val="24"/>
          <w:lang w:val="en-IE"/>
        </w:rPr>
        <w:t xml:space="preserve"> – Discarded and retained environmental benefits</w:t>
      </w:r>
      <w:bookmarkEnd w:id="314"/>
      <w:bookmarkEnd w:id="315"/>
    </w:p>
    <w:tbl>
      <w:tblPr>
        <w:tblStyle w:val="TableGrid"/>
        <w:tblW w:w="0" w:type="auto"/>
        <w:tblLook w:val="04A0" w:firstRow="1" w:lastRow="0" w:firstColumn="1" w:lastColumn="0" w:noHBand="0" w:noVBand="1"/>
      </w:tblPr>
      <w:tblGrid>
        <w:gridCol w:w="2393"/>
        <w:gridCol w:w="1735"/>
        <w:gridCol w:w="2759"/>
        <w:gridCol w:w="2941"/>
      </w:tblGrid>
      <w:tr w:rsidR="00E00AD3" w:rsidRPr="00013BDC" w14:paraId="561DD827" w14:textId="77777777" w:rsidTr="00660E19">
        <w:tc>
          <w:tcPr>
            <w:tcW w:w="3256" w:type="dxa"/>
            <w:gridSpan w:val="2"/>
          </w:tcPr>
          <w:p w14:paraId="6D9CD96D" w14:textId="55E90C0C" w:rsidR="00E00AD3" w:rsidRPr="00013BDC" w:rsidRDefault="00E00AD3" w:rsidP="001529C5">
            <w:pPr>
              <w:pStyle w:val="WDBody"/>
              <w:jc w:val="both"/>
              <w:rPr>
                <w:rFonts w:ascii="Times New Roman" w:hAnsi="Times New Roman"/>
                <w:b/>
                <w:noProof/>
                <w:sz w:val="24"/>
                <w:szCs w:val="24"/>
                <w:lang w:val="en-IE"/>
              </w:rPr>
            </w:pPr>
            <w:r w:rsidRPr="00013BDC">
              <w:rPr>
                <w:rFonts w:ascii="Times New Roman" w:hAnsi="Times New Roman"/>
                <w:b/>
                <w:noProof/>
                <w:sz w:val="24"/>
                <w:szCs w:val="24"/>
                <w:lang w:val="en-IE"/>
              </w:rPr>
              <w:t xml:space="preserve">Environmental impact </w:t>
            </w:r>
          </w:p>
        </w:tc>
        <w:tc>
          <w:tcPr>
            <w:tcW w:w="2409" w:type="dxa"/>
          </w:tcPr>
          <w:p w14:paraId="354E1C31" w14:textId="27E02793" w:rsidR="00E00AD3" w:rsidRPr="00013BDC" w:rsidRDefault="00E00AD3" w:rsidP="001529C5">
            <w:pPr>
              <w:pStyle w:val="WDBody"/>
              <w:jc w:val="both"/>
              <w:rPr>
                <w:rFonts w:ascii="Times New Roman" w:hAnsi="Times New Roman"/>
                <w:b/>
                <w:noProof/>
                <w:sz w:val="24"/>
                <w:szCs w:val="24"/>
                <w:lang w:val="en-IE"/>
              </w:rPr>
            </w:pPr>
            <w:r w:rsidRPr="00013BDC">
              <w:rPr>
                <w:rFonts w:ascii="Times New Roman" w:hAnsi="Times New Roman"/>
                <w:b/>
                <w:noProof/>
                <w:sz w:val="24"/>
                <w:szCs w:val="24"/>
                <w:lang w:val="en-IE"/>
              </w:rPr>
              <w:t>Direct or indirect</w:t>
            </w:r>
          </w:p>
        </w:tc>
        <w:tc>
          <w:tcPr>
            <w:tcW w:w="3937" w:type="dxa"/>
          </w:tcPr>
          <w:p w14:paraId="109C455E" w14:textId="1903E899" w:rsidR="00E00AD3" w:rsidRPr="00013BDC" w:rsidRDefault="00E00AD3" w:rsidP="001529C5">
            <w:pPr>
              <w:pStyle w:val="WDBody"/>
              <w:jc w:val="both"/>
              <w:rPr>
                <w:rFonts w:ascii="Times New Roman" w:hAnsi="Times New Roman"/>
                <w:b/>
                <w:noProof/>
                <w:sz w:val="24"/>
                <w:szCs w:val="24"/>
                <w:lang w:val="en-IE"/>
              </w:rPr>
            </w:pPr>
            <w:r w:rsidRPr="00013BDC">
              <w:rPr>
                <w:rFonts w:ascii="Times New Roman" w:hAnsi="Times New Roman"/>
                <w:b/>
                <w:noProof/>
                <w:sz w:val="24"/>
                <w:szCs w:val="24"/>
                <w:lang w:val="en-IE"/>
              </w:rPr>
              <w:t>Rationale for retention or discard</w:t>
            </w:r>
          </w:p>
        </w:tc>
      </w:tr>
      <w:tr w:rsidR="00E00AD3" w:rsidRPr="00013BDC" w14:paraId="3AEE6826" w14:textId="77777777" w:rsidTr="00660E19">
        <w:tc>
          <w:tcPr>
            <w:tcW w:w="3256" w:type="dxa"/>
            <w:gridSpan w:val="2"/>
          </w:tcPr>
          <w:p w14:paraId="51FA2210" w14:textId="41B46E9E" w:rsidR="00E00AD3" w:rsidRPr="00013BDC" w:rsidRDefault="009229F4"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CO2e emissions resulting from changes in management</w:t>
            </w:r>
            <w:r w:rsidR="0040095E" w:rsidRPr="00013BDC">
              <w:rPr>
                <w:rFonts w:ascii="Times New Roman" w:hAnsi="Times New Roman"/>
                <w:noProof/>
                <w:sz w:val="24"/>
                <w:szCs w:val="24"/>
                <w:lang w:val="en-IE"/>
              </w:rPr>
              <w:t xml:space="preserve"> at the point of discard for used textiles and textile wastes</w:t>
            </w:r>
          </w:p>
        </w:tc>
        <w:tc>
          <w:tcPr>
            <w:tcW w:w="2409" w:type="dxa"/>
          </w:tcPr>
          <w:p w14:paraId="03F9AE1C" w14:textId="1E2C962A" w:rsidR="00E00AD3" w:rsidRPr="00013BDC" w:rsidRDefault="009229F4"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Direct</w:t>
            </w:r>
          </w:p>
        </w:tc>
        <w:tc>
          <w:tcPr>
            <w:tcW w:w="3937" w:type="dxa"/>
          </w:tcPr>
          <w:p w14:paraId="1C992A09" w14:textId="13441149" w:rsidR="00E00AD3" w:rsidRPr="00013BDC" w:rsidRDefault="0040095E"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Retained as the emissions can be calculated based on the volumes of used textiles and waste textiles that would be moved from one stage of the waste hierarchy to another</w:t>
            </w:r>
          </w:p>
        </w:tc>
      </w:tr>
      <w:tr w:rsidR="00E00AD3" w:rsidRPr="00013BDC" w14:paraId="04EEA3BA" w14:textId="77777777" w:rsidTr="00660E19">
        <w:tc>
          <w:tcPr>
            <w:tcW w:w="3256" w:type="dxa"/>
            <w:gridSpan w:val="2"/>
          </w:tcPr>
          <w:p w14:paraId="671E3B37" w14:textId="01171E95" w:rsidR="00E00AD3" w:rsidRPr="00013BDC" w:rsidRDefault="00660E19"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CO2e emissions resulting from the replacement of new clothing and household textiles by reused clothing and household textiles</w:t>
            </w:r>
            <w:r w:rsidR="00E356DB" w:rsidRPr="00013BDC">
              <w:rPr>
                <w:rFonts w:ascii="Times New Roman" w:hAnsi="Times New Roman"/>
                <w:noProof/>
                <w:sz w:val="24"/>
                <w:szCs w:val="24"/>
                <w:lang w:val="en-IE"/>
              </w:rPr>
              <w:t xml:space="preserve"> as well as use of recycled textile fibres</w:t>
            </w:r>
          </w:p>
        </w:tc>
        <w:tc>
          <w:tcPr>
            <w:tcW w:w="2409" w:type="dxa"/>
          </w:tcPr>
          <w:p w14:paraId="0DD29CC7" w14:textId="6B76720B" w:rsidR="00E00AD3" w:rsidRPr="00013BDC" w:rsidRDefault="00660E19"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Indirect</w:t>
            </w:r>
          </w:p>
        </w:tc>
        <w:tc>
          <w:tcPr>
            <w:tcW w:w="3937" w:type="dxa"/>
          </w:tcPr>
          <w:p w14:paraId="63D53211" w14:textId="6A464D56" w:rsidR="00E00AD3" w:rsidRPr="00013BDC" w:rsidRDefault="00E356DB"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Retained as the emissions resulting from reusing textiles in comparison to their replacement with a new textile or reusing textile fibres in comparison to their primary counterparts addresses the</w:t>
            </w:r>
            <w:r w:rsidR="00660E19" w:rsidRPr="00013BDC">
              <w:rPr>
                <w:rFonts w:ascii="Times New Roman" w:hAnsi="Times New Roman"/>
                <w:noProof/>
                <w:sz w:val="24"/>
                <w:szCs w:val="24"/>
                <w:lang w:val="en-IE"/>
              </w:rPr>
              <w:t xml:space="preserve"> knock-on effects of primary production GHG emissions that would be avoided.</w:t>
            </w:r>
          </w:p>
        </w:tc>
      </w:tr>
      <w:tr w:rsidR="00E00AD3" w:rsidRPr="00013BDC" w14:paraId="54C6C002" w14:textId="77777777" w:rsidTr="00660E19">
        <w:tc>
          <w:tcPr>
            <w:tcW w:w="3256" w:type="dxa"/>
            <w:gridSpan w:val="2"/>
          </w:tcPr>
          <w:p w14:paraId="520BB91D" w14:textId="223FECDB" w:rsidR="00E00AD3" w:rsidRPr="00013BDC" w:rsidRDefault="00660E19"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Non-GHG Emissions from production of textiles</w:t>
            </w:r>
          </w:p>
        </w:tc>
        <w:tc>
          <w:tcPr>
            <w:tcW w:w="2409" w:type="dxa"/>
          </w:tcPr>
          <w:p w14:paraId="26C95D43" w14:textId="20FE497B" w:rsidR="00E00AD3" w:rsidRPr="00013BDC" w:rsidRDefault="00660E19"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Indirect</w:t>
            </w:r>
          </w:p>
        </w:tc>
        <w:tc>
          <w:tcPr>
            <w:tcW w:w="3937" w:type="dxa"/>
          </w:tcPr>
          <w:p w14:paraId="160B9102" w14:textId="19EC112C" w:rsidR="00E00AD3" w:rsidRPr="00013BDC" w:rsidRDefault="00856E09"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Discarded</w:t>
            </w:r>
            <w:r w:rsidR="00660E19" w:rsidRPr="00013BDC">
              <w:rPr>
                <w:rFonts w:ascii="Times New Roman" w:hAnsi="Times New Roman"/>
                <w:noProof/>
                <w:sz w:val="24"/>
                <w:szCs w:val="24"/>
                <w:lang w:val="en-IE"/>
              </w:rPr>
              <w:t xml:space="preserve"> as there is uncertainty as to impacts of second-hand sales may have on primary sales figures and the knock-on effects of primary production emissions other than GHG that would be avoided.</w:t>
            </w:r>
          </w:p>
        </w:tc>
      </w:tr>
      <w:tr w:rsidR="00EA495A" w:rsidRPr="00013BDC" w14:paraId="03384E71" w14:textId="77777777">
        <w:tc>
          <w:tcPr>
            <w:tcW w:w="3087" w:type="dxa"/>
          </w:tcPr>
          <w:p w14:paraId="13FC397F" w14:textId="77777777" w:rsidR="00EA495A" w:rsidRPr="00013BDC" w:rsidRDefault="00EA495A">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Water use reductions resulting from the replacement of new clothing and household textiles by reused clothing and household textiles as well as used of recycled textile fibres</w:t>
            </w:r>
          </w:p>
        </w:tc>
        <w:tc>
          <w:tcPr>
            <w:tcW w:w="2251" w:type="dxa"/>
            <w:gridSpan w:val="2"/>
          </w:tcPr>
          <w:p w14:paraId="4E368B23" w14:textId="77777777" w:rsidR="00EA495A" w:rsidRPr="00013BDC" w:rsidRDefault="00EA495A">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Indirect</w:t>
            </w:r>
          </w:p>
        </w:tc>
        <w:tc>
          <w:tcPr>
            <w:tcW w:w="4264" w:type="dxa"/>
          </w:tcPr>
          <w:p w14:paraId="1D849AEE" w14:textId="77777777" w:rsidR="00EA495A" w:rsidRPr="00013BDC" w:rsidRDefault="00EA495A">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Retained as the emissions resulting from reusing textiles in comparison to their replacement with a new textile or reusing textile fibres in comparison to their primary counterparts addresses the knock-on effects of primary production water use that would be avoided.</w:t>
            </w:r>
          </w:p>
        </w:tc>
      </w:tr>
      <w:tr w:rsidR="00E00AD3" w:rsidRPr="00013BDC" w14:paraId="666ACBD7" w14:textId="77777777" w:rsidTr="00660E19">
        <w:tc>
          <w:tcPr>
            <w:tcW w:w="3256" w:type="dxa"/>
            <w:gridSpan w:val="2"/>
          </w:tcPr>
          <w:p w14:paraId="67C0F519" w14:textId="2467B3F8" w:rsidR="00E00AD3" w:rsidRPr="00013BDC" w:rsidRDefault="00660E19"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Transport emissions</w:t>
            </w:r>
          </w:p>
        </w:tc>
        <w:tc>
          <w:tcPr>
            <w:tcW w:w="2409" w:type="dxa"/>
          </w:tcPr>
          <w:p w14:paraId="7087C141" w14:textId="530DBD85" w:rsidR="00E00AD3" w:rsidRPr="00013BDC" w:rsidRDefault="00660E19" w:rsidP="00FE05C9">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Direct in relation to exports and indirect in relation to imports</w:t>
            </w:r>
          </w:p>
        </w:tc>
        <w:tc>
          <w:tcPr>
            <w:tcW w:w="3937" w:type="dxa"/>
          </w:tcPr>
          <w:p w14:paraId="7B3DB072" w14:textId="10729285" w:rsidR="00942ACE" w:rsidRPr="00013BDC" w:rsidRDefault="00942ACE" w:rsidP="00942ACE">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Some of the measures would result in direct reductions in emissions related to the transport of used and waste textiles to third countries. However, the extent of the impact is highly uncertain as Member States may still export to third countries as a waste under the WSR where sorting would take place so such a calculation has been discarded.</w:t>
            </w:r>
          </w:p>
          <w:p w14:paraId="230DE083" w14:textId="2D8678EC" w:rsidR="00E00AD3" w:rsidRPr="00013BDC" w:rsidRDefault="00856E09" w:rsidP="00FF5E8F">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 xml:space="preserve">Indirectly, emissions resulting from the transport of new textile products into the EU that would be replaced by </w:t>
            </w:r>
            <w:r w:rsidR="00FF5E8F" w:rsidRPr="00013BDC">
              <w:rPr>
                <w:rFonts w:ascii="Times New Roman" w:hAnsi="Times New Roman"/>
                <w:noProof/>
                <w:sz w:val="24"/>
                <w:szCs w:val="24"/>
                <w:lang w:val="en-IE"/>
              </w:rPr>
              <w:t xml:space="preserve">second-hand </w:t>
            </w:r>
            <w:r w:rsidRPr="00013BDC">
              <w:rPr>
                <w:rFonts w:ascii="Times New Roman" w:hAnsi="Times New Roman"/>
                <w:noProof/>
                <w:sz w:val="24"/>
                <w:szCs w:val="24"/>
                <w:lang w:val="en-IE"/>
              </w:rPr>
              <w:t>clothing sales within the EU is also subject to a large degree of uncertainty and has been discarded.</w:t>
            </w:r>
          </w:p>
        </w:tc>
      </w:tr>
      <w:tr w:rsidR="00977A53" w:rsidRPr="00013BDC" w14:paraId="227EDD7F" w14:textId="77777777" w:rsidTr="00B633E5">
        <w:trPr>
          <w:gridAfter w:val="1"/>
          <w:wAfter w:w="4264" w:type="dxa"/>
        </w:trPr>
        <w:tc>
          <w:tcPr>
            <w:tcW w:w="3256" w:type="dxa"/>
          </w:tcPr>
          <w:p w14:paraId="55F6E6FB" w14:textId="77777777" w:rsidR="00977A53" w:rsidRPr="00013BDC" w:rsidRDefault="00977A53">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Emissions resulting from the open burning and landfilling of textiles in third countries in comparison to the EU</w:t>
            </w:r>
          </w:p>
        </w:tc>
        <w:tc>
          <w:tcPr>
            <w:tcW w:w="2409" w:type="dxa"/>
          </w:tcPr>
          <w:p w14:paraId="7C0810C8" w14:textId="77777777" w:rsidR="00977A53" w:rsidRPr="00013BDC" w:rsidRDefault="00977A53">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Direct in relation to exports</w:t>
            </w:r>
          </w:p>
        </w:tc>
        <w:tc>
          <w:tcPr>
            <w:tcW w:w="3937" w:type="dxa"/>
          </w:tcPr>
          <w:p w14:paraId="5C78D48C" w14:textId="1C5791A3" w:rsidR="00977A53" w:rsidRPr="00013BDC" w:rsidRDefault="00977A53">
            <w:pPr>
              <w:pStyle w:val="WDBody"/>
              <w:spacing w:after="120"/>
              <w:jc w:val="both"/>
              <w:rPr>
                <w:rFonts w:ascii="Times New Roman" w:hAnsi="Times New Roman"/>
                <w:noProof/>
                <w:sz w:val="24"/>
                <w:szCs w:val="24"/>
                <w:lang w:val="en-IE"/>
              </w:rPr>
            </w:pPr>
            <w:r w:rsidRPr="00013BDC">
              <w:rPr>
                <w:rFonts w:ascii="Times New Roman" w:hAnsi="Times New Roman"/>
                <w:noProof/>
                <w:sz w:val="24"/>
                <w:szCs w:val="24"/>
                <w:lang w:val="en-IE"/>
              </w:rPr>
              <w:t>Some of the measures would result in retention of textile wastes for disposal within the EU that would otherwise have been disposed on in third countries. The difference in CO2eq emissions and externalities has been calculated where relevant.</w:t>
            </w:r>
          </w:p>
        </w:tc>
      </w:tr>
    </w:tbl>
    <w:p w14:paraId="587C5D77" w14:textId="32C4D7B6" w:rsidR="00E25BF5" w:rsidRPr="00013BDC" w:rsidRDefault="00E25BF5" w:rsidP="00AF5BF0">
      <w:pPr>
        <w:pStyle w:val="WDBody"/>
        <w:spacing w:after="120"/>
        <w:jc w:val="both"/>
        <w:rPr>
          <w:rFonts w:ascii="Times New Roman" w:hAnsi="Times New Roman" w:cs="Times New Roman"/>
          <w:noProof/>
          <w:sz w:val="24"/>
          <w:szCs w:val="24"/>
          <w:lang w:val="en-IE"/>
        </w:rPr>
      </w:pPr>
    </w:p>
    <w:p w14:paraId="56F89574" w14:textId="1B7E83A6" w:rsidR="00213B57" w:rsidRPr="00013BDC" w:rsidRDefault="00856E09" w:rsidP="001529C5">
      <w:pPr>
        <w:pStyle w:val="WDBody"/>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In relation to the calculation of changes in CO2e emissions resulting from changes in management at the point of discard of used textiles and textile wastes the European Environmental Bureau</w:t>
      </w:r>
      <w:r w:rsidR="007A54EC" w:rsidRPr="00013BDC">
        <w:rPr>
          <w:rFonts w:ascii="Times New Roman" w:hAnsi="Times New Roman" w:cs="Times New Roman"/>
          <w:noProof/>
          <w:sz w:val="24"/>
          <w:szCs w:val="24"/>
          <w:lang w:val="en-IE"/>
        </w:rPr>
        <w:t xml:space="preserve"> (EEB) </w:t>
      </w:r>
      <w:r w:rsidRPr="00013BDC">
        <w:rPr>
          <w:rStyle w:val="FootnoteReference"/>
          <w:rFonts w:ascii="Times New Roman" w:hAnsi="Times New Roman" w:cs="Times New Roman"/>
          <w:noProof/>
          <w:sz w:val="24"/>
          <w:szCs w:val="24"/>
          <w:lang w:val="en-IE"/>
        </w:rPr>
        <w:footnoteReference w:id="48"/>
      </w:r>
      <w:r w:rsidRPr="00013BDC">
        <w:rPr>
          <w:rFonts w:ascii="Times New Roman" w:hAnsi="Times New Roman" w:cs="Times New Roman"/>
          <w:noProof/>
          <w:sz w:val="24"/>
          <w:szCs w:val="24"/>
          <w:lang w:val="en-IE"/>
        </w:rPr>
        <w:t xml:space="preserve"> </w:t>
      </w:r>
      <w:r w:rsidR="0078008E" w:rsidRPr="00013BDC">
        <w:rPr>
          <w:rFonts w:ascii="Times New Roman" w:hAnsi="Times New Roman" w:cs="Times New Roman"/>
          <w:noProof/>
          <w:sz w:val="24"/>
          <w:szCs w:val="24"/>
          <w:lang w:val="en-IE"/>
        </w:rPr>
        <w:t xml:space="preserve">value </w:t>
      </w:r>
      <w:r w:rsidRPr="00013BDC">
        <w:rPr>
          <w:rFonts w:ascii="Times New Roman" w:hAnsi="Times New Roman" w:cs="Times New Roman"/>
          <w:noProof/>
          <w:sz w:val="24"/>
          <w:szCs w:val="24"/>
          <w:lang w:val="en-IE"/>
        </w:rPr>
        <w:t>have been applied</w:t>
      </w:r>
      <w:r w:rsidR="00727C33" w:rsidRPr="00013BDC">
        <w:rPr>
          <w:rFonts w:ascii="Times New Roman" w:hAnsi="Times New Roman" w:cs="Times New Roman"/>
          <w:noProof/>
          <w:sz w:val="24"/>
          <w:szCs w:val="24"/>
          <w:lang w:val="en-IE"/>
        </w:rPr>
        <w:t xml:space="preserve"> as </w:t>
      </w:r>
      <w:r w:rsidR="0078008E" w:rsidRPr="00013BDC">
        <w:rPr>
          <w:rFonts w:ascii="Times New Roman" w:hAnsi="Times New Roman" w:cs="Times New Roman"/>
          <w:noProof/>
          <w:sz w:val="24"/>
          <w:szCs w:val="24"/>
          <w:lang w:val="en-IE"/>
        </w:rPr>
        <w:t xml:space="preserve">presented </w:t>
      </w:r>
      <w:r w:rsidR="00727C33" w:rsidRPr="00013BDC">
        <w:rPr>
          <w:rFonts w:ascii="Times New Roman" w:hAnsi="Times New Roman" w:cs="Times New Roman"/>
          <w:noProof/>
          <w:sz w:val="24"/>
          <w:szCs w:val="24"/>
          <w:lang w:val="en-IE"/>
        </w:rPr>
        <w:t>below</w:t>
      </w:r>
      <w:r w:rsidRPr="00013BDC">
        <w:rPr>
          <w:rFonts w:ascii="Times New Roman" w:hAnsi="Times New Roman" w:cs="Times New Roman"/>
          <w:noProof/>
          <w:sz w:val="24"/>
          <w:szCs w:val="24"/>
          <w:lang w:val="en-IE"/>
        </w:rPr>
        <w:t>.</w:t>
      </w:r>
    </w:p>
    <w:p w14:paraId="0BC2DFB8" w14:textId="0D7FA468" w:rsidR="006C32A3" w:rsidRPr="00013BDC" w:rsidRDefault="006C32A3" w:rsidP="006C32A3">
      <w:pPr>
        <w:pStyle w:val="Caption"/>
        <w:rPr>
          <w:noProof/>
          <w:color w:val="auto"/>
          <w:sz w:val="24"/>
          <w:szCs w:val="24"/>
          <w:lang w:val="en-IE"/>
        </w:rPr>
      </w:pPr>
      <w:bookmarkStart w:id="316" w:name="_Toc133229423"/>
      <w:bookmarkStart w:id="317" w:name="_Toc139033044"/>
      <w:r w:rsidRPr="00013BDC">
        <w:rPr>
          <w:noProof/>
          <w:color w:val="auto"/>
          <w:sz w:val="24"/>
          <w:szCs w:val="24"/>
          <w:lang w:val="en-IE"/>
        </w:rPr>
        <w:t xml:space="preserve">Table </w:t>
      </w:r>
      <w:r w:rsidR="004C5576">
        <w:rPr>
          <w:noProof/>
          <w:color w:val="auto"/>
          <w:sz w:val="24"/>
          <w:szCs w:val="24"/>
        </w:rPr>
        <w:t>14</w:t>
      </w:r>
      <w:r w:rsidRPr="00013BDC">
        <w:rPr>
          <w:noProof/>
          <w:color w:val="auto"/>
          <w:sz w:val="24"/>
          <w:szCs w:val="24"/>
          <w:lang w:val="en-IE"/>
        </w:rPr>
        <w:t xml:space="preserve"> – CO2 equivalent emissions saved by destination of textile at EoL (in tonnes per tonne of textile), EEB</w:t>
      </w:r>
      <w:bookmarkEnd w:id="316"/>
      <w:bookmarkEnd w:id="317"/>
    </w:p>
    <w:tbl>
      <w:tblPr>
        <w:tblStyle w:val="TableGrid"/>
        <w:tblW w:w="5538" w:type="dxa"/>
        <w:jc w:val="center"/>
        <w:tblLayout w:type="fixed"/>
        <w:tblLook w:val="04A0" w:firstRow="1" w:lastRow="0" w:firstColumn="1" w:lastColumn="0" w:noHBand="0" w:noVBand="1"/>
      </w:tblPr>
      <w:tblGrid>
        <w:gridCol w:w="2268"/>
        <w:gridCol w:w="1716"/>
        <w:gridCol w:w="1554"/>
      </w:tblGrid>
      <w:tr w:rsidR="00856E09" w:rsidRPr="00013BDC" w14:paraId="52703F51" w14:textId="77777777" w:rsidTr="001B416D">
        <w:trPr>
          <w:trHeight w:val="588"/>
          <w:jc w:val="center"/>
        </w:trPr>
        <w:tc>
          <w:tcPr>
            <w:tcW w:w="2268" w:type="dxa"/>
          </w:tcPr>
          <w:p w14:paraId="23475255" w14:textId="77777777" w:rsidR="00856E09" w:rsidRPr="00013BDC" w:rsidRDefault="00856E09">
            <w:pPr>
              <w:pStyle w:val="WDBody"/>
              <w:spacing w:after="120"/>
              <w:rPr>
                <w:rFonts w:ascii="Times New Roman" w:hAnsi="Times New Roman"/>
                <w:b/>
                <w:noProof/>
                <w:sz w:val="24"/>
                <w:szCs w:val="24"/>
                <w:lang w:val="en-IE"/>
              </w:rPr>
            </w:pPr>
            <w:r w:rsidRPr="00013BDC">
              <w:rPr>
                <w:rFonts w:ascii="Times New Roman" w:hAnsi="Times New Roman"/>
                <w:b/>
                <w:noProof/>
                <w:sz w:val="24"/>
                <w:szCs w:val="24"/>
                <w:lang w:val="en-IE"/>
              </w:rPr>
              <w:t>Route</w:t>
            </w:r>
          </w:p>
        </w:tc>
        <w:tc>
          <w:tcPr>
            <w:tcW w:w="1716" w:type="dxa"/>
          </w:tcPr>
          <w:p w14:paraId="022E4812" w14:textId="77777777" w:rsidR="00856E09" w:rsidRPr="00013BDC" w:rsidRDefault="00856E09">
            <w:pPr>
              <w:pStyle w:val="WDBody"/>
              <w:spacing w:after="120"/>
              <w:rPr>
                <w:rFonts w:ascii="Times New Roman" w:hAnsi="Times New Roman"/>
                <w:b/>
                <w:noProof/>
                <w:sz w:val="24"/>
                <w:szCs w:val="24"/>
                <w:lang w:val="en-IE"/>
              </w:rPr>
            </w:pPr>
            <w:r w:rsidRPr="00013BDC">
              <w:rPr>
                <w:rFonts w:ascii="Times New Roman" w:hAnsi="Times New Roman"/>
                <w:b/>
                <w:noProof/>
                <w:sz w:val="24"/>
                <w:szCs w:val="24"/>
                <w:lang w:val="en-IE"/>
              </w:rPr>
              <w:t>Cotton t-shirt</w:t>
            </w:r>
          </w:p>
        </w:tc>
        <w:tc>
          <w:tcPr>
            <w:tcW w:w="1554" w:type="dxa"/>
          </w:tcPr>
          <w:p w14:paraId="448F8F10" w14:textId="77777777" w:rsidR="00856E09" w:rsidRPr="00013BDC" w:rsidRDefault="00856E09">
            <w:pPr>
              <w:pStyle w:val="WDBody"/>
              <w:spacing w:after="120"/>
              <w:rPr>
                <w:rFonts w:ascii="Times New Roman" w:hAnsi="Times New Roman"/>
                <w:b/>
                <w:noProof/>
                <w:sz w:val="24"/>
                <w:szCs w:val="24"/>
                <w:lang w:val="en-IE"/>
              </w:rPr>
            </w:pPr>
            <w:r w:rsidRPr="00013BDC">
              <w:rPr>
                <w:rFonts w:ascii="Times New Roman" w:hAnsi="Times New Roman"/>
                <w:b/>
                <w:noProof/>
                <w:sz w:val="24"/>
                <w:szCs w:val="24"/>
                <w:lang w:val="en-IE"/>
              </w:rPr>
              <w:t>Wool jumper</w:t>
            </w:r>
          </w:p>
        </w:tc>
      </w:tr>
      <w:tr w:rsidR="00856E09" w:rsidRPr="00013BDC" w14:paraId="376135A6" w14:textId="77777777" w:rsidTr="001B416D">
        <w:trPr>
          <w:trHeight w:val="368"/>
          <w:jc w:val="center"/>
        </w:trPr>
        <w:tc>
          <w:tcPr>
            <w:tcW w:w="2268" w:type="dxa"/>
          </w:tcPr>
          <w:p w14:paraId="3739E37D" w14:textId="7596631D"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Direct reuse</w:t>
            </w:r>
          </w:p>
        </w:tc>
        <w:tc>
          <w:tcPr>
            <w:tcW w:w="1716" w:type="dxa"/>
          </w:tcPr>
          <w:p w14:paraId="42D8FCD0"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12.8</w:t>
            </w:r>
          </w:p>
        </w:tc>
        <w:tc>
          <w:tcPr>
            <w:tcW w:w="1554" w:type="dxa"/>
          </w:tcPr>
          <w:p w14:paraId="19679F91"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9</w:t>
            </w:r>
          </w:p>
        </w:tc>
      </w:tr>
      <w:tr w:rsidR="00856E09" w:rsidRPr="00013BDC" w14:paraId="5F869AAD" w14:textId="77777777" w:rsidTr="001B416D">
        <w:trPr>
          <w:trHeight w:val="558"/>
          <w:jc w:val="center"/>
        </w:trPr>
        <w:tc>
          <w:tcPr>
            <w:tcW w:w="2268" w:type="dxa"/>
          </w:tcPr>
          <w:p w14:paraId="2753EF15" w14:textId="36C8846A"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 xml:space="preserve">Preparing for </w:t>
            </w:r>
            <w:r w:rsidR="00D96247" w:rsidRPr="00013BDC">
              <w:rPr>
                <w:rFonts w:ascii="Times New Roman" w:hAnsi="Times New Roman"/>
                <w:noProof/>
                <w:sz w:val="24"/>
                <w:szCs w:val="24"/>
                <w:lang w:val="en-IE"/>
              </w:rPr>
              <w:t>reuse</w:t>
            </w:r>
          </w:p>
        </w:tc>
        <w:tc>
          <w:tcPr>
            <w:tcW w:w="1716" w:type="dxa"/>
          </w:tcPr>
          <w:p w14:paraId="5A07C0EF"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11</w:t>
            </w:r>
          </w:p>
        </w:tc>
        <w:tc>
          <w:tcPr>
            <w:tcW w:w="1554" w:type="dxa"/>
          </w:tcPr>
          <w:p w14:paraId="76817586"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8</w:t>
            </w:r>
          </w:p>
        </w:tc>
      </w:tr>
      <w:tr w:rsidR="00856E09" w:rsidRPr="00013BDC" w14:paraId="4C44C207" w14:textId="77777777" w:rsidTr="001B416D">
        <w:trPr>
          <w:trHeight w:val="692"/>
          <w:jc w:val="center"/>
        </w:trPr>
        <w:tc>
          <w:tcPr>
            <w:tcW w:w="2268" w:type="dxa"/>
          </w:tcPr>
          <w:p w14:paraId="49E8C892"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100% recycling</w:t>
            </w:r>
          </w:p>
        </w:tc>
        <w:tc>
          <w:tcPr>
            <w:tcW w:w="1716" w:type="dxa"/>
          </w:tcPr>
          <w:p w14:paraId="02636E32"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&lt;1</w:t>
            </w:r>
          </w:p>
        </w:tc>
        <w:tc>
          <w:tcPr>
            <w:tcW w:w="1554" w:type="dxa"/>
          </w:tcPr>
          <w:p w14:paraId="3B872FE2"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&lt;1</w:t>
            </w:r>
          </w:p>
        </w:tc>
      </w:tr>
      <w:tr w:rsidR="00856E09" w:rsidRPr="00013BDC" w14:paraId="608505CA" w14:textId="77777777" w:rsidTr="001B416D">
        <w:trPr>
          <w:trHeight w:val="433"/>
          <w:jc w:val="center"/>
        </w:trPr>
        <w:tc>
          <w:tcPr>
            <w:tcW w:w="2268" w:type="dxa"/>
          </w:tcPr>
          <w:p w14:paraId="04D4579F"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100% landfill</w:t>
            </w:r>
          </w:p>
        </w:tc>
        <w:tc>
          <w:tcPr>
            <w:tcW w:w="1716" w:type="dxa"/>
          </w:tcPr>
          <w:p w14:paraId="61321067"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-0.2</w:t>
            </w:r>
          </w:p>
        </w:tc>
        <w:tc>
          <w:tcPr>
            <w:tcW w:w="1554" w:type="dxa"/>
          </w:tcPr>
          <w:p w14:paraId="58AC2E9C" w14:textId="77777777" w:rsidR="00856E09" w:rsidRPr="00013BDC" w:rsidRDefault="00856E09">
            <w:pPr>
              <w:pStyle w:val="WDBody"/>
              <w:spacing w:after="120"/>
              <w:rPr>
                <w:rFonts w:ascii="Times New Roman" w:hAnsi="Times New Roman"/>
                <w:noProof/>
                <w:sz w:val="24"/>
                <w:szCs w:val="24"/>
                <w:lang w:val="en-IE"/>
              </w:rPr>
            </w:pPr>
            <w:r w:rsidRPr="00013BDC">
              <w:rPr>
                <w:rFonts w:ascii="Times New Roman" w:hAnsi="Times New Roman"/>
                <w:noProof/>
                <w:sz w:val="24"/>
                <w:szCs w:val="24"/>
                <w:lang w:val="en-IE"/>
              </w:rPr>
              <w:t>-0.2</w:t>
            </w:r>
          </w:p>
        </w:tc>
      </w:tr>
    </w:tbl>
    <w:p w14:paraId="62AD0936" w14:textId="6948756E" w:rsidR="00856E09" w:rsidRPr="00013BDC" w:rsidRDefault="00856E09" w:rsidP="001B416D">
      <w:pPr>
        <w:pStyle w:val="WDBody"/>
        <w:spacing w:after="0"/>
        <w:jc w:val="both"/>
        <w:rPr>
          <w:rFonts w:ascii="Times New Roman" w:hAnsi="Times New Roman" w:cs="Times New Roman"/>
          <w:noProof/>
          <w:sz w:val="24"/>
          <w:szCs w:val="24"/>
          <w:lang w:val="en-IE"/>
        </w:rPr>
      </w:pPr>
    </w:p>
    <w:p w14:paraId="147B5B50" w14:textId="47A615B2" w:rsidR="00856E09" w:rsidRPr="00013BDC" w:rsidRDefault="00C61BD5" w:rsidP="00AD6A29">
      <w:pPr>
        <w:pStyle w:val="WDBody"/>
        <w:spacing w:after="12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I</w:t>
      </w:r>
      <w:r w:rsidR="00856E09" w:rsidRPr="00013BDC">
        <w:rPr>
          <w:rFonts w:ascii="Times New Roman" w:hAnsi="Times New Roman" w:cs="Times New Roman"/>
          <w:noProof/>
          <w:sz w:val="24"/>
          <w:szCs w:val="24"/>
          <w:lang w:val="en-IE"/>
        </w:rPr>
        <w:t>n relation to the value of one tonne of CO2e emissions, in keeping with Commission Staff Working Document Impact Assessment</w:t>
      </w:r>
      <w:r w:rsidR="00856E09" w:rsidRPr="00013BDC">
        <w:rPr>
          <w:rStyle w:val="FootnoteReference"/>
          <w:rFonts w:ascii="Times New Roman" w:hAnsi="Times New Roman" w:cs="Times New Roman"/>
          <w:noProof/>
          <w:sz w:val="24"/>
          <w:szCs w:val="24"/>
          <w:lang w:val="en-IE"/>
        </w:rPr>
        <w:footnoteReference w:id="49"/>
      </w:r>
      <w:r w:rsidR="00856E09" w:rsidRPr="00013BDC">
        <w:rPr>
          <w:rFonts w:ascii="Times New Roman" w:hAnsi="Times New Roman" w:cs="Times New Roman"/>
          <w:noProof/>
          <w:sz w:val="24"/>
          <w:szCs w:val="24"/>
          <w:lang w:val="en-IE"/>
        </w:rPr>
        <w:t xml:space="preserve"> accompanying the proposal for a Directive concerning urban wastewater treatment</w:t>
      </w:r>
      <w:r w:rsidR="00856E09" w:rsidRPr="00013BDC">
        <w:rPr>
          <w:rStyle w:val="FootnoteReference"/>
          <w:rFonts w:ascii="Times New Roman" w:hAnsi="Times New Roman" w:cs="Times New Roman"/>
          <w:noProof/>
          <w:sz w:val="24"/>
          <w:szCs w:val="24"/>
          <w:lang w:val="en-IE"/>
        </w:rPr>
        <w:footnoteReference w:id="50"/>
      </w:r>
      <w:r w:rsidR="00856E09" w:rsidRPr="00013BDC">
        <w:rPr>
          <w:rFonts w:ascii="Times New Roman" w:hAnsi="Times New Roman" w:cs="Times New Roman"/>
          <w:noProof/>
          <w:sz w:val="24"/>
          <w:szCs w:val="24"/>
          <w:lang w:val="en-IE"/>
        </w:rPr>
        <w:t xml:space="preserve"> a value of 100 </w:t>
      </w:r>
      <w:r w:rsidR="001B416D" w:rsidRPr="00013BDC">
        <w:rPr>
          <w:rFonts w:ascii="Times New Roman" w:hAnsi="Times New Roman" w:cs="Times New Roman"/>
          <w:noProof/>
          <w:sz w:val="24"/>
          <w:szCs w:val="24"/>
          <w:lang w:val="en-IE"/>
        </w:rPr>
        <w:t xml:space="preserve">euro </w:t>
      </w:r>
      <w:r w:rsidR="00856E09" w:rsidRPr="00013BDC">
        <w:rPr>
          <w:rFonts w:ascii="Times New Roman" w:hAnsi="Times New Roman" w:cs="Times New Roman"/>
          <w:noProof/>
          <w:sz w:val="24"/>
          <w:szCs w:val="24"/>
          <w:lang w:val="en-IE"/>
        </w:rPr>
        <w:t>per tonne has been applied.</w:t>
      </w:r>
    </w:p>
    <w:p w14:paraId="3BF6CA48" w14:textId="1851FEEE" w:rsidR="00D83FB7" w:rsidRPr="00013BDC" w:rsidRDefault="009D6848">
      <w:pPr>
        <w:pStyle w:val="WDBody"/>
        <w:spacing w:after="24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Water use has also been calculated on the basis of water savings through reuse and recycling of used textiles. </w:t>
      </w:r>
      <w:r w:rsidR="00020FD5" w:rsidRPr="00013BDC">
        <w:rPr>
          <w:rFonts w:ascii="Times New Roman" w:hAnsi="Times New Roman" w:cs="Times New Roman"/>
          <w:noProof/>
          <w:sz w:val="24"/>
          <w:szCs w:val="24"/>
          <w:lang w:val="en-IE"/>
        </w:rPr>
        <w:t>In its January 2023 study, EuRIC</w:t>
      </w:r>
      <w:r w:rsidR="00020FD5" w:rsidRPr="00013BDC">
        <w:rPr>
          <w:rStyle w:val="FootnoteReference"/>
          <w:rFonts w:ascii="Times New Roman" w:hAnsi="Times New Roman" w:cs="Times New Roman"/>
          <w:noProof/>
          <w:sz w:val="24"/>
          <w:szCs w:val="24"/>
          <w:lang w:val="en-IE"/>
        </w:rPr>
        <w:footnoteReference w:id="51"/>
      </w:r>
      <w:r w:rsidR="00020FD5" w:rsidRPr="00013BDC">
        <w:rPr>
          <w:rFonts w:ascii="Times New Roman" w:hAnsi="Times New Roman" w:cs="Times New Roman"/>
          <w:noProof/>
          <w:sz w:val="24"/>
          <w:szCs w:val="24"/>
          <w:lang w:val="en-IE"/>
        </w:rPr>
        <w:t xml:space="preserve"> identified the water savings resulting from the reuse and recycling of certain</w:t>
      </w:r>
      <w:r w:rsidR="002476F0" w:rsidRPr="00013BDC">
        <w:rPr>
          <w:rFonts w:ascii="Times New Roman" w:hAnsi="Times New Roman" w:cs="Times New Roman"/>
          <w:noProof/>
          <w:sz w:val="24"/>
          <w:szCs w:val="24"/>
          <w:lang w:val="en-IE"/>
        </w:rPr>
        <w:t xml:space="preserve"> qualities of</w:t>
      </w:r>
      <w:r w:rsidR="00020FD5" w:rsidRPr="00013BDC">
        <w:rPr>
          <w:rFonts w:ascii="Times New Roman" w:hAnsi="Times New Roman" w:cs="Times New Roman"/>
          <w:noProof/>
          <w:sz w:val="24"/>
          <w:szCs w:val="24"/>
          <w:lang w:val="en-IE"/>
        </w:rPr>
        <w:t xml:space="preserve"> European used textiles.  </w:t>
      </w:r>
      <w:r w:rsidR="00775252" w:rsidRPr="00013BDC">
        <w:rPr>
          <w:rFonts w:ascii="Times New Roman" w:hAnsi="Times New Roman" w:cs="Times New Roman"/>
          <w:noProof/>
          <w:sz w:val="24"/>
          <w:szCs w:val="24"/>
          <w:lang w:val="en-IE"/>
        </w:rPr>
        <w:t xml:space="preserve">Several scenarios were developed </w:t>
      </w:r>
      <w:r w:rsidR="005D12D3" w:rsidRPr="00013BDC">
        <w:rPr>
          <w:rFonts w:ascii="Times New Roman" w:hAnsi="Times New Roman" w:cs="Times New Roman"/>
          <w:noProof/>
          <w:sz w:val="24"/>
          <w:szCs w:val="24"/>
          <w:lang w:val="en-IE"/>
        </w:rPr>
        <w:t>based on reuse and recycling of different grades of t-shirt</w:t>
      </w:r>
      <w:r w:rsidR="00D83FB7" w:rsidRPr="00013BDC">
        <w:rPr>
          <w:rFonts w:ascii="Times New Roman" w:hAnsi="Times New Roman" w:cs="Times New Roman"/>
          <w:noProof/>
          <w:sz w:val="24"/>
          <w:szCs w:val="24"/>
          <w:lang w:val="en-IE"/>
        </w:rPr>
        <w:t xml:space="preserve"> as detailed below.</w:t>
      </w:r>
    </w:p>
    <w:p w14:paraId="6CCD7A53" w14:textId="57B2E7D4" w:rsidR="006C32A3" w:rsidRPr="00013BDC" w:rsidRDefault="00D83FB7" w:rsidP="006C32A3">
      <w:pPr>
        <w:pStyle w:val="Caption"/>
        <w:rPr>
          <w:noProof/>
          <w:color w:val="auto"/>
          <w:sz w:val="24"/>
          <w:szCs w:val="24"/>
          <w:lang w:val="en-IE"/>
        </w:rPr>
      </w:pPr>
      <w:bookmarkStart w:id="318" w:name="_Toc133229424"/>
      <w:bookmarkStart w:id="319" w:name="_Toc139033045"/>
      <w:r w:rsidRPr="00013BDC">
        <w:rPr>
          <w:noProof/>
          <w:color w:val="auto"/>
          <w:sz w:val="24"/>
          <w:szCs w:val="24"/>
          <w:lang w:val="en-IE"/>
        </w:rPr>
        <w:t xml:space="preserve">Table </w:t>
      </w:r>
      <w:r w:rsidR="004C5576">
        <w:rPr>
          <w:noProof/>
          <w:sz w:val="24"/>
          <w:szCs w:val="24"/>
        </w:rPr>
        <w:t>15</w:t>
      </w:r>
      <w:r w:rsidR="006C32A3" w:rsidRPr="00013BDC">
        <w:rPr>
          <w:noProof/>
          <w:color w:val="auto"/>
          <w:sz w:val="24"/>
          <w:szCs w:val="24"/>
          <w:lang w:val="en-IE"/>
        </w:rPr>
        <w:t xml:space="preserve"> – Overview of the three considered quality levels and associated scenarios used by EuRIC</w:t>
      </w:r>
      <w:bookmarkEnd w:id="318"/>
      <w:bookmarkEnd w:id="319"/>
    </w:p>
    <w:tbl>
      <w:tblPr>
        <w:tblStyle w:val="TableGrid"/>
        <w:tblW w:w="0" w:type="auto"/>
        <w:tblLook w:val="04A0" w:firstRow="1" w:lastRow="0" w:firstColumn="1" w:lastColumn="0" w:noHBand="0" w:noVBand="1"/>
      </w:tblPr>
      <w:tblGrid>
        <w:gridCol w:w="1271"/>
        <w:gridCol w:w="1701"/>
        <w:gridCol w:w="2835"/>
        <w:gridCol w:w="3795"/>
      </w:tblGrid>
      <w:tr w:rsidR="00D83FB7" w:rsidRPr="00013BDC" w14:paraId="1E2A0D78" w14:textId="77777777" w:rsidTr="00AD6A29">
        <w:tc>
          <w:tcPr>
            <w:tcW w:w="1271" w:type="dxa"/>
          </w:tcPr>
          <w:p w14:paraId="2292D9C5" w14:textId="7FADC353" w:rsidR="00D83FB7" w:rsidRPr="00013BDC" w:rsidRDefault="00D83FB7">
            <w:pPr>
              <w:pStyle w:val="WDBody"/>
              <w:spacing w:after="240"/>
              <w:jc w:val="both"/>
              <w:rPr>
                <w:rFonts w:ascii="Times New Roman" w:hAnsi="Times New Roman"/>
                <w:b/>
                <w:noProof/>
                <w:sz w:val="24"/>
                <w:szCs w:val="24"/>
                <w:lang w:val="en-IE"/>
              </w:rPr>
            </w:pPr>
            <w:r w:rsidRPr="00013BDC">
              <w:rPr>
                <w:rFonts w:ascii="Times New Roman" w:hAnsi="Times New Roman"/>
                <w:b/>
                <w:noProof/>
                <w:sz w:val="24"/>
                <w:szCs w:val="24"/>
                <w:lang w:val="en-IE"/>
              </w:rPr>
              <w:t>Scenario</w:t>
            </w:r>
          </w:p>
        </w:tc>
        <w:tc>
          <w:tcPr>
            <w:tcW w:w="1701" w:type="dxa"/>
          </w:tcPr>
          <w:p w14:paraId="76B92139" w14:textId="6E9DFAF1" w:rsidR="00D83FB7" w:rsidRPr="00013BDC" w:rsidRDefault="00D83FB7">
            <w:pPr>
              <w:pStyle w:val="WDBody"/>
              <w:spacing w:after="240"/>
              <w:jc w:val="both"/>
              <w:rPr>
                <w:rFonts w:ascii="Times New Roman" w:hAnsi="Times New Roman"/>
                <w:b/>
                <w:noProof/>
                <w:sz w:val="24"/>
                <w:szCs w:val="24"/>
                <w:lang w:val="en-IE"/>
              </w:rPr>
            </w:pPr>
            <w:r w:rsidRPr="00013BDC">
              <w:rPr>
                <w:rFonts w:ascii="Times New Roman" w:hAnsi="Times New Roman"/>
                <w:b/>
                <w:noProof/>
                <w:sz w:val="24"/>
                <w:szCs w:val="24"/>
                <w:lang w:val="en-IE"/>
              </w:rPr>
              <w:t>Quality level</w:t>
            </w:r>
          </w:p>
        </w:tc>
        <w:tc>
          <w:tcPr>
            <w:tcW w:w="2835" w:type="dxa"/>
          </w:tcPr>
          <w:p w14:paraId="373C6C90" w14:textId="44ACBC85" w:rsidR="00D83FB7" w:rsidRPr="00013BDC" w:rsidRDefault="00D83FB7">
            <w:pPr>
              <w:pStyle w:val="WDBody"/>
              <w:spacing w:after="240"/>
              <w:jc w:val="both"/>
              <w:rPr>
                <w:rFonts w:ascii="Times New Roman" w:hAnsi="Times New Roman"/>
                <w:b/>
                <w:noProof/>
                <w:sz w:val="24"/>
                <w:szCs w:val="24"/>
                <w:lang w:val="en-IE"/>
              </w:rPr>
            </w:pPr>
            <w:r w:rsidRPr="00013BDC">
              <w:rPr>
                <w:rFonts w:ascii="Times New Roman" w:hAnsi="Times New Roman"/>
                <w:b/>
                <w:noProof/>
                <w:sz w:val="24"/>
                <w:szCs w:val="24"/>
                <w:lang w:val="en-IE"/>
              </w:rPr>
              <w:t>Reused garment</w:t>
            </w:r>
          </w:p>
        </w:tc>
        <w:tc>
          <w:tcPr>
            <w:tcW w:w="3795" w:type="dxa"/>
          </w:tcPr>
          <w:p w14:paraId="241D96AC" w14:textId="5C57EA54" w:rsidR="00D83FB7" w:rsidRPr="00013BDC" w:rsidRDefault="00D83FB7">
            <w:pPr>
              <w:pStyle w:val="WDBody"/>
              <w:spacing w:after="240"/>
              <w:jc w:val="both"/>
              <w:rPr>
                <w:rFonts w:ascii="Times New Roman" w:hAnsi="Times New Roman"/>
                <w:b/>
                <w:noProof/>
                <w:sz w:val="24"/>
                <w:szCs w:val="24"/>
                <w:lang w:val="en-IE"/>
              </w:rPr>
            </w:pPr>
            <w:r w:rsidRPr="00013BDC">
              <w:rPr>
                <w:rFonts w:ascii="Times New Roman" w:hAnsi="Times New Roman"/>
                <w:b/>
                <w:noProof/>
                <w:sz w:val="24"/>
                <w:szCs w:val="24"/>
                <w:lang w:val="en-IE"/>
              </w:rPr>
              <w:t>New garment</w:t>
            </w:r>
          </w:p>
        </w:tc>
      </w:tr>
      <w:tr w:rsidR="00D83FB7" w:rsidRPr="00013BDC" w14:paraId="462B0DC4" w14:textId="77777777" w:rsidTr="00AD6A29">
        <w:tc>
          <w:tcPr>
            <w:tcW w:w="1271" w:type="dxa"/>
          </w:tcPr>
          <w:p w14:paraId="4E5364EC" w14:textId="0E12659D" w:rsidR="00D83FB7" w:rsidRPr="00013BDC" w:rsidRDefault="00D83FB7">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1</w:t>
            </w:r>
          </w:p>
        </w:tc>
        <w:tc>
          <w:tcPr>
            <w:tcW w:w="1701" w:type="dxa"/>
          </w:tcPr>
          <w:p w14:paraId="705391A4" w14:textId="22EB4DEE" w:rsidR="00D83FB7" w:rsidRPr="00013BDC" w:rsidRDefault="00F72F29">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Crème</w:t>
            </w:r>
          </w:p>
        </w:tc>
        <w:tc>
          <w:tcPr>
            <w:tcW w:w="2835" w:type="dxa"/>
          </w:tcPr>
          <w:p w14:paraId="51072D99" w14:textId="5DD2C5CE" w:rsidR="00D83FB7" w:rsidRPr="00013BDC" w:rsidRDefault="002C7211" w:rsidP="00AD6A29">
            <w:pPr>
              <w:pStyle w:val="WDBody"/>
              <w:rPr>
                <w:rFonts w:ascii="Times New Roman" w:hAnsi="Times New Roman"/>
                <w:noProof/>
                <w:sz w:val="24"/>
                <w:szCs w:val="24"/>
                <w:lang w:val="en-IE"/>
              </w:rPr>
            </w:pPr>
            <w:r w:rsidRPr="00013BDC">
              <w:rPr>
                <w:rFonts w:ascii="Times New Roman" w:hAnsi="Times New Roman"/>
                <w:noProof/>
                <w:sz w:val="24"/>
                <w:szCs w:val="24"/>
                <w:lang w:val="en-IE"/>
              </w:rPr>
              <w:t>100% cotton second-hand shirt sorted in Europe and sold in Europe</w:t>
            </w:r>
          </w:p>
        </w:tc>
        <w:tc>
          <w:tcPr>
            <w:tcW w:w="3795" w:type="dxa"/>
          </w:tcPr>
          <w:p w14:paraId="1B6D2B83" w14:textId="77A22495" w:rsidR="00D83FB7" w:rsidRPr="00013BDC" w:rsidRDefault="002C7211" w:rsidP="00AD6A29">
            <w:pPr>
              <w:pStyle w:val="WDBody"/>
              <w:rPr>
                <w:rFonts w:ascii="Times New Roman" w:hAnsi="Times New Roman"/>
                <w:noProof/>
                <w:sz w:val="24"/>
                <w:szCs w:val="24"/>
                <w:lang w:val="en-IE"/>
              </w:rPr>
            </w:pPr>
            <w:r w:rsidRPr="00013BDC">
              <w:rPr>
                <w:rFonts w:ascii="Times New Roman" w:hAnsi="Times New Roman"/>
                <w:noProof/>
                <w:sz w:val="24"/>
                <w:szCs w:val="24"/>
                <w:lang w:val="en-IE"/>
              </w:rPr>
              <w:t>100% cotton new shirt produced in Asia and sold in Europe</w:t>
            </w:r>
          </w:p>
        </w:tc>
      </w:tr>
      <w:tr w:rsidR="00D83FB7" w:rsidRPr="00013BDC" w14:paraId="13EE09A8" w14:textId="77777777" w:rsidTr="00657714">
        <w:tc>
          <w:tcPr>
            <w:tcW w:w="1271" w:type="dxa"/>
          </w:tcPr>
          <w:p w14:paraId="7CBBF57C" w14:textId="43500435" w:rsidR="00D83FB7" w:rsidRPr="00013BDC" w:rsidRDefault="00D83FB7">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2</w:t>
            </w:r>
          </w:p>
        </w:tc>
        <w:tc>
          <w:tcPr>
            <w:tcW w:w="1701" w:type="dxa"/>
          </w:tcPr>
          <w:p w14:paraId="51C59BB8" w14:textId="16F995C5" w:rsidR="00D83FB7" w:rsidRPr="00013BDC" w:rsidRDefault="00F72F29">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B-grade</w:t>
            </w:r>
          </w:p>
        </w:tc>
        <w:tc>
          <w:tcPr>
            <w:tcW w:w="2835" w:type="dxa"/>
          </w:tcPr>
          <w:p w14:paraId="24F3BD7C" w14:textId="3C18767C" w:rsidR="00D83FB7" w:rsidRPr="00013BDC" w:rsidRDefault="001057F8" w:rsidP="00657714">
            <w:pPr>
              <w:pStyle w:val="WDBody"/>
              <w:rPr>
                <w:rFonts w:ascii="Times New Roman" w:hAnsi="Times New Roman"/>
                <w:noProof/>
                <w:sz w:val="24"/>
                <w:szCs w:val="24"/>
                <w:lang w:val="en-IE"/>
              </w:rPr>
            </w:pPr>
            <w:r w:rsidRPr="00013BDC">
              <w:rPr>
                <w:rFonts w:ascii="Times New Roman" w:hAnsi="Times New Roman"/>
                <w:noProof/>
                <w:sz w:val="24"/>
                <w:szCs w:val="24"/>
                <w:lang w:val="en-IE"/>
              </w:rPr>
              <w:t>30/70 polycotton second-hand shirt sorted in Europe and sold in sub-Saharan Africa</w:t>
            </w:r>
          </w:p>
        </w:tc>
        <w:tc>
          <w:tcPr>
            <w:tcW w:w="3795" w:type="dxa"/>
          </w:tcPr>
          <w:p w14:paraId="35B8F725" w14:textId="793FCC12" w:rsidR="00D83FB7" w:rsidRPr="00013BDC" w:rsidRDefault="00181A80" w:rsidP="00657714">
            <w:pPr>
              <w:pStyle w:val="WDBody"/>
              <w:rPr>
                <w:rFonts w:ascii="Times New Roman" w:hAnsi="Times New Roman"/>
                <w:noProof/>
                <w:sz w:val="24"/>
                <w:szCs w:val="24"/>
                <w:lang w:val="en-IE"/>
              </w:rPr>
            </w:pPr>
            <w:r w:rsidRPr="00013BDC">
              <w:rPr>
                <w:rFonts w:ascii="Times New Roman" w:hAnsi="Times New Roman"/>
                <w:noProof/>
                <w:sz w:val="24"/>
                <w:szCs w:val="24"/>
                <w:lang w:val="en-IE"/>
              </w:rPr>
              <w:t>30/</w:t>
            </w:r>
            <w:r w:rsidR="001057F8" w:rsidRPr="00013BDC">
              <w:rPr>
                <w:rFonts w:ascii="Times New Roman" w:hAnsi="Times New Roman"/>
                <w:noProof/>
                <w:sz w:val="24"/>
                <w:szCs w:val="24"/>
                <w:lang w:val="en-IE"/>
              </w:rPr>
              <w:t>70 polycotton new shirt produced in Asia and sold in sub-Saharan Africa</w:t>
            </w:r>
          </w:p>
        </w:tc>
      </w:tr>
      <w:tr w:rsidR="00D83FB7" w:rsidRPr="00013BDC" w14:paraId="00D1C9EC" w14:textId="77777777" w:rsidTr="00657714">
        <w:tc>
          <w:tcPr>
            <w:tcW w:w="1271" w:type="dxa"/>
          </w:tcPr>
          <w:p w14:paraId="2DF522E3" w14:textId="685D8868" w:rsidR="00D83FB7" w:rsidRPr="00013BDC" w:rsidRDefault="00D83FB7">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3</w:t>
            </w:r>
          </w:p>
        </w:tc>
        <w:tc>
          <w:tcPr>
            <w:tcW w:w="1701" w:type="dxa"/>
          </w:tcPr>
          <w:p w14:paraId="3048226D" w14:textId="7C935463" w:rsidR="00D83FB7" w:rsidRPr="00013BDC" w:rsidRDefault="00F72F29">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C-grade</w:t>
            </w:r>
          </w:p>
        </w:tc>
        <w:tc>
          <w:tcPr>
            <w:tcW w:w="2835" w:type="dxa"/>
          </w:tcPr>
          <w:p w14:paraId="5A5D7FC5" w14:textId="71A250FA" w:rsidR="00D83FB7" w:rsidRPr="00013BDC" w:rsidRDefault="00181A80" w:rsidP="00657714">
            <w:pPr>
              <w:pStyle w:val="WDBody"/>
              <w:rPr>
                <w:rFonts w:ascii="Times New Roman" w:hAnsi="Times New Roman"/>
                <w:noProof/>
                <w:sz w:val="24"/>
                <w:szCs w:val="24"/>
                <w:lang w:val="en-IE"/>
              </w:rPr>
            </w:pPr>
            <w:r w:rsidRPr="00013BDC">
              <w:rPr>
                <w:rFonts w:ascii="Times New Roman" w:hAnsi="Times New Roman"/>
                <w:noProof/>
                <w:sz w:val="24"/>
                <w:szCs w:val="24"/>
                <w:lang w:val="en-IE"/>
              </w:rPr>
              <w:t>100% polyester second-hand shirt sorted in Europe and sold in Pakistan</w:t>
            </w:r>
          </w:p>
        </w:tc>
        <w:tc>
          <w:tcPr>
            <w:tcW w:w="3795" w:type="dxa"/>
          </w:tcPr>
          <w:p w14:paraId="4FFB900B" w14:textId="4314A56E" w:rsidR="00D83FB7" w:rsidRPr="00013BDC" w:rsidRDefault="00181A80" w:rsidP="00657714">
            <w:pPr>
              <w:pStyle w:val="WDBody"/>
              <w:rPr>
                <w:rFonts w:ascii="Times New Roman" w:hAnsi="Times New Roman"/>
                <w:noProof/>
                <w:sz w:val="24"/>
                <w:szCs w:val="24"/>
                <w:lang w:val="en-IE"/>
              </w:rPr>
            </w:pPr>
            <w:r w:rsidRPr="00013BDC">
              <w:rPr>
                <w:rFonts w:ascii="Times New Roman" w:hAnsi="Times New Roman"/>
                <w:noProof/>
                <w:sz w:val="24"/>
                <w:szCs w:val="24"/>
                <w:lang w:val="en-IE"/>
              </w:rPr>
              <w:t>100% polyester new shirt produced in Asia and sold in Pakistan</w:t>
            </w:r>
          </w:p>
        </w:tc>
      </w:tr>
    </w:tbl>
    <w:p w14:paraId="1D0B23C1" w14:textId="77777777" w:rsidR="00D83FB7" w:rsidRPr="00013BDC" w:rsidRDefault="00D83FB7">
      <w:pPr>
        <w:pStyle w:val="WDBody"/>
        <w:spacing w:after="240"/>
        <w:jc w:val="both"/>
        <w:rPr>
          <w:rFonts w:ascii="Times New Roman" w:hAnsi="Times New Roman" w:cs="Times New Roman"/>
          <w:noProof/>
          <w:sz w:val="24"/>
          <w:szCs w:val="24"/>
          <w:lang w:val="en-IE"/>
        </w:rPr>
      </w:pPr>
    </w:p>
    <w:p w14:paraId="56B5C871" w14:textId="1DBE4FF6" w:rsidR="007F0E9B" w:rsidRPr="00013BDC" w:rsidRDefault="00DF6FBC">
      <w:pPr>
        <w:pStyle w:val="WDBody"/>
        <w:spacing w:after="24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The EuRIC study consider</w:t>
      </w:r>
      <w:r w:rsidR="004B6D8F" w:rsidRPr="00013BDC">
        <w:rPr>
          <w:rFonts w:ascii="Times New Roman" w:hAnsi="Times New Roman" w:cs="Times New Roman"/>
          <w:noProof/>
          <w:sz w:val="24"/>
          <w:szCs w:val="24"/>
          <w:lang w:val="en-IE"/>
        </w:rPr>
        <w:t xml:space="preserve">ed grades </w:t>
      </w:r>
      <w:r w:rsidR="00C83C86" w:rsidRPr="00013BDC">
        <w:rPr>
          <w:rFonts w:ascii="Times New Roman" w:hAnsi="Times New Roman" w:cs="Times New Roman"/>
          <w:noProof/>
          <w:sz w:val="24"/>
          <w:szCs w:val="24"/>
          <w:lang w:val="en-IE"/>
        </w:rPr>
        <w:t>represent</w:t>
      </w:r>
      <w:r w:rsidR="008277DA" w:rsidRPr="00013BDC">
        <w:rPr>
          <w:rFonts w:ascii="Times New Roman" w:hAnsi="Times New Roman" w:cs="Times New Roman"/>
          <w:noProof/>
          <w:sz w:val="24"/>
          <w:szCs w:val="24"/>
          <w:lang w:val="en-IE"/>
        </w:rPr>
        <w:t>ing</w:t>
      </w:r>
      <w:r w:rsidR="00C83C86" w:rsidRPr="00013BDC">
        <w:rPr>
          <w:rFonts w:ascii="Times New Roman" w:hAnsi="Times New Roman" w:cs="Times New Roman"/>
          <w:noProof/>
          <w:sz w:val="24"/>
          <w:szCs w:val="24"/>
          <w:lang w:val="en-IE"/>
        </w:rPr>
        <w:t xml:space="preserve"> various qualities of t-shirt with fibre types </w:t>
      </w:r>
      <w:r w:rsidR="00A37A91" w:rsidRPr="00013BDC">
        <w:rPr>
          <w:rFonts w:ascii="Times New Roman" w:hAnsi="Times New Roman" w:cs="Times New Roman"/>
          <w:noProof/>
          <w:sz w:val="24"/>
          <w:szCs w:val="24"/>
          <w:lang w:val="en-IE"/>
        </w:rPr>
        <w:t>selected</w:t>
      </w:r>
      <w:r w:rsidR="00C83C86" w:rsidRPr="00013BDC">
        <w:rPr>
          <w:rFonts w:ascii="Times New Roman" w:hAnsi="Times New Roman" w:cs="Times New Roman"/>
          <w:noProof/>
          <w:sz w:val="24"/>
          <w:szCs w:val="24"/>
          <w:lang w:val="en-IE"/>
        </w:rPr>
        <w:t xml:space="preserve"> to ensure the affordability on global markets</w:t>
      </w:r>
      <w:r w:rsidR="000D0C32" w:rsidRPr="00013BDC">
        <w:rPr>
          <w:rFonts w:ascii="Times New Roman" w:hAnsi="Times New Roman" w:cs="Times New Roman"/>
          <w:noProof/>
          <w:sz w:val="24"/>
          <w:szCs w:val="24"/>
          <w:lang w:val="en-IE"/>
        </w:rPr>
        <w:t xml:space="preserve">.  Countries of production and consumption </w:t>
      </w:r>
      <w:r w:rsidR="00C157C9" w:rsidRPr="00013BDC">
        <w:rPr>
          <w:rFonts w:ascii="Times New Roman" w:hAnsi="Times New Roman" w:cs="Times New Roman"/>
          <w:noProof/>
          <w:sz w:val="24"/>
          <w:szCs w:val="24"/>
          <w:lang w:val="en-IE"/>
        </w:rPr>
        <w:t xml:space="preserve">were based on </w:t>
      </w:r>
      <w:r w:rsidR="00562FAA" w:rsidRPr="00013BDC">
        <w:rPr>
          <w:rFonts w:ascii="Times New Roman" w:hAnsi="Times New Roman" w:cs="Times New Roman"/>
          <w:noProof/>
          <w:sz w:val="24"/>
          <w:szCs w:val="24"/>
          <w:lang w:val="en-IE"/>
        </w:rPr>
        <w:t>the EUs export of second-hand clothing that</w:t>
      </w:r>
      <w:r w:rsidR="00A37A91" w:rsidRPr="00013BDC">
        <w:rPr>
          <w:rFonts w:ascii="Times New Roman" w:hAnsi="Times New Roman" w:cs="Times New Roman"/>
          <w:noProof/>
          <w:sz w:val="24"/>
          <w:szCs w:val="24"/>
          <w:lang w:val="en-IE"/>
        </w:rPr>
        <w:t xml:space="preserve"> </w:t>
      </w:r>
      <w:r w:rsidR="002A0C87" w:rsidRPr="00013BDC">
        <w:rPr>
          <w:rFonts w:ascii="Times New Roman" w:hAnsi="Times New Roman" w:cs="Times New Roman"/>
          <w:noProof/>
          <w:sz w:val="24"/>
          <w:szCs w:val="24"/>
          <w:lang w:val="en-IE"/>
        </w:rPr>
        <w:t xml:space="preserve">generally involves </w:t>
      </w:r>
      <w:r w:rsidR="00A37A91" w:rsidRPr="00013BDC">
        <w:rPr>
          <w:rFonts w:ascii="Times New Roman" w:hAnsi="Times New Roman" w:cs="Times New Roman"/>
          <w:noProof/>
          <w:sz w:val="24"/>
          <w:szCs w:val="24"/>
          <w:lang w:val="en-IE"/>
        </w:rPr>
        <w:t>sub-Saharan</w:t>
      </w:r>
      <w:r w:rsidR="002A0C87" w:rsidRPr="00013BDC">
        <w:rPr>
          <w:rFonts w:ascii="Times New Roman" w:hAnsi="Times New Roman" w:cs="Times New Roman"/>
          <w:noProof/>
          <w:sz w:val="24"/>
          <w:szCs w:val="24"/>
          <w:lang w:val="en-IE"/>
        </w:rPr>
        <w:t xml:space="preserve"> Africa and Pakistan and the lifetime of the textiles was</w:t>
      </w:r>
      <w:r w:rsidR="00A37A91" w:rsidRPr="00013BDC">
        <w:rPr>
          <w:rFonts w:ascii="Times New Roman" w:hAnsi="Times New Roman" w:cs="Times New Roman"/>
          <w:noProof/>
          <w:sz w:val="24"/>
          <w:szCs w:val="24"/>
          <w:lang w:val="en-IE"/>
        </w:rPr>
        <w:t xml:space="preserve"> determined on the number of wears and washes.</w:t>
      </w:r>
      <w:r w:rsidR="00427E1C" w:rsidRPr="00013BDC">
        <w:rPr>
          <w:rFonts w:ascii="Times New Roman" w:hAnsi="Times New Roman" w:cs="Times New Roman"/>
          <w:noProof/>
          <w:sz w:val="24"/>
          <w:szCs w:val="24"/>
          <w:lang w:val="en-IE"/>
        </w:rPr>
        <w:t xml:space="preserve">  The water savings </w:t>
      </w:r>
      <w:r w:rsidR="00BE42FE" w:rsidRPr="00013BDC">
        <w:rPr>
          <w:rFonts w:ascii="Times New Roman" w:hAnsi="Times New Roman" w:cs="Times New Roman"/>
          <w:noProof/>
          <w:sz w:val="24"/>
          <w:szCs w:val="24"/>
          <w:lang w:val="en-IE"/>
        </w:rPr>
        <w:t xml:space="preserve">that have been derived from </w:t>
      </w:r>
      <w:r w:rsidR="00676BDE" w:rsidRPr="00013BDC">
        <w:rPr>
          <w:rFonts w:ascii="Times New Roman" w:hAnsi="Times New Roman" w:cs="Times New Roman"/>
          <w:noProof/>
          <w:sz w:val="24"/>
          <w:szCs w:val="24"/>
          <w:lang w:val="en-IE"/>
        </w:rPr>
        <w:t>the LCA</w:t>
      </w:r>
      <w:r w:rsidR="00853675" w:rsidRPr="00013BDC">
        <w:rPr>
          <w:rStyle w:val="FootnoteReference"/>
          <w:rFonts w:ascii="Times New Roman" w:hAnsi="Times New Roman" w:cs="Times New Roman"/>
          <w:noProof/>
          <w:sz w:val="24"/>
          <w:szCs w:val="24"/>
          <w:lang w:val="en-IE"/>
        </w:rPr>
        <w:footnoteReference w:id="52"/>
      </w:r>
      <w:r w:rsidR="00676BDE" w:rsidRPr="00013BDC">
        <w:rPr>
          <w:rFonts w:ascii="Times New Roman" w:hAnsi="Times New Roman" w:cs="Times New Roman"/>
          <w:noProof/>
          <w:sz w:val="24"/>
          <w:szCs w:val="24"/>
          <w:lang w:val="en-IE"/>
        </w:rPr>
        <w:t xml:space="preserve"> </w:t>
      </w:r>
      <w:r w:rsidR="00BE42FE" w:rsidRPr="00013BDC">
        <w:rPr>
          <w:rFonts w:ascii="Times New Roman" w:hAnsi="Times New Roman" w:cs="Times New Roman"/>
          <w:noProof/>
          <w:sz w:val="24"/>
          <w:szCs w:val="24"/>
          <w:lang w:val="en-IE"/>
        </w:rPr>
        <w:t>and applied in the calculations for this study</w:t>
      </w:r>
      <w:r w:rsidR="00853675" w:rsidRPr="00013BDC">
        <w:rPr>
          <w:rFonts w:ascii="Times New Roman" w:hAnsi="Times New Roman" w:cs="Times New Roman"/>
          <w:noProof/>
          <w:sz w:val="24"/>
          <w:szCs w:val="24"/>
          <w:lang w:val="en-IE"/>
        </w:rPr>
        <w:t xml:space="preserve"> are</w:t>
      </w:r>
      <w:r w:rsidR="00676BDE" w:rsidRPr="00013BDC">
        <w:rPr>
          <w:rFonts w:ascii="Times New Roman" w:hAnsi="Times New Roman" w:cs="Times New Roman"/>
          <w:noProof/>
          <w:sz w:val="24"/>
          <w:szCs w:val="24"/>
          <w:lang w:val="en-IE"/>
        </w:rPr>
        <w:t xml:space="preserve"> listed in the table below.</w:t>
      </w:r>
    </w:p>
    <w:p w14:paraId="1868AD42" w14:textId="6665BF5D" w:rsidR="001A4C15" w:rsidRPr="00013BDC" w:rsidRDefault="001A4C15" w:rsidP="001A4C15">
      <w:pPr>
        <w:pStyle w:val="Caption"/>
        <w:rPr>
          <w:noProof/>
          <w:color w:val="auto"/>
          <w:sz w:val="24"/>
          <w:szCs w:val="24"/>
          <w:lang w:val="en-IE"/>
        </w:rPr>
      </w:pPr>
      <w:bookmarkStart w:id="320" w:name="_Toc133229425"/>
      <w:bookmarkStart w:id="321" w:name="_Toc139033046"/>
      <w:r w:rsidRPr="00013BDC">
        <w:rPr>
          <w:noProof/>
          <w:color w:val="auto"/>
          <w:sz w:val="24"/>
          <w:szCs w:val="24"/>
          <w:lang w:val="en-IE"/>
        </w:rPr>
        <w:t xml:space="preserve">Table </w:t>
      </w:r>
      <w:r w:rsidR="004C5576">
        <w:rPr>
          <w:noProof/>
          <w:color w:val="auto"/>
          <w:sz w:val="24"/>
          <w:szCs w:val="24"/>
        </w:rPr>
        <w:t>16</w:t>
      </w:r>
      <w:r w:rsidRPr="00013BDC">
        <w:rPr>
          <w:noProof/>
          <w:color w:val="auto"/>
          <w:sz w:val="24"/>
          <w:szCs w:val="24"/>
          <w:lang w:val="en-IE"/>
        </w:rPr>
        <w:t xml:space="preserve"> – Overview of </w:t>
      </w:r>
      <w:r w:rsidR="00A9171C" w:rsidRPr="00013BDC">
        <w:rPr>
          <w:noProof/>
          <w:color w:val="auto"/>
          <w:sz w:val="24"/>
          <w:szCs w:val="24"/>
          <w:lang w:val="en-IE"/>
        </w:rPr>
        <w:t xml:space="preserve">waste savings used </w:t>
      </w:r>
      <w:r w:rsidRPr="00013BDC">
        <w:rPr>
          <w:noProof/>
          <w:color w:val="auto"/>
          <w:sz w:val="24"/>
          <w:szCs w:val="24"/>
          <w:lang w:val="en-IE"/>
        </w:rPr>
        <w:t>by EuRIC</w:t>
      </w:r>
      <w:bookmarkEnd w:id="320"/>
      <w:bookmarkEnd w:id="321"/>
    </w:p>
    <w:tbl>
      <w:tblPr>
        <w:tblStyle w:val="TableGrid"/>
        <w:tblW w:w="0" w:type="auto"/>
        <w:tblLook w:val="04A0" w:firstRow="1" w:lastRow="0" w:firstColumn="1" w:lastColumn="0" w:noHBand="0" w:noVBand="1"/>
      </w:tblPr>
      <w:tblGrid>
        <w:gridCol w:w="1488"/>
        <w:gridCol w:w="2358"/>
        <w:gridCol w:w="3031"/>
        <w:gridCol w:w="2725"/>
      </w:tblGrid>
      <w:tr w:rsidR="00BE42FE" w:rsidRPr="00013BDC" w14:paraId="70A52DA7" w14:textId="57B73D9F" w:rsidTr="00657714">
        <w:tc>
          <w:tcPr>
            <w:tcW w:w="1488" w:type="dxa"/>
          </w:tcPr>
          <w:p w14:paraId="2A834676" w14:textId="77777777" w:rsidR="00BE42FE" w:rsidRPr="00013BDC" w:rsidRDefault="00BE42FE">
            <w:pPr>
              <w:pStyle w:val="WDBody"/>
              <w:spacing w:after="240"/>
              <w:jc w:val="both"/>
              <w:rPr>
                <w:rFonts w:ascii="Times New Roman" w:hAnsi="Times New Roman"/>
                <w:b/>
                <w:noProof/>
                <w:lang w:val="en-IE"/>
              </w:rPr>
            </w:pPr>
            <w:r w:rsidRPr="00013BDC">
              <w:rPr>
                <w:rFonts w:ascii="Times New Roman" w:hAnsi="Times New Roman"/>
                <w:b/>
                <w:noProof/>
                <w:lang w:val="en-IE"/>
              </w:rPr>
              <w:t>Quality level</w:t>
            </w:r>
          </w:p>
        </w:tc>
        <w:tc>
          <w:tcPr>
            <w:tcW w:w="2358" w:type="dxa"/>
          </w:tcPr>
          <w:p w14:paraId="0932ED58" w14:textId="08E0A22D" w:rsidR="00BE42FE" w:rsidRPr="00013BDC" w:rsidRDefault="00BE42FE">
            <w:pPr>
              <w:pStyle w:val="WDBody"/>
              <w:spacing w:after="240"/>
              <w:jc w:val="both"/>
              <w:rPr>
                <w:rFonts w:ascii="Times New Roman" w:hAnsi="Times New Roman"/>
                <w:b/>
                <w:noProof/>
                <w:lang w:val="en-IE"/>
              </w:rPr>
            </w:pPr>
            <w:r w:rsidRPr="00013BDC">
              <w:rPr>
                <w:rFonts w:ascii="Times New Roman" w:hAnsi="Times New Roman"/>
                <w:b/>
                <w:noProof/>
                <w:lang w:val="en-IE"/>
              </w:rPr>
              <w:t>Reused water saving</w:t>
            </w:r>
            <w:r w:rsidR="00807690" w:rsidRPr="00013BDC">
              <w:rPr>
                <w:rFonts w:ascii="Times New Roman" w:hAnsi="Times New Roman"/>
                <w:b/>
                <w:noProof/>
                <w:lang w:val="en-IE"/>
              </w:rPr>
              <w:t xml:space="preserve"> compared to new equivalent</w:t>
            </w:r>
          </w:p>
        </w:tc>
        <w:tc>
          <w:tcPr>
            <w:tcW w:w="3031" w:type="dxa"/>
          </w:tcPr>
          <w:p w14:paraId="01C7FF98" w14:textId="17671CF2" w:rsidR="00BE42FE" w:rsidRPr="00013BDC" w:rsidRDefault="00BE42FE">
            <w:pPr>
              <w:pStyle w:val="WDBody"/>
              <w:spacing w:after="240"/>
              <w:jc w:val="both"/>
              <w:rPr>
                <w:rFonts w:ascii="Times New Roman" w:hAnsi="Times New Roman"/>
                <w:b/>
                <w:noProof/>
                <w:lang w:val="en-IE"/>
              </w:rPr>
            </w:pPr>
            <w:r w:rsidRPr="00013BDC">
              <w:rPr>
                <w:rFonts w:ascii="Times New Roman" w:hAnsi="Times New Roman"/>
                <w:b/>
                <w:noProof/>
                <w:lang w:val="en-IE"/>
              </w:rPr>
              <w:t>Recycling closed-loop water saving</w:t>
            </w:r>
            <w:r w:rsidR="00807690" w:rsidRPr="00013BDC">
              <w:rPr>
                <w:rFonts w:ascii="Times New Roman" w:hAnsi="Times New Roman"/>
                <w:b/>
                <w:noProof/>
                <w:lang w:val="en-IE"/>
              </w:rPr>
              <w:t xml:space="preserve"> compared to new equivalent</w:t>
            </w:r>
          </w:p>
        </w:tc>
        <w:tc>
          <w:tcPr>
            <w:tcW w:w="2725" w:type="dxa"/>
          </w:tcPr>
          <w:p w14:paraId="2BC3E0B8" w14:textId="35DE915E" w:rsidR="00BE42FE" w:rsidRPr="00013BDC" w:rsidRDefault="00BE42FE">
            <w:pPr>
              <w:pStyle w:val="WDBody"/>
              <w:spacing w:after="240"/>
              <w:jc w:val="both"/>
              <w:rPr>
                <w:rFonts w:ascii="Times New Roman" w:hAnsi="Times New Roman"/>
                <w:b/>
                <w:noProof/>
                <w:lang w:val="en-IE"/>
              </w:rPr>
            </w:pPr>
            <w:r w:rsidRPr="00013BDC">
              <w:rPr>
                <w:rFonts w:ascii="Times New Roman" w:hAnsi="Times New Roman"/>
                <w:b/>
                <w:noProof/>
                <w:lang w:val="en-IE"/>
              </w:rPr>
              <w:t>Recycling open-loop water saving</w:t>
            </w:r>
            <w:r w:rsidR="00807690" w:rsidRPr="00013BDC">
              <w:rPr>
                <w:rFonts w:ascii="Times New Roman" w:hAnsi="Times New Roman"/>
                <w:b/>
                <w:noProof/>
                <w:lang w:val="en-IE"/>
              </w:rPr>
              <w:t xml:space="preserve"> compared to new equivalent</w:t>
            </w:r>
          </w:p>
        </w:tc>
      </w:tr>
      <w:tr w:rsidR="00BE42FE" w:rsidRPr="00013BDC" w14:paraId="7A9D041D" w14:textId="06D507FC" w:rsidTr="00657714">
        <w:tc>
          <w:tcPr>
            <w:tcW w:w="1488" w:type="dxa"/>
          </w:tcPr>
          <w:p w14:paraId="10C97959" w14:textId="77777777" w:rsidR="00BE42FE" w:rsidRPr="00013BDC" w:rsidRDefault="00BE42FE">
            <w:pPr>
              <w:pStyle w:val="WDBody"/>
              <w:spacing w:after="240"/>
              <w:jc w:val="both"/>
              <w:rPr>
                <w:rFonts w:ascii="Times New Roman" w:hAnsi="Times New Roman"/>
                <w:noProof/>
                <w:lang w:val="en-IE"/>
              </w:rPr>
            </w:pPr>
            <w:r w:rsidRPr="00013BDC">
              <w:rPr>
                <w:rFonts w:ascii="Times New Roman" w:hAnsi="Times New Roman"/>
                <w:noProof/>
                <w:lang w:val="en-IE"/>
              </w:rPr>
              <w:t>Crème</w:t>
            </w:r>
          </w:p>
        </w:tc>
        <w:tc>
          <w:tcPr>
            <w:tcW w:w="2358" w:type="dxa"/>
          </w:tcPr>
          <w:p w14:paraId="1C411391" w14:textId="4849ABA8" w:rsidR="00BE42FE" w:rsidRPr="00013BDC" w:rsidRDefault="00024C3F">
            <w:pPr>
              <w:pStyle w:val="WDBody"/>
              <w:rPr>
                <w:rFonts w:ascii="Times New Roman" w:hAnsi="Times New Roman"/>
                <w:noProof/>
                <w:lang w:val="en-IE"/>
              </w:rPr>
            </w:pPr>
            <w:r w:rsidRPr="00013BDC">
              <w:rPr>
                <w:rFonts w:ascii="Times New Roman" w:hAnsi="Times New Roman"/>
                <w:noProof/>
                <w:lang w:val="en-IE"/>
              </w:rPr>
              <w:t>30.7m</w:t>
            </w:r>
            <w:r w:rsidRPr="00013BDC">
              <w:rPr>
                <w:rFonts w:ascii="Times New Roman" w:hAnsi="Times New Roman"/>
                <w:noProof/>
                <w:vertAlign w:val="superscript"/>
                <w:lang w:val="en-IE"/>
              </w:rPr>
              <w:t xml:space="preserve">3 </w:t>
            </w:r>
            <w:r w:rsidRPr="00013BDC">
              <w:rPr>
                <w:rFonts w:ascii="Times New Roman" w:hAnsi="Times New Roman"/>
                <w:noProof/>
                <w:lang w:val="en-IE"/>
              </w:rPr>
              <w:t xml:space="preserve">per </w:t>
            </w:r>
            <w:r w:rsidR="0047641B" w:rsidRPr="00013BDC">
              <w:rPr>
                <w:rFonts w:ascii="Times New Roman" w:hAnsi="Times New Roman"/>
                <w:noProof/>
                <w:lang w:val="en-IE"/>
              </w:rPr>
              <w:t>item</w:t>
            </w:r>
          </w:p>
        </w:tc>
        <w:tc>
          <w:tcPr>
            <w:tcW w:w="3031" w:type="dxa"/>
          </w:tcPr>
          <w:p w14:paraId="0798590D" w14:textId="79F1AFF2" w:rsidR="00BE42FE" w:rsidRPr="00013BDC" w:rsidRDefault="00C33B2B">
            <w:pPr>
              <w:pStyle w:val="WDBody"/>
              <w:rPr>
                <w:rFonts w:ascii="Times New Roman" w:hAnsi="Times New Roman"/>
                <w:noProof/>
                <w:lang w:val="en-IE"/>
              </w:rPr>
            </w:pPr>
            <w:r w:rsidRPr="00013BDC">
              <w:rPr>
                <w:rFonts w:ascii="Times New Roman" w:hAnsi="Times New Roman"/>
                <w:noProof/>
                <w:lang w:val="en-IE"/>
              </w:rPr>
              <w:t>0.</w:t>
            </w:r>
            <w:r w:rsidR="0001794E" w:rsidRPr="00013BDC">
              <w:rPr>
                <w:rFonts w:ascii="Times New Roman" w:hAnsi="Times New Roman"/>
                <w:noProof/>
                <w:lang w:val="en-IE"/>
              </w:rPr>
              <w:t>7m</w:t>
            </w:r>
            <w:r w:rsidR="0001794E" w:rsidRPr="00013BDC">
              <w:rPr>
                <w:rFonts w:ascii="Times New Roman" w:hAnsi="Times New Roman"/>
                <w:noProof/>
                <w:vertAlign w:val="superscript"/>
                <w:lang w:val="en-IE"/>
              </w:rPr>
              <w:t>3</w:t>
            </w:r>
            <w:r w:rsidR="0001794E" w:rsidRPr="00013BDC">
              <w:rPr>
                <w:rFonts w:ascii="Times New Roman" w:hAnsi="Times New Roman"/>
                <w:noProof/>
                <w:lang w:val="en-IE"/>
              </w:rPr>
              <w:t xml:space="preserve"> per item</w:t>
            </w:r>
          </w:p>
        </w:tc>
        <w:tc>
          <w:tcPr>
            <w:tcW w:w="2725" w:type="dxa"/>
          </w:tcPr>
          <w:p w14:paraId="35A00B3D" w14:textId="4B5191E7" w:rsidR="00BE42FE" w:rsidRPr="00013BDC" w:rsidRDefault="00C33B2B">
            <w:pPr>
              <w:pStyle w:val="WDBody"/>
              <w:rPr>
                <w:rFonts w:ascii="Times New Roman" w:hAnsi="Times New Roman"/>
                <w:noProof/>
                <w:lang w:val="en-IE"/>
              </w:rPr>
            </w:pPr>
            <w:r w:rsidRPr="00013BDC">
              <w:rPr>
                <w:rFonts w:ascii="Times New Roman" w:hAnsi="Times New Roman"/>
                <w:noProof/>
                <w:lang w:val="en-IE"/>
              </w:rPr>
              <w:t>2.6m</w:t>
            </w:r>
            <w:r w:rsidRPr="00013BDC">
              <w:rPr>
                <w:rFonts w:ascii="Times New Roman" w:hAnsi="Times New Roman"/>
                <w:noProof/>
                <w:vertAlign w:val="superscript"/>
                <w:lang w:val="en-IE"/>
              </w:rPr>
              <w:t>3</w:t>
            </w:r>
            <w:r w:rsidRPr="00013BDC">
              <w:rPr>
                <w:rFonts w:ascii="Times New Roman" w:hAnsi="Times New Roman"/>
                <w:noProof/>
                <w:lang w:val="en-IE"/>
              </w:rPr>
              <w:t xml:space="preserve"> per item</w:t>
            </w:r>
          </w:p>
        </w:tc>
      </w:tr>
      <w:tr w:rsidR="00BE42FE" w:rsidRPr="00013BDC" w14:paraId="71EFCB2D" w14:textId="6C7E7EA8" w:rsidTr="00657714">
        <w:tc>
          <w:tcPr>
            <w:tcW w:w="1488" w:type="dxa"/>
          </w:tcPr>
          <w:p w14:paraId="2D52A7FB" w14:textId="77777777" w:rsidR="00BE42FE" w:rsidRPr="00013BDC" w:rsidRDefault="00BE42FE">
            <w:pPr>
              <w:pStyle w:val="WDBody"/>
              <w:spacing w:after="240"/>
              <w:jc w:val="both"/>
              <w:rPr>
                <w:rFonts w:ascii="Times New Roman" w:hAnsi="Times New Roman"/>
                <w:noProof/>
                <w:lang w:val="en-IE"/>
              </w:rPr>
            </w:pPr>
            <w:r w:rsidRPr="00013BDC">
              <w:rPr>
                <w:rFonts w:ascii="Times New Roman" w:hAnsi="Times New Roman"/>
                <w:noProof/>
                <w:lang w:val="en-IE"/>
              </w:rPr>
              <w:t>B-grade</w:t>
            </w:r>
          </w:p>
        </w:tc>
        <w:tc>
          <w:tcPr>
            <w:tcW w:w="2358" w:type="dxa"/>
          </w:tcPr>
          <w:p w14:paraId="570323AC" w14:textId="7CE7EA57" w:rsidR="00BE42FE" w:rsidRPr="00013BDC" w:rsidRDefault="0095756A">
            <w:pPr>
              <w:pStyle w:val="WDBody"/>
              <w:rPr>
                <w:rFonts w:ascii="Times New Roman" w:hAnsi="Times New Roman"/>
                <w:noProof/>
                <w:lang w:val="en-IE"/>
              </w:rPr>
            </w:pPr>
            <w:r w:rsidRPr="00013BDC">
              <w:rPr>
                <w:rFonts w:ascii="Times New Roman" w:hAnsi="Times New Roman"/>
                <w:noProof/>
                <w:lang w:val="en-IE"/>
              </w:rPr>
              <w:t>21.4</w:t>
            </w:r>
            <w:r w:rsidR="0047641B" w:rsidRPr="00013BDC">
              <w:rPr>
                <w:rFonts w:ascii="Times New Roman" w:hAnsi="Times New Roman"/>
                <w:noProof/>
                <w:lang w:val="en-IE"/>
              </w:rPr>
              <w:t>m</w:t>
            </w:r>
            <w:r w:rsidR="0047641B" w:rsidRPr="00013BDC">
              <w:rPr>
                <w:rFonts w:ascii="Times New Roman" w:hAnsi="Times New Roman"/>
                <w:noProof/>
                <w:vertAlign w:val="superscript"/>
                <w:lang w:val="en-IE"/>
              </w:rPr>
              <w:t xml:space="preserve">3 </w:t>
            </w:r>
            <w:r w:rsidR="0047641B" w:rsidRPr="00013BDC">
              <w:rPr>
                <w:rFonts w:ascii="Times New Roman" w:hAnsi="Times New Roman"/>
                <w:noProof/>
                <w:lang w:val="en-IE"/>
              </w:rPr>
              <w:t>per item</w:t>
            </w:r>
          </w:p>
        </w:tc>
        <w:tc>
          <w:tcPr>
            <w:tcW w:w="3031" w:type="dxa"/>
          </w:tcPr>
          <w:p w14:paraId="2E7C4F02" w14:textId="1D910E63" w:rsidR="00BE42FE" w:rsidRPr="00013BDC" w:rsidRDefault="00616BD6">
            <w:pPr>
              <w:pStyle w:val="WDBody"/>
              <w:rPr>
                <w:rFonts w:ascii="Times New Roman" w:hAnsi="Times New Roman"/>
                <w:noProof/>
                <w:lang w:val="en-IE"/>
              </w:rPr>
            </w:pPr>
            <w:r w:rsidRPr="00013BDC">
              <w:rPr>
                <w:rFonts w:ascii="Times New Roman" w:hAnsi="Times New Roman"/>
                <w:noProof/>
                <w:lang w:val="en-IE"/>
              </w:rPr>
              <w:t>0.</w:t>
            </w:r>
            <w:r w:rsidR="000A626D" w:rsidRPr="00013BDC">
              <w:rPr>
                <w:rFonts w:ascii="Times New Roman" w:hAnsi="Times New Roman"/>
                <w:noProof/>
                <w:lang w:val="en-IE"/>
              </w:rPr>
              <w:t>2</w:t>
            </w:r>
            <w:r w:rsidRPr="00013BDC">
              <w:rPr>
                <w:rFonts w:ascii="Times New Roman" w:hAnsi="Times New Roman"/>
                <w:noProof/>
                <w:lang w:val="en-IE"/>
              </w:rPr>
              <w:t>m</w:t>
            </w:r>
            <w:r w:rsidRPr="00013BDC">
              <w:rPr>
                <w:rFonts w:ascii="Times New Roman" w:hAnsi="Times New Roman"/>
                <w:noProof/>
                <w:vertAlign w:val="superscript"/>
                <w:lang w:val="en-IE"/>
              </w:rPr>
              <w:t>3</w:t>
            </w:r>
            <w:r w:rsidRPr="00013BDC">
              <w:rPr>
                <w:rFonts w:ascii="Times New Roman" w:hAnsi="Times New Roman"/>
                <w:noProof/>
                <w:lang w:val="en-IE"/>
              </w:rPr>
              <w:t xml:space="preserve"> per item</w:t>
            </w:r>
          </w:p>
        </w:tc>
        <w:tc>
          <w:tcPr>
            <w:tcW w:w="2725" w:type="dxa"/>
          </w:tcPr>
          <w:p w14:paraId="4BCDD9FB" w14:textId="4786A6CB" w:rsidR="00BE42FE" w:rsidRPr="00013BDC" w:rsidRDefault="00935BF0">
            <w:pPr>
              <w:pStyle w:val="WDBody"/>
              <w:rPr>
                <w:rFonts w:ascii="Times New Roman" w:hAnsi="Times New Roman"/>
                <w:noProof/>
                <w:lang w:val="en-IE"/>
              </w:rPr>
            </w:pPr>
            <w:r w:rsidRPr="00013BDC">
              <w:rPr>
                <w:rFonts w:ascii="Times New Roman" w:hAnsi="Times New Roman"/>
                <w:noProof/>
                <w:lang w:val="en-IE"/>
              </w:rPr>
              <w:t>No value provided</w:t>
            </w:r>
          </w:p>
        </w:tc>
      </w:tr>
      <w:tr w:rsidR="00BE42FE" w:rsidRPr="00013BDC" w14:paraId="67A34E9C" w14:textId="06C51B3A" w:rsidTr="00657714">
        <w:tc>
          <w:tcPr>
            <w:tcW w:w="1488" w:type="dxa"/>
          </w:tcPr>
          <w:p w14:paraId="522601DD" w14:textId="77777777" w:rsidR="00BE42FE" w:rsidRPr="00013BDC" w:rsidRDefault="00BE42FE">
            <w:pPr>
              <w:pStyle w:val="WDBody"/>
              <w:spacing w:after="240"/>
              <w:jc w:val="both"/>
              <w:rPr>
                <w:rFonts w:ascii="Times New Roman" w:hAnsi="Times New Roman"/>
                <w:noProof/>
                <w:lang w:val="en-IE"/>
              </w:rPr>
            </w:pPr>
            <w:r w:rsidRPr="00013BDC">
              <w:rPr>
                <w:rFonts w:ascii="Times New Roman" w:hAnsi="Times New Roman"/>
                <w:noProof/>
                <w:lang w:val="en-IE"/>
              </w:rPr>
              <w:t>C-grade</w:t>
            </w:r>
          </w:p>
        </w:tc>
        <w:tc>
          <w:tcPr>
            <w:tcW w:w="2358" w:type="dxa"/>
          </w:tcPr>
          <w:p w14:paraId="17225C3F" w14:textId="1C97B8D2" w:rsidR="00BE42FE" w:rsidRPr="00013BDC" w:rsidRDefault="003F75FE">
            <w:pPr>
              <w:pStyle w:val="WDBody"/>
              <w:rPr>
                <w:rFonts w:ascii="Times New Roman" w:hAnsi="Times New Roman"/>
                <w:noProof/>
                <w:lang w:val="en-IE"/>
              </w:rPr>
            </w:pPr>
            <w:r w:rsidRPr="00013BDC">
              <w:rPr>
                <w:rFonts w:ascii="Times New Roman" w:hAnsi="Times New Roman"/>
                <w:noProof/>
                <w:lang w:val="en-IE"/>
              </w:rPr>
              <w:t>0.9m</w:t>
            </w:r>
            <w:r w:rsidRPr="00013BDC">
              <w:rPr>
                <w:rFonts w:ascii="Times New Roman" w:hAnsi="Times New Roman"/>
                <w:noProof/>
                <w:vertAlign w:val="superscript"/>
                <w:lang w:val="en-IE"/>
              </w:rPr>
              <w:t>3</w:t>
            </w:r>
            <w:r w:rsidRPr="00013BDC">
              <w:rPr>
                <w:rFonts w:ascii="Times New Roman" w:hAnsi="Times New Roman"/>
                <w:noProof/>
                <w:lang w:val="en-IE"/>
              </w:rPr>
              <w:t xml:space="preserve"> per item</w:t>
            </w:r>
          </w:p>
        </w:tc>
        <w:tc>
          <w:tcPr>
            <w:tcW w:w="3031" w:type="dxa"/>
          </w:tcPr>
          <w:p w14:paraId="1C399203" w14:textId="2AC3539B" w:rsidR="00BE42FE" w:rsidRPr="00013BDC" w:rsidRDefault="00616BD6">
            <w:pPr>
              <w:pStyle w:val="WDBody"/>
              <w:rPr>
                <w:rFonts w:ascii="Times New Roman" w:hAnsi="Times New Roman"/>
                <w:noProof/>
                <w:lang w:val="en-IE"/>
              </w:rPr>
            </w:pPr>
            <w:r w:rsidRPr="00013BDC">
              <w:rPr>
                <w:rFonts w:ascii="Times New Roman" w:hAnsi="Times New Roman"/>
                <w:noProof/>
                <w:lang w:val="en-IE"/>
              </w:rPr>
              <w:t>0.2</w:t>
            </w:r>
            <w:r w:rsidR="000A626D" w:rsidRPr="00013BDC">
              <w:rPr>
                <w:rFonts w:ascii="Times New Roman" w:hAnsi="Times New Roman"/>
                <w:noProof/>
                <w:lang w:val="en-IE"/>
              </w:rPr>
              <w:t>m</w:t>
            </w:r>
            <w:r w:rsidR="000A626D" w:rsidRPr="00013BDC">
              <w:rPr>
                <w:rFonts w:ascii="Times New Roman" w:hAnsi="Times New Roman"/>
                <w:noProof/>
                <w:vertAlign w:val="superscript"/>
                <w:lang w:val="en-IE"/>
              </w:rPr>
              <w:t>3</w:t>
            </w:r>
            <w:r w:rsidR="000A626D" w:rsidRPr="00013BDC">
              <w:rPr>
                <w:rFonts w:ascii="Times New Roman" w:hAnsi="Times New Roman"/>
                <w:noProof/>
                <w:lang w:val="en-IE"/>
              </w:rPr>
              <w:t xml:space="preserve"> per item</w:t>
            </w:r>
          </w:p>
        </w:tc>
        <w:tc>
          <w:tcPr>
            <w:tcW w:w="2725" w:type="dxa"/>
          </w:tcPr>
          <w:p w14:paraId="52B223BC" w14:textId="37F2A971" w:rsidR="00BE42FE" w:rsidRPr="00013BDC" w:rsidRDefault="00A92DE1">
            <w:pPr>
              <w:pStyle w:val="WDBody"/>
              <w:rPr>
                <w:rFonts w:ascii="Times New Roman" w:hAnsi="Times New Roman"/>
                <w:noProof/>
                <w:lang w:val="en-IE"/>
              </w:rPr>
            </w:pPr>
            <w:r w:rsidRPr="00013BDC">
              <w:rPr>
                <w:rFonts w:ascii="Times New Roman" w:hAnsi="Times New Roman"/>
                <w:noProof/>
                <w:lang w:val="en-IE"/>
              </w:rPr>
              <w:t>No value provided</w:t>
            </w:r>
          </w:p>
        </w:tc>
      </w:tr>
    </w:tbl>
    <w:p w14:paraId="34FAECFB" w14:textId="58B2A5DC" w:rsidR="005D12D3" w:rsidRPr="00013BDC" w:rsidRDefault="00D076E9" w:rsidP="00A9171C">
      <w:pPr>
        <w:pStyle w:val="WDBody"/>
        <w:spacing w:before="240" w:after="24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To determine the potential savings per tonne of collected textiles the average weight of a t-shirt was taken from </w:t>
      </w:r>
      <w:r w:rsidR="000A23F8" w:rsidRPr="00013BDC">
        <w:rPr>
          <w:rFonts w:ascii="Times New Roman" w:hAnsi="Times New Roman" w:cs="Times New Roman"/>
          <w:noProof/>
          <w:sz w:val="24"/>
          <w:szCs w:val="24"/>
          <w:lang w:val="en-IE"/>
        </w:rPr>
        <w:t>the same EuRIC study – 155 grams.</w:t>
      </w:r>
      <w:r w:rsidR="005861C2" w:rsidRPr="00013BDC">
        <w:rPr>
          <w:rFonts w:ascii="Times New Roman" w:hAnsi="Times New Roman" w:cs="Times New Roman"/>
          <w:noProof/>
          <w:sz w:val="24"/>
          <w:szCs w:val="24"/>
          <w:lang w:val="en-IE"/>
        </w:rPr>
        <w:t xml:space="preserve"> </w:t>
      </w:r>
      <w:r w:rsidR="00C35B11" w:rsidRPr="00013BDC">
        <w:rPr>
          <w:rFonts w:ascii="Times New Roman" w:hAnsi="Times New Roman" w:cs="Times New Roman"/>
          <w:noProof/>
          <w:sz w:val="24"/>
          <w:szCs w:val="24"/>
          <w:lang w:val="en-IE"/>
        </w:rPr>
        <w:t xml:space="preserve">The following values per tonne </w:t>
      </w:r>
      <w:r w:rsidR="006E2C53" w:rsidRPr="00013BDC">
        <w:rPr>
          <w:rFonts w:ascii="Times New Roman" w:hAnsi="Times New Roman" w:cs="Times New Roman"/>
          <w:noProof/>
          <w:sz w:val="24"/>
          <w:szCs w:val="24"/>
          <w:lang w:val="en-IE"/>
        </w:rPr>
        <w:t>were derived accordingly.</w:t>
      </w:r>
    </w:p>
    <w:p w14:paraId="61A139EF" w14:textId="72DB04F3" w:rsidR="00A9171C" w:rsidRPr="00013BDC" w:rsidRDefault="00A9171C" w:rsidP="00A9171C">
      <w:pPr>
        <w:pStyle w:val="Caption"/>
        <w:rPr>
          <w:noProof/>
          <w:color w:val="auto"/>
          <w:sz w:val="24"/>
          <w:szCs w:val="24"/>
          <w:lang w:val="en-IE"/>
        </w:rPr>
      </w:pPr>
      <w:bookmarkStart w:id="322" w:name="_Toc133229426"/>
      <w:bookmarkStart w:id="323" w:name="_Toc139033047"/>
      <w:r w:rsidRPr="00013BDC">
        <w:rPr>
          <w:noProof/>
          <w:color w:val="auto"/>
          <w:sz w:val="24"/>
          <w:szCs w:val="24"/>
          <w:lang w:val="en-IE"/>
        </w:rPr>
        <w:t xml:space="preserve">Table </w:t>
      </w:r>
      <w:r w:rsidR="004C5576">
        <w:rPr>
          <w:noProof/>
          <w:color w:val="auto"/>
          <w:sz w:val="24"/>
          <w:szCs w:val="24"/>
        </w:rPr>
        <w:t>17</w:t>
      </w:r>
      <w:r w:rsidRPr="00013BDC">
        <w:rPr>
          <w:noProof/>
          <w:color w:val="auto"/>
          <w:sz w:val="24"/>
          <w:szCs w:val="24"/>
          <w:lang w:val="en-IE"/>
        </w:rPr>
        <w:t xml:space="preserve"> – Values </w:t>
      </w:r>
      <w:r w:rsidR="00064514" w:rsidRPr="00013BDC">
        <w:rPr>
          <w:noProof/>
          <w:color w:val="auto"/>
          <w:sz w:val="24"/>
          <w:szCs w:val="24"/>
          <w:lang w:val="en-IE"/>
        </w:rPr>
        <w:t>of water savings per tonne</w:t>
      </w:r>
      <w:r w:rsidRPr="00013BDC">
        <w:rPr>
          <w:noProof/>
          <w:color w:val="auto"/>
          <w:sz w:val="24"/>
          <w:szCs w:val="24"/>
          <w:lang w:val="en-IE"/>
        </w:rPr>
        <w:t xml:space="preserve"> used by EuRIC</w:t>
      </w:r>
      <w:bookmarkEnd w:id="322"/>
      <w:bookmarkEnd w:id="323"/>
    </w:p>
    <w:tbl>
      <w:tblPr>
        <w:tblStyle w:val="TableGrid"/>
        <w:tblW w:w="0" w:type="auto"/>
        <w:tblLook w:val="04A0" w:firstRow="1" w:lastRow="0" w:firstColumn="1" w:lastColumn="0" w:noHBand="0" w:noVBand="1"/>
      </w:tblPr>
      <w:tblGrid>
        <w:gridCol w:w="1488"/>
        <w:gridCol w:w="2358"/>
        <w:gridCol w:w="3031"/>
        <w:gridCol w:w="2725"/>
      </w:tblGrid>
      <w:tr w:rsidR="006E2C53" w:rsidRPr="00013BDC" w14:paraId="17FA6C76" w14:textId="77777777">
        <w:tc>
          <w:tcPr>
            <w:tcW w:w="1488" w:type="dxa"/>
          </w:tcPr>
          <w:p w14:paraId="41ACB35B" w14:textId="77777777" w:rsidR="006E2C53" w:rsidRPr="00013BDC" w:rsidRDefault="006E2C53">
            <w:pPr>
              <w:pStyle w:val="WDBody"/>
              <w:spacing w:after="240"/>
              <w:jc w:val="both"/>
              <w:rPr>
                <w:rFonts w:ascii="Times New Roman" w:hAnsi="Times New Roman"/>
                <w:b/>
                <w:noProof/>
                <w:lang w:val="en-IE"/>
              </w:rPr>
            </w:pPr>
            <w:r w:rsidRPr="00013BDC">
              <w:rPr>
                <w:rFonts w:ascii="Times New Roman" w:hAnsi="Times New Roman"/>
                <w:b/>
                <w:noProof/>
                <w:lang w:val="en-IE"/>
              </w:rPr>
              <w:t>Quality level</w:t>
            </w:r>
          </w:p>
        </w:tc>
        <w:tc>
          <w:tcPr>
            <w:tcW w:w="2358" w:type="dxa"/>
          </w:tcPr>
          <w:p w14:paraId="196982ED" w14:textId="7FA00A7B" w:rsidR="006E2C53" w:rsidRPr="00013BDC" w:rsidRDefault="006E2C53">
            <w:pPr>
              <w:pStyle w:val="WDBody"/>
              <w:spacing w:after="240"/>
              <w:jc w:val="both"/>
              <w:rPr>
                <w:rFonts w:ascii="Times New Roman" w:hAnsi="Times New Roman"/>
                <w:b/>
                <w:noProof/>
                <w:lang w:val="en-IE"/>
              </w:rPr>
            </w:pPr>
            <w:r w:rsidRPr="00013BDC">
              <w:rPr>
                <w:rFonts w:ascii="Times New Roman" w:hAnsi="Times New Roman"/>
                <w:b/>
                <w:noProof/>
                <w:lang w:val="en-IE"/>
              </w:rPr>
              <w:t>Reused water saving compared to new equivalent per tonne of textiles collected</w:t>
            </w:r>
          </w:p>
        </w:tc>
        <w:tc>
          <w:tcPr>
            <w:tcW w:w="3031" w:type="dxa"/>
          </w:tcPr>
          <w:p w14:paraId="7FD081E7" w14:textId="463F99EF" w:rsidR="006E2C53" w:rsidRPr="00013BDC" w:rsidRDefault="006E2C53">
            <w:pPr>
              <w:pStyle w:val="WDBody"/>
              <w:spacing w:after="240"/>
              <w:jc w:val="both"/>
              <w:rPr>
                <w:rFonts w:ascii="Times New Roman" w:hAnsi="Times New Roman"/>
                <w:b/>
                <w:noProof/>
                <w:lang w:val="en-IE"/>
              </w:rPr>
            </w:pPr>
            <w:r w:rsidRPr="00013BDC">
              <w:rPr>
                <w:rFonts w:ascii="Times New Roman" w:hAnsi="Times New Roman"/>
                <w:b/>
                <w:noProof/>
                <w:lang w:val="en-IE"/>
              </w:rPr>
              <w:t>Recycling closed-loop water saving compared to new equivalent per tonne of textiles collected</w:t>
            </w:r>
          </w:p>
        </w:tc>
        <w:tc>
          <w:tcPr>
            <w:tcW w:w="2725" w:type="dxa"/>
          </w:tcPr>
          <w:p w14:paraId="7D1489E1" w14:textId="5EB3036F" w:rsidR="006E2C53" w:rsidRPr="00013BDC" w:rsidRDefault="006E2C53">
            <w:pPr>
              <w:pStyle w:val="WDBody"/>
              <w:spacing w:after="240"/>
              <w:jc w:val="both"/>
              <w:rPr>
                <w:rFonts w:ascii="Times New Roman" w:hAnsi="Times New Roman"/>
                <w:b/>
                <w:noProof/>
                <w:lang w:val="en-IE"/>
              </w:rPr>
            </w:pPr>
            <w:r w:rsidRPr="00013BDC">
              <w:rPr>
                <w:rFonts w:ascii="Times New Roman" w:hAnsi="Times New Roman"/>
                <w:b/>
                <w:noProof/>
                <w:lang w:val="en-IE"/>
              </w:rPr>
              <w:t>Recycling open-loop water saving compared to new equivalent per tonne of textiles collected</w:t>
            </w:r>
          </w:p>
        </w:tc>
      </w:tr>
      <w:tr w:rsidR="006E2C53" w:rsidRPr="00013BDC" w14:paraId="4C1CC7DA" w14:textId="77777777">
        <w:tc>
          <w:tcPr>
            <w:tcW w:w="1488" w:type="dxa"/>
          </w:tcPr>
          <w:p w14:paraId="7D1F97BF" w14:textId="77777777" w:rsidR="006E2C53" w:rsidRPr="00013BDC" w:rsidRDefault="006E2C53">
            <w:pPr>
              <w:pStyle w:val="WDBody"/>
              <w:spacing w:after="240"/>
              <w:jc w:val="both"/>
              <w:rPr>
                <w:rFonts w:ascii="Times New Roman" w:hAnsi="Times New Roman"/>
                <w:noProof/>
                <w:lang w:val="en-IE"/>
              </w:rPr>
            </w:pPr>
            <w:r w:rsidRPr="00013BDC">
              <w:rPr>
                <w:rFonts w:ascii="Times New Roman" w:hAnsi="Times New Roman"/>
                <w:noProof/>
                <w:lang w:val="en-IE"/>
              </w:rPr>
              <w:t>Crème</w:t>
            </w:r>
          </w:p>
        </w:tc>
        <w:tc>
          <w:tcPr>
            <w:tcW w:w="2358" w:type="dxa"/>
          </w:tcPr>
          <w:p w14:paraId="400D7306" w14:textId="00964339" w:rsidR="006E2C53" w:rsidRPr="00013BDC" w:rsidRDefault="00F724BF">
            <w:pPr>
              <w:pStyle w:val="WDBody"/>
              <w:rPr>
                <w:rFonts w:ascii="Times New Roman" w:hAnsi="Times New Roman"/>
                <w:noProof/>
                <w:lang w:val="en-IE"/>
              </w:rPr>
            </w:pPr>
            <w:r w:rsidRPr="00013BDC">
              <w:rPr>
                <w:rFonts w:ascii="Times New Roman" w:hAnsi="Times New Roman"/>
                <w:noProof/>
                <w:lang w:val="en-IE"/>
              </w:rPr>
              <w:t>198 000</w:t>
            </w:r>
            <w:r w:rsidR="00E727F0" w:rsidRPr="00013BDC">
              <w:rPr>
                <w:rFonts w:ascii="Times New Roman" w:hAnsi="Times New Roman"/>
                <w:noProof/>
                <w:lang w:val="en-IE"/>
              </w:rPr>
              <w:t xml:space="preserve"> m</w:t>
            </w:r>
            <w:r w:rsidR="00E727F0" w:rsidRPr="00013BDC">
              <w:rPr>
                <w:rFonts w:ascii="Times New Roman" w:hAnsi="Times New Roman"/>
                <w:noProof/>
                <w:vertAlign w:val="superscript"/>
                <w:lang w:val="en-IE"/>
              </w:rPr>
              <w:t>3</w:t>
            </w:r>
          </w:p>
        </w:tc>
        <w:tc>
          <w:tcPr>
            <w:tcW w:w="3031" w:type="dxa"/>
          </w:tcPr>
          <w:p w14:paraId="5F0271BD" w14:textId="197FCD99" w:rsidR="006E2C53" w:rsidRPr="00013BDC" w:rsidRDefault="00E727F0">
            <w:pPr>
              <w:pStyle w:val="WDBody"/>
              <w:rPr>
                <w:rFonts w:ascii="Times New Roman" w:hAnsi="Times New Roman"/>
                <w:noProof/>
                <w:lang w:val="en-IE"/>
              </w:rPr>
            </w:pPr>
            <w:r w:rsidRPr="00013BDC">
              <w:rPr>
                <w:rFonts w:ascii="Times New Roman" w:hAnsi="Times New Roman"/>
                <w:noProof/>
                <w:lang w:val="en-IE"/>
              </w:rPr>
              <w:t xml:space="preserve">4 500 </w:t>
            </w:r>
            <w:r w:rsidR="006E2C53" w:rsidRPr="00013BDC">
              <w:rPr>
                <w:rFonts w:ascii="Times New Roman" w:hAnsi="Times New Roman"/>
                <w:noProof/>
                <w:lang w:val="en-IE"/>
              </w:rPr>
              <w:t>m</w:t>
            </w:r>
            <w:r w:rsidR="006E2C53" w:rsidRPr="00013BDC">
              <w:rPr>
                <w:rFonts w:ascii="Times New Roman" w:hAnsi="Times New Roman"/>
                <w:noProof/>
                <w:vertAlign w:val="superscript"/>
                <w:lang w:val="en-IE"/>
              </w:rPr>
              <w:t>3</w:t>
            </w:r>
            <w:r w:rsidR="006E2C53" w:rsidRPr="00013BDC">
              <w:rPr>
                <w:rFonts w:ascii="Times New Roman" w:hAnsi="Times New Roman"/>
                <w:noProof/>
                <w:lang w:val="en-IE"/>
              </w:rPr>
              <w:t xml:space="preserve"> </w:t>
            </w:r>
          </w:p>
        </w:tc>
        <w:tc>
          <w:tcPr>
            <w:tcW w:w="2725" w:type="dxa"/>
          </w:tcPr>
          <w:p w14:paraId="7BD24137" w14:textId="7C9F3D0F" w:rsidR="006E2C53" w:rsidRPr="00013BDC" w:rsidRDefault="00E727F0">
            <w:pPr>
              <w:pStyle w:val="WDBody"/>
              <w:rPr>
                <w:rFonts w:ascii="Times New Roman" w:hAnsi="Times New Roman"/>
                <w:noProof/>
                <w:lang w:val="en-IE"/>
              </w:rPr>
            </w:pPr>
            <w:r w:rsidRPr="00013BDC">
              <w:rPr>
                <w:rFonts w:ascii="Times New Roman" w:hAnsi="Times New Roman"/>
                <w:noProof/>
                <w:lang w:val="en-IE"/>
              </w:rPr>
              <w:t>16 800 m</w:t>
            </w:r>
            <w:r w:rsidRPr="00013BDC">
              <w:rPr>
                <w:rFonts w:ascii="Times New Roman" w:hAnsi="Times New Roman"/>
                <w:noProof/>
                <w:vertAlign w:val="superscript"/>
                <w:lang w:val="en-IE"/>
              </w:rPr>
              <w:t>3</w:t>
            </w:r>
          </w:p>
        </w:tc>
      </w:tr>
      <w:tr w:rsidR="006E2C53" w:rsidRPr="00013BDC" w14:paraId="7D8CCD05" w14:textId="77777777">
        <w:tc>
          <w:tcPr>
            <w:tcW w:w="1488" w:type="dxa"/>
          </w:tcPr>
          <w:p w14:paraId="072BCD31" w14:textId="77777777" w:rsidR="006E2C53" w:rsidRPr="00013BDC" w:rsidRDefault="006E2C53">
            <w:pPr>
              <w:pStyle w:val="WDBody"/>
              <w:spacing w:after="240"/>
              <w:jc w:val="both"/>
              <w:rPr>
                <w:rFonts w:ascii="Times New Roman" w:hAnsi="Times New Roman"/>
                <w:noProof/>
                <w:lang w:val="en-IE"/>
              </w:rPr>
            </w:pPr>
            <w:r w:rsidRPr="00013BDC">
              <w:rPr>
                <w:rFonts w:ascii="Times New Roman" w:hAnsi="Times New Roman"/>
                <w:noProof/>
                <w:lang w:val="en-IE"/>
              </w:rPr>
              <w:t>B-grade</w:t>
            </w:r>
          </w:p>
        </w:tc>
        <w:tc>
          <w:tcPr>
            <w:tcW w:w="2358" w:type="dxa"/>
          </w:tcPr>
          <w:p w14:paraId="366B7FDB" w14:textId="225F2413" w:rsidR="006E2C53" w:rsidRPr="00013BDC" w:rsidRDefault="00E727F0">
            <w:pPr>
              <w:pStyle w:val="WDBody"/>
              <w:rPr>
                <w:rFonts w:ascii="Times New Roman" w:hAnsi="Times New Roman"/>
                <w:noProof/>
                <w:lang w:val="en-IE"/>
              </w:rPr>
            </w:pPr>
            <w:r w:rsidRPr="00013BDC">
              <w:rPr>
                <w:rFonts w:ascii="Times New Roman" w:hAnsi="Times New Roman"/>
                <w:noProof/>
                <w:lang w:val="en-IE"/>
              </w:rPr>
              <w:t xml:space="preserve">138 000 </w:t>
            </w:r>
            <w:r w:rsidR="006E2C53" w:rsidRPr="00013BDC">
              <w:rPr>
                <w:rFonts w:ascii="Times New Roman" w:hAnsi="Times New Roman"/>
                <w:noProof/>
                <w:lang w:val="en-IE"/>
              </w:rPr>
              <w:t>m</w:t>
            </w:r>
            <w:r w:rsidR="006E2C53" w:rsidRPr="00013BDC">
              <w:rPr>
                <w:rFonts w:ascii="Times New Roman" w:hAnsi="Times New Roman"/>
                <w:noProof/>
                <w:vertAlign w:val="superscript"/>
                <w:lang w:val="en-IE"/>
              </w:rPr>
              <w:t xml:space="preserve">3 </w:t>
            </w:r>
          </w:p>
        </w:tc>
        <w:tc>
          <w:tcPr>
            <w:tcW w:w="3031" w:type="dxa"/>
          </w:tcPr>
          <w:p w14:paraId="5514D118" w14:textId="0EAFCD77" w:rsidR="006E2C53" w:rsidRPr="00013BDC" w:rsidRDefault="00E727F0" w:rsidP="00E727F0">
            <w:pPr>
              <w:pStyle w:val="WDBody"/>
              <w:rPr>
                <w:rFonts w:ascii="Times New Roman" w:hAnsi="Times New Roman"/>
                <w:noProof/>
                <w:lang w:val="en-IE"/>
              </w:rPr>
            </w:pPr>
            <w:r w:rsidRPr="00013BDC">
              <w:rPr>
                <w:rFonts w:ascii="Times New Roman" w:hAnsi="Times New Roman"/>
                <w:noProof/>
                <w:lang w:val="en-IE"/>
              </w:rPr>
              <w:t>1 290 m</w:t>
            </w:r>
            <w:r w:rsidRPr="00013BDC">
              <w:rPr>
                <w:rFonts w:ascii="Times New Roman" w:hAnsi="Times New Roman"/>
                <w:noProof/>
                <w:vertAlign w:val="superscript"/>
                <w:lang w:val="en-IE"/>
              </w:rPr>
              <w:t>3</w:t>
            </w:r>
          </w:p>
        </w:tc>
        <w:tc>
          <w:tcPr>
            <w:tcW w:w="2725" w:type="dxa"/>
          </w:tcPr>
          <w:p w14:paraId="1AA66C13" w14:textId="1D1712AD" w:rsidR="006E2C53" w:rsidRPr="00013BDC" w:rsidRDefault="006E2C53">
            <w:pPr>
              <w:pStyle w:val="WDBody"/>
              <w:rPr>
                <w:rFonts w:ascii="Times New Roman" w:hAnsi="Times New Roman"/>
                <w:noProof/>
                <w:lang w:val="en-IE"/>
              </w:rPr>
            </w:pPr>
            <w:r w:rsidRPr="00013BDC">
              <w:rPr>
                <w:rFonts w:ascii="Times New Roman" w:hAnsi="Times New Roman"/>
                <w:noProof/>
                <w:lang w:val="en-IE"/>
              </w:rPr>
              <w:t xml:space="preserve">No value </w:t>
            </w:r>
            <w:r w:rsidR="00A92DE1" w:rsidRPr="00013BDC">
              <w:rPr>
                <w:rFonts w:ascii="Times New Roman" w:hAnsi="Times New Roman"/>
                <w:noProof/>
                <w:lang w:val="en-IE"/>
              </w:rPr>
              <w:t>used</w:t>
            </w:r>
          </w:p>
        </w:tc>
      </w:tr>
      <w:tr w:rsidR="006E2C53" w:rsidRPr="00013BDC" w14:paraId="5790A6BF" w14:textId="77777777">
        <w:tc>
          <w:tcPr>
            <w:tcW w:w="1488" w:type="dxa"/>
          </w:tcPr>
          <w:p w14:paraId="1DA23AE5" w14:textId="77777777" w:rsidR="006E2C53" w:rsidRPr="00013BDC" w:rsidRDefault="006E2C53">
            <w:pPr>
              <w:pStyle w:val="WDBody"/>
              <w:spacing w:after="240"/>
              <w:jc w:val="both"/>
              <w:rPr>
                <w:rFonts w:ascii="Times New Roman" w:hAnsi="Times New Roman"/>
                <w:noProof/>
                <w:lang w:val="en-IE"/>
              </w:rPr>
            </w:pPr>
            <w:r w:rsidRPr="00013BDC">
              <w:rPr>
                <w:rFonts w:ascii="Times New Roman" w:hAnsi="Times New Roman"/>
                <w:noProof/>
                <w:lang w:val="en-IE"/>
              </w:rPr>
              <w:t>C-grade</w:t>
            </w:r>
          </w:p>
        </w:tc>
        <w:tc>
          <w:tcPr>
            <w:tcW w:w="2358" w:type="dxa"/>
          </w:tcPr>
          <w:p w14:paraId="73BA2341" w14:textId="5580CB13" w:rsidR="006E2C53" w:rsidRPr="00013BDC" w:rsidRDefault="00E727F0">
            <w:pPr>
              <w:pStyle w:val="WDBody"/>
              <w:rPr>
                <w:rFonts w:ascii="Times New Roman" w:hAnsi="Times New Roman"/>
                <w:noProof/>
                <w:lang w:val="en-IE"/>
              </w:rPr>
            </w:pPr>
            <w:r w:rsidRPr="00013BDC">
              <w:rPr>
                <w:rFonts w:ascii="Times New Roman" w:hAnsi="Times New Roman"/>
                <w:noProof/>
                <w:lang w:val="en-IE"/>
              </w:rPr>
              <w:t xml:space="preserve">5 800 </w:t>
            </w:r>
            <w:r w:rsidR="006E2C53" w:rsidRPr="00013BDC">
              <w:rPr>
                <w:rFonts w:ascii="Times New Roman" w:hAnsi="Times New Roman"/>
                <w:noProof/>
                <w:lang w:val="en-IE"/>
              </w:rPr>
              <w:t>m</w:t>
            </w:r>
            <w:r w:rsidR="006E2C53" w:rsidRPr="00013BDC">
              <w:rPr>
                <w:rFonts w:ascii="Times New Roman" w:hAnsi="Times New Roman"/>
                <w:noProof/>
                <w:vertAlign w:val="superscript"/>
                <w:lang w:val="en-IE"/>
              </w:rPr>
              <w:t>3</w:t>
            </w:r>
            <w:r w:rsidR="006E2C53" w:rsidRPr="00013BDC">
              <w:rPr>
                <w:rFonts w:ascii="Times New Roman" w:hAnsi="Times New Roman"/>
                <w:noProof/>
                <w:lang w:val="en-IE"/>
              </w:rPr>
              <w:t xml:space="preserve"> </w:t>
            </w:r>
          </w:p>
        </w:tc>
        <w:tc>
          <w:tcPr>
            <w:tcW w:w="3031" w:type="dxa"/>
          </w:tcPr>
          <w:p w14:paraId="46E75A11" w14:textId="54654C0E" w:rsidR="006E2C53" w:rsidRPr="00013BDC" w:rsidRDefault="00E727F0">
            <w:pPr>
              <w:pStyle w:val="WDBody"/>
              <w:rPr>
                <w:rFonts w:ascii="Times New Roman" w:hAnsi="Times New Roman"/>
                <w:noProof/>
                <w:lang w:val="en-IE"/>
              </w:rPr>
            </w:pPr>
            <w:r w:rsidRPr="00013BDC">
              <w:rPr>
                <w:rFonts w:ascii="Times New Roman" w:hAnsi="Times New Roman"/>
                <w:noProof/>
                <w:lang w:val="en-IE"/>
              </w:rPr>
              <w:t xml:space="preserve">1 290 </w:t>
            </w:r>
            <w:r w:rsidR="006E2C53" w:rsidRPr="00013BDC">
              <w:rPr>
                <w:rFonts w:ascii="Times New Roman" w:hAnsi="Times New Roman"/>
                <w:noProof/>
                <w:lang w:val="en-IE"/>
              </w:rPr>
              <w:t>m</w:t>
            </w:r>
            <w:r w:rsidR="006E2C53" w:rsidRPr="00013BDC">
              <w:rPr>
                <w:rFonts w:ascii="Times New Roman" w:hAnsi="Times New Roman"/>
                <w:noProof/>
                <w:vertAlign w:val="superscript"/>
                <w:lang w:val="en-IE"/>
              </w:rPr>
              <w:t>3</w:t>
            </w:r>
            <w:r w:rsidR="006E2C53" w:rsidRPr="00013BDC">
              <w:rPr>
                <w:rFonts w:ascii="Times New Roman" w:hAnsi="Times New Roman"/>
                <w:noProof/>
                <w:lang w:val="en-IE"/>
              </w:rPr>
              <w:t xml:space="preserve"> </w:t>
            </w:r>
          </w:p>
        </w:tc>
        <w:tc>
          <w:tcPr>
            <w:tcW w:w="2725" w:type="dxa"/>
          </w:tcPr>
          <w:p w14:paraId="347715EB" w14:textId="45C62F30" w:rsidR="006E2C53" w:rsidRPr="00013BDC" w:rsidRDefault="00A92DE1">
            <w:pPr>
              <w:pStyle w:val="WDBody"/>
              <w:rPr>
                <w:rFonts w:ascii="Times New Roman" w:hAnsi="Times New Roman"/>
                <w:noProof/>
                <w:lang w:val="en-IE"/>
              </w:rPr>
            </w:pPr>
            <w:r w:rsidRPr="00013BDC">
              <w:rPr>
                <w:rFonts w:ascii="Times New Roman" w:hAnsi="Times New Roman"/>
                <w:noProof/>
                <w:lang w:val="en-IE"/>
              </w:rPr>
              <w:t>No value used</w:t>
            </w:r>
          </w:p>
        </w:tc>
      </w:tr>
    </w:tbl>
    <w:p w14:paraId="2DCAF902" w14:textId="2AFC54CC" w:rsidR="001F6609" w:rsidRPr="00013BDC" w:rsidRDefault="001F6609" w:rsidP="00064514">
      <w:pPr>
        <w:pStyle w:val="WDBody"/>
        <w:spacing w:before="240" w:after="12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Clearly there are shortcomings in the approach applied to calculating water savings given that:</w:t>
      </w:r>
    </w:p>
    <w:p w14:paraId="43D0C91C" w14:textId="752D84FB" w:rsidR="001F6609" w:rsidRPr="00013BDC" w:rsidRDefault="001F6609" w:rsidP="00CF0DFB">
      <w:pPr>
        <w:pStyle w:val="WDBody"/>
        <w:numPr>
          <w:ilvl w:val="0"/>
          <w:numId w:val="130"/>
        </w:numPr>
        <w:spacing w:after="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T-shirts are just one of the textile types collected, and the savings per textile item type are likely to vary.</w:t>
      </w:r>
    </w:p>
    <w:p w14:paraId="6CB37199" w14:textId="7BC75547" w:rsidR="001F6609" w:rsidRPr="00013BDC" w:rsidRDefault="001F6609" w:rsidP="00CF0DFB">
      <w:pPr>
        <w:pStyle w:val="WDBody"/>
        <w:numPr>
          <w:ilvl w:val="0"/>
          <w:numId w:val="130"/>
        </w:numPr>
        <w:spacing w:after="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 xml:space="preserve">There are assumptions made about the water use in recycling that are difficult to </w:t>
      </w:r>
      <w:r w:rsidR="0095628D" w:rsidRPr="00013BDC">
        <w:rPr>
          <w:rFonts w:ascii="Times New Roman" w:hAnsi="Times New Roman" w:cs="Times New Roman"/>
          <w:noProof/>
          <w:sz w:val="24"/>
          <w:szCs w:val="24"/>
          <w:lang w:val="en-IE"/>
        </w:rPr>
        <w:t>reconcile with the relative immaturity of the textile recycling market at present.</w:t>
      </w:r>
    </w:p>
    <w:p w14:paraId="06359027" w14:textId="3B9D779B" w:rsidR="0095628D" w:rsidRPr="00013BDC" w:rsidRDefault="0095628D" w:rsidP="00CF0DFB">
      <w:pPr>
        <w:pStyle w:val="WDBody"/>
        <w:numPr>
          <w:ilvl w:val="0"/>
          <w:numId w:val="130"/>
        </w:numPr>
        <w:spacing w:after="24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There are assumptions made about the destinations of used textiles exported from the EU.</w:t>
      </w:r>
    </w:p>
    <w:p w14:paraId="71E21728" w14:textId="6ED3214C" w:rsidR="00F03440" w:rsidRPr="00013BDC" w:rsidRDefault="00F03440" w:rsidP="00F03440">
      <w:pPr>
        <w:spacing w:after="120"/>
        <w:rPr>
          <w:noProof/>
          <w:lang w:val="en-IE"/>
        </w:rPr>
      </w:pPr>
      <w:r w:rsidRPr="00013BDC">
        <w:rPr>
          <w:noProof/>
          <w:lang w:val="en-IE"/>
        </w:rPr>
        <w:t xml:space="preserve">In relation to the environmental impacts of landfill and incineration in the EU and in third shipments of textiles are made for a variety of reasons but are predominantly made in relation to reuse.  However, not all textiles that are shipped for such purposes are able to be reused or recycled and a proportion of the materials shipped will fall lower down the waste hierarchy.  In such cases these materials will either be sent for recovery through incineration or uncontrolled disposal, mainly consisting of open dumps and open burning. For the purpose of the calculations made in this report, we assume that 1) the quantity of material recycled and the corresponding process losses would be the same if the waste was retained within the EU (i.e. no differences in efficiency between EU and third countries); we also assume that 2) the environmental impact (burdens and savings of primary virgin materials)  of such recycling operations would be the same in EU and third countries (i.e. no differences in environmental control of emissions between EU and third countries). This means that ultimately, we only account for the different impacts associated with the management of the rejects generated during the sorting operations. On this basis, in calculating the environmental benefits stemming from management of the rejects within the EU in comparison to third countries, the performance of EU treatment facilities in comparison to third country management (e.g., open dumps and open burning) has been quantified using the available scientific literature and datasets. </w:t>
      </w:r>
    </w:p>
    <w:p w14:paraId="099F608E" w14:textId="77777777" w:rsidR="00F03440" w:rsidRPr="00013BDC" w:rsidRDefault="00F03440" w:rsidP="00F03440">
      <w:pPr>
        <w:spacing w:after="120"/>
        <w:rPr>
          <w:noProof/>
          <w:lang w:val="en-IE"/>
        </w:rPr>
      </w:pPr>
      <w:r w:rsidRPr="00013BDC">
        <w:rPr>
          <w:noProof/>
          <w:lang w:val="en-IE"/>
        </w:rPr>
        <w:t>The first part of the calculation requires an estimation of rejection rates for textiles shipped. For textiles</w:t>
      </w:r>
      <w:r w:rsidRPr="00013BDC">
        <w:rPr>
          <w:noProof/>
          <w:lang w:val="en-IE"/>
        </w:rPr>
        <w:tab/>
        <w:t xml:space="preserve">10% of the volumes have been considered as rejects – this is in keeping with the impact assessment accompanying the revision of the Waste Shipments Regulation and is based on 2019 data from Norup et al  2019.  With this rejection rate applied a comparison or reject management in third countries in comparison to the EU needs to be considered.  In this case the impacts of the open dumping or open burning in third countries of those rejects in comparison with energy recovery in the EU. To identify these differences, the dedicated waste LCA-model EASETECH  used, among the others by JRC has been used applying the datasets describing open dump and open burning activities for textile wastes as provided by the latest ecoinvent 3.7 database . In the absence of specific dataset for textile, the impact of textile waste has been approximated as a mix of plastic (15%) and paper/cardboard (85%) based on the assumption that ca. 15% of the textile is composed of biological fibres while the rest is synthetic (Riber et al., 2009 ). </w:t>
      </w:r>
    </w:p>
    <w:p w14:paraId="4247E75A" w14:textId="34B15F17" w:rsidR="00F03440" w:rsidRPr="00013BDC" w:rsidRDefault="00F03440" w:rsidP="00F03440">
      <w:pPr>
        <w:spacing w:after="120"/>
        <w:rPr>
          <w:noProof/>
          <w:lang w:val="en-IE"/>
        </w:rPr>
      </w:pPr>
      <w:r w:rsidRPr="00013BDC">
        <w:rPr>
          <w:noProof/>
          <w:lang w:val="en-IE"/>
        </w:rPr>
        <w:t>The impact of landfilling and incineration in EU has been obtained using the same tool but applying typical datasets for EU landfills and incineration (Manfredi &amp; Christensen (2009); Manfredi et al. (2010); Manfredi et al. (2011). Notice that these, on top of the environmental emissions associated to the treatment itself, also include the downstream environmental savings obtained through energy recovery (i.e. incineration generates as co-products electricity and heat that are assumed to displaced the average EU electricity and heat production mix). The substituted mix of electricity and heat follows the logic applied in similar recent studies (Tonini et al., 2021 ; Nessi et al., 2020 ) and in the Product Environmental Footprint and represents the current situation of the EU energy system. The pricing of environmental emissions is based on the CE Delft Environmental Prices Handbook EU 28 version as is the case of transportation externalities detailed later on. The report provides a state-of-the-art dataset of the shadow prices of environmental emissions, i.e. the external costs of emissions that are not monetised in the current market/financial prices (also known as externalities or shadow prices as opposite to financial prices).</w:t>
      </w:r>
    </w:p>
    <w:p w14:paraId="5B833146" w14:textId="410A1483" w:rsidR="00F03440" w:rsidRPr="00013BDC" w:rsidRDefault="00F03440" w:rsidP="00F03440">
      <w:pPr>
        <w:spacing w:after="120"/>
        <w:rPr>
          <w:noProof/>
          <w:lang w:val="en-IE"/>
        </w:rPr>
      </w:pPr>
      <w:r w:rsidRPr="00013BDC">
        <w:rPr>
          <w:noProof/>
          <w:lang w:val="en-IE"/>
        </w:rPr>
        <w:t xml:space="preserve">While there is no definitive source of data that reflects on the amounts of waste subject to open burning or open dumping in third countries, scientific sources estimate that about 40% of the waste globally generated is subject to open-burning, mainly in developing and populous countries (China, India, Brazil, Mexico, Pakistan, and Turkey). Open burning occurs for many reasons, e.g., to get rid of waste in residential areas/streets, in open-dump sites (e.g. to free space for dumping more waste) as well as because of natural firing occurring in uncontrolled open dumpsites. It is clear according to the materials collected during this assessment that both take place.  </w:t>
      </w:r>
    </w:p>
    <w:p w14:paraId="2FCC642B" w14:textId="5222E5D6" w:rsidR="00F03440" w:rsidRPr="00013BDC" w:rsidRDefault="00F03440" w:rsidP="00F03440">
      <w:pPr>
        <w:spacing w:after="120"/>
        <w:rPr>
          <w:noProof/>
          <w:lang w:val="en-IE"/>
        </w:rPr>
      </w:pPr>
      <w:r w:rsidRPr="00013BDC">
        <w:rPr>
          <w:noProof/>
          <w:lang w:val="en-IE"/>
        </w:rPr>
        <w:t xml:space="preserve">An examination of the likely destination of rejects for the waste types considered under this study indicates that landfilling of waste represents by far the largest method of disposing of textile wastes. To determine the ratio between open dump and open burning, the support study assumes that 60% of the reject material is subject to open dump and 40% to open burning. This ratio is applied consistently across all materials investigated, as dumping/burning would take place regardless of the nature of the material (dump sites consist of a mix of heterogeneous waste materials). </w:t>
      </w:r>
    </w:p>
    <w:p w14:paraId="4F2B8F46" w14:textId="286A6021" w:rsidR="00F03440" w:rsidRPr="00013BDC" w:rsidRDefault="00F03440" w:rsidP="00064E37">
      <w:pPr>
        <w:rPr>
          <w:noProof/>
          <w:lang w:val="en-IE"/>
        </w:rPr>
      </w:pPr>
      <w:r w:rsidRPr="00013BDC">
        <w:rPr>
          <w:noProof/>
          <w:lang w:val="en-IE"/>
        </w:rPr>
        <w:t>The first calculation, therefore, relates to the emissions resulting in third countries resulting from waste management per tonne. In this case the third country impacts from the open dumping and burning of textiles in third countries equates to 1 151kg CO2-eq per tonne of textile waste with additional externalities of 308 euro per tonne disposed. The emissions resulting from waste management in the EU are -391 kg-eq per tonne of textile waste managed in the EU and 23 euro per tonne in terms of externalities.  The net benefits of managing rejects within the EU in comparison to third countries is 1 701 kg CO2-eq and 285 euro in externalities saved per tonne of textile waste concerned.</w:t>
      </w:r>
    </w:p>
    <w:p w14:paraId="41A474BF" w14:textId="74428BA3" w:rsidR="00817802" w:rsidRPr="00013BDC" w:rsidRDefault="00817802" w:rsidP="00817802">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There is one environmental benefit that could not be calculated as part of this assessment as outlined in the table below.</w:t>
      </w:r>
    </w:p>
    <w:p w14:paraId="1133AF30" w14:textId="2B90FF43" w:rsidR="00EF05EE" w:rsidRPr="00013BDC" w:rsidRDefault="00EF05EE" w:rsidP="00EF05EE">
      <w:pPr>
        <w:pStyle w:val="Caption"/>
        <w:rPr>
          <w:noProof/>
          <w:color w:val="auto"/>
          <w:sz w:val="24"/>
          <w:szCs w:val="24"/>
          <w:lang w:val="en-IE"/>
        </w:rPr>
      </w:pPr>
      <w:bookmarkStart w:id="324" w:name="_Toc139033048"/>
      <w:r w:rsidRPr="00013BDC">
        <w:rPr>
          <w:noProof/>
          <w:color w:val="auto"/>
          <w:sz w:val="24"/>
          <w:szCs w:val="24"/>
          <w:lang w:val="en-IE"/>
        </w:rPr>
        <w:t xml:space="preserve">Table </w:t>
      </w:r>
      <w:r w:rsidR="004C5576">
        <w:rPr>
          <w:noProof/>
          <w:color w:val="auto"/>
          <w:sz w:val="24"/>
          <w:szCs w:val="24"/>
          <w:lang w:val="en-IE"/>
        </w:rPr>
        <w:t>18</w:t>
      </w:r>
      <w:r w:rsidRPr="00013BDC">
        <w:rPr>
          <w:noProof/>
          <w:color w:val="auto"/>
          <w:sz w:val="24"/>
          <w:szCs w:val="24"/>
          <w:lang w:val="en-IE"/>
        </w:rPr>
        <w:t xml:space="preserve"> - Type of environmental costs and benefits that could not be quantified</w:t>
      </w:r>
      <w:bookmarkEnd w:id="324"/>
    </w:p>
    <w:tbl>
      <w:tblPr>
        <w:tblStyle w:val="TableGrid"/>
        <w:tblW w:w="0" w:type="auto"/>
        <w:tblLook w:val="04A0" w:firstRow="1" w:lastRow="0" w:firstColumn="1" w:lastColumn="0" w:noHBand="0" w:noVBand="1"/>
      </w:tblPr>
      <w:tblGrid>
        <w:gridCol w:w="4801"/>
        <w:gridCol w:w="4692"/>
      </w:tblGrid>
      <w:tr w:rsidR="00817802" w:rsidRPr="00013BDC" w14:paraId="05F32C32" w14:textId="77777777" w:rsidTr="00817802">
        <w:tc>
          <w:tcPr>
            <w:tcW w:w="4801" w:type="dxa"/>
            <w:tcBorders>
              <w:top w:val="single" w:sz="4" w:space="0" w:color="auto"/>
              <w:left w:val="single" w:sz="4" w:space="0" w:color="auto"/>
              <w:bottom w:val="single" w:sz="4" w:space="0" w:color="auto"/>
              <w:right w:val="single" w:sz="4" w:space="0" w:color="auto"/>
            </w:tcBorders>
            <w:hideMark/>
          </w:tcPr>
          <w:p w14:paraId="5D1F9894" w14:textId="77777777" w:rsidR="00817802" w:rsidRPr="00013BDC" w:rsidRDefault="00817802">
            <w:pPr>
              <w:pStyle w:val="WDBody"/>
              <w:spacing w:after="240"/>
              <w:jc w:val="both"/>
              <w:rPr>
                <w:rFonts w:ascii="Times New Roman" w:hAnsi="Times New Roman"/>
                <w:b/>
                <w:noProof/>
                <w:sz w:val="24"/>
                <w:szCs w:val="24"/>
                <w:lang w:val="en-IE"/>
              </w:rPr>
            </w:pPr>
            <w:r w:rsidRPr="00013BDC">
              <w:rPr>
                <w:rFonts w:ascii="Times New Roman" w:hAnsi="Times New Roman"/>
                <w:b/>
                <w:noProof/>
                <w:sz w:val="24"/>
                <w:szCs w:val="24"/>
                <w:lang w:val="en-IE"/>
              </w:rPr>
              <w:t>Type of benefit</w:t>
            </w:r>
          </w:p>
        </w:tc>
        <w:tc>
          <w:tcPr>
            <w:tcW w:w="4692" w:type="dxa"/>
            <w:tcBorders>
              <w:top w:val="single" w:sz="4" w:space="0" w:color="auto"/>
              <w:left w:val="single" w:sz="4" w:space="0" w:color="auto"/>
              <w:bottom w:val="single" w:sz="4" w:space="0" w:color="auto"/>
              <w:right w:val="single" w:sz="4" w:space="0" w:color="auto"/>
            </w:tcBorders>
            <w:hideMark/>
          </w:tcPr>
          <w:p w14:paraId="202D53C3" w14:textId="77777777" w:rsidR="00817802" w:rsidRPr="00013BDC" w:rsidRDefault="00817802">
            <w:pPr>
              <w:pStyle w:val="WDBody"/>
              <w:spacing w:after="240"/>
              <w:jc w:val="both"/>
              <w:rPr>
                <w:rFonts w:ascii="Times New Roman" w:hAnsi="Times New Roman"/>
                <w:b/>
                <w:noProof/>
                <w:sz w:val="24"/>
                <w:szCs w:val="24"/>
                <w:lang w:val="en-IE"/>
              </w:rPr>
            </w:pPr>
            <w:r w:rsidRPr="00013BDC">
              <w:rPr>
                <w:rFonts w:ascii="Times New Roman" w:hAnsi="Times New Roman"/>
                <w:b/>
                <w:noProof/>
                <w:sz w:val="24"/>
                <w:szCs w:val="24"/>
                <w:lang w:val="en-IE"/>
              </w:rPr>
              <w:t>Reason for lack of quantified assessment</w:t>
            </w:r>
          </w:p>
        </w:tc>
      </w:tr>
      <w:tr w:rsidR="00817802" w:rsidRPr="00013BDC" w14:paraId="59BEE780" w14:textId="77777777" w:rsidTr="00817802">
        <w:tc>
          <w:tcPr>
            <w:tcW w:w="4801" w:type="dxa"/>
            <w:tcBorders>
              <w:top w:val="single" w:sz="4" w:space="0" w:color="auto"/>
              <w:left w:val="single" w:sz="4" w:space="0" w:color="auto"/>
              <w:bottom w:val="single" w:sz="4" w:space="0" w:color="auto"/>
              <w:right w:val="single" w:sz="4" w:space="0" w:color="auto"/>
            </w:tcBorders>
            <w:hideMark/>
          </w:tcPr>
          <w:p w14:paraId="5CF33129" w14:textId="77777777" w:rsidR="00817802" w:rsidRPr="00013BDC" w:rsidRDefault="00817802">
            <w:pPr>
              <w:pStyle w:val="WDBody"/>
              <w:spacing w:after="240"/>
              <w:jc w:val="both"/>
              <w:rPr>
                <w:rFonts w:ascii="Times New Roman" w:hAnsi="Times New Roman"/>
                <w:noProof/>
                <w:sz w:val="24"/>
                <w:szCs w:val="24"/>
                <w:lang w:val="en-IE"/>
              </w:rPr>
            </w:pPr>
            <w:r w:rsidRPr="00013BDC">
              <w:rPr>
                <w:rFonts w:ascii="Times New Roman" w:hAnsi="Times New Roman"/>
                <w:noProof/>
                <w:sz w:val="24"/>
                <w:szCs w:val="24"/>
                <w:lang w:val="en-IE"/>
              </w:rPr>
              <w:t>Total costs and benefits from the application of end-of-waste criteria for textiles</w:t>
            </w:r>
          </w:p>
        </w:tc>
        <w:tc>
          <w:tcPr>
            <w:tcW w:w="4692" w:type="dxa"/>
            <w:tcBorders>
              <w:top w:val="single" w:sz="4" w:space="0" w:color="auto"/>
              <w:left w:val="single" w:sz="4" w:space="0" w:color="auto"/>
              <w:bottom w:val="single" w:sz="4" w:space="0" w:color="auto"/>
              <w:right w:val="single" w:sz="4" w:space="0" w:color="auto"/>
            </w:tcBorders>
            <w:hideMark/>
          </w:tcPr>
          <w:p w14:paraId="78B1D82B" w14:textId="77777777" w:rsidR="00817802" w:rsidRPr="00013BDC" w:rsidRDefault="00817802">
            <w:pPr>
              <w:rPr>
                <w:noProof/>
                <w:lang w:val="en-IE"/>
              </w:rPr>
            </w:pPr>
            <w:r w:rsidRPr="00013BDC">
              <w:rPr>
                <w:noProof/>
                <w:lang w:val="en-IE"/>
              </w:rPr>
              <w:t>The impacts of end-of-waste criteria for textiles are dependent on the eventual scope of textile types that may be included and so the environmental impacts cannot be determined.  However, given the need under Article 6 of the WFD to not overall adversely impact the environment or human health the assessment considers that impacts would be minimal accordingly.</w:t>
            </w:r>
          </w:p>
        </w:tc>
      </w:tr>
    </w:tbl>
    <w:p w14:paraId="7DA95B40" w14:textId="77777777" w:rsidR="00817802" w:rsidRPr="00013BDC" w:rsidRDefault="00817802" w:rsidP="00064E37">
      <w:pPr>
        <w:rPr>
          <w:noProof/>
          <w:lang w:val="en-IE"/>
        </w:rPr>
      </w:pPr>
    </w:p>
    <w:p w14:paraId="55245F79" w14:textId="7BE86E32" w:rsidR="00F03440" w:rsidRPr="00013BDC" w:rsidRDefault="00F03440" w:rsidP="0B9E2EEF">
      <w:pPr>
        <w:pStyle w:val="Heading3"/>
        <w:ind w:left="1440" w:firstLine="0"/>
        <w:rPr>
          <w:b/>
          <w:noProof/>
          <w:lang w:val="en-IE"/>
        </w:rPr>
      </w:pPr>
      <w:bookmarkStart w:id="325" w:name="_Toc300894128"/>
      <w:bookmarkStart w:id="326" w:name="_Toc882526109"/>
      <w:bookmarkStart w:id="327" w:name="_Toc202119117"/>
      <w:bookmarkStart w:id="328" w:name="_Toc59583511"/>
      <w:bookmarkStart w:id="329" w:name="_Toc139032956"/>
      <w:r w:rsidRPr="00013BDC">
        <w:rPr>
          <w:noProof/>
          <w:lang w:val="en-IE"/>
        </w:rPr>
        <w:t>Qualitative Assessment</w:t>
      </w:r>
      <w:bookmarkEnd w:id="325"/>
      <w:bookmarkEnd w:id="326"/>
      <w:bookmarkEnd w:id="327"/>
      <w:bookmarkEnd w:id="328"/>
      <w:bookmarkEnd w:id="329"/>
    </w:p>
    <w:p w14:paraId="6FF3380D" w14:textId="25680E09" w:rsidR="00F03440" w:rsidRPr="00013BDC" w:rsidRDefault="00F03440" w:rsidP="00F03440">
      <w:pPr>
        <w:pStyle w:val="WDBody"/>
        <w:spacing w:after="240"/>
        <w:jc w:val="both"/>
        <w:rPr>
          <w:rFonts w:ascii="Times New Roman" w:hAnsi="Times New Roman" w:cs="Times New Roman"/>
          <w:noProof/>
          <w:sz w:val="24"/>
          <w:szCs w:val="24"/>
          <w:lang w:val="en-IE"/>
        </w:rPr>
      </w:pPr>
      <w:r w:rsidRPr="00013BDC">
        <w:rPr>
          <w:rFonts w:ascii="Times New Roman" w:hAnsi="Times New Roman" w:cs="Times New Roman"/>
          <w:noProof/>
          <w:sz w:val="24"/>
          <w:szCs w:val="24"/>
          <w:lang w:val="en-IE"/>
        </w:rPr>
        <w:t>As noted above, in some cases it has not been possible to quantify impacts of measures or parts thereof.  In such cases a qualitative assessment using a + and – approach to determine the direction of impacts with – indicating a negative impact or cost and indicating a positive impact or saving has been made. Alongside the + and – scoring a description of the likely impacts has been included.</w:t>
      </w:r>
    </w:p>
    <w:p w14:paraId="69E5448C" w14:textId="6F4C592E" w:rsidR="00F523B6" w:rsidRPr="00013BDC" w:rsidRDefault="00F523B6">
      <w:pPr>
        <w:spacing w:after="200" w:line="276" w:lineRule="auto"/>
        <w:jc w:val="left"/>
        <w:rPr>
          <w:noProof/>
          <w:color w:val="000000"/>
          <w:lang w:val="en-IE"/>
        </w:rPr>
      </w:pPr>
      <w:r w:rsidRPr="00013BDC">
        <w:rPr>
          <w:noProof/>
          <w:lang w:val="en-IE"/>
        </w:rPr>
        <w:br w:type="page"/>
      </w:r>
    </w:p>
    <w:p w14:paraId="6ED00535" w14:textId="1E1761A2" w:rsidR="0038733E" w:rsidRPr="00013BDC" w:rsidRDefault="00F64258" w:rsidP="00F64258">
      <w:pPr>
        <w:pStyle w:val="Heading2"/>
        <w:rPr>
          <w:noProof/>
          <w:lang w:val="en-IE"/>
        </w:rPr>
      </w:pPr>
      <w:bookmarkStart w:id="330" w:name="_Toc762512283"/>
      <w:bookmarkStart w:id="331" w:name="_Toc1566285351"/>
      <w:bookmarkStart w:id="332" w:name="_Toc1588537475"/>
      <w:bookmarkStart w:id="333" w:name="_Toc2026786656"/>
      <w:bookmarkStart w:id="334" w:name="_Toc520244107"/>
      <w:bookmarkStart w:id="335" w:name="_Toc139156507"/>
      <w:bookmarkStart w:id="336" w:name="_Toc986344992"/>
      <w:bookmarkStart w:id="337" w:name="_Toc15515448"/>
      <w:bookmarkStart w:id="338" w:name="_Toc139032957"/>
      <w:bookmarkStart w:id="339" w:name="_Toc114581876"/>
      <w:bookmarkStart w:id="340" w:name="_Toc114581877"/>
      <w:r w:rsidRPr="00F64258">
        <w:t>2.</w:t>
      </w:r>
      <w:r w:rsidRPr="00F64258">
        <w:tab/>
      </w:r>
      <w:r w:rsidR="6F0CB644" w:rsidRPr="00013BDC">
        <w:rPr>
          <w:noProof/>
          <w:lang w:val="en-IE"/>
        </w:rPr>
        <w:t>Food Waste</w:t>
      </w:r>
      <w:bookmarkEnd w:id="330"/>
      <w:bookmarkEnd w:id="331"/>
      <w:bookmarkEnd w:id="332"/>
      <w:bookmarkEnd w:id="333"/>
      <w:bookmarkEnd w:id="334"/>
      <w:bookmarkEnd w:id="335"/>
      <w:bookmarkEnd w:id="336"/>
      <w:bookmarkEnd w:id="337"/>
      <w:bookmarkEnd w:id="338"/>
    </w:p>
    <w:p w14:paraId="26AF3F61" w14:textId="246DA766" w:rsidR="001F6203" w:rsidRPr="00013BDC" w:rsidRDefault="001F6203" w:rsidP="00286B8D">
      <w:pPr>
        <w:spacing w:after="120"/>
        <w:rPr>
          <w:rFonts w:eastAsiaTheme="minorEastAsia"/>
          <w:noProof/>
          <w:lang w:val="en-IE"/>
        </w:rPr>
      </w:pPr>
      <w:r w:rsidRPr="00013BDC">
        <w:rPr>
          <w:rFonts w:eastAsiaTheme="minorEastAsia"/>
          <w:noProof/>
          <w:lang w:val="en-IE"/>
        </w:rPr>
        <w:t>Two modelling approaches were adopted in the analysis</w:t>
      </w:r>
      <w:r w:rsidR="005C765D" w:rsidRPr="00013BDC">
        <w:rPr>
          <w:rStyle w:val="FootnoteReference"/>
          <w:rFonts w:eastAsiaTheme="minorEastAsia"/>
          <w:noProof/>
          <w:lang w:val="en-IE"/>
        </w:rPr>
        <w:footnoteReference w:id="53"/>
      </w:r>
      <w:r w:rsidRPr="00013BDC">
        <w:rPr>
          <w:rFonts w:eastAsiaTheme="minorEastAsia"/>
          <w:noProof/>
          <w:lang w:val="en-IE"/>
        </w:rPr>
        <w:t>:</w:t>
      </w:r>
    </w:p>
    <w:p w14:paraId="2C1F2243" w14:textId="02C218DE" w:rsidR="001F6203" w:rsidRPr="00013BDC" w:rsidRDefault="001F6203" w:rsidP="00CF0DFB">
      <w:pPr>
        <w:pStyle w:val="ListParagraph"/>
        <w:numPr>
          <w:ilvl w:val="0"/>
          <w:numId w:val="134"/>
        </w:numPr>
        <w:spacing w:after="120"/>
        <w:rPr>
          <w:rFonts w:eastAsiaTheme="minorEastAsia"/>
          <w:noProof/>
          <w:lang w:val="en-IE"/>
        </w:rPr>
      </w:pPr>
      <w:r w:rsidRPr="00013BDC">
        <w:rPr>
          <w:rFonts w:eastAsiaTheme="minorEastAsia"/>
          <w:noProof/>
          <w:lang w:val="en-IE"/>
        </w:rPr>
        <w:t>The MAGNET general equilibrium model</w:t>
      </w:r>
    </w:p>
    <w:p w14:paraId="41723CC1" w14:textId="67292B90" w:rsidR="001F6203" w:rsidRPr="00013BDC" w:rsidRDefault="001F6203" w:rsidP="00CF0DFB">
      <w:pPr>
        <w:pStyle w:val="ListParagraph"/>
        <w:numPr>
          <w:ilvl w:val="0"/>
          <w:numId w:val="134"/>
        </w:numPr>
        <w:spacing w:after="120"/>
        <w:rPr>
          <w:rFonts w:eastAsiaTheme="minorEastAsia"/>
          <w:noProof/>
          <w:lang w:val="en-IE"/>
        </w:rPr>
      </w:pPr>
      <w:r w:rsidRPr="00013BDC">
        <w:rPr>
          <w:rFonts w:eastAsiaTheme="minorEastAsia"/>
          <w:noProof/>
          <w:lang w:val="en-IE"/>
        </w:rPr>
        <w:t>A bottom-up modelling approach based on life cycle assessment</w:t>
      </w:r>
    </w:p>
    <w:p w14:paraId="56919ED7" w14:textId="77777777" w:rsidR="001F6203" w:rsidRPr="00013BDC" w:rsidRDefault="001F6203" w:rsidP="00286B8D">
      <w:pPr>
        <w:spacing w:after="120"/>
        <w:rPr>
          <w:rFonts w:eastAsiaTheme="minorEastAsia"/>
          <w:noProof/>
          <w:lang w:val="en-IE"/>
        </w:rPr>
      </w:pPr>
      <w:r w:rsidRPr="00013BDC">
        <w:rPr>
          <w:rFonts w:eastAsiaTheme="minorEastAsia"/>
          <w:noProof/>
          <w:lang w:val="en-IE"/>
        </w:rPr>
        <w:t>The following subsections provide details of the two approaches.</w:t>
      </w:r>
    </w:p>
    <w:p w14:paraId="0713CC4C" w14:textId="0507FA3B" w:rsidR="0038733E" w:rsidRPr="00013BDC" w:rsidRDefault="00F64258" w:rsidP="00F64258">
      <w:pPr>
        <w:pStyle w:val="Heading3"/>
        <w:rPr>
          <w:rFonts w:eastAsiaTheme="minorEastAsia"/>
          <w:noProof/>
          <w:lang w:val="en-IE"/>
        </w:rPr>
      </w:pPr>
      <w:bookmarkStart w:id="341" w:name="_Toc1098904554"/>
      <w:bookmarkStart w:id="342" w:name="_Toc671676158"/>
      <w:bookmarkStart w:id="343" w:name="_Toc840574723"/>
      <w:bookmarkStart w:id="344" w:name="_Toc1273567828"/>
      <w:bookmarkStart w:id="345" w:name="_Toc1964416839"/>
      <w:bookmarkStart w:id="346" w:name="_Toc1191631921"/>
      <w:bookmarkStart w:id="347" w:name="_Toc2012235651"/>
      <w:bookmarkStart w:id="348" w:name="_Toc1959418211"/>
      <w:bookmarkStart w:id="349" w:name="_Toc139032958"/>
      <w:r w:rsidRPr="00F64258">
        <w:rPr>
          <w:rFonts w:eastAsiaTheme="minorEastAsia"/>
        </w:rPr>
        <w:t>2.1</w:t>
      </w:r>
      <w:r w:rsidRPr="00F64258">
        <w:rPr>
          <w:rFonts w:eastAsiaTheme="minorEastAsia"/>
        </w:rPr>
        <w:tab/>
      </w:r>
      <w:r w:rsidR="0038733E" w:rsidRPr="00013BDC">
        <w:rPr>
          <w:rFonts w:eastAsiaTheme="minorEastAsia"/>
          <w:noProof/>
          <w:lang w:val="en-IE"/>
        </w:rPr>
        <w:t>Extended modelling framework for the assessment of food waste reduction targets</w:t>
      </w:r>
      <w:bookmarkEnd w:id="341"/>
      <w:bookmarkEnd w:id="342"/>
      <w:bookmarkEnd w:id="343"/>
      <w:bookmarkEnd w:id="344"/>
      <w:bookmarkEnd w:id="345"/>
      <w:bookmarkEnd w:id="346"/>
      <w:bookmarkEnd w:id="347"/>
      <w:bookmarkEnd w:id="348"/>
      <w:bookmarkEnd w:id="349"/>
      <w:r w:rsidR="0038733E" w:rsidRPr="00013BDC">
        <w:rPr>
          <w:rFonts w:eastAsiaTheme="minorEastAsia"/>
          <w:noProof/>
          <w:lang w:val="en-IE"/>
        </w:rPr>
        <w:t> </w:t>
      </w:r>
    </w:p>
    <w:p w14:paraId="1D913197" w14:textId="77777777" w:rsidR="0038733E" w:rsidRPr="00013BDC" w:rsidRDefault="0038733E" w:rsidP="0038733E">
      <w:pPr>
        <w:spacing w:after="120"/>
        <w:rPr>
          <w:rFonts w:eastAsiaTheme="minorEastAsia"/>
          <w:i/>
          <w:noProof/>
          <w:szCs w:val="20"/>
          <w:lang w:val="en-IE"/>
        </w:rPr>
      </w:pPr>
      <w:r w:rsidRPr="00013BDC">
        <w:rPr>
          <w:rFonts w:eastAsiaTheme="minorEastAsia"/>
          <w:noProof/>
          <w:lang w:val="en-IE"/>
        </w:rPr>
        <w:t xml:space="preserve">This study employs and further extends the Modular Applied GeNeral Equilibrium Tool (MAGNET) to assess the impacts of a set of food waste reduction target scenarios. MAGNET is an economy-wide dynamic global computable general equilibrium (CGE) simulation model (Woltjer &amp; Kuiper, 2014). It is well suited to run sustainability analysis from an economic, social, and environmental perspective at the medium-to-long-run time horizon. The MAGNET model is suited to assess the impacts of agricultural, trade, land, (bio)energy and other policies at the national and global level with a particular focus on the impacts on land use, agricultural prices, nutrition and food security. For the present study, the model is further extended to account for food waste reduction throughout the full supply </w:t>
      </w:r>
      <w:r w:rsidRPr="00013BDC">
        <w:rPr>
          <w:rFonts w:eastAsiaTheme="minorEastAsia"/>
          <w:i/>
          <w:noProof/>
          <w:szCs w:val="20"/>
          <w:lang w:val="en-IE"/>
        </w:rPr>
        <w:t>chain. </w:t>
      </w:r>
    </w:p>
    <w:p w14:paraId="66282740" w14:textId="687C564F" w:rsidR="0038733E" w:rsidRPr="00013BDC" w:rsidRDefault="00F64258" w:rsidP="00F64258">
      <w:pPr>
        <w:pStyle w:val="Heading3"/>
        <w:rPr>
          <w:rFonts w:eastAsiaTheme="minorEastAsia"/>
          <w:noProof/>
          <w:lang w:val="en-IE"/>
        </w:rPr>
      </w:pPr>
      <w:bookmarkStart w:id="350" w:name="_Toc1046363915"/>
      <w:bookmarkStart w:id="351" w:name="_Toc2123095197"/>
      <w:bookmarkStart w:id="352" w:name="_Toc2119630736"/>
      <w:bookmarkStart w:id="353" w:name="_Toc348432136"/>
      <w:bookmarkStart w:id="354" w:name="_Toc1607169342"/>
      <w:bookmarkStart w:id="355" w:name="_Toc624839346"/>
      <w:bookmarkStart w:id="356" w:name="_Toc474103966"/>
      <w:bookmarkStart w:id="357" w:name="_Toc463722509"/>
      <w:bookmarkStart w:id="358" w:name="_Toc139032959"/>
      <w:r w:rsidRPr="00F64258">
        <w:rPr>
          <w:rFonts w:eastAsiaTheme="minorEastAsia"/>
        </w:rPr>
        <w:t>2.1.1</w:t>
      </w:r>
      <w:r w:rsidRPr="00F64258">
        <w:rPr>
          <w:rFonts w:eastAsiaTheme="minorEastAsia"/>
        </w:rPr>
        <w:tab/>
      </w:r>
      <w:r w:rsidR="0038733E" w:rsidRPr="00013BDC">
        <w:rPr>
          <w:rFonts w:eastAsiaTheme="minorEastAsia"/>
          <w:noProof/>
          <w:lang w:val="en-IE"/>
        </w:rPr>
        <w:t>MAGNET model and database</w:t>
      </w:r>
      <w:bookmarkEnd w:id="350"/>
      <w:bookmarkEnd w:id="351"/>
      <w:bookmarkEnd w:id="352"/>
      <w:bookmarkEnd w:id="353"/>
      <w:bookmarkEnd w:id="354"/>
      <w:bookmarkEnd w:id="355"/>
      <w:bookmarkEnd w:id="356"/>
      <w:bookmarkEnd w:id="357"/>
      <w:bookmarkEnd w:id="358"/>
      <w:r w:rsidR="0038733E" w:rsidRPr="00013BDC">
        <w:rPr>
          <w:rFonts w:eastAsiaTheme="minorEastAsia"/>
          <w:noProof/>
          <w:lang w:val="en-IE"/>
        </w:rPr>
        <w:t> </w:t>
      </w:r>
    </w:p>
    <w:p w14:paraId="2D76A156"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MAGNET (Modular Applied GeNeral Equilibrium Tool) is a global general equilibrium model. The MAGNET consortium includes Wageningen Economic Research (lead), the European Commission’s Joint Research Centre, and the Thünen-Institute. The model has been widely used for policy support and its scientific excellence is proven through diverse scientific publications in high-ranked journals and scientific policy reports for the European Commission and other international organizations. It is one of the 47 models listed in the Modelling Inventory and Knowledge Management System of the European Commission (MIDAS). It is also a core model of the integrated Modelling Platform for Agro-economic Commodity and Policy Analysis (iMAP) hosted by the JRC (M’barek, 2012; M’barek &amp; Delincé, 2015). Examples of MAGNET applications for policy analysis are M’barek </w:t>
      </w:r>
      <w:r w:rsidRPr="00013BDC">
        <w:rPr>
          <w:rFonts w:eastAsiaTheme="minorEastAsia"/>
          <w:i/>
          <w:noProof/>
          <w:lang w:val="en-IE"/>
        </w:rPr>
        <w:t>et al.</w:t>
      </w:r>
      <w:r w:rsidRPr="00013BDC">
        <w:rPr>
          <w:rFonts w:eastAsiaTheme="minorEastAsia"/>
          <w:noProof/>
          <w:lang w:val="en-IE"/>
        </w:rPr>
        <w:t xml:space="preserve"> (2017) on the CAP reform, Sartori </w:t>
      </w:r>
      <w:r w:rsidRPr="00013BDC">
        <w:rPr>
          <w:rFonts w:eastAsiaTheme="minorEastAsia"/>
          <w:i/>
          <w:noProof/>
          <w:lang w:val="en-IE"/>
        </w:rPr>
        <w:t>et al.</w:t>
      </w:r>
      <w:r w:rsidRPr="00013BDC">
        <w:rPr>
          <w:rFonts w:eastAsiaTheme="minorEastAsia"/>
          <w:noProof/>
          <w:lang w:val="en-IE"/>
        </w:rPr>
        <w:t xml:space="preserve"> (2019) on land issues, Philippidis </w:t>
      </w:r>
      <w:r w:rsidRPr="00013BDC">
        <w:rPr>
          <w:rFonts w:eastAsiaTheme="minorEastAsia"/>
          <w:i/>
          <w:noProof/>
          <w:lang w:val="en-IE"/>
        </w:rPr>
        <w:t>et al.</w:t>
      </w:r>
      <w:r w:rsidRPr="00013BDC">
        <w:rPr>
          <w:rFonts w:eastAsiaTheme="minorEastAsia"/>
          <w:noProof/>
          <w:lang w:val="en-IE"/>
        </w:rPr>
        <w:t xml:space="preserve"> (2020) on sustainable development goals (SDGs), Ferrari </w:t>
      </w:r>
      <w:r w:rsidRPr="00013BDC">
        <w:rPr>
          <w:rFonts w:eastAsiaTheme="minorEastAsia"/>
          <w:i/>
          <w:noProof/>
          <w:lang w:val="en-IE"/>
        </w:rPr>
        <w:t>et al.</w:t>
      </w:r>
      <w:r w:rsidRPr="00013BDC">
        <w:rPr>
          <w:rFonts w:eastAsiaTheme="minorEastAsia"/>
          <w:noProof/>
          <w:lang w:val="en-IE"/>
        </w:rPr>
        <w:t xml:space="preserve">, (2021) on the cumulative impact assessment of trade agreements on EU agriculture, and Boysen-Urban </w:t>
      </w:r>
      <w:r w:rsidRPr="00013BDC">
        <w:rPr>
          <w:rFonts w:eastAsiaTheme="minorEastAsia"/>
          <w:i/>
          <w:noProof/>
          <w:lang w:val="en-IE"/>
        </w:rPr>
        <w:t>et al.</w:t>
      </w:r>
      <w:r w:rsidRPr="00013BDC">
        <w:rPr>
          <w:rFonts w:eastAsiaTheme="minorEastAsia"/>
          <w:noProof/>
          <w:lang w:val="en-IE"/>
        </w:rPr>
        <w:t xml:space="preserve"> (2022) on impacts of food loss and waste reduction and dietary changes. The MAGNET consortium also contributes to different European Commission research projects such as BioMonitor, BatModel, Brightspace, and Lamasus. </w:t>
      </w:r>
    </w:p>
    <w:p w14:paraId="3B1826FA" w14:textId="258E0730" w:rsidR="0038733E" w:rsidRPr="00013BDC" w:rsidRDefault="0038733E" w:rsidP="0038733E">
      <w:pPr>
        <w:spacing w:after="120"/>
        <w:rPr>
          <w:rFonts w:eastAsiaTheme="minorEastAsia"/>
          <w:noProof/>
          <w:lang w:val="en-IE"/>
        </w:rPr>
      </w:pPr>
      <w:r w:rsidRPr="00013BDC">
        <w:rPr>
          <w:rFonts w:eastAsiaTheme="minorEastAsia"/>
          <w:b/>
          <w:noProof/>
          <w:lang w:val="en-IE"/>
        </w:rPr>
        <w:t xml:space="preserve">Figure </w:t>
      </w:r>
      <w:r w:rsidR="0003525E" w:rsidRPr="00013BDC">
        <w:rPr>
          <w:rFonts w:eastAsiaTheme="minorEastAsia"/>
          <w:b/>
          <w:noProof/>
          <w:lang w:val="en-IE"/>
        </w:rPr>
        <w:t>3</w:t>
      </w:r>
      <w:r w:rsidRPr="00013BDC">
        <w:rPr>
          <w:rFonts w:eastAsiaTheme="minorEastAsia"/>
          <w:noProof/>
          <w:lang w:val="en-IE"/>
        </w:rPr>
        <w:t xml:space="preserve"> employs economic optimisation theory (i.e., welfare maximisation, cost minimisation) to characterise the behaviour of consumers and producers to endogenous price changes, where producers exhibit constant returns to scale technologies and zero long-run economic profits. A further series of factor and commodity market clearing equations enforce the condition that supply must equal demand, for which equilibrium prices emerge. Finally, to ‘close’ the macro circular flow, accounting equations ensure that the value of income from production factors, expenditures and output are assumed equal, whilst the net balance between the current account (exports minus imports) and the capital account (savings minus investments) amounts to zero.  </w:t>
      </w:r>
    </w:p>
    <w:p w14:paraId="1BD3274C" w14:textId="5929EEF6" w:rsidR="008C3BF7" w:rsidRPr="00013BDC" w:rsidRDefault="008C3BF7" w:rsidP="008C3BF7">
      <w:pPr>
        <w:pStyle w:val="Caption"/>
        <w:rPr>
          <w:noProof/>
          <w:color w:val="auto"/>
          <w:sz w:val="24"/>
          <w:szCs w:val="24"/>
          <w:lang w:val="en-IE"/>
        </w:rPr>
      </w:pPr>
      <w:bookmarkStart w:id="359" w:name="_Toc133229273"/>
      <w:bookmarkStart w:id="360" w:name="_Toc139033000"/>
      <w:r w:rsidRPr="00013BDC">
        <w:rPr>
          <w:noProof/>
          <w:color w:val="auto"/>
          <w:sz w:val="24"/>
          <w:szCs w:val="24"/>
          <w:lang w:val="en-IE"/>
        </w:rPr>
        <w:t xml:space="preserve">Figure </w:t>
      </w:r>
      <w:r w:rsidR="004C5576">
        <w:rPr>
          <w:noProof/>
          <w:color w:val="auto"/>
          <w:sz w:val="24"/>
          <w:szCs w:val="24"/>
          <w:lang w:val="en-IE"/>
        </w:rPr>
        <w:t>3</w:t>
      </w:r>
      <w:r w:rsidRPr="00013BDC">
        <w:rPr>
          <w:noProof/>
          <w:color w:val="auto"/>
          <w:sz w:val="24"/>
          <w:szCs w:val="24"/>
          <w:lang w:val="en-IE"/>
        </w:rPr>
        <w:t xml:space="preserve"> – Graphical representation of the CGE model framework</w:t>
      </w:r>
      <w:bookmarkEnd w:id="359"/>
      <w:bookmarkEnd w:id="360"/>
    </w:p>
    <w:p w14:paraId="7D51E24D" w14:textId="06ADE3B8" w:rsidR="0038733E" w:rsidRPr="00013BDC" w:rsidRDefault="0038733E" w:rsidP="008C3BF7">
      <w:pPr>
        <w:spacing w:after="120"/>
        <w:jc w:val="center"/>
        <w:rPr>
          <w:rFonts w:eastAsiaTheme="minorEastAsia"/>
          <w:noProof/>
          <w:sz w:val="22"/>
          <w:szCs w:val="22"/>
          <w:lang w:val="en-IE"/>
        </w:rPr>
      </w:pPr>
      <w:r w:rsidRPr="00013BDC">
        <w:rPr>
          <w:rFonts w:eastAsiaTheme="minorEastAsia"/>
          <w:noProof/>
          <w:color w:val="2B579A"/>
          <w:shd w:val="clear" w:color="auto" w:fill="E6E6E6"/>
          <w:lang w:eastAsia="en-GB"/>
        </w:rPr>
        <w:drawing>
          <wp:inline distT="0" distB="0" distL="0" distR="0" wp14:anchorId="240679E2" wp14:editId="4B7A8453">
            <wp:extent cx="6103620" cy="2489200"/>
            <wp:effectExtent l="0" t="0" r="0" b="6350"/>
            <wp:docPr id="210007940" name="Picture 2100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03620" cy="2489200"/>
                    </a:xfrm>
                    <a:prstGeom prst="rect">
                      <a:avLst/>
                    </a:prstGeom>
                    <a:noFill/>
                    <a:ln>
                      <a:noFill/>
                    </a:ln>
                  </pic:spPr>
                </pic:pic>
              </a:graphicData>
            </a:graphic>
          </wp:inline>
        </w:drawing>
      </w:r>
      <w:r w:rsidRPr="00013BDC">
        <w:rPr>
          <w:rFonts w:eastAsiaTheme="minorEastAsia"/>
          <w:noProof/>
          <w:sz w:val="22"/>
          <w:szCs w:val="22"/>
          <w:lang w:val="en-IE"/>
        </w:rPr>
        <w:t>Source: MAGNET 202</w:t>
      </w:r>
      <w:r w:rsidR="00830770" w:rsidRPr="00013BDC">
        <w:rPr>
          <w:rFonts w:eastAsiaTheme="minorEastAsia"/>
          <w:noProof/>
          <w:sz w:val="22"/>
          <w:szCs w:val="22"/>
          <w:lang w:val="en-IE"/>
        </w:rPr>
        <w:t>3</w:t>
      </w:r>
    </w:p>
    <w:p w14:paraId="0EDA814F" w14:textId="490710E4" w:rsidR="0038733E" w:rsidRPr="00013BDC" w:rsidRDefault="0038733E" w:rsidP="0038733E">
      <w:pPr>
        <w:spacing w:after="120"/>
        <w:rPr>
          <w:rFonts w:eastAsiaTheme="minorEastAsia"/>
          <w:noProof/>
          <w:lang w:val="en-IE"/>
        </w:rPr>
      </w:pPr>
      <w:r w:rsidRPr="00013BDC">
        <w:rPr>
          <w:rFonts w:eastAsiaTheme="minorEastAsia"/>
          <w:noProof/>
          <w:lang w:val="en-IE"/>
        </w:rPr>
        <w:t>MAGNET is built on the Global Trade Analysis Project (GTAP) model and data structure at its core, which is widely accepted and regularly used for global and EU impact assessments. The GTAP model consists of an input-output accounting framework. The behaviour of households, firms, and the government in the global economy is included in the model. Households opt for utility maximization and firms are cost minimizing, while all agents are price takers (Corong, 2017). All income is collected by a representative regional household and allocated to private or government consumption or savings to maximize regional utility. Factors of production (i.e.</w:t>
      </w:r>
      <w:r w:rsidR="00F03440" w:rsidRPr="00013BDC">
        <w:rPr>
          <w:rFonts w:eastAsiaTheme="minorEastAsia"/>
          <w:noProof/>
          <w:lang w:val="en-IE"/>
        </w:rPr>
        <w:t>,</w:t>
      </w:r>
      <w:r w:rsidRPr="00013BDC">
        <w:rPr>
          <w:rFonts w:eastAsiaTheme="minorEastAsia"/>
          <w:noProof/>
          <w:lang w:val="en-IE"/>
        </w:rPr>
        <w:t xml:space="preserve"> land, skilled and unskilled labour, capital and natural resources) are supplied by the household and employed by the producers. The model is fully equipped with economy-wide bilateral trade flows between regions; trade barriers are also included. Hence commodities given in the model can be locally supplied or imported. Total income is determined by the sum of factor income and tax revenues (Aguiar </w:t>
      </w:r>
      <w:r w:rsidRPr="00013BDC">
        <w:rPr>
          <w:rFonts w:eastAsiaTheme="minorEastAsia"/>
          <w:i/>
          <w:noProof/>
          <w:lang w:val="en-IE"/>
        </w:rPr>
        <w:t>et al.</w:t>
      </w:r>
      <w:r w:rsidRPr="00013BDC">
        <w:rPr>
          <w:rFonts w:eastAsiaTheme="minorEastAsia"/>
          <w:noProof/>
          <w:lang w:val="en-IE"/>
        </w:rPr>
        <w:t>, 2019a).  </w:t>
      </w:r>
    </w:p>
    <w:p w14:paraId="6F9F5CE8" w14:textId="77777777" w:rsidR="0038733E" w:rsidRPr="00013BDC" w:rsidRDefault="0038733E" w:rsidP="00C16A27">
      <w:pPr>
        <w:rPr>
          <w:rFonts w:eastAsiaTheme="minorEastAsia"/>
          <w:noProof/>
          <w:lang w:val="en-IE"/>
        </w:rPr>
      </w:pPr>
      <w:r w:rsidRPr="00013BDC">
        <w:rPr>
          <w:rFonts w:eastAsiaTheme="minorEastAsia"/>
          <w:noProof/>
          <w:lang w:val="en-IE"/>
        </w:rPr>
        <w:t xml:space="preserve">For this study, version 10 of the GTAP database with a benchmark year of 2014 and completed with 65 tradable sectors, eight primary factors and 141 regions, is used (Aguiar </w:t>
      </w:r>
      <w:r w:rsidRPr="00013BDC">
        <w:rPr>
          <w:rFonts w:eastAsiaTheme="minorEastAsia"/>
          <w:i/>
          <w:noProof/>
          <w:lang w:val="en-IE"/>
        </w:rPr>
        <w:t>et al.</w:t>
      </w:r>
      <w:r w:rsidRPr="00013BDC">
        <w:rPr>
          <w:rFonts w:eastAsiaTheme="minorEastAsia"/>
          <w:noProof/>
          <w:lang w:val="en-IE"/>
        </w:rPr>
        <w:t>, 2019b). In addition to bilateral trade and protection data, the GTAP database also includes information on the input-output structures of each of its 141 economies – including intermediate input purchases and final demands by private households, governments, and investors. All transactions within the database are measured at basic, producer and purchaser prices including relevant tax/subsidy distortions and international transport margin data. In the development of the MAGNET model only minimal changes are done to its foundation GTAP core. One of these changes is the introduction of by-products which enables the distinction between production sectors and produced commodities. This results in an extended MAGNET database that covers 113 sectors and 127 commodities, consisting of 14 by-products (MAGNET, 2022). </w:t>
      </w:r>
    </w:p>
    <w:p w14:paraId="4FBC2CBD" w14:textId="0E081E3A" w:rsidR="0038733E" w:rsidRPr="00013BDC" w:rsidRDefault="00F64258" w:rsidP="00F64258">
      <w:pPr>
        <w:pStyle w:val="Heading3"/>
        <w:rPr>
          <w:rFonts w:eastAsiaTheme="minorEastAsia"/>
          <w:noProof/>
          <w:lang w:val="en-IE"/>
        </w:rPr>
      </w:pPr>
      <w:bookmarkStart w:id="361" w:name="_Toc1568123544"/>
      <w:bookmarkStart w:id="362" w:name="_Toc724411963"/>
      <w:bookmarkStart w:id="363" w:name="_Toc242071807"/>
      <w:bookmarkStart w:id="364" w:name="_Toc1316282619"/>
      <w:bookmarkStart w:id="365" w:name="_Toc1553554806"/>
      <w:bookmarkStart w:id="366" w:name="_Toc984005697"/>
      <w:bookmarkStart w:id="367" w:name="_Toc1400437277"/>
      <w:bookmarkStart w:id="368" w:name="_Toc411369806"/>
      <w:bookmarkStart w:id="369" w:name="_Toc139032960"/>
      <w:r w:rsidRPr="00F64258">
        <w:rPr>
          <w:rFonts w:eastAsiaTheme="minorEastAsia"/>
        </w:rPr>
        <w:t>2.1.2</w:t>
      </w:r>
      <w:r w:rsidRPr="00F64258">
        <w:rPr>
          <w:rFonts w:eastAsiaTheme="minorEastAsia"/>
        </w:rPr>
        <w:tab/>
      </w:r>
      <w:r w:rsidR="0038733E" w:rsidRPr="00013BDC">
        <w:rPr>
          <w:rFonts w:eastAsiaTheme="minorEastAsia"/>
          <w:noProof/>
          <w:lang w:val="en-IE"/>
        </w:rPr>
        <w:t>The MAGNET model in policy assessments and science</w:t>
      </w:r>
      <w:bookmarkEnd w:id="361"/>
      <w:bookmarkEnd w:id="362"/>
      <w:bookmarkEnd w:id="363"/>
      <w:bookmarkEnd w:id="364"/>
      <w:bookmarkEnd w:id="365"/>
      <w:bookmarkEnd w:id="366"/>
      <w:bookmarkEnd w:id="367"/>
      <w:bookmarkEnd w:id="368"/>
      <w:bookmarkEnd w:id="369"/>
      <w:r w:rsidR="0038733E" w:rsidRPr="00013BDC">
        <w:rPr>
          <w:rFonts w:eastAsiaTheme="minorEastAsia"/>
          <w:noProof/>
          <w:lang w:val="en-IE"/>
        </w:rPr>
        <w:t>  </w:t>
      </w:r>
    </w:p>
    <w:p w14:paraId="010D1D44" w14:textId="77777777" w:rsidR="0038733E" w:rsidRPr="00013BDC" w:rsidRDefault="0038733E" w:rsidP="0038733E">
      <w:pPr>
        <w:spacing w:after="120"/>
        <w:rPr>
          <w:rFonts w:eastAsiaTheme="minorEastAsia"/>
          <w:noProof/>
          <w:lang w:val="en-IE"/>
        </w:rPr>
      </w:pPr>
      <w:r w:rsidRPr="00013BDC">
        <w:rPr>
          <w:rFonts w:eastAsiaTheme="minorEastAsia"/>
          <w:noProof/>
          <w:lang w:val="en-IE"/>
        </w:rPr>
        <w:t>MAGNET is a CGE model and therefore suitable for economy-wide simulation of the impacts of policy scenarios. In fact, Tool #61 (Simulation tools) of the Better Regulation Toolbox mentions explicitly general equilibrium models (such as MAGNET, see also Tool #35). With regard to Tool #18 (Identification of impacts), the whole-economy model MAGNET covers several of the impact categories mentioned as well as a broad range of SDGs. Lately, the European Parliament in its “</w:t>
      </w:r>
      <w:hyperlink r:id="rId51" w:tgtFrame="_blank" w:history="1">
        <w:r w:rsidRPr="00013BDC">
          <w:rPr>
            <w:rStyle w:val="Hyperlink"/>
            <w:rFonts w:eastAsiaTheme="minorEastAsia"/>
            <w:noProof/>
            <w:lang w:val="en-IE"/>
          </w:rPr>
          <w:t>Assessment of current initiatives of the European Commission on better regulation</w:t>
        </w:r>
      </w:hyperlink>
      <w:r w:rsidRPr="00013BDC">
        <w:rPr>
          <w:rFonts w:eastAsiaTheme="minorEastAsia"/>
          <w:noProof/>
          <w:lang w:val="en-IE"/>
        </w:rPr>
        <w:t>” (2022)</w:t>
      </w:r>
      <w:r w:rsidRPr="00013BDC">
        <w:rPr>
          <w:rFonts w:eastAsiaTheme="minorEastAsia"/>
          <w:b/>
          <w:noProof/>
          <w:lang w:val="en-IE"/>
        </w:rPr>
        <w:t xml:space="preserve"> </w:t>
      </w:r>
      <w:r w:rsidRPr="00013BDC">
        <w:rPr>
          <w:rFonts w:eastAsiaTheme="minorEastAsia"/>
          <w:noProof/>
          <w:lang w:val="en-IE"/>
        </w:rPr>
        <w:t xml:space="preserve">suggested that “future research and public sector training should be oriented towards using enhanced simulation (e.g. “digital twins”; </w:t>
      </w:r>
      <w:r w:rsidRPr="00013BDC">
        <w:rPr>
          <w:rFonts w:eastAsiaTheme="minorEastAsia"/>
          <w:i/>
          <w:noProof/>
          <w:lang w:val="en-IE"/>
        </w:rPr>
        <w:t>general equilibrium models</w:t>
      </w:r>
      <w:r w:rsidRPr="00013BDC">
        <w:rPr>
          <w:rFonts w:eastAsiaTheme="minorEastAsia"/>
          <w:noProof/>
          <w:lang w:val="en-IE"/>
        </w:rPr>
        <w:t>) to perform resilience testing of existing rules and policies. These implies a rather new set of skills, which future policymakers will need to develop.”  </w:t>
      </w:r>
    </w:p>
    <w:p w14:paraId="7A4DCDC6" w14:textId="6CA71911" w:rsidR="0038733E" w:rsidRPr="00013BDC" w:rsidRDefault="0038733E" w:rsidP="0038733E">
      <w:pPr>
        <w:spacing w:after="120"/>
        <w:rPr>
          <w:rFonts w:eastAsiaTheme="minorEastAsia"/>
          <w:noProof/>
          <w:lang w:val="en-IE"/>
        </w:rPr>
      </w:pPr>
      <w:r w:rsidRPr="00013BDC">
        <w:rPr>
          <w:rFonts w:eastAsiaTheme="minorEastAsia"/>
          <w:noProof/>
          <w:lang w:val="en-IE"/>
        </w:rPr>
        <w:t xml:space="preserve">The Modelling Inventory and Knowledge Management System of the European Commission </w:t>
      </w:r>
      <w:hyperlink r:id="rId52" w:tgtFrame="_blank" w:history="1">
        <w:r w:rsidRPr="00013BDC">
          <w:rPr>
            <w:rStyle w:val="Hyperlink"/>
            <w:rFonts w:eastAsiaTheme="minorEastAsia"/>
            <w:noProof/>
            <w:lang w:val="en-IE"/>
          </w:rPr>
          <w:t>(MIDAS) includes MAGNET</w:t>
        </w:r>
      </w:hyperlink>
      <w:r w:rsidRPr="00013BDC">
        <w:rPr>
          <w:rFonts w:eastAsiaTheme="minorEastAsia"/>
          <w:noProof/>
          <w:lang w:val="en-IE"/>
        </w:rPr>
        <w:t xml:space="preserve"> as one of the models used for impact assessments. Apart from different policy relevant studies e.g. on </w:t>
      </w:r>
      <w:hyperlink r:id="rId53" w:tgtFrame="_blank" w:history="1">
        <w:r w:rsidRPr="00013BDC">
          <w:rPr>
            <w:rStyle w:val="Hyperlink"/>
            <w:rFonts w:eastAsiaTheme="minorEastAsia"/>
            <w:noProof/>
            <w:lang w:val="en-IE"/>
          </w:rPr>
          <w:t>trade issues</w:t>
        </w:r>
      </w:hyperlink>
      <w:r w:rsidRPr="00013BDC">
        <w:rPr>
          <w:rFonts w:eastAsiaTheme="minorEastAsia"/>
          <w:noProof/>
          <w:lang w:val="en-IE"/>
        </w:rPr>
        <w:t xml:space="preserve">, </w:t>
      </w:r>
      <w:hyperlink r:id="rId54" w:tgtFrame="_blank" w:history="1">
        <w:r w:rsidRPr="00013BDC">
          <w:rPr>
            <w:rStyle w:val="Hyperlink"/>
            <w:rFonts w:eastAsiaTheme="minorEastAsia"/>
            <w:noProof/>
            <w:lang w:val="en-IE"/>
          </w:rPr>
          <w:t>transition pathways</w:t>
        </w:r>
      </w:hyperlink>
      <w:r w:rsidRPr="00013BDC">
        <w:rPr>
          <w:rFonts w:eastAsiaTheme="minorEastAsia"/>
          <w:noProof/>
          <w:lang w:val="en-IE"/>
        </w:rPr>
        <w:t xml:space="preserve">, MAGNET is mentioned in the impact assessment on modernising and simplifying the </w:t>
      </w:r>
      <w:hyperlink r:id="rId55" w:tgtFrame="_blank" w:history="1">
        <w:r w:rsidRPr="00013BDC">
          <w:rPr>
            <w:rStyle w:val="Hyperlink"/>
            <w:rFonts w:eastAsiaTheme="minorEastAsia"/>
            <w:noProof/>
            <w:lang w:val="en-IE"/>
          </w:rPr>
          <w:t>Common Agricultural Policy</w:t>
        </w:r>
      </w:hyperlink>
      <w:r w:rsidRPr="00013BDC">
        <w:rPr>
          <w:rFonts w:eastAsiaTheme="minorEastAsia"/>
          <w:noProof/>
          <w:lang w:val="en-IE"/>
        </w:rPr>
        <w:t xml:space="preserve"> and described in SWD(2018) 431 final on the Bioeconomy Strategy</w:t>
      </w:r>
      <w:r w:rsidR="004558D3" w:rsidRPr="00013BDC">
        <w:rPr>
          <w:rStyle w:val="FootnoteReference"/>
          <w:rFonts w:eastAsiaTheme="minorEastAsia"/>
          <w:noProof/>
          <w:lang w:val="en-IE"/>
        </w:rPr>
        <w:footnoteReference w:id="54"/>
      </w:r>
      <w:r w:rsidRPr="00013BDC">
        <w:rPr>
          <w:rFonts w:eastAsiaTheme="minorEastAsia"/>
          <w:noProof/>
          <w:lang w:val="en-IE"/>
        </w:rPr>
        <w:t xml:space="preserve"> as a model “including various features for assessing policy coherence“ (p. 68). MAGNET studies on diets are presented in SWD IMPACT ASSESSMENT REPORT accompanying the COM(2021) 554 LULUCF.</w:t>
      </w:r>
      <w:r w:rsidR="00057238" w:rsidRPr="00013BDC">
        <w:rPr>
          <w:rFonts w:eastAsiaTheme="minorEastAsia"/>
          <w:noProof/>
          <w:lang w:val="en-IE"/>
        </w:rPr>
        <w:t xml:space="preserve"> </w:t>
      </w:r>
      <w:r w:rsidRPr="00013BDC">
        <w:rPr>
          <w:rFonts w:eastAsiaTheme="minorEastAsia"/>
          <w:noProof/>
          <w:lang w:val="en-IE"/>
        </w:rPr>
        <w:t>MAGNET is based on the Global Trade Analysis Project (</w:t>
      </w:r>
      <w:hyperlink r:id="rId56" w:tgtFrame="_blank" w:history="1">
        <w:r w:rsidRPr="00013BDC">
          <w:rPr>
            <w:rStyle w:val="Hyperlink"/>
            <w:rFonts w:eastAsiaTheme="minorEastAsia"/>
            <w:noProof/>
            <w:lang w:val="en-IE"/>
          </w:rPr>
          <w:t>GTAP</w:t>
        </w:r>
      </w:hyperlink>
      <w:r w:rsidRPr="00013BDC">
        <w:rPr>
          <w:rFonts w:eastAsiaTheme="minorEastAsia"/>
          <w:noProof/>
          <w:lang w:val="en-IE"/>
        </w:rPr>
        <w:t xml:space="preserve">, the EC being a </w:t>
      </w:r>
      <w:hyperlink r:id="rId57" w:tgtFrame="_blank" w:history="1">
        <w:r w:rsidRPr="00013BDC">
          <w:rPr>
            <w:rStyle w:val="Hyperlink"/>
            <w:rFonts w:eastAsiaTheme="minorEastAsia"/>
            <w:noProof/>
            <w:lang w:val="en-IE"/>
          </w:rPr>
          <w:t>consortium</w:t>
        </w:r>
      </w:hyperlink>
      <w:r w:rsidRPr="00013BDC">
        <w:rPr>
          <w:rFonts w:eastAsiaTheme="minorEastAsia"/>
          <w:noProof/>
          <w:lang w:val="en-IE"/>
        </w:rPr>
        <w:t xml:space="preserve"> member), which is used by almost all CGE models. Recently it has also been used by FAO (</w:t>
      </w:r>
      <w:hyperlink r:id="rId58">
        <w:r w:rsidRPr="00013BDC">
          <w:rPr>
            <w:rStyle w:val="Hyperlink"/>
            <w:rFonts w:eastAsiaTheme="minorEastAsia"/>
            <w:noProof/>
            <w:lang w:val="en-IE"/>
          </w:rPr>
          <w:t>State of Food and Agriculture 2019</w:t>
        </w:r>
      </w:hyperlink>
      <w:r w:rsidRPr="00013BDC">
        <w:rPr>
          <w:rFonts w:eastAsiaTheme="minorEastAsia"/>
          <w:noProof/>
          <w:lang w:val="en-IE"/>
        </w:rPr>
        <w:t>) and IFAD (</w:t>
      </w:r>
      <w:hyperlink r:id="rId59" w:tgtFrame="_blank" w:history="1">
        <w:r w:rsidRPr="00013BDC">
          <w:rPr>
            <w:rStyle w:val="Hyperlink"/>
            <w:rFonts w:eastAsiaTheme="minorEastAsia"/>
            <w:noProof/>
            <w:lang w:val="en-IE"/>
          </w:rPr>
          <w:t>Rural Development Report 2021</w:t>
        </w:r>
      </w:hyperlink>
      <w:r w:rsidRPr="00013BDC">
        <w:rPr>
          <w:rFonts w:eastAsiaTheme="minorEastAsia"/>
          <w:noProof/>
          <w:lang w:val="en-IE"/>
        </w:rPr>
        <w:t xml:space="preserve">). In 2021, the GTAP model assessed global economic impacts of </w:t>
      </w:r>
      <w:hyperlink r:id="rId60" w:tgtFrame="_blank" w:history="1">
        <w:r w:rsidRPr="00013BDC">
          <w:rPr>
            <w:rStyle w:val="Hyperlink"/>
            <w:rFonts w:eastAsiaTheme="minorEastAsia"/>
            <w:noProof/>
            <w:lang w:val="en-IE"/>
          </w:rPr>
          <w:t>environmental change</w:t>
        </w:r>
      </w:hyperlink>
      <w:r w:rsidRPr="00013BDC">
        <w:rPr>
          <w:rFonts w:eastAsiaTheme="minorEastAsia"/>
          <w:noProof/>
          <w:lang w:val="en-IE"/>
        </w:rPr>
        <w:t>.  </w:t>
      </w:r>
    </w:p>
    <w:p w14:paraId="15DC134D" w14:textId="50DF9996" w:rsidR="0038733E" w:rsidRPr="00013BDC" w:rsidRDefault="0038733E" w:rsidP="0038733E">
      <w:pPr>
        <w:spacing w:after="120"/>
        <w:rPr>
          <w:rFonts w:eastAsiaTheme="minorEastAsia"/>
          <w:noProof/>
          <w:lang w:val="en-IE"/>
        </w:rPr>
      </w:pPr>
      <w:r w:rsidRPr="00013BDC">
        <w:rPr>
          <w:rFonts w:eastAsiaTheme="minorEastAsia"/>
          <w:noProof/>
          <w:lang w:val="en-IE"/>
        </w:rPr>
        <w:t xml:space="preserve">MAGNET was selected by UN-DESA as one of the 16 outstanding </w:t>
      </w:r>
      <w:hyperlink r:id="rId61" w:tgtFrame="_blank" w:history="1">
        <w:r w:rsidRPr="00013BDC">
          <w:rPr>
            <w:rStyle w:val="Hyperlink"/>
            <w:rFonts w:eastAsiaTheme="minorEastAsia"/>
            <w:noProof/>
            <w:lang w:val="en-IE"/>
          </w:rPr>
          <w:t>SDG Good Practices</w:t>
        </w:r>
      </w:hyperlink>
      <w:r w:rsidRPr="00013BDC">
        <w:rPr>
          <w:rFonts w:eastAsiaTheme="minorEastAsia"/>
          <w:noProof/>
          <w:lang w:val="en-IE"/>
        </w:rPr>
        <w:t xml:space="preserve"> across the world and features also in th</w:t>
      </w:r>
      <w:r w:rsidRPr="00013BDC">
        <w:rPr>
          <w:noProof/>
          <w:lang w:val="en-IE"/>
        </w:rPr>
        <w:t>is</w:t>
      </w:r>
      <w:r w:rsidR="000E65EB" w:rsidRPr="00013BDC">
        <w:rPr>
          <w:noProof/>
          <w:lang w:val="en-IE"/>
        </w:rPr>
        <w:t xml:space="preserve"> 2021</w:t>
      </w:r>
      <w:r w:rsidRPr="00013BDC">
        <w:rPr>
          <w:noProof/>
          <w:lang w:val="en-IE"/>
        </w:rPr>
        <w:t xml:space="preserve"> OECD/JRC </w:t>
      </w:r>
      <w:r w:rsidR="000E65EB" w:rsidRPr="00013BDC">
        <w:rPr>
          <w:noProof/>
          <w:lang w:val="en-IE"/>
        </w:rPr>
        <w:t xml:space="preserve">report </w:t>
      </w:r>
      <w:r w:rsidRPr="00013BDC">
        <w:rPr>
          <w:noProof/>
          <w:lang w:val="en-IE"/>
        </w:rPr>
        <w:t>on “</w:t>
      </w:r>
      <w:hyperlink r:id="rId62" w:tgtFrame="_blank" w:history="1">
        <w:r w:rsidRPr="00013BDC">
          <w:rPr>
            <w:rStyle w:val="Hyperlink"/>
            <w:rFonts w:eastAsiaTheme="minorEastAsia"/>
            <w:noProof/>
            <w:lang w:val="en-IE"/>
          </w:rPr>
          <w:t>Spillovers and Transboundary Impacts of Public Policies</w:t>
        </w:r>
      </w:hyperlink>
      <w:r w:rsidRPr="00013BDC">
        <w:rPr>
          <w:rFonts w:eastAsiaTheme="minorEastAsia"/>
          <w:noProof/>
          <w:lang w:val="en-IE"/>
        </w:rPr>
        <w:t>”.</w:t>
      </w:r>
      <w:r w:rsidR="000E65EB" w:rsidRPr="00013BDC">
        <w:rPr>
          <w:rFonts w:eastAsiaTheme="minorEastAsia"/>
          <w:noProof/>
          <w:lang w:val="en-IE"/>
        </w:rPr>
        <w:t xml:space="preserve"> </w:t>
      </w:r>
      <w:r w:rsidRPr="00013BDC">
        <w:rPr>
          <w:rStyle w:val="Hyperlink"/>
          <w:rFonts w:eastAsiaTheme="minorEastAsia"/>
          <w:noProof/>
          <w:lang w:val="en-IE"/>
        </w:rPr>
        <w:t>Several</w:t>
      </w:r>
      <w:r w:rsidR="00286B8D" w:rsidRPr="00013BDC">
        <w:rPr>
          <w:rStyle w:val="Hyperlink"/>
          <w:rFonts w:eastAsiaTheme="minorEastAsia"/>
          <w:noProof/>
          <w:lang w:val="en-IE"/>
        </w:rPr>
        <w:t xml:space="preserve"> </w:t>
      </w:r>
      <w:hyperlink r:id="rId63" w:tgtFrame="_blank" w:history="1">
        <w:r w:rsidRPr="00013BDC">
          <w:rPr>
            <w:rStyle w:val="Hyperlink"/>
            <w:rFonts w:eastAsiaTheme="minorEastAsia"/>
            <w:noProof/>
            <w:lang w:val="en-IE"/>
          </w:rPr>
          <w:t>scientific articles</w:t>
        </w:r>
      </w:hyperlink>
      <w:r w:rsidRPr="00013BDC">
        <w:rPr>
          <w:rFonts w:eastAsiaTheme="minorEastAsia"/>
          <w:noProof/>
          <w:lang w:val="en-IE"/>
        </w:rPr>
        <w:t xml:space="preserve"> witness the methodological developments and applications over a broad range of topics.  </w:t>
      </w:r>
    </w:p>
    <w:p w14:paraId="36DD39E1"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The Better regulation toolbox Tool #60 </w:t>
      </w:r>
      <w:r w:rsidRPr="00013BDC">
        <w:rPr>
          <w:rFonts w:eastAsiaTheme="minorEastAsia"/>
          <w:i/>
          <w:noProof/>
          <w:lang w:val="en-IE"/>
        </w:rPr>
        <w:t>Baselines</w:t>
      </w:r>
      <w:r w:rsidRPr="00013BDC">
        <w:rPr>
          <w:rFonts w:eastAsiaTheme="minorEastAsia"/>
          <w:noProof/>
          <w:lang w:val="en-IE"/>
        </w:rPr>
        <w:t xml:space="preserve"> mentions the Agricultural Market Outlook and GECO (Global Energy and Climate Outlook, see also Tool #61) as examples for the consistency of baselines, employed also in the current model set-up. </w:t>
      </w:r>
    </w:p>
    <w:p w14:paraId="60023C76"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In the yearly EU agricultural outlook report, published European Commission in December 2022, a short chapter analyses some dimensions of food security using a selected set of indicators, provided also by the MAGNET model (see section 5 in report </w:t>
      </w:r>
      <w:hyperlink r:id="rId64" w:tgtFrame="_blank" w:history="1">
        <w:r w:rsidRPr="00013BDC">
          <w:rPr>
            <w:rStyle w:val="Hyperlink"/>
            <w:rFonts w:eastAsiaTheme="minorEastAsia"/>
            <w:noProof/>
            <w:lang w:val="en-IE"/>
          </w:rPr>
          <w:t>Medium-term (europa.eu)</w:t>
        </w:r>
      </w:hyperlink>
      <w:r w:rsidRPr="00013BDC">
        <w:rPr>
          <w:rFonts w:eastAsiaTheme="minorEastAsia"/>
          <w:noProof/>
          <w:lang w:val="en-IE"/>
        </w:rPr>
        <w:t>).  </w:t>
      </w:r>
    </w:p>
    <w:p w14:paraId="50D65EE5" w14:textId="5E37641A" w:rsidR="0038733E" w:rsidRPr="00013BDC" w:rsidRDefault="00F64258" w:rsidP="00F64258">
      <w:pPr>
        <w:pStyle w:val="Heading3"/>
        <w:rPr>
          <w:rFonts w:eastAsiaTheme="minorEastAsia"/>
          <w:noProof/>
          <w:lang w:val="en-IE"/>
        </w:rPr>
      </w:pPr>
      <w:bookmarkStart w:id="370" w:name="_Toc1489926102"/>
      <w:bookmarkStart w:id="371" w:name="_Toc44262806"/>
      <w:bookmarkStart w:id="372" w:name="_Toc1194422077"/>
      <w:bookmarkStart w:id="373" w:name="_Toc896977972"/>
      <w:bookmarkStart w:id="374" w:name="_Toc959003729"/>
      <w:bookmarkStart w:id="375" w:name="_Toc374776689"/>
      <w:bookmarkStart w:id="376" w:name="_Toc678828852"/>
      <w:bookmarkStart w:id="377" w:name="_Toc1507514828"/>
      <w:bookmarkStart w:id="378" w:name="_Ref133232317"/>
      <w:bookmarkStart w:id="379" w:name="_Toc139032961"/>
      <w:r w:rsidRPr="00F64258">
        <w:rPr>
          <w:rFonts w:eastAsiaTheme="minorEastAsia"/>
        </w:rPr>
        <w:t>2.1.3</w:t>
      </w:r>
      <w:r w:rsidRPr="00F64258">
        <w:rPr>
          <w:rFonts w:eastAsiaTheme="minorEastAsia"/>
        </w:rPr>
        <w:tab/>
      </w:r>
      <w:r w:rsidR="0038733E" w:rsidRPr="00013BDC">
        <w:rPr>
          <w:rFonts w:eastAsiaTheme="minorEastAsia"/>
          <w:noProof/>
          <w:lang w:val="en-IE"/>
        </w:rPr>
        <w:t>Extension of MAGNET modelling framework</w:t>
      </w:r>
      <w:bookmarkEnd w:id="370"/>
      <w:bookmarkEnd w:id="371"/>
      <w:bookmarkEnd w:id="372"/>
      <w:bookmarkEnd w:id="373"/>
      <w:bookmarkEnd w:id="374"/>
      <w:bookmarkEnd w:id="375"/>
      <w:bookmarkEnd w:id="376"/>
      <w:bookmarkEnd w:id="377"/>
      <w:bookmarkEnd w:id="378"/>
      <w:bookmarkEnd w:id="379"/>
      <w:r w:rsidR="0038733E" w:rsidRPr="00013BDC">
        <w:rPr>
          <w:rFonts w:eastAsiaTheme="minorEastAsia"/>
          <w:noProof/>
          <w:lang w:val="en-IE"/>
        </w:rPr>
        <w:t> </w:t>
      </w:r>
    </w:p>
    <w:p w14:paraId="4B0363D6" w14:textId="77777777" w:rsidR="0038733E" w:rsidRPr="00013BDC" w:rsidRDefault="0038733E" w:rsidP="0038733E">
      <w:pPr>
        <w:spacing w:after="120"/>
        <w:rPr>
          <w:rFonts w:eastAsiaTheme="minorEastAsia"/>
          <w:noProof/>
          <w:lang w:val="en-IE"/>
        </w:rPr>
      </w:pPr>
      <w:r w:rsidRPr="00013BDC">
        <w:rPr>
          <w:rFonts w:eastAsiaTheme="minorEastAsia"/>
          <w:noProof/>
          <w:lang w:val="en-IE"/>
        </w:rPr>
        <w:t>One of the key specifications of MAGNET is its modular design (Woltjer &amp; Kuiper, 2014). Multiple adaptions and extensions can be added to the model. This modular design enables users to select among the extensions depending on the interest of the policy question. For this impact assessment, the standard MAGNET core has been enriched by modules that improve the depiction of nutrients (Rutten et al. 2013), bio-based sector coverage (Philippidis et al., 2018), Common Agricultural Policy (Boulanger et al., 2021), footprints and virtual trade (Philippidis et al., 2021). These extensions allow for a holistic assessment of the impacts of food waste reduction on the food system. Some of the following questions arising from reductions in EU food losses and waste can be addressed:  </w:t>
      </w:r>
    </w:p>
    <w:p w14:paraId="5C19F11E" w14:textId="77777777" w:rsidR="0038733E" w:rsidRPr="00013BDC" w:rsidRDefault="0038733E" w:rsidP="00CF0DFB">
      <w:pPr>
        <w:numPr>
          <w:ilvl w:val="0"/>
          <w:numId w:val="98"/>
        </w:numPr>
        <w:spacing w:after="0"/>
        <w:rPr>
          <w:rFonts w:eastAsiaTheme="minorEastAsia"/>
          <w:noProof/>
          <w:lang w:val="en-IE"/>
        </w:rPr>
      </w:pPr>
      <w:r w:rsidRPr="00013BDC">
        <w:rPr>
          <w:rFonts w:eastAsiaTheme="minorEastAsia"/>
          <w:b/>
          <w:noProof/>
          <w:lang w:val="en-IE"/>
        </w:rPr>
        <w:t xml:space="preserve">Food Loss reductions: </w:t>
      </w:r>
      <w:r w:rsidRPr="00013BDC">
        <w:rPr>
          <w:rFonts w:eastAsiaTheme="minorEastAsia"/>
          <w:noProof/>
          <w:lang w:val="en-IE"/>
        </w:rPr>
        <w:t>how do reduced losses in food supply chains impact upon consumer demand via price changes? </w:t>
      </w:r>
    </w:p>
    <w:p w14:paraId="6A43E6B6" w14:textId="77777777" w:rsidR="0038733E" w:rsidRPr="00013BDC" w:rsidRDefault="0038733E" w:rsidP="00CF0DFB">
      <w:pPr>
        <w:numPr>
          <w:ilvl w:val="0"/>
          <w:numId w:val="98"/>
        </w:numPr>
        <w:spacing w:after="0"/>
        <w:rPr>
          <w:rFonts w:eastAsiaTheme="minorEastAsia"/>
          <w:noProof/>
          <w:lang w:val="en-IE"/>
        </w:rPr>
      </w:pPr>
      <w:r w:rsidRPr="00013BDC">
        <w:rPr>
          <w:rFonts w:eastAsiaTheme="minorEastAsia"/>
          <w:b/>
          <w:noProof/>
          <w:lang w:val="en-IE"/>
        </w:rPr>
        <w:t xml:space="preserve">Food Waste reductions: </w:t>
      </w:r>
      <w:r w:rsidRPr="00013BDC">
        <w:rPr>
          <w:rFonts w:eastAsiaTheme="minorEastAsia"/>
          <w:noProof/>
          <w:lang w:val="en-IE"/>
        </w:rPr>
        <w:t>how does reduced final food demand affect market prices and thus the use of biomass in non-food activities?  </w:t>
      </w:r>
    </w:p>
    <w:p w14:paraId="49F6B3A7" w14:textId="77777777" w:rsidR="0038733E" w:rsidRPr="00013BDC" w:rsidRDefault="0038733E" w:rsidP="00CF0DFB">
      <w:pPr>
        <w:numPr>
          <w:ilvl w:val="0"/>
          <w:numId w:val="98"/>
        </w:numPr>
        <w:spacing w:after="0"/>
        <w:rPr>
          <w:rFonts w:eastAsiaTheme="minorEastAsia"/>
          <w:noProof/>
          <w:lang w:val="en-IE"/>
        </w:rPr>
      </w:pPr>
      <w:r w:rsidRPr="00013BDC">
        <w:rPr>
          <w:rFonts w:eastAsiaTheme="minorEastAsia"/>
          <w:b/>
          <w:noProof/>
          <w:lang w:val="en-IE"/>
        </w:rPr>
        <w:t xml:space="preserve">Processed food: </w:t>
      </w:r>
      <w:r w:rsidRPr="00013BDC">
        <w:rPr>
          <w:rFonts w:eastAsiaTheme="minorEastAsia"/>
          <w:noProof/>
          <w:lang w:val="en-IE"/>
        </w:rPr>
        <w:t>how is processed food production and consumption affected via changed input costs, how does this affect final demand? Diets? </w:t>
      </w:r>
    </w:p>
    <w:p w14:paraId="1856D7DA" w14:textId="77777777" w:rsidR="0038733E" w:rsidRPr="00013BDC" w:rsidRDefault="0038733E" w:rsidP="00CF0DFB">
      <w:pPr>
        <w:numPr>
          <w:ilvl w:val="0"/>
          <w:numId w:val="99"/>
        </w:numPr>
        <w:spacing w:after="0"/>
        <w:rPr>
          <w:rFonts w:eastAsiaTheme="minorEastAsia"/>
          <w:noProof/>
          <w:lang w:val="en-IE"/>
        </w:rPr>
      </w:pPr>
      <w:r w:rsidRPr="00013BDC">
        <w:rPr>
          <w:rFonts w:eastAsiaTheme="minorEastAsia"/>
          <w:b/>
          <w:noProof/>
          <w:lang w:val="en-IE"/>
        </w:rPr>
        <w:t>Cost:</w:t>
      </w:r>
      <w:r w:rsidRPr="00013BDC">
        <w:rPr>
          <w:rFonts w:eastAsiaTheme="minorEastAsia"/>
          <w:noProof/>
          <w:lang w:val="en-IE"/>
        </w:rPr>
        <w:t xml:space="preserve"> To correct for the externality of food loss and waste, what are the costs that must be internalised by the market? </w:t>
      </w:r>
    </w:p>
    <w:p w14:paraId="56A372ED" w14:textId="77777777" w:rsidR="0038733E" w:rsidRPr="00013BDC" w:rsidRDefault="0038733E" w:rsidP="00CF0DFB">
      <w:pPr>
        <w:numPr>
          <w:ilvl w:val="0"/>
          <w:numId w:val="99"/>
        </w:numPr>
        <w:spacing w:after="0"/>
        <w:rPr>
          <w:rFonts w:eastAsiaTheme="minorEastAsia"/>
          <w:noProof/>
          <w:lang w:val="en-IE"/>
        </w:rPr>
      </w:pPr>
      <w:r w:rsidRPr="00013BDC">
        <w:rPr>
          <w:rFonts w:eastAsiaTheme="minorEastAsia"/>
          <w:b/>
          <w:noProof/>
          <w:lang w:val="en-IE"/>
        </w:rPr>
        <w:t>Trade:</w:t>
      </w:r>
      <w:r w:rsidRPr="00013BDC">
        <w:rPr>
          <w:rFonts w:eastAsiaTheme="minorEastAsia"/>
          <w:noProof/>
          <w:lang w:val="en-IE"/>
        </w:rPr>
        <w:t xml:space="preserve"> What are the impacts on non-tradable virtual commodities (i.e., land and emissions) and resulting leakage effects? </w:t>
      </w:r>
    </w:p>
    <w:p w14:paraId="577CD8CB" w14:textId="77777777" w:rsidR="0038733E" w:rsidRPr="00013BDC" w:rsidRDefault="0038733E" w:rsidP="00CF0DFB">
      <w:pPr>
        <w:numPr>
          <w:ilvl w:val="0"/>
          <w:numId w:val="99"/>
        </w:numPr>
        <w:spacing w:after="0"/>
        <w:rPr>
          <w:rFonts w:eastAsiaTheme="minorEastAsia"/>
          <w:noProof/>
          <w:lang w:val="en-IE"/>
        </w:rPr>
      </w:pPr>
      <w:r w:rsidRPr="00013BDC">
        <w:rPr>
          <w:rFonts w:eastAsiaTheme="minorEastAsia"/>
          <w:b/>
          <w:noProof/>
          <w:lang w:val="en-IE"/>
        </w:rPr>
        <w:t xml:space="preserve">Labour: </w:t>
      </w:r>
      <w:r w:rsidRPr="00013BDC">
        <w:rPr>
          <w:rFonts w:eastAsiaTheme="minorEastAsia"/>
          <w:noProof/>
          <w:lang w:val="en-IE"/>
        </w:rPr>
        <w:t>what is the impact on employment in the agri-food sector, biobased industries? Are the impacts heterogeneous across EU MS? </w:t>
      </w:r>
    </w:p>
    <w:p w14:paraId="6B95D6C2" w14:textId="77777777" w:rsidR="0038733E" w:rsidRPr="00013BDC" w:rsidRDefault="0038733E" w:rsidP="00CF0DFB">
      <w:pPr>
        <w:numPr>
          <w:ilvl w:val="0"/>
          <w:numId w:val="99"/>
        </w:numPr>
        <w:spacing w:after="0"/>
        <w:rPr>
          <w:rFonts w:eastAsiaTheme="minorEastAsia"/>
          <w:noProof/>
          <w:lang w:val="en-IE"/>
        </w:rPr>
      </w:pPr>
      <w:r w:rsidRPr="00013BDC">
        <w:rPr>
          <w:rFonts w:eastAsiaTheme="minorEastAsia"/>
          <w:b/>
          <w:noProof/>
          <w:lang w:val="en-IE"/>
        </w:rPr>
        <w:t xml:space="preserve">Farm2fork: </w:t>
      </w:r>
      <w:r w:rsidRPr="00013BDC">
        <w:rPr>
          <w:rFonts w:eastAsiaTheme="minorEastAsia"/>
          <w:noProof/>
          <w:lang w:val="en-IE"/>
        </w:rPr>
        <w:t>dietary change, food waste reductions, less fertilizer use etc… how do these policies affect each other?  </w:t>
      </w:r>
    </w:p>
    <w:p w14:paraId="6E5CC9B5" w14:textId="77777777" w:rsidR="0038733E" w:rsidRPr="00013BDC" w:rsidRDefault="0038733E" w:rsidP="00CF0DFB">
      <w:pPr>
        <w:numPr>
          <w:ilvl w:val="0"/>
          <w:numId w:val="99"/>
        </w:numPr>
        <w:spacing w:after="120"/>
        <w:rPr>
          <w:rFonts w:eastAsiaTheme="minorEastAsia"/>
          <w:noProof/>
          <w:lang w:val="en-IE"/>
        </w:rPr>
      </w:pPr>
      <w:r w:rsidRPr="00013BDC">
        <w:rPr>
          <w:rFonts w:eastAsiaTheme="minorEastAsia"/>
          <w:b/>
          <w:noProof/>
          <w:lang w:val="en-IE"/>
        </w:rPr>
        <w:t>(Economic) development:</w:t>
      </w:r>
      <w:r w:rsidRPr="00013BDC">
        <w:rPr>
          <w:rFonts w:eastAsiaTheme="minorEastAsia"/>
          <w:noProof/>
          <w:lang w:val="en-IE"/>
        </w:rPr>
        <w:t xml:space="preserve"> how do different development pathways impact on the outcome (e.g., recovery from COVID, increased green investments)? </w:t>
      </w:r>
    </w:p>
    <w:p w14:paraId="78B3210F" w14:textId="5F3B49C9" w:rsidR="0038733E" w:rsidRPr="00013BDC" w:rsidRDefault="0038733E" w:rsidP="00766476">
      <w:pPr>
        <w:rPr>
          <w:rFonts w:eastAsiaTheme="minorEastAsia"/>
          <w:noProof/>
          <w:lang w:val="en-IE"/>
        </w:rPr>
      </w:pPr>
      <w:r w:rsidRPr="00013BDC">
        <w:rPr>
          <w:rFonts w:eastAsiaTheme="minorEastAsia"/>
          <w:noProof/>
          <w:lang w:val="en-IE"/>
        </w:rPr>
        <w:t>In previous work, the MAGNET model has been used to assess the impact of food waste and loss reductions (Boysen-Urban et al., 2022; Kuiper &amp; Cui, 2021; Philippidis et al., 2019) using a</w:t>
      </w:r>
      <w:r w:rsidR="00FC5751" w:rsidRPr="00013BDC">
        <w:rPr>
          <w:rFonts w:eastAsiaTheme="minorEastAsia"/>
          <w:noProof/>
          <w:lang w:val="en-IE"/>
        </w:rPr>
        <w:t>n</w:t>
      </w:r>
      <w:r w:rsidRPr="00013BDC">
        <w:rPr>
          <w:rFonts w:eastAsiaTheme="minorEastAsia"/>
          <w:noProof/>
          <w:lang w:val="en-IE"/>
        </w:rPr>
        <w:t xml:space="preserve"> approach</w:t>
      </w:r>
      <w:r w:rsidR="00FC5751" w:rsidRPr="00013BDC">
        <w:rPr>
          <w:rFonts w:eastAsiaTheme="minorEastAsia"/>
          <w:noProof/>
          <w:lang w:val="en-IE"/>
        </w:rPr>
        <w:t>, where</w:t>
      </w:r>
      <w:r w:rsidRPr="00013BDC">
        <w:rPr>
          <w:rFonts w:eastAsiaTheme="minorEastAsia"/>
          <w:noProof/>
          <w:lang w:val="en-IE"/>
        </w:rPr>
        <w:t xml:space="preserve"> the cost of internalising such an externality was not explicitly modelled. A key development of the current study is that it improves the depiction of food waste in the MAGNET modelling framework building on (Bartelings et al., 2021), whilst additional model code is inserted to accommodate the adjustment costs associated with food loss and waste reductions. The extensions are described in the following sections.</w:t>
      </w:r>
    </w:p>
    <w:p w14:paraId="5245CFDE" w14:textId="77777777" w:rsidR="004209B0" w:rsidRPr="00013BDC" w:rsidRDefault="004209B0" w:rsidP="00D428EE">
      <w:pPr>
        <w:pStyle w:val="Heading3"/>
        <w:tabs>
          <w:tab w:val="clear" w:pos="1920"/>
        </w:tabs>
        <w:spacing w:after="120"/>
        <w:ind w:left="720" w:firstLine="0"/>
        <w:rPr>
          <w:rFonts w:eastAsiaTheme="minorEastAsia"/>
          <w:i w:val="0"/>
          <w:iCs/>
          <w:noProof/>
          <w:lang w:val="en-IE"/>
        </w:rPr>
      </w:pPr>
      <w:bookmarkStart w:id="380" w:name="_Toc139032962"/>
      <w:r w:rsidRPr="00013BDC">
        <w:rPr>
          <w:rFonts w:eastAsiaTheme="minorEastAsia"/>
          <w:noProof/>
          <w:lang w:val="en-IE"/>
        </w:rPr>
        <w:t xml:space="preserve">Waste module set up in </w:t>
      </w:r>
      <w:r w:rsidRPr="00013BDC">
        <w:rPr>
          <w:rFonts w:eastAsiaTheme="minorEastAsia"/>
          <w:i w:val="0"/>
          <w:iCs/>
          <w:noProof/>
          <w:lang w:val="en-IE"/>
        </w:rPr>
        <w:t>MAGNET</w:t>
      </w:r>
      <w:bookmarkEnd w:id="380"/>
      <w:r w:rsidRPr="00013BDC">
        <w:rPr>
          <w:rFonts w:eastAsiaTheme="minorEastAsia"/>
          <w:i w:val="0"/>
          <w:iCs/>
          <w:noProof/>
          <w:lang w:val="en-IE"/>
        </w:rPr>
        <w:t> </w:t>
      </w:r>
    </w:p>
    <w:p w14:paraId="5B445B9A" w14:textId="1950A3F1" w:rsidR="0038733E" w:rsidRPr="00013BDC" w:rsidRDefault="0038733E" w:rsidP="0038733E">
      <w:pPr>
        <w:spacing w:after="120"/>
        <w:rPr>
          <w:rFonts w:eastAsiaTheme="minorEastAsia"/>
          <w:noProof/>
          <w:lang w:val="en-IE"/>
        </w:rPr>
      </w:pPr>
      <w:r w:rsidRPr="00013BDC">
        <w:rPr>
          <w:rFonts w:eastAsiaTheme="minorEastAsia"/>
          <w:noProof/>
          <w:lang w:val="en-IE"/>
        </w:rPr>
        <w:t xml:space="preserve">The waste module in MAGNET enables the model to account for waste streams, covering the entire cycle from generation of waste to collection, treatment and disposal (Bartelings et al., 2021). The MAGNET model therefore captures a degree of circularity. The model calculates waste as a product that is generated automatically through consumption of products. The private households generate waste in the process of consumption and demand waste collection services to collect the waste. Consumption of a commodity can generate one or more of the five types of waste – food waste, garden waste, paper waste, glass waste and other (unsorted combination) waste. </w:t>
      </w:r>
      <w:r w:rsidRPr="00013BDC">
        <w:rPr>
          <w:rFonts w:eastAsiaTheme="minorEastAsia"/>
          <w:b/>
          <w:noProof/>
          <w:lang w:val="en-IE"/>
        </w:rPr>
        <w:t xml:space="preserve">Figure </w:t>
      </w:r>
      <w:r w:rsidR="0003525E" w:rsidRPr="00013BDC">
        <w:rPr>
          <w:rFonts w:eastAsiaTheme="minorEastAsia"/>
          <w:b/>
          <w:noProof/>
          <w:lang w:val="en-IE"/>
        </w:rPr>
        <w:t>4</w:t>
      </w:r>
      <w:r w:rsidRPr="00013BDC">
        <w:rPr>
          <w:rFonts w:eastAsiaTheme="minorEastAsia"/>
          <w:noProof/>
          <w:lang w:val="en-IE"/>
        </w:rPr>
        <w:t xml:space="preserve"> offers an overview of the waste stream scheme in the model. Depending on the waste material generated, there are different options of collection and treatment. Three types of waste collection services exist: 1) collection of rest waste or grey waste (WCR), 2) collection of organic or green waste (WCG), 3) collection of glass and paper (WCGP). Food and garden waste is collected by either WCG or WCR services. Paper and glass waste is collected by WCGP or WCR services. WCR can collect all five kinds of waste, but other waste can only be collected by WCR and not the other two waste collection services.  </w:t>
      </w:r>
    </w:p>
    <w:p w14:paraId="1B05E24A" w14:textId="677CCA14" w:rsidR="00057238" w:rsidRPr="00013BDC" w:rsidRDefault="00057238" w:rsidP="00057238">
      <w:pPr>
        <w:pStyle w:val="Caption"/>
        <w:rPr>
          <w:noProof/>
          <w:color w:val="auto"/>
          <w:sz w:val="24"/>
          <w:szCs w:val="24"/>
          <w:lang w:val="en-IE"/>
        </w:rPr>
      </w:pPr>
      <w:bookmarkStart w:id="381" w:name="_Toc133229274"/>
      <w:bookmarkStart w:id="382" w:name="_Toc139033001"/>
      <w:r w:rsidRPr="00013BDC">
        <w:rPr>
          <w:noProof/>
          <w:color w:val="auto"/>
          <w:sz w:val="24"/>
          <w:szCs w:val="24"/>
          <w:lang w:val="en-IE"/>
        </w:rPr>
        <w:t xml:space="preserve">Figure </w:t>
      </w:r>
      <w:r w:rsidR="004C5576">
        <w:rPr>
          <w:noProof/>
          <w:color w:val="auto"/>
          <w:sz w:val="24"/>
          <w:szCs w:val="24"/>
          <w:lang w:val="en-IE"/>
        </w:rPr>
        <w:t>4</w:t>
      </w:r>
      <w:r w:rsidRPr="00013BDC">
        <w:rPr>
          <w:noProof/>
          <w:color w:val="auto"/>
          <w:sz w:val="24"/>
          <w:szCs w:val="24"/>
          <w:lang w:val="en-IE"/>
        </w:rPr>
        <w:t xml:space="preserve"> – Waste stream schematic as implemented in MAGNET</w:t>
      </w:r>
      <w:bookmarkEnd w:id="381"/>
      <w:bookmarkEnd w:id="382"/>
    </w:p>
    <w:p w14:paraId="687B089F" w14:textId="202AA2D6" w:rsidR="0038733E" w:rsidRPr="00013BDC" w:rsidRDefault="0038733E" w:rsidP="0038733E">
      <w:pPr>
        <w:spacing w:after="120"/>
        <w:rPr>
          <w:rFonts w:eastAsiaTheme="minorEastAsia"/>
          <w:noProof/>
          <w:lang w:val="en-IE"/>
        </w:rPr>
      </w:pPr>
      <w:r w:rsidRPr="00013BDC">
        <w:rPr>
          <w:noProof/>
          <w:color w:val="2B579A"/>
          <w:shd w:val="clear" w:color="auto" w:fill="E6E6E6"/>
          <w:lang w:eastAsia="en-GB"/>
        </w:rPr>
        <w:drawing>
          <wp:inline distT="0" distB="0" distL="0" distR="0" wp14:anchorId="277EA7FF" wp14:editId="484D9058">
            <wp:extent cx="5286375" cy="3228975"/>
            <wp:effectExtent l="0" t="0" r="9525" b="9525"/>
            <wp:docPr id="210007939" name="Picture 21000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07939"/>
                    <pic:cNvPicPr/>
                  </pic:nvPicPr>
                  <pic:blipFill>
                    <a:blip r:embed="rId65">
                      <a:extLst>
                        <a:ext uri="{28A0092B-C50C-407E-A947-70E740481C1C}">
                          <a14:useLocalDpi xmlns:a14="http://schemas.microsoft.com/office/drawing/2010/main" val="0"/>
                        </a:ext>
                      </a:extLst>
                    </a:blip>
                    <a:stretch>
                      <a:fillRect/>
                    </a:stretch>
                  </pic:blipFill>
                  <pic:spPr>
                    <a:xfrm>
                      <a:off x="0" y="0"/>
                      <a:ext cx="5286375" cy="3228975"/>
                    </a:xfrm>
                    <a:prstGeom prst="rect">
                      <a:avLst/>
                    </a:prstGeom>
                  </pic:spPr>
                </pic:pic>
              </a:graphicData>
            </a:graphic>
          </wp:inline>
        </w:drawing>
      </w:r>
      <w:r w:rsidRPr="00013BDC">
        <w:rPr>
          <w:rFonts w:eastAsiaTheme="minorEastAsia"/>
          <w:noProof/>
          <w:lang w:val="en-IE"/>
        </w:rPr>
        <w:t> </w:t>
      </w:r>
    </w:p>
    <w:p w14:paraId="1EB5A909" w14:textId="6316C19E" w:rsidR="00830770" w:rsidRPr="00013BDC" w:rsidRDefault="00830770" w:rsidP="00830770">
      <w:pPr>
        <w:pStyle w:val="JRCFiguresource"/>
        <w:rPr>
          <w:noProof/>
        </w:rPr>
      </w:pPr>
      <w:r w:rsidRPr="00013BDC">
        <w:rPr>
          <w:noProof/>
        </w:rPr>
        <w:t>Source: Bartelings et al., 2021</w:t>
      </w:r>
    </w:p>
    <w:p w14:paraId="10F8CDB7" w14:textId="136E3E4A" w:rsidR="00E974A2" w:rsidRPr="00013BDC" w:rsidRDefault="0038733E" w:rsidP="00E974A2">
      <w:pPr>
        <w:spacing w:after="120"/>
        <w:rPr>
          <w:rFonts w:eastAsiaTheme="minorEastAsia"/>
          <w:i/>
          <w:iCs/>
          <w:noProof/>
          <w:lang w:val="en-IE"/>
        </w:rPr>
      </w:pPr>
      <w:r w:rsidRPr="00013BDC">
        <w:rPr>
          <w:rFonts w:eastAsiaTheme="minorEastAsia"/>
          <w:noProof/>
          <w:lang w:val="en-IE"/>
        </w:rPr>
        <w:t>Waste collected by WCR is sent to final disposal delivered by two different sectors: landfills and incinerators. WCG waste collection is then sent to a composting sector which produces biomass to be used in the bio-fertilizer sector or in the second-generation bioeconomy sectors: bioenergy, 2nd generation biofuels or bio-based chemicals. The use of biomass in bioeconomy sectors substitutes for residuals and pellets. Finally, WCGP collection is sent to the recycling sector. Recycled paper and glass are then used in the paper and glass industry as a substitute for virgin materials. The incineration sector produces electricity using waste. Landfill is the only waste disposal option which does not provided any usable material or energy. </w:t>
      </w:r>
    </w:p>
    <w:p w14:paraId="55567A19" w14:textId="49A66EE3" w:rsidR="0038733E" w:rsidRPr="00013BDC" w:rsidRDefault="0038733E" w:rsidP="00D428EE">
      <w:pPr>
        <w:pStyle w:val="Heading3"/>
        <w:tabs>
          <w:tab w:val="clear" w:pos="1920"/>
        </w:tabs>
        <w:spacing w:after="120"/>
        <w:ind w:left="720" w:firstLine="0"/>
        <w:rPr>
          <w:rFonts w:eastAsiaTheme="minorEastAsia"/>
          <w:i w:val="0"/>
          <w:iCs/>
          <w:noProof/>
          <w:lang w:val="en-IE"/>
        </w:rPr>
      </w:pPr>
      <w:bookmarkStart w:id="383" w:name="_Toc139032963"/>
      <w:r w:rsidRPr="00013BDC">
        <w:rPr>
          <w:rFonts w:eastAsiaTheme="minorEastAsia"/>
          <w:noProof/>
          <w:lang w:val="en-IE"/>
        </w:rPr>
        <w:t>Extension of the waste module</w:t>
      </w:r>
      <w:bookmarkEnd w:id="383"/>
      <w:r w:rsidRPr="00013BDC">
        <w:rPr>
          <w:rFonts w:eastAsiaTheme="minorEastAsia"/>
          <w:noProof/>
          <w:lang w:val="en-IE"/>
        </w:rPr>
        <w:t> </w:t>
      </w:r>
    </w:p>
    <w:p w14:paraId="4474A047" w14:textId="6F00BFC0" w:rsidR="0038733E" w:rsidRPr="00013BDC" w:rsidRDefault="0038733E" w:rsidP="001B077A">
      <w:pPr>
        <w:rPr>
          <w:rFonts w:eastAsiaTheme="minorEastAsia"/>
          <w:noProof/>
          <w:lang w:val="en-IE"/>
        </w:rPr>
      </w:pPr>
      <w:r w:rsidRPr="00013BDC">
        <w:rPr>
          <w:rFonts w:eastAsiaTheme="minorEastAsia"/>
          <w:noProof/>
          <w:lang w:val="en-IE"/>
        </w:rPr>
        <w:t xml:space="preserve">Originally the waste module in MAGNET captured only municipal waste. For this study, the module has been extended to account for food waste generation along the full supply chain from primary production to processing, retail and consumption. Producer food waste is modeled in a similar way as household food waste. A waste margin commodity is added to the intermediate demand of certain food commodities. </w:t>
      </w:r>
      <w:r w:rsidRPr="00013BDC">
        <w:rPr>
          <w:rFonts w:eastAsiaTheme="minorEastAsia"/>
          <w:b/>
          <w:noProof/>
          <w:lang w:val="en-IE"/>
        </w:rPr>
        <w:t xml:space="preserve">Figure </w:t>
      </w:r>
      <w:r w:rsidR="0003525E" w:rsidRPr="00013BDC">
        <w:rPr>
          <w:rFonts w:eastAsiaTheme="minorEastAsia"/>
          <w:b/>
          <w:noProof/>
          <w:lang w:val="en-IE"/>
        </w:rPr>
        <w:t>5</w:t>
      </w:r>
      <w:r w:rsidRPr="00013BDC">
        <w:rPr>
          <w:rFonts w:eastAsiaTheme="minorEastAsia"/>
          <w:noProof/>
          <w:lang w:val="en-IE"/>
        </w:rPr>
        <w:t xml:space="preserve"> shows an overview of the new module, which is depicted on the left-hand side of the picture. Producers can now generate food waste and demand waste collection services. Like household food waste, they can demand either green waste collection or rest waste collection. If producer food waste is collected as green waste, the waste is sent to a composting unit and is composted. If it is collected as rest waste, it goes to final disposal: landfilling and incineration. </w:t>
      </w:r>
    </w:p>
    <w:p w14:paraId="60DD5103" w14:textId="7B8BCC28" w:rsidR="00C32870" w:rsidRPr="00013BDC" w:rsidRDefault="00C32870" w:rsidP="00C32870">
      <w:pPr>
        <w:pStyle w:val="Caption"/>
        <w:rPr>
          <w:noProof/>
          <w:color w:val="auto"/>
          <w:sz w:val="24"/>
          <w:szCs w:val="24"/>
          <w:lang w:val="en-IE"/>
        </w:rPr>
      </w:pPr>
      <w:bookmarkStart w:id="384" w:name="_Toc133229275"/>
      <w:bookmarkStart w:id="385" w:name="_Toc139033002"/>
      <w:r w:rsidRPr="00013BDC">
        <w:rPr>
          <w:noProof/>
          <w:color w:val="auto"/>
          <w:sz w:val="24"/>
          <w:szCs w:val="24"/>
          <w:lang w:val="en-IE"/>
        </w:rPr>
        <w:t xml:space="preserve">Figure </w:t>
      </w:r>
      <w:r w:rsidR="004C5576">
        <w:rPr>
          <w:noProof/>
          <w:color w:val="auto"/>
          <w:sz w:val="24"/>
          <w:szCs w:val="24"/>
          <w:lang w:val="en-IE"/>
        </w:rPr>
        <w:t>5</w:t>
      </w:r>
      <w:r w:rsidRPr="00013BDC">
        <w:rPr>
          <w:noProof/>
          <w:color w:val="auto"/>
          <w:sz w:val="24"/>
          <w:szCs w:val="24"/>
          <w:lang w:val="en-IE"/>
        </w:rPr>
        <w:t xml:space="preserve"> – The new waste stream schematic including food waste producers</w:t>
      </w:r>
      <w:bookmarkEnd w:id="384"/>
      <w:bookmarkEnd w:id="385"/>
    </w:p>
    <w:p w14:paraId="4935AAD2" w14:textId="31D7EB5E" w:rsidR="0038733E" w:rsidRPr="00013BDC" w:rsidRDefault="0038733E" w:rsidP="0038733E">
      <w:pPr>
        <w:spacing w:after="120"/>
        <w:rPr>
          <w:rFonts w:eastAsiaTheme="minorEastAsia"/>
          <w:noProof/>
          <w:lang w:val="en-IE"/>
        </w:rPr>
      </w:pPr>
      <w:r w:rsidRPr="00013BDC">
        <w:rPr>
          <w:rFonts w:eastAsiaTheme="minorEastAsia"/>
          <w:noProof/>
          <w:color w:val="2B579A"/>
          <w:shd w:val="clear" w:color="auto" w:fill="E6E6E6"/>
          <w:lang w:eastAsia="en-GB"/>
        </w:rPr>
        <w:drawing>
          <wp:inline distT="0" distB="0" distL="0" distR="0" wp14:anchorId="40FFB3C2" wp14:editId="112BD5AF">
            <wp:extent cx="5469507" cy="2404793"/>
            <wp:effectExtent l="0" t="0" r="0" b="0"/>
            <wp:docPr id="210007938" name="Picture 21000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66">
                      <a:extLst>
                        <a:ext uri="{28A0092B-C50C-407E-A947-70E740481C1C}">
                          <a14:useLocalDpi xmlns:a14="http://schemas.microsoft.com/office/drawing/2010/main" val="0"/>
                        </a:ext>
                      </a:extLst>
                    </a:blip>
                    <a:srcRect l="2009" t="1762"/>
                    <a:stretch/>
                  </pic:blipFill>
                  <pic:spPr bwMode="auto">
                    <a:xfrm>
                      <a:off x="0" y="0"/>
                      <a:ext cx="5469507" cy="2404793"/>
                    </a:xfrm>
                    <a:prstGeom prst="rect">
                      <a:avLst/>
                    </a:prstGeom>
                    <a:noFill/>
                    <a:ln>
                      <a:noFill/>
                    </a:ln>
                    <a:extLst>
                      <a:ext uri="{53640926-AAD7-44D8-BBD7-CCE9431645EC}">
                        <a14:shadowObscured xmlns:a14="http://schemas.microsoft.com/office/drawing/2010/main"/>
                      </a:ext>
                    </a:extLst>
                  </pic:spPr>
                </pic:pic>
              </a:graphicData>
            </a:graphic>
          </wp:inline>
        </w:drawing>
      </w:r>
      <w:r w:rsidRPr="00013BDC">
        <w:rPr>
          <w:rFonts w:eastAsiaTheme="minorEastAsia"/>
          <w:noProof/>
          <w:lang w:val="en-IE"/>
        </w:rPr>
        <w:t> </w:t>
      </w:r>
    </w:p>
    <w:p w14:paraId="7E229404" w14:textId="2CAF7538" w:rsidR="00830770" w:rsidRPr="00013BDC" w:rsidRDefault="00830770" w:rsidP="00830770">
      <w:pPr>
        <w:pStyle w:val="JRCFiguresource"/>
        <w:rPr>
          <w:noProof/>
        </w:rPr>
      </w:pPr>
      <w:r w:rsidRPr="00013BDC">
        <w:rPr>
          <w:noProof/>
        </w:rPr>
        <w:t>Source: Bartelings et al., 2021</w:t>
      </w:r>
    </w:p>
    <w:p w14:paraId="7C94B7D3" w14:textId="52D36F51" w:rsidR="0038733E" w:rsidRPr="00013BDC" w:rsidRDefault="0038733E" w:rsidP="00286B8D">
      <w:pPr>
        <w:rPr>
          <w:rFonts w:eastAsiaTheme="minorEastAsia"/>
          <w:noProof/>
          <w:lang w:val="en-IE"/>
        </w:rPr>
      </w:pPr>
      <w:r w:rsidRPr="00013BDC">
        <w:rPr>
          <w:rFonts w:eastAsiaTheme="minorEastAsia"/>
          <w:noProof/>
          <w:lang w:val="en-IE"/>
        </w:rPr>
        <w:t>Like for the household waste, production of producer food waste is modelled as a margin commodity. Hence, a link between consumption of goods that generate waste and type of waste that is generated/collected/treated is introduced as a margin commodity in the model – meaning if a household consumes a good, it will also need to demand some waste collection services. With the extension to the waste module, the consumer price for a commodity includes now both the price for the original commodity and the price of collecting waste generated as a result of consumption of said commodity. In this way, the new commodity can be seen as a composite bundle of the original commodity and waste collection services required to collect waste associated with the consumption of that commodity. In addition, a waste margin commodity is also added to the intermediate demand of certain food commodities.</w:t>
      </w:r>
    </w:p>
    <w:p w14:paraId="705D0373" w14:textId="77777777" w:rsidR="0038733E" w:rsidRPr="00013BDC" w:rsidRDefault="0038733E" w:rsidP="009C620D">
      <w:pPr>
        <w:pStyle w:val="Heading3"/>
        <w:tabs>
          <w:tab w:val="clear" w:pos="1920"/>
        </w:tabs>
        <w:spacing w:after="120"/>
        <w:ind w:left="720" w:firstLine="0"/>
        <w:rPr>
          <w:rFonts w:eastAsiaTheme="minorEastAsia"/>
          <w:i w:val="0"/>
          <w:iCs/>
          <w:noProof/>
          <w:lang w:val="en-IE"/>
        </w:rPr>
      </w:pPr>
      <w:bookmarkStart w:id="386" w:name="_Toc139032964"/>
      <w:r w:rsidRPr="00013BDC">
        <w:rPr>
          <w:rFonts w:eastAsiaTheme="minorEastAsia"/>
          <w:noProof/>
          <w:lang w:val="en-IE"/>
        </w:rPr>
        <w:t xml:space="preserve">Modelling changes in waste </w:t>
      </w:r>
      <w:r w:rsidRPr="00013BDC">
        <w:rPr>
          <w:rFonts w:eastAsiaTheme="minorEastAsia"/>
          <w:i w:val="0"/>
          <w:iCs/>
          <w:noProof/>
          <w:lang w:val="en-IE"/>
        </w:rPr>
        <w:t>quantities</w:t>
      </w:r>
      <w:bookmarkEnd w:id="386"/>
      <w:r w:rsidRPr="00013BDC">
        <w:rPr>
          <w:rFonts w:eastAsiaTheme="minorEastAsia"/>
          <w:i w:val="0"/>
          <w:iCs/>
          <w:noProof/>
          <w:lang w:val="en-IE"/>
        </w:rPr>
        <w:t> </w:t>
      </w:r>
    </w:p>
    <w:p w14:paraId="3B5A3EE6" w14:textId="77777777" w:rsidR="0038733E" w:rsidRPr="00013BDC" w:rsidRDefault="0038733E" w:rsidP="0038733E">
      <w:pPr>
        <w:spacing w:after="120"/>
        <w:rPr>
          <w:rFonts w:eastAsiaTheme="minorEastAsia"/>
          <w:noProof/>
          <w:lang w:val="en-IE"/>
        </w:rPr>
      </w:pPr>
      <w:r w:rsidRPr="00013BDC">
        <w:rPr>
          <w:rFonts w:eastAsiaTheme="minorEastAsia"/>
          <w:noProof/>
          <w:lang w:val="en-IE"/>
        </w:rPr>
        <w:t>In MAGNET, households and industries are assumed to generate waste in relation to the changes in demand for the commodity upon which the waste flows are based. More specifically, there is a price substitutability between the purchase of commodity ‘c’ and the waste flows that accrue upon that transaction. There are two effects that need to be considered when modelling changes in waste quantities, namely, the “price effect” and the “quantity effect”.  </w:t>
      </w:r>
    </w:p>
    <w:p w14:paraId="102BDB98" w14:textId="77777777" w:rsidR="0038733E" w:rsidRPr="00013BDC" w:rsidRDefault="0038733E" w:rsidP="0038733E">
      <w:pPr>
        <w:spacing w:after="120"/>
        <w:rPr>
          <w:rFonts w:eastAsiaTheme="minorEastAsia"/>
          <w:noProof/>
          <w:lang w:val="en-IE"/>
        </w:rPr>
      </w:pPr>
      <w:r w:rsidRPr="00013BDC">
        <w:rPr>
          <w:rFonts w:eastAsiaTheme="minorEastAsia"/>
          <w:noProof/>
          <w:lang w:val="en-IE"/>
        </w:rPr>
        <w:t>Examining the price effect, the logic is that if the unit cost of generating waste on purchases of (food) commodity ‘c’ rises relative to the price of (food) commodity ‘c’, then by only focusing on relative price changes, the waste rate will fall as more commodities will be purchased and less waste will be generated.  </w:t>
      </w:r>
    </w:p>
    <w:p w14:paraId="7D94081E" w14:textId="77777777" w:rsidR="0038733E" w:rsidRPr="00013BDC" w:rsidRDefault="0038733E" w:rsidP="0038733E">
      <w:pPr>
        <w:spacing w:after="120"/>
        <w:rPr>
          <w:rFonts w:eastAsiaTheme="minorEastAsia"/>
          <w:noProof/>
          <w:lang w:val="en-IE"/>
        </w:rPr>
      </w:pPr>
      <w:r w:rsidRPr="00013BDC">
        <w:rPr>
          <w:rFonts w:eastAsiaTheme="minorEastAsia"/>
          <w:noProof/>
          <w:lang w:val="en-IE"/>
        </w:rPr>
        <w:t>In addition, however, it is logical to assume that if (food) waste generation is falling, there is a degree of complementarity (i.e., ‘quantity effect’) such that less of the (food) commodity will be demanded in concert with less waste, since some of the original waste is virtually recovered for human consumption.  </w:t>
      </w:r>
    </w:p>
    <w:p w14:paraId="3308660E" w14:textId="77777777" w:rsidR="0038733E" w:rsidRPr="00013BDC" w:rsidRDefault="0038733E" w:rsidP="0038733E">
      <w:pPr>
        <w:spacing w:after="120"/>
        <w:rPr>
          <w:rFonts w:eastAsiaTheme="minorEastAsia"/>
          <w:noProof/>
          <w:lang w:val="en-IE"/>
        </w:rPr>
      </w:pPr>
      <w:r w:rsidRPr="00013BDC">
        <w:rPr>
          <w:rFonts w:eastAsiaTheme="minorEastAsia"/>
          <w:noProof/>
          <w:lang w:val="en-IE"/>
        </w:rPr>
        <w:t>In order to avoid overly strong ‘price’ effects (i.e., rising demands for commodity ‘c’ when the waste generated falls), the sensitivity of this price substitutability (i.e., elasticity) must be small. The result is that the quantity effect will dominate the price effect. </w:t>
      </w:r>
    </w:p>
    <w:p w14:paraId="643FE400" w14:textId="77777777" w:rsidR="0038733E" w:rsidRPr="00013BDC" w:rsidRDefault="0038733E" w:rsidP="0038733E">
      <w:pPr>
        <w:spacing w:after="120"/>
        <w:rPr>
          <w:rFonts w:eastAsiaTheme="minorEastAsia"/>
          <w:noProof/>
          <w:lang w:val="en-IE"/>
        </w:rPr>
      </w:pPr>
      <w:r w:rsidRPr="00013BDC">
        <w:rPr>
          <w:rFonts w:eastAsiaTheme="minorEastAsia"/>
          <w:noProof/>
          <w:lang w:val="en-IE"/>
        </w:rPr>
        <w:t>Further considerations are, however, necessary. In modelling the reductions in waste quantities, one assumes that agents are rational to the point that waste generation in production accompanies the lowest cost production technologies. In a similar vein, waste generation in consumption (at least in western societies) is a by-product of the most convenient lifestyle choices of consumers. These are considered as market externalities as the full cost of this behaviour is not internalised by the market. </w:t>
      </w:r>
    </w:p>
    <w:p w14:paraId="021AC7B2" w14:textId="77777777" w:rsidR="0038733E" w:rsidRPr="00013BDC" w:rsidRDefault="0038733E" w:rsidP="0038733E">
      <w:pPr>
        <w:spacing w:after="120"/>
        <w:rPr>
          <w:rFonts w:eastAsiaTheme="minorEastAsia"/>
          <w:noProof/>
          <w:lang w:val="en-IE"/>
        </w:rPr>
      </w:pPr>
      <w:r w:rsidRPr="00013BDC">
        <w:rPr>
          <w:rFonts w:eastAsiaTheme="minorEastAsia"/>
          <w:noProof/>
          <w:lang w:val="en-IE"/>
        </w:rPr>
        <w:t>Any attempt to move away from these ‘optimum’ points is therefore assumed to be accompanied by a cost, either apportioned to the producer in terms of an adjustment to the production technology, or to the consumer in terms of ‘inconvenience’ or the so-called ‘labour-leisure’ trade-off (lost time preparing food more carefully, more trips to the supermarket etc.). Thus, for a realistic treatment of food loss and waste reductions, the maintained hypothesis is that it should be modelled with an accompanying cost to the responsible agent.  </w:t>
      </w:r>
    </w:p>
    <w:p w14:paraId="586B9629" w14:textId="77777777" w:rsidR="0038733E" w:rsidRPr="00013BDC" w:rsidRDefault="0038733E" w:rsidP="0038733E">
      <w:pPr>
        <w:spacing w:after="120"/>
        <w:rPr>
          <w:rFonts w:eastAsiaTheme="minorEastAsia"/>
          <w:noProof/>
          <w:lang w:val="en-IE"/>
        </w:rPr>
      </w:pPr>
      <w:r w:rsidRPr="00013BDC">
        <w:rPr>
          <w:rFonts w:eastAsiaTheme="minorEastAsia"/>
          <w:noProof/>
          <w:lang w:val="en-IE"/>
        </w:rPr>
        <w:t>In this study, these added costs are characterised by employing taxes. Thus, by inserting pre-tax and post-tax price variables on residential (i.e., household and food services) and industrial (i.e., post harvest, processing, retail and distribution) waste generation demands, tax variables can be used as a policy instrument to target predetermined household, foods service, primary, processed and retail food waste reductions. This approach also implies that price effects must play a role in helping to target waste quantity reductions, which means that some price sensitivity (i.e., non-zero elasticity) must be included in the waste generation functions. The resulting rise in post-tax prices will encourage a reduction in the behaviour of generating waste on commodity ‘c’ relative to the demand of commodity ‘c’.  </w:t>
      </w:r>
    </w:p>
    <w:p w14:paraId="068FC5C3" w14:textId="6EE0EB09" w:rsidR="0038733E" w:rsidRPr="00013BDC" w:rsidRDefault="0038733E" w:rsidP="00C16A27">
      <w:pPr>
        <w:rPr>
          <w:rFonts w:eastAsiaTheme="minorEastAsia"/>
          <w:noProof/>
          <w:lang w:val="en-IE"/>
        </w:rPr>
      </w:pPr>
      <w:r w:rsidRPr="00013BDC">
        <w:rPr>
          <w:rFonts w:eastAsiaTheme="minorEastAsia"/>
          <w:noProof/>
          <w:lang w:val="en-IE"/>
        </w:rPr>
        <w:t>The shocks on waste reductions are not enough in order to produce accompanying consistent reductions in demands for commodity ‘c’. This is because of the strong price substitution effects discussed above, between rising waste costs and purchases of commodity ‘c’. As a result, further shocks are imposed as associated exogenous reductions in household final demand. The magnitude of these private household demand reductions by commodity ‘c’ are calculated employing secondary data on total household consumption quantities by commodities and their associated waste quantities.</w:t>
      </w:r>
    </w:p>
    <w:p w14:paraId="54A272D3" w14:textId="77777777" w:rsidR="0038733E" w:rsidRPr="00013BDC" w:rsidRDefault="0038733E" w:rsidP="00E86C17">
      <w:pPr>
        <w:pStyle w:val="Heading3"/>
        <w:tabs>
          <w:tab w:val="clear" w:pos="1920"/>
        </w:tabs>
        <w:spacing w:after="120"/>
        <w:ind w:left="720" w:firstLine="0"/>
        <w:rPr>
          <w:rFonts w:eastAsiaTheme="minorEastAsia"/>
          <w:i w:val="0"/>
          <w:iCs/>
          <w:noProof/>
          <w:lang w:val="en-IE"/>
        </w:rPr>
      </w:pPr>
      <w:bookmarkStart w:id="387" w:name="_Toc139032965"/>
      <w:r w:rsidRPr="00013BDC">
        <w:rPr>
          <w:rFonts w:eastAsiaTheme="minorEastAsia"/>
          <w:noProof/>
          <w:lang w:val="en-IE"/>
        </w:rPr>
        <w:t>MAGNET indicator framework</w:t>
      </w:r>
      <w:bookmarkEnd w:id="387"/>
      <w:r w:rsidRPr="00013BDC">
        <w:rPr>
          <w:rFonts w:eastAsiaTheme="minorEastAsia"/>
          <w:noProof/>
          <w:lang w:val="en-IE"/>
        </w:rPr>
        <w:t> </w:t>
      </w:r>
    </w:p>
    <w:p w14:paraId="771BF033" w14:textId="77777777" w:rsidR="0038733E" w:rsidRPr="00013BDC" w:rsidRDefault="0038733E" w:rsidP="0038733E">
      <w:pPr>
        <w:spacing w:after="120"/>
        <w:rPr>
          <w:rFonts w:eastAsiaTheme="minorEastAsia"/>
          <w:noProof/>
          <w:lang w:val="en-IE"/>
        </w:rPr>
      </w:pPr>
      <w:r w:rsidRPr="00013BDC">
        <w:rPr>
          <w:rFonts w:eastAsiaTheme="minorEastAsia"/>
          <w:noProof/>
          <w:lang w:val="en-IE"/>
        </w:rPr>
        <w:t>According to the focus of the study on achieving the SDG target 12.3, one feature of the envisaged approach is to evaluate the effects with a focus on multiple indicators across the SDG dimensions. While some indicators are calculated in MAGNET as in the SDG framework, most of the indicators are not matching the official SDGs listings, but rather are a series of model outputs that are indicative of the spirit of each of the SDG dimensions. For example, to enable the tracing of food consumption and production on environmental impacts such as land use and emissions, the CGE model is extended by a module that calculates footprints such as the average per capita per year land use related to household food consumption or the food production. This module allows the tracking of non-tradable virtual commodities (land, water, emissions) along the food supply chain associated with household food consumption and food production (Philippidis et al., 2021). </w:t>
      </w:r>
    </w:p>
    <w:p w14:paraId="41AF07C2" w14:textId="3490D877" w:rsidR="00C203D9" w:rsidRPr="00013BDC" w:rsidRDefault="00070C31" w:rsidP="0038733E">
      <w:pPr>
        <w:spacing w:after="120"/>
        <w:rPr>
          <w:rFonts w:eastAsiaTheme="minorEastAsia"/>
          <w:b/>
          <w:noProof/>
          <w:lang w:val="en-IE"/>
        </w:rPr>
      </w:pPr>
      <w:r w:rsidRPr="00013BDC">
        <w:rPr>
          <w:rFonts w:eastAsiaTheme="minorEastAsia"/>
          <w:b/>
          <w:noProof/>
          <w:lang w:val="en-IE"/>
        </w:rPr>
        <w:fldChar w:fldCharType="begin"/>
      </w:r>
      <w:r w:rsidRPr="00013BDC">
        <w:rPr>
          <w:rFonts w:eastAsiaTheme="minorEastAsia"/>
          <w:noProof/>
          <w:lang w:val="en-IE"/>
        </w:rPr>
        <w:instrText xml:space="preserve"> REF _Ref133489759 \h </w:instrText>
      </w:r>
      <w:r w:rsidR="00013BDC">
        <w:rPr>
          <w:rFonts w:eastAsiaTheme="minorEastAsia"/>
          <w:b/>
          <w:noProof/>
          <w:lang w:val="en-IE"/>
        </w:rPr>
        <w:instrText xml:space="preserve"> \* MERGEFORMAT </w:instrText>
      </w:r>
      <w:r w:rsidRPr="00013BDC">
        <w:rPr>
          <w:rFonts w:eastAsiaTheme="minorEastAsia"/>
          <w:b/>
          <w:noProof/>
          <w:lang w:val="en-IE"/>
        </w:rPr>
      </w:r>
      <w:r w:rsidRPr="00013BDC">
        <w:rPr>
          <w:rFonts w:eastAsiaTheme="minorEastAsia"/>
          <w:b/>
          <w:noProof/>
          <w:lang w:val="en-IE"/>
        </w:rPr>
        <w:fldChar w:fldCharType="separate"/>
      </w:r>
      <w:r w:rsidR="004C5576" w:rsidRPr="00013BDC">
        <w:rPr>
          <w:noProof/>
          <w:lang w:val="en-IE"/>
        </w:rPr>
        <w:t xml:space="preserve">Figure </w:t>
      </w:r>
      <w:r w:rsidR="004C5576">
        <w:rPr>
          <w:noProof/>
          <w:lang w:val="en-IE"/>
        </w:rPr>
        <w:t>6</w:t>
      </w:r>
      <w:r w:rsidRPr="00013BDC">
        <w:rPr>
          <w:rFonts w:eastAsiaTheme="minorEastAsia"/>
          <w:b/>
          <w:noProof/>
          <w:lang w:val="en-IE"/>
        </w:rPr>
        <w:fldChar w:fldCharType="end"/>
      </w:r>
      <w:r w:rsidR="00EF0BE1" w:rsidRPr="00013BDC">
        <w:rPr>
          <w:rFonts w:eastAsiaTheme="minorEastAsia"/>
          <w:b/>
          <w:noProof/>
          <w:lang w:val="en-IE"/>
        </w:rPr>
        <w:t xml:space="preserve"> </w:t>
      </w:r>
      <w:r w:rsidR="00EF0BE1" w:rsidRPr="00013BDC">
        <w:rPr>
          <w:rFonts w:eastAsiaTheme="minorEastAsia"/>
          <w:noProof/>
          <w:lang w:val="en-IE"/>
        </w:rPr>
        <w:t>summarizes the general modelling approach that is used to first set-up a baseline and then to assess the impact of different scenarios on multiple SDG indicators covering economic, social and environmental impacts as well as using footprint measures</w:t>
      </w:r>
    </w:p>
    <w:p w14:paraId="3785F19B" w14:textId="0012830E" w:rsidR="00C32870" w:rsidRPr="00013BDC" w:rsidRDefault="00C32870" w:rsidP="00C32870">
      <w:pPr>
        <w:pStyle w:val="Caption"/>
        <w:rPr>
          <w:noProof/>
          <w:color w:val="auto"/>
          <w:sz w:val="24"/>
          <w:szCs w:val="24"/>
          <w:lang w:val="en-IE"/>
        </w:rPr>
      </w:pPr>
      <w:bookmarkStart w:id="388" w:name="_Ref133489759"/>
      <w:bookmarkStart w:id="389" w:name="_Toc133229276"/>
      <w:bookmarkStart w:id="390" w:name="_Toc139033003"/>
      <w:r w:rsidRPr="00013BDC">
        <w:rPr>
          <w:noProof/>
          <w:color w:val="auto"/>
          <w:sz w:val="24"/>
          <w:szCs w:val="24"/>
          <w:lang w:val="en-IE"/>
        </w:rPr>
        <w:t xml:space="preserve">Figure </w:t>
      </w:r>
      <w:r w:rsidR="004C5576">
        <w:rPr>
          <w:noProof/>
          <w:color w:val="auto"/>
          <w:sz w:val="24"/>
          <w:szCs w:val="24"/>
          <w:lang w:val="en-IE"/>
        </w:rPr>
        <w:t>6</w:t>
      </w:r>
      <w:bookmarkEnd w:id="388"/>
      <w:r w:rsidRPr="00013BDC">
        <w:rPr>
          <w:noProof/>
          <w:color w:val="auto"/>
          <w:sz w:val="24"/>
          <w:szCs w:val="24"/>
          <w:lang w:val="en-IE"/>
        </w:rPr>
        <w:t xml:space="preserve"> – Overview of the modelling approach</w:t>
      </w:r>
      <w:bookmarkEnd w:id="389"/>
      <w:bookmarkEnd w:id="390"/>
      <w:r w:rsidRPr="00013BDC">
        <w:rPr>
          <w:noProof/>
          <w:color w:val="auto"/>
          <w:sz w:val="24"/>
          <w:szCs w:val="24"/>
          <w:lang w:val="en-IE"/>
        </w:rPr>
        <w:t xml:space="preserve">  </w:t>
      </w:r>
    </w:p>
    <w:p w14:paraId="5E670989" w14:textId="25BFAA17" w:rsidR="00091389" w:rsidRPr="00013BDC" w:rsidRDefault="00091389">
      <w:pPr>
        <w:rPr>
          <w:noProof/>
          <w:lang w:val="en-IE"/>
        </w:rPr>
      </w:pPr>
      <w:r w:rsidRPr="00013BDC">
        <w:rPr>
          <w:noProof/>
          <w:lang w:eastAsia="en-GB"/>
        </w:rPr>
        <w:drawing>
          <wp:inline distT="0" distB="0" distL="0" distR="0" wp14:anchorId="44ED06ED" wp14:editId="52E168BA">
            <wp:extent cx="6103620" cy="52876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03620" cy="5287645"/>
                    </a:xfrm>
                    <a:prstGeom prst="rect">
                      <a:avLst/>
                    </a:prstGeom>
                  </pic:spPr>
                </pic:pic>
              </a:graphicData>
            </a:graphic>
          </wp:inline>
        </w:drawing>
      </w:r>
    </w:p>
    <w:p w14:paraId="508B4FBC" w14:textId="288D0E52" w:rsidR="0038733E" w:rsidRPr="00013BDC" w:rsidRDefault="0038733E" w:rsidP="00C32870">
      <w:pPr>
        <w:jc w:val="center"/>
        <w:rPr>
          <w:rFonts w:eastAsiaTheme="minorEastAsia"/>
          <w:noProof/>
          <w:sz w:val="22"/>
          <w:szCs w:val="22"/>
          <w:lang w:val="en-IE"/>
        </w:rPr>
      </w:pPr>
      <w:r w:rsidRPr="00013BDC">
        <w:rPr>
          <w:rFonts w:eastAsiaTheme="minorEastAsia"/>
          <w:noProof/>
          <w:sz w:val="22"/>
          <w:szCs w:val="22"/>
          <w:lang w:val="en-IE"/>
        </w:rPr>
        <w:t>Source: Based on Boysen-Urban et al., 2022</w:t>
      </w:r>
    </w:p>
    <w:p w14:paraId="0B7EBA30" w14:textId="45BC272B" w:rsidR="0038733E" w:rsidRPr="00013BDC" w:rsidRDefault="00F64258" w:rsidP="00F64258">
      <w:pPr>
        <w:pStyle w:val="Heading3"/>
        <w:rPr>
          <w:rFonts w:eastAsiaTheme="minorEastAsia"/>
          <w:noProof/>
          <w:lang w:val="en-IE"/>
        </w:rPr>
      </w:pPr>
      <w:bookmarkStart w:id="391" w:name="_Toc1228697844"/>
      <w:bookmarkStart w:id="392" w:name="_Toc1766519556"/>
      <w:bookmarkStart w:id="393" w:name="_Toc726876219"/>
      <w:bookmarkStart w:id="394" w:name="_Toc43397886"/>
      <w:bookmarkStart w:id="395" w:name="_Toc1434160310"/>
      <w:bookmarkStart w:id="396" w:name="_Toc1809475860"/>
      <w:bookmarkStart w:id="397" w:name="_Toc555850175"/>
      <w:bookmarkStart w:id="398" w:name="_Toc713041978"/>
      <w:bookmarkStart w:id="399" w:name="_Toc139032966"/>
      <w:r w:rsidRPr="00F64258">
        <w:rPr>
          <w:rFonts w:eastAsiaTheme="minorEastAsia"/>
        </w:rPr>
        <w:t>2.1.4</w:t>
      </w:r>
      <w:r w:rsidRPr="00F64258">
        <w:rPr>
          <w:rFonts w:eastAsiaTheme="minorEastAsia"/>
        </w:rPr>
        <w:tab/>
      </w:r>
      <w:r w:rsidR="0038733E" w:rsidRPr="00013BDC">
        <w:rPr>
          <w:rFonts w:eastAsiaTheme="minorEastAsia"/>
          <w:noProof/>
          <w:lang w:val="en-IE"/>
        </w:rPr>
        <w:t>Database and model aggregation</w:t>
      </w:r>
      <w:bookmarkEnd w:id="391"/>
      <w:bookmarkEnd w:id="392"/>
      <w:bookmarkEnd w:id="393"/>
      <w:bookmarkEnd w:id="394"/>
      <w:bookmarkEnd w:id="395"/>
      <w:bookmarkEnd w:id="396"/>
      <w:bookmarkEnd w:id="397"/>
      <w:bookmarkEnd w:id="398"/>
      <w:bookmarkEnd w:id="399"/>
      <w:r w:rsidR="0038733E" w:rsidRPr="00013BDC">
        <w:rPr>
          <w:rFonts w:eastAsiaTheme="minorEastAsia"/>
          <w:noProof/>
          <w:lang w:val="en-IE"/>
        </w:rPr>
        <w:t> </w:t>
      </w:r>
    </w:p>
    <w:p w14:paraId="17B98394" w14:textId="77777777" w:rsidR="0038733E" w:rsidRPr="00013BDC" w:rsidRDefault="0038733E" w:rsidP="0038733E">
      <w:pPr>
        <w:spacing w:after="120"/>
        <w:rPr>
          <w:rFonts w:eastAsiaTheme="minorEastAsia"/>
          <w:noProof/>
          <w:lang w:val="en-IE"/>
        </w:rPr>
      </w:pPr>
      <w:r w:rsidRPr="00013BDC">
        <w:rPr>
          <w:rFonts w:eastAsiaTheme="minorEastAsia"/>
          <w:noProof/>
          <w:lang w:val="en-IE"/>
        </w:rPr>
        <w:t>The main data source for this impact assessment is version 10 of the GTAP database, with reference year 2014 (Aguiar, Chepeliev, et al., 2019). The GTAP database covers 141 countries and regions and 65 tradable sectors. </w:t>
      </w:r>
    </w:p>
    <w:p w14:paraId="42F98AD3" w14:textId="03F6D7F6" w:rsidR="0038733E" w:rsidRPr="00013BDC" w:rsidRDefault="0038733E" w:rsidP="0038733E">
      <w:pPr>
        <w:spacing w:after="120"/>
        <w:rPr>
          <w:rFonts w:eastAsiaTheme="minorEastAsia"/>
          <w:noProof/>
          <w:lang w:val="en-IE"/>
        </w:rPr>
      </w:pPr>
      <w:r w:rsidRPr="00013BDC">
        <w:rPr>
          <w:rFonts w:eastAsiaTheme="minorEastAsia"/>
          <w:noProof/>
          <w:lang w:val="en-IE"/>
        </w:rPr>
        <w:t xml:space="preserve">The MAGNET variant of the GTAP version 10 database includes additional sector splits covering fruits, vegetables, meat, fish products, bioenergy, bio-based industry, and municipal waste. These additional sector splits give the modeller some choice regarding the different biomass sources and their uses as e.g., food, feed, energy or industry. The underlying database is aggregated to 22 individual EU MS, two aggregated MSs and five larger regions and covers 80 commodities as outlined in </w:t>
      </w:r>
      <w:r w:rsidR="00070C31" w:rsidRPr="00013BDC">
        <w:rPr>
          <w:rFonts w:eastAsiaTheme="minorEastAsia"/>
          <w:noProof/>
          <w:lang w:val="en-IE"/>
        </w:rPr>
        <w:fldChar w:fldCharType="begin"/>
      </w:r>
      <w:r w:rsidR="00070C31" w:rsidRPr="00013BDC">
        <w:rPr>
          <w:rFonts w:eastAsiaTheme="minorEastAsia"/>
          <w:noProof/>
          <w:lang w:val="en-IE"/>
        </w:rPr>
        <w:instrText xml:space="preserve"> REF _Ref133489784 \h </w:instrText>
      </w:r>
      <w:r w:rsidR="00013BDC">
        <w:rPr>
          <w:rFonts w:eastAsiaTheme="minorEastAsia"/>
          <w:noProof/>
          <w:lang w:val="en-IE"/>
        </w:rPr>
        <w:instrText xml:space="preserve"> \* MERGEFORMAT </w:instrText>
      </w:r>
      <w:r w:rsidR="00070C31" w:rsidRPr="00013BDC">
        <w:rPr>
          <w:rFonts w:eastAsiaTheme="minorEastAsia"/>
          <w:noProof/>
          <w:lang w:val="en-IE"/>
        </w:rPr>
      </w:r>
      <w:r w:rsidR="00070C31" w:rsidRPr="00013BDC">
        <w:rPr>
          <w:rFonts w:eastAsiaTheme="minorEastAsia"/>
          <w:noProof/>
          <w:lang w:val="en-IE"/>
        </w:rPr>
        <w:fldChar w:fldCharType="separate"/>
      </w:r>
      <w:r w:rsidR="004C5576" w:rsidRPr="00013BDC">
        <w:rPr>
          <w:noProof/>
          <w:lang w:val="en-IE"/>
        </w:rPr>
        <w:t xml:space="preserve">Table </w:t>
      </w:r>
      <w:r w:rsidR="004C5576" w:rsidRPr="004C5576">
        <w:rPr>
          <w:noProof/>
          <w:lang w:val="en-IE"/>
        </w:rPr>
        <w:t>19</w:t>
      </w:r>
      <w:r w:rsidR="00070C31" w:rsidRPr="00013BDC">
        <w:rPr>
          <w:rFonts w:eastAsiaTheme="minorEastAsia"/>
          <w:noProof/>
          <w:lang w:val="en-IE"/>
        </w:rPr>
        <w:fldChar w:fldCharType="end"/>
      </w:r>
      <w:r w:rsidRPr="00013BDC">
        <w:rPr>
          <w:rFonts w:eastAsiaTheme="minorEastAsia"/>
          <w:noProof/>
          <w:lang w:val="en-IE"/>
        </w:rPr>
        <w:t>.  </w:t>
      </w:r>
    </w:p>
    <w:p w14:paraId="31637747" w14:textId="19D9282B" w:rsidR="0010257A" w:rsidRPr="00013BDC" w:rsidRDefault="0010257A" w:rsidP="0010257A">
      <w:pPr>
        <w:pStyle w:val="Caption"/>
        <w:rPr>
          <w:noProof/>
          <w:color w:val="auto"/>
          <w:sz w:val="24"/>
          <w:szCs w:val="24"/>
          <w:lang w:val="en-IE"/>
        </w:rPr>
      </w:pPr>
      <w:bookmarkStart w:id="400" w:name="_Ref133489784"/>
      <w:bookmarkStart w:id="401" w:name="_Toc133229427"/>
      <w:bookmarkStart w:id="402" w:name="_Toc139033049"/>
      <w:r w:rsidRPr="00013BDC">
        <w:rPr>
          <w:noProof/>
          <w:color w:val="auto"/>
          <w:sz w:val="24"/>
          <w:szCs w:val="24"/>
          <w:lang w:val="en-IE"/>
        </w:rPr>
        <w:t xml:space="preserve">Table </w:t>
      </w:r>
      <w:r w:rsidR="004C5576">
        <w:rPr>
          <w:noProof/>
          <w:color w:val="auto"/>
          <w:sz w:val="24"/>
          <w:szCs w:val="24"/>
        </w:rPr>
        <w:t>19</w:t>
      </w:r>
      <w:bookmarkEnd w:id="400"/>
      <w:r w:rsidRPr="00013BDC">
        <w:rPr>
          <w:noProof/>
          <w:color w:val="auto"/>
          <w:sz w:val="24"/>
          <w:szCs w:val="24"/>
          <w:lang w:val="en-IE"/>
        </w:rPr>
        <w:t xml:space="preserve"> – Overview regional and sectoral aggregation</w:t>
      </w:r>
      <w:bookmarkEnd w:id="401"/>
      <w:bookmarkEnd w:id="402"/>
    </w:p>
    <w:tbl>
      <w:tblPr>
        <w:tblW w:w="9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20"/>
      </w:tblGrid>
      <w:tr w:rsidR="0038733E" w:rsidRPr="00013BDC" w14:paraId="4004B72C" w14:textId="77777777" w:rsidTr="0010257A">
        <w:trPr>
          <w:trHeight w:val="390"/>
        </w:trPr>
        <w:tc>
          <w:tcPr>
            <w:tcW w:w="9120" w:type="dxa"/>
            <w:tcBorders>
              <w:top w:val="single" w:sz="6" w:space="0" w:color="auto"/>
              <w:left w:val="single" w:sz="6" w:space="0" w:color="auto"/>
              <w:bottom w:val="single" w:sz="6" w:space="0" w:color="auto"/>
              <w:right w:val="single" w:sz="6" w:space="0" w:color="auto"/>
            </w:tcBorders>
            <w:shd w:val="clear" w:color="auto" w:fill="D9D9D9"/>
            <w:hideMark/>
          </w:tcPr>
          <w:p w14:paraId="59F25070" w14:textId="77777777" w:rsidR="0038733E" w:rsidRPr="00013BDC" w:rsidRDefault="0038733E" w:rsidP="0038733E">
            <w:pPr>
              <w:spacing w:after="120"/>
              <w:divId w:val="1655984001"/>
              <w:rPr>
                <w:rFonts w:eastAsiaTheme="minorEastAsia"/>
                <w:noProof/>
                <w:lang w:val="en-IE"/>
              </w:rPr>
            </w:pPr>
            <w:r w:rsidRPr="00013BDC">
              <w:rPr>
                <w:rFonts w:eastAsiaTheme="minorEastAsia"/>
                <w:b/>
                <w:noProof/>
                <w:lang w:val="en-IE"/>
              </w:rPr>
              <w:t>Regional disaggregation (29 regions) </w:t>
            </w:r>
            <w:r w:rsidRPr="00013BDC">
              <w:rPr>
                <w:rFonts w:eastAsiaTheme="minorEastAsia"/>
                <w:noProof/>
                <w:lang w:val="en-IE"/>
              </w:rPr>
              <w:t> </w:t>
            </w:r>
          </w:p>
        </w:tc>
      </w:tr>
      <w:tr w:rsidR="0038733E" w:rsidRPr="00013BDC" w14:paraId="1DB65CB7" w14:textId="77777777" w:rsidTr="0010257A">
        <w:trPr>
          <w:trHeight w:val="1500"/>
        </w:trPr>
        <w:tc>
          <w:tcPr>
            <w:tcW w:w="9120" w:type="dxa"/>
            <w:tcBorders>
              <w:top w:val="single" w:sz="6" w:space="0" w:color="auto"/>
              <w:left w:val="single" w:sz="6" w:space="0" w:color="auto"/>
              <w:bottom w:val="single" w:sz="6" w:space="0" w:color="auto"/>
              <w:right w:val="single" w:sz="6" w:space="0" w:color="auto"/>
            </w:tcBorders>
            <w:shd w:val="clear" w:color="auto" w:fill="auto"/>
            <w:hideMark/>
          </w:tcPr>
          <w:p w14:paraId="0FF3EEB3"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Individual MSs (22)</w:t>
            </w:r>
            <w:r w:rsidRPr="00013BDC">
              <w:rPr>
                <w:rFonts w:eastAsiaTheme="minorEastAsia"/>
                <w:noProof/>
                <w:lang w:val="en-IE"/>
              </w:rPr>
              <w:t> </w:t>
            </w:r>
          </w:p>
          <w:p w14:paraId="1C190918" w14:textId="77777777" w:rsidR="0038733E" w:rsidRPr="00013BDC" w:rsidRDefault="0038733E" w:rsidP="0038733E">
            <w:pPr>
              <w:spacing w:after="120"/>
              <w:rPr>
                <w:rFonts w:eastAsiaTheme="minorEastAsia"/>
                <w:noProof/>
                <w:lang w:val="en-IE"/>
              </w:rPr>
            </w:pPr>
            <w:r w:rsidRPr="00013BDC">
              <w:rPr>
                <w:rFonts w:eastAsiaTheme="minorEastAsia"/>
                <w:noProof/>
                <w:lang w:val="en-IE"/>
              </w:rPr>
              <w:t>Austria, Bulgaria, Croatia, Czech Republic, Denmark, Estonia, Finland, France, Germany, Hungary, Ireland, Italy, Lithuania, Latvia, Netherlands, Poland, Portugal, Romania, Slovakia, Slovenia, Spain, Sweden </w:t>
            </w:r>
          </w:p>
          <w:p w14:paraId="077E9CD0"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Aggregated MSs (2)</w:t>
            </w:r>
            <w:r w:rsidRPr="00013BDC">
              <w:rPr>
                <w:rFonts w:eastAsiaTheme="minorEastAsia"/>
                <w:noProof/>
                <w:lang w:val="en-IE"/>
              </w:rPr>
              <w:t> </w:t>
            </w:r>
          </w:p>
          <w:p w14:paraId="1F5288CB" w14:textId="77777777" w:rsidR="0038733E" w:rsidRPr="00013BDC" w:rsidRDefault="0038733E" w:rsidP="0038733E">
            <w:pPr>
              <w:spacing w:after="120"/>
              <w:rPr>
                <w:rFonts w:eastAsiaTheme="minorEastAsia"/>
                <w:noProof/>
                <w:lang w:val="en-IE"/>
              </w:rPr>
            </w:pPr>
            <w:r w:rsidRPr="00013BDC">
              <w:rPr>
                <w:rFonts w:eastAsiaTheme="minorEastAsia"/>
                <w:noProof/>
                <w:lang w:val="en-IE"/>
              </w:rPr>
              <w:t>Greece, Cyprus and Malta (GreCypMlt); Belgium and Luxemburg (BelgLux). </w:t>
            </w:r>
          </w:p>
          <w:p w14:paraId="3C56942F"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Non-EU countries (5)</w:t>
            </w:r>
            <w:r w:rsidRPr="00013BDC">
              <w:rPr>
                <w:rFonts w:eastAsiaTheme="minorEastAsia"/>
                <w:noProof/>
                <w:lang w:val="en-IE"/>
              </w:rPr>
              <w:t> </w:t>
            </w:r>
          </w:p>
          <w:p w14:paraId="607FB101" w14:textId="77777777" w:rsidR="0038733E" w:rsidRPr="00013BDC" w:rsidRDefault="0038733E" w:rsidP="0038733E">
            <w:pPr>
              <w:spacing w:after="120"/>
              <w:rPr>
                <w:rFonts w:eastAsiaTheme="minorEastAsia"/>
                <w:noProof/>
                <w:lang w:val="en-IE"/>
              </w:rPr>
            </w:pPr>
            <w:r w:rsidRPr="00013BDC">
              <w:rPr>
                <w:rFonts w:eastAsiaTheme="minorEastAsia"/>
                <w:noProof/>
                <w:lang w:val="en-IE"/>
              </w:rPr>
              <w:t>USA and Canada (USACAN); Latin America (LATAM); Africa (Africa); Asia (Asia); rest of the world (ROW). </w:t>
            </w:r>
          </w:p>
        </w:tc>
      </w:tr>
      <w:tr w:rsidR="0038733E" w:rsidRPr="00013BDC" w14:paraId="09B22E13" w14:textId="77777777" w:rsidTr="0010257A">
        <w:trPr>
          <w:trHeight w:val="435"/>
        </w:trPr>
        <w:tc>
          <w:tcPr>
            <w:tcW w:w="9120" w:type="dxa"/>
            <w:tcBorders>
              <w:top w:val="single" w:sz="6" w:space="0" w:color="auto"/>
              <w:left w:val="single" w:sz="6" w:space="0" w:color="auto"/>
              <w:bottom w:val="single" w:sz="6" w:space="0" w:color="auto"/>
              <w:right w:val="single" w:sz="6" w:space="0" w:color="auto"/>
            </w:tcBorders>
            <w:shd w:val="clear" w:color="auto" w:fill="D9D9D9"/>
            <w:hideMark/>
          </w:tcPr>
          <w:p w14:paraId="780F9ACA"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Commodity disaggregation (80 commodities) </w:t>
            </w:r>
            <w:r w:rsidRPr="00013BDC">
              <w:rPr>
                <w:rFonts w:eastAsiaTheme="minorEastAsia"/>
                <w:noProof/>
                <w:lang w:val="en-IE"/>
              </w:rPr>
              <w:t> </w:t>
            </w:r>
          </w:p>
        </w:tc>
      </w:tr>
      <w:tr w:rsidR="0038733E" w:rsidRPr="00013BDC" w14:paraId="03F2AAB6" w14:textId="77777777" w:rsidTr="0010257A">
        <w:trPr>
          <w:trHeight w:val="270"/>
        </w:trPr>
        <w:tc>
          <w:tcPr>
            <w:tcW w:w="9120" w:type="dxa"/>
            <w:tcBorders>
              <w:top w:val="single" w:sz="6" w:space="0" w:color="auto"/>
              <w:left w:val="single" w:sz="6" w:space="0" w:color="auto"/>
              <w:bottom w:val="single" w:sz="6" w:space="0" w:color="auto"/>
              <w:right w:val="single" w:sz="6" w:space="0" w:color="auto"/>
            </w:tcBorders>
            <w:shd w:val="clear" w:color="auto" w:fill="auto"/>
            <w:hideMark/>
          </w:tcPr>
          <w:p w14:paraId="139E3797"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Crops (11) </w:t>
            </w:r>
            <w:r w:rsidRPr="00013BDC">
              <w:rPr>
                <w:rFonts w:eastAsiaTheme="minorEastAsia"/>
                <w:noProof/>
                <w:lang w:val="en-IE"/>
              </w:rPr>
              <w:t> </w:t>
            </w:r>
          </w:p>
          <w:p w14:paraId="37C76789" w14:textId="77777777" w:rsidR="0038733E" w:rsidRPr="00013BDC" w:rsidRDefault="0038733E" w:rsidP="0038733E">
            <w:pPr>
              <w:spacing w:after="120"/>
              <w:rPr>
                <w:rFonts w:eastAsiaTheme="minorEastAsia"/>
                <w:noProof/>
                <w:lang w:val="en-IE"/>
              </w:rPr>
            </w:pPr>
            <w:r w:rsidRPr="00013BDC">
              <w:rPr>
                <w:rFonts w:eastAsiaTheme="minorEastAsia"/>
                <w:noProof/>
                <w:lang w:val="en-IE"/>
              </w:rPr>
              <w:t>Paddy rice (pdr); wheat (wht); other grains (gro); vegetables, pulses, roots and tubers (veg); fruits and nuts (fruit); oilseeds (osd); other crops (ocrops); sugar cane and beet (c_b). </w:t>
            </w:r>
          </w:p>
          <w:p w14:paraId="77DBB7C7"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Livestock (5) </w:t>
            </w:r>
            <w:r w:rsidRPr="00013BDC">
              <w:rPr>
                <w:rFonts w:eastAsiaTheme="minorEastAsia"/>
                <w:noProof/>
                <w:lang w:val="en-IE"/>
              </w:rPr>
              <w:t> </w:t>
            </w:r>
          </w:p>
          <w:p w14:paraId="4326324C" w14:textId="77777777" w:rsidR="0038733E" w:rsidRPr="00013BDC" w:rsidRDefault="0038733E" w:rsidP="0038733E">
            <w:pPr>
              <w:spacing w:after="120"/>
              <w:rPr>
                <w:rFonts w:eastAsiaTheme="minorEastAsia"/>
                <w:noProof/>
                <w:lang w:val="en-IE"/>
              </w:rPr>
            </w:pPr>
            <w:r w:rsidRPr="00013BDC">
              <w:rPr>
                <w:rFonts w:eastAsiaTheme="minorEastAsia"/>
                <w:noProof/>
                <w:lang w:val="en-IE"/>
              </w:rPr>
              <w:t>Beef cattle (bfctl); sheep, goats and horses (ctl); poultry (pltry); raw milk (rmk); pigs (oap). </w:t>
            </w:r>
          </w:p>
          <w:p w14:paraId="2B6461C1"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Food products and food service (11) </w:t>
            </w:r>
            <w:r w:rsidRPr="00013BDC">
              <w:rPr>
                <w:rFonts w:eastAsiaTheme="minorEastAsia"/>
                <w:noProof/>
                <w:lang w:val="en-IE"/>
              </w:rPr>
              <w:t> </w:t>
            </w:r>
          </w:p>
          <w:p w14:paraId="45070247" w14:textId="77777777" w:rsidR="0038733E" w:rsidRPr="00013BDC" w:rsidRDefault="0038733E" w:rsidP="0038733E">
            <w:pPr>
              <w:spacing w:after="120"/>
              <w:rPr>
                <w:rFonts w:eastAsiaTheme="minorEastAsia"/>
                <w:noProof/>
                <w:lang w:val="en-IE"/>
              </w:rPr>
            </w:pPr>
            <w:r w:rsidRPr="00013BDC">
              <w:rPr>
                <w:rFonts w:eastAsiaTheme="minorEastAsia"/>
                <w:noProof/>
                <w:lang w:val="en-IE"/>
              </w:rPr>
              <w:t>Beef meat (bfcmt); rest of cattle meat (cmt); poultry meat (poum); pork meat (omt); dairy (dairy); vegetable oils and fats (vegoil); processed sugar (sugarpro); processed rice (ricepro); processed fish and crustaceans (fishp); other food products (ofood); food service (foodserv). </w:t>
            </w:r>
          </w:p>
          <w:p w14:paraId="38EF3D7A"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Fertiliser (1) </w:t>
            </w:r>
            <w:r w:rsidRPr="00013BDC">
              <w:rPr>
                <w:rFonts w:eastAsiaTheme="minorEastAsia"/>
                <w:noProof/>
                <w:lang w:val="en-IE"/>
              </w:rPr>
              <w:t> </w:t>
            </w:r>
          </w:p>
          <w:p w14:paraId="4D16496F" w14:textId="77777777" w:rsidR="0038733E" w:rsidRPr="00013BDC" w:rsidRDefault="0038733E" w:rsidP="0038733E">
            <w:pPr>
              <w:spacing w:after="120"/>
              <w:rPr>
                <w:rFonts w:eastAsiaTheme="minorEastAsia"/>
                <w:noProof/>
                <w:lang w:val="en-IE"/>
              </w:rPr>
            </w:pPr>
            <w:r w:rsidRPr="00013BDC">
              <w:rPr>
                <w:rFonts w:eastAsiaTheme="minorEastAsia"/>
                <w:noProof/>
                <w:lang w:val="en-IE"/>
              </w:rPr>
              <w:t>Fertiliser (fert).  </w:t>
            </w:r>
          </w:p>
          <w:p w14:paraId="6B0C188A"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Feeds (4) </w:t>
            </w:r>
            <w:r w:rsidRPr="00013BDC">
              <w:rPr>
                <w:rFonts w:eastAsiaTheme="minorEastAsia"/>
                <w:noProof/>
                <w:lang w:val="en-IE"/>
              </w:rPr>
              <w:t> </w:t>
            </w:r>
          </w:p>
          <w:p w14:paraId="4A165194" w14:textId="77777777" w:rsidR="0038733E" w:rsidRPr="00013BDC" w:rsidRDefault="0038733E" w:rsidP="0038733E">
            <w:pPr>
              <w:spacing w:after="120"/>
              <w:rPr>
                <w:rFonts w:eastAsiaTheme="minorEastAsia"/>
                <w:noProof/>
                <w:lang w:val="en-IE"/>
              </w:rPr>
            </w:pPr>
            <w:r w:rsidRPr="00013BDC">
              <w:rPr>
                <w:rFonts w:eastAsiaTheme="minorEastAsia"/>
                <w:noProof/>
                <w:lang w:val="en-IE"/>
              </w:rPr>
              <w:t>Animal feed (feed); fishmeal (fishm); oilcake (oilcake); 1st generation bioethanol by-product distillers dried grains and solubles (DDGS). </w:t>
            </w:r>
          </w:p>
          <w:p w14:paraId="554486E3"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Bio-based activities and natural resources (13) </w:t>
            </w:r>
            <w:r w:rsidRPr="00013BDC">
              <w:rPr>
                <w:rFonts w:eastAsiaTheme="minorEastAsia"/>
                <w:noProof/>
                <w:lang w:val="en-IE"/>
              </w:rPr>
              <w:t> </w:t>
            </w:r>
          </w:p>
          <w:p w14:paraId="40F7906D" w14:textId="77777777" w:rsidR="0038733E" w:rsidRPr="00013BDC" w:rsidRDefault="0038733E" w:rsidP="0038733E">
            <w:pPr>
              <w:spacing w:after="120"/>
              <w:rPr>
                <w:rFonts w:eastAsiaTheme="minorEastAsia"/>
                <w:noProof/>
                <w:lang w:val="en-IE"/>
              </w:rPr>
            </w:pPr>
            <w:r w:rsidRPr="00013BDC">
              <w:rPr>
                <w:rFonts w:eastAsiaTheme="minorEastAsia"/>
                <w:noProof/>
                <w:lang w:val="en-IE"/>
              </w:rPr>
              <w:t>Fishing (fishing); forestry (forestry); crude vegetable oil (cvol); residue processing (res); by-product residues from rice (r_pdr); by-product residues from wheat (r_wht); by-product residues from other grains (r_grain); by-product residues from oilseeds (r_oilsd); by-product residues from horticulture (r_hort); by-product residues from other crops (r_crops); by-product residues from forestry (r_frs); pellets (pellets); energy crops (egycrops); biomass for compost and bioenergy (biom). </w:t>
            </w:r>
          </w:p>
          <w:p w14:paraId="746C76E4"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Bio-fuels (8) </w:t>
            </w:r>
            <w:r w:rsidRPr="00013BDC">
              <w:rPr>
                <w:rFonts w:eastAsiaTheme="minorEastAsia"/>
                <w:noProof/>
                <w:lang w:val="en-IE"/>
              </w:rPr>
              <w:t> </w:t>
            </w:r>
          </w:p>
          <w:p w14:paraId="001A0C1B" w14:textId="77777777" w:rsidR="0038733E" w:rsidRPr="00013BDC" w:rsidRDefault="0038733E" w:rsidP="0038733E">
            <w:pPr>
              <w:spacing w:after="120"/>
              <w:rPr>
                <w:rFonts w:eastAsiaTheme="minorEastAsia"/>
                <w:noProof/>
                <w:lang w:val="en-IE"/>
              </w:rPr>
            </w:pPr>
            <w:r w:rsidRPr="00013BDC">
              <w:rPr>
                <w:rFonts w:eastAsiaTheme="minorEastAsia"/>
                <w:noProof/>
                <w:lang w:val="en-IE"/>
              </w:rPr>
              <w:t>1st generation biodiesel (biod); 1st generation bioethanol (biog); 2nd generation thermochemical technology biofuel (ftfuel); 2nd generation biochemical technology biofuel (eth); bio-ethanol (bioe); bio-kerosene (bkero); bio-heat (bheat); energy from waste (wely). </w:t>
            </w:r>
          </w:p>
          <w:p w14:paraId="024F2448"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Fossil-based energy (10) </w:t>
            </w:r>
            <w:r w:rsidRPr="00013BDC">
              <w:rPr>
                <w:rFonts w:eastAsiaTheme="minorEastAsia"/>
                <w:noProof/>
                <w:lang w:val="en-IE"/>
              </w:rPr>
              <w:t> </w:t>
            </w:r>
          </w:p>
          <w:p w14:paraId="312F81AD" w14:textId="77777777" w:rsidR="0038733E" w:rsidRPr="00013BDC" w:rsidRDefault="0038733E" w:rsidP="0038733E">
            <w:pPr>
              <w:spacing w:after="120"/>
              <w:rPr>
                <w:rFonts w:eastAsiaTheme="minorEastAsia"/>
                <w:noProof/>
                <w:lang w:val="en-IE"/>
              </w:rPr>
            </w:pPr>
            <w:r w:rsidRPr="00013BDC">
              <w:rPr>
                <w:rFonts w:eastAsiaTheme="minorEastAsia"/>
                <w:noProof/>
                <w:lang w:val="en-IE"/>
              </w:rPr>
              <w:t>Coal (coa); crude oil (c_oil); gas (gas); heat generation (heat); kerosene (kero); petroleum (petro); electricity and heat generation (elyheat); coal-fired electricity (ely_c); gas-fired electricity (ely_g); gas manufacturing and distribution (gdt). </w:t>
            </w:r>
          </w:p>
          <w:p w14:paraId="068E8F73"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Nonbio-based renewable energy (3) </w:t>
            </w:r>
            <w:r w:rsidRPr="00013BDC">
              <w:rPr>
                <w:rFonts w:eastAsiaTheme="minorEastAsia"/>
                <w:noProof/>
                <w:lang w:val="en-IE"/>
              </w:rPr>
              <w:t> </w:t>
            </w:r>
          </w:p>
          <w:p w14:paraId="2621D88D" w14:textId="77777777" w:rsidR="0038733E" w:rsidRPr="00013BDC" w:rsidRDefault="0038733E" w:rsidP="0038733E">
            <w:pPr>
              <w:spacing w:after="120"/>
              <w:rPr>
                <w:rFonts w:eastAsiaTheme="minorEastAsia"/>
                <w:noProof/>
                <w:lang w:val="en-IE"/>
              </w:rPr>
            </w:pPr>
            <w:r w:rsidRPr="00013BDC">
              <w:rPr>
                <w:rFonts w:eastAsiaTheme="minorEastAsia"/>
                <w:noProof/>
                <w:lang w:val="en-IE"/>
              </w:rPr>
              <w:t>Nuclear electricity (ely_n); hydroelectric (ely_h); solar and wind (ely_w). </w:t>
            </w:r>
          </w:p>
          <w:p w14:paraId="7B7D6A08"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Waste services (8)</w:t>
            </w:r>
            <w:r w:rsidRPr="00013BDC">
              <w:rPr>
                <w:rFonts w:eastAsiaTheme="minorEastAsia"/>
                <w:noProof/>
                <w:lang w:val="en-IE"/>
              </w:rPr>
              <w:t> </w:t>
            </w:r>
          </w:p>
          <w:p w14:paraId="15599E12" w14:textId="77777777" w:rsidR="0038733E" w:rsidRPr="00013BDC" w:rsidRDefault="0038733E" w:rsidP="0038733E">
            <w:pPr>
              <w:spacing w:after="120"/>
              <w:rPr>
                <w:rFonts w:eastAsiaTheme="minorEastAsia"/>
                <w:noProof/>
                <w:lang w:val="en-IE"/>
              </w:rPr>
            </w:pPr>
            <w:r w:rsidRPr="00013BDC">
              <w:rPr>
                <w:rFonts w:eastAsiaTheme="minorEastAsia"/>
                <w:noProof/>
                <w:lang w:val="en-IE"/>
              </w:rPr>
              <w:t>Composting (comp); incineration (inc); landfilling (landf); recycling (recy); waste collection green waste (wcg); waste collection services glass and paper (wcgp); waste collection rest waste (wcr); recycled paper and glass (pagl). </w:t>
            </w:r>
          </w:p>
          <w:p w14:paraId="2A11DCA7"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Manufacturing (3)</w:t>
            </w:r>
            <w:r w:rsidRPr="00013BDC">
              <w:rPr>
                <w:rFonts w:eastAsiaTheme="minorEastAsia"/>
                <w:noProof/>
                <w:lang w:val="en-IE"/>
              </w:rPr>
              <w:t> </w:t>
            </w:r>
          </w:p>
          <w:p w14:paraId="0A4AAA6B" w14:textId="77777777" w:rsidR="0038733E" w:rsidRPr="00013BDC" w:rsidRDefault="0038733E" w:rsidP="0038733E">
            <w:pPr>
              <w:spacing w:after="120"/>
              <w:rPr>
                <w:rFonts w:eastAsiaTheme="minorEastAsia"/>
                <w:noProof/>
                <w:lang w:val="en-IE"/>
              </w:rPr>
            </w:pPr>
            <w:r w:rsidRPr="00013BDC">
              <w:rPr>
                <w:rFonts w:eastAsiaTheme="minorEastAsia"/>
                <w:noProof/>
                <w:lang w:val="en-IE"/>
              </w:rPr>
              <w:t>Beverages and tobacco products (bevtobac); paper products and publishing (pap); other manufacturing (manu). </w:t>
            </w:r>
          </w:p>
          <w:p w14:paraId="6D7883BD"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Services (2)</w:t>
            </w:r>
            <w:r w:rsidRPr="00013BDC">
              <w:rPr>
                <w:rFonts w:eastAsiaTheme="minorEastAsia"/>
                <w:noProof/>
                <w:lang w:val="en-IE"/>
              </w:rPr>
              <w:t> </w:t>
            </w:r>
          </w:p>
          <w:p w14:paraId="4362E4B1" w14:textId="77777777" w:rsidR="0038733E" w:rsidRPr="00013BDC" w:rsidRDefault="0038733E" w:rsidP="0038733E">
            <w:pPr>
              <w:spacing w:after="120"/>
              <w:rPr>
                <w:rFonts w:eastAsiaTheme="minorEastAsia"/>
                <w:noProof/>
                <w:lang w:val="en-IE"/>
              </w:rPr>
            </w:pPr>
            <w:r w:rsidRPr="00013BDC">
              <w:rPr>
                <w:rFonts w:eastAsiaTheme="minorEastAsia"/>
                <w:noProof/>
                <w:lang w:val="en-IE"/>
              </w:rPr>
              <w:t>Trade (trade); services (serv). </w:t>
            </w:r>
          </w:p>
          <w:p w14:paraId="43EC3E08" w14:textId="77777777" w:rsidR="0038733E" w:rsidRPr="00013BDC" w:rsidRDefault="0038733E" w:rsidP="0038733E">
            <w:pPr>
              <w:spacing w:after="120"/>
              <w:rPr>
                <w:rFonts w:eastAsiaTheme="minorEastAsia"/>
                <w:noProof/>
                <w:lang w:val="en-IE"/>
              </w:rPr>
            </w:pPr>
            <w:r w:rsidRPr="00013BDC">
              <w:rPr>
                <w:rFonts w:eastAsiaTheme="minorEastAsia"/>
                <w:b/>
                <w:noProof/>
                <w:lang w:val="en-IE"/>
              </w:rPr>
              <w:t>Transportation (1) </w:t>
            </w:r>
            <w:r w:rsidRPr="00013BDC">
              <w:rPr>
                <w:rFonts w:eastAsiaTheme="minorEastAsia"/>
                <w:noProof/>
                <w:lang w:val="en-IE"/>
              </w:rPr>
              <w:t> </w:t>
            </w:r>
          </w:p>
          <w:p w14:paraId="591489AE" w14:textId="77777777" w:rsidR="0038733E" w:rsidRPr="00013BDC" w:rsidRDefault="0038733E" w:rsidP="0038733E">
            <w:pPr>
              <w:spacing w:after="120"/>
              <w:rPr>
                <w:rFonts w:eastAsiaTheme="minorEastAsia"/>
                <w:noProof/>
                <w:lang w:val="en-IE"/>
              </w:rPr>
            </w:pPr>
            <w:r w:rsidRPr="00013BDC">
              <w:rPr>
                <w:rFonts w:eastAsiaTheme="minorEastAsia"/>
                <w:noProof/>
                <w:lang w:val="en-IE"/>
              </w:rPr>
              <w:t>Transportation (trans). </w:t>
            </w:r>
          </w:p>
        </w:tc>
      </w:tr>
    </w:tbl>
    <w:p w14:paraId="0F8BBB12" w14:textId="56CD8519" w:rsidR="0038733E" w:rsidRPr="00013BDC" w:rsidRDefault="0038733E" w:rsidP="00DC7AFB">
      <w:pPr>
        <w:jc w:val="center"/>
        <w:rPr>
          <w:rFonts w:eastAsiaTheme="minorEastAsia"/>
          <w:noProof/>
          <w:lang w:val="en-IE"/>
        </w:rPr>
      </w:pPr>
      <w:r w:rsidRPr="00013BDC">
        <w:rPr>
          <w:rFonts w:eastAsiaTheme="minorEastAsia"/>
          <w:noProof/>
          <w:lang w:val="en-IE"/>
        </w:rPr>
        <w:t>Source: Authors’ own elaboration</w:t>
      </w:r>
    </w:p>
    <w:p w14:paraId="7E9468CB" w14:textId="3412866F" w:rsidR="0038733E" w:rsidRPr="00013BDC" w:rsidRDefault="00F64258" w:rsidP="00F64258">
      <w:pPr>
        <w:pStyle w:val="Heading3"/>
        <w:rPr>
          <w:rFonts w:eastAsiaTheme="minorEastAsia"/>
          <w:noProof/>
          <w:lang w:val="en-IE"/>
        </w:rPr>
      </w:pPr>
      <w:bookmarkStart w:id="403" w:name="_Toc495915104"/>
      <w:bookmarkStart w:id="404" w:name="_Toc316306711"/>
      <w:bookmarkStart w:id="405" w:name="_Toc1190807203"/>
      <w:bookmarkStart w:id="406" w:name="_Toc156186656"/>
      <w:bookmarkStart w:id="407" w:name="_Toc1246684302"/>
      <w:bookmarkStart w:id="408" w:name="_Toc1851860070"/>
      <w:bookmarkStart w:id="409" w:name="_Toc2085992646"/>
      <w:bookmarkStart w:id="410" w:name="_Toc1220710008"/>
      <w:bookmarkStart w:id="411" w:name="_Toc139032967"/>
      <w:r w:rsidRPr="00F64258">
        <w:rPr>
          <w:rFonts w:eastAsiaTheme="minorEastAsia"/>
        </w:rPr>
        <w:t>2.1.5</w:t>
      </w:r>
      <w:r w:rsidRPr="00F64258">
        <w:rPr>
          <w:rFonts w:eastAsiaTheme="minorEastAsia"/>
        </w:rPr>
        <w:tab/>
      </w:r>
      <w:r w:rsidR="0038733E" w:rsidRPr="00013BDC">
        <w:rPr>
          <w:rFonts w:eastAsiaTheme="minorEastAsia"/>
          <w:noProof/>
          <w:lang w:val="en-IE"/>
        </w:rPr>
        <w:t>Food waste data in the model</w:t>
      </w:r>
      <w:bookmarkEnd w:id="403"/>
      <w:bookmarkEnd w:id="404"/>
      <w:bookmarkEnd w:id="405"/>
      <w:bookmarkEnd w:id="406"/>
      <w:bookmarkEnd w:id="407"/>
      <w:bookmarkEnd w:id="408"/>
      <w:bookmarkEnd w:id="409"/>
      <w:bookmarkEnd w:id="410"/>
      <w:bookmarkEnd w:id="411"/>
    </w:p>
    <w:p w14:paraId="1E8529FC" w14:textId="3DB5448C" w:rsidR="0038733E" w:rsidRPr="00013BDC" w:rsidRDefault="0038733E" w:rsidP="0038733E">
      <w:pPr>
        <w:spacing w:after="120"/>
        <w:rPr>
          <w:rFonts w:eastAsiaTheme="minorEastAsia"/>
          <w:noProof/>
          <w:lang w:val="en-IE"/>
        </w:rPr>
      </w:pPr>
      <w:r w:rsidRPr="00013BDC">
        <w:rPr>
          <w:rFonts w:eastAsiaTheme="minorEastAsia"/>
          <w:noProof/>
          <w:lang w:val="en-IE"/>
        </w:rPr>
        <w:t>In the standard GTAP database, waste is included in the sector waste and water (“wtr”). Based on this, we assume that intermediate demand for waste collection services is already present in the underlying database, but that this is included in the intermediate demand for “wtr”. Therefore, we subtract the demand for waste collection services from the intermediate demand for “wtr” and add it to demand for waste collection services. This means that the total production value of the different sectors in the underlying database remains unchanged.</w:t>
      </w:r>
    </w:p>
    <w:p w14:paraId="75A8744C" w14:textId="6EFAB84A" w:rsidR="0038733E" w:rsidRPr="00013BDC" w:rsidRDefault="0038733E" w:rsidP="0038733E">
      <w:pPr>
        <w:spacing w:after="120"/>
        <w:rPr>
          <w:rFonts w:eastAsiaTheme="minorEastAsia"/>
          <w:noProof/>
          <w:lang w:val="en-IE"/>
        </w:rPr>
      </w:pPr>
      <w:r w:rsidRPr="00013BDC">
        <w:rPr>
          <w:rFonts w:eastAsiaTheme="minorEastAsia"/>
          <w:noProof/>
          <w:lang w:val="en-IE"/>
        </w:rPr>
        <w:t>The consumer waste module (Bartelings et al., 2021) uses data taken from the World Bank Report “What a Waste2 – A Global Snapshop of Solid Waste Management to 2050” (Kaza et al., 2018) and data from various other sources (RDC-Environment and Pira International, 2003) providing information on the cost structure. Kaza et al. (2018) provides information about organic waste for 217 countries and economies, however, the work does not distinguish between food and green waste. Therefore, the consumer waste from the Food Waste Material Flow Analysis (FW MFA) developed by the JRC (Caldeira et al., 2021; De Laurentiis et al., 2021) is used to split organic waste into food waste and garden waste. Food waste is linked to the consumption of food products and food services, while garden waste is linked to the consumption of the commodity dwellings. By linking the production of food waste and garden waste to different commodities, the model can estimate how both food waste and garden waste will develop in future time periods. In some regions the organic waste data from World Bank (Kaza et al., 2018) is lower than the food waste generation in the FW MFA model. For these countries total organic waste generated is adjusted.</w:t>
      </w:r>
    </w:p>
    <w:p w14:paraId="5A8279F3" w14:textId="2F3829E4" w:rsidR="0038733E" w:rsidRPr="00013BDC" w:rsidRDefault="0038733E" w:rsidP="0038733E">
      <w:pPr>
        <w:spacing w:after="120"/>
        <w:rPr>
          <w:rFonts w:eastAsiaTheme="minorEastAsia"/>
          <w:noProof/>
          <w:lang w:val="en-IE"/>
        </w:rPr>
      </w:pPr>
      <w:r w:rsidRPr="00013BDC">
        <w:rPr>
          <w:rFonts w:eastAsiaTheme="minorEastAsia"/>
          <w:noProof/>
          <w:lang w:val="en-IE"/>
        </w:rPr>
        <w:t>For this impact assessment, an additional module was developed, which includes waste collection and treatment related to production and distribution activities. In the implementation of food waste data, three stages are distinguished for the food waste generation at the supply side: primary food production stage, processing and manufacturing stage, and retail and distribution stage. The primary food waste collection has been included in the primary agricultural sectors; retail and distribution food waste collection has been included in the food service, retail and transport sectors. The processed food waste collection has been included in any non- retail sector that uses over 1% of the total intermediate demand of the primary product in the country. This excludes the possibility of a primary sector using its own primary commodity as this is considered waste generation during the primary process. Finally, the production of waste collection services and waste treatment are increased to collect and treat the extra producer food waste.</w:t>
      </w:r>
    </w:p>
    <w:p w14:paraId="5A8D404F" w14:textId="01DDAAD1" w:rsidR="0038733E" w:rsidRPr="00013BDC" w:rsidRDefault="0038733E" w:rsidP="0038733E">
      <w:pPr>
        <w:spacing w:after="120"/>
        <w:rPr>
          <w:rFonts w:eastAsiaTheme="minorEastAsia"/>
          <w:noProof/>
          <w:lang w:val="en-IE"/>
        </w:rPr>
      </w:pPr>
      <w:r w:rsidRPr="00013BDC">
        <w:rPr>
          <w:rFonts w:eastAsiaTheme="minorEastAsia"/>
          <w:noProof/>
          <w:lang w:val="en-IE"/>
        </w:rPr>
        <w:t>Food waste amounts for Member States provided by ESTAT (2022) were disaggregated by food chain stage. Since this data is not specific for products, the Material Flow Analysis model developed by JRC (De Laurentis et al. 2021) was used in order to derive amounts of food waste for individual product groups, to be used in MAGNET for projections to 2030 (</w:t>
      </w:r>
      <w:r w:rsidRPr="00013BDC">
        <w:rPr>
          <w:rFonts w:eastAsiaTheme="minorEastAsia"/>
          <w:b/>
          <w:noProof/>
          <w:lang w:val="en-IE"/>
        </w:rPr>
        <w:t xml:space="preserve">Figure </w:t>
      </w:r>
      <w:r w:rsidR="00EF0BE1" w:rsidRPr="00013BDC">
        <w:rPr>
          <w:rFonts w:eastAsiaTheme="minorEastAsia"/>
          <w:b/>
          <w:noProof/>
          <w:lang w:val="en-IE"/>
        </w:rPr>
        <w:t>7</w:t>
      </w:r>
      <w:r w:rsidRPr="00013BDC">
        <w:rPr>
          <w:rFonts w:eastAsiaTheme="minorEastAsia"/>
          <w:noProof/>
          <w:lang w:val="en-IE"/>
        </w:rPr>
        <w:t>).  </w:t>
      </w:r>
    </w:p>
    <w:p w14:paraId="77396A6A" w14:textId="3ED34685" w:rsidR="00785C43" w:rsidRPr="00013BDC" w:rsidRDefault="00785C43" w:rsidP="00785C43">
      <w:pPr>
        <w:pStyle w:val="Caption"/>
        <w:rPr>
          <w:noProof/>
          <w:color w:val="auto"/>
          <w:sz w:val="24"/>
          <w:szCs w:val="24"/>
          <w:lang w:val="en-IE"/>
        </w:rPr>
      </w:pPr>
      <w:bookmarkStart w:id="412" w:name="_Toc133229277"/>
      <w:bookmarkStart w:id="413" w:name="_Toc139033004"/>
      <w:r w:rsidRPr="00013BDC">
        <w:rPr>
          <w:noProof/>
          <w:color w:val="auto"/>
          <w:sz w:val="24"/>
          <w:szCs w:val="24"/>
          <w:lang w:val="en-IE"/>
        </w:rPr>
        <w:t xml:space="preserve">Figure </w:t>
      </w:r>
      <w:r w:rsidR="004C5576">
        <w:rPr>
          <w:noProof/>
          <w:color w:val="auto"/>
          <w:sz w:val="24"/>
          <w:szCs w:val="24"/>
          <w:lang w:val="en-IE"/>
        </w:rPr>
        <w:t>7</w:t>
      </w:r>
      <w:r w:rsidRPr="00013BDC">
        <w:rPr>
          <w:noProof/>
          <w:color w:val="auto"/>
          <w:sz w:val="24"/>
          <w:szCs w:val="24"/>
          <w:lang w:val="en-IE"/>
        </w:rPr>
        <w:t xml:space="preserve"> – Methodology for deriving data on food waste amounts for 2030, disaggregated by product group</w:t>
      </w:r>
      <w:bookmarkEnd w:id="412"/>
      <w:bookmarkEnd w:id="413"/>
    </w:p>
    <w:p w14:paraId="086F0D1B" w14:textId="07C02F84" w:rsidR="00830770" w:rsidRPr="00013BDC" w:rsidRDefault="0038733E" w:rsidP="0038733E">
      <w:pPr>
        <w:spacing w:after="120"/>
        <w:rPr>
          <w:rFonts w:eastAsiaTheme="minorEastAsia"/>
          <w:noProof/>
          <w:lang w:val="en-IE"/>
        </w:rPr>
      </w:pPr>
      <w:r w:rsidRPr="00013BDC">
        <w:rPr>
          <w:rFonts w:eastAsiaTheme="minorEastAsia"/>
          <w:noProof/>
          <w:lang w:val="en-IE"/>
        </w:rPr>
        <w:t xml:space="preserve">  </w:t>
      </w:r>
    </w:p>
    <w:p w14:paraId="27B06615" w14:textId="77777777" w:rsidR="00830770" w:rsidRPr="00013BDC" w:rsidRDefault="00830770" w:rsidP="0038733E">
      <w:pPr>
        <w:spacing w:after="120"/>
        <w:rPr>
          <w:rFonts w:eastAsiaTheme="minorEastAsia"/>
          <w:noProof/>
          <w:lang w:val="en-IE"/>
        </w:rPr>
      </w:pPr>
      <w:r w:rsidRPr="00013BDC">
        <w:rPr>
          <w:noProof/>
          <w:shd w:val="clear" w:color="auto" w:fill="E6E6E6"/>
          <w:lang w:eastAsia="en-GB"/>
        </w:rPr>
        <w:drawing>
          <wp:inline distT="0" distB="0" distL="0" distR="0" wp14:anchorId="10839C81" wp14:editId="698256F5">
            <wp:extent cx="5859312" cy="1077894"/>
            <wp:effectExtent l="0" t="0" r="0" b="8255"/>
            <wp:docPr id="1768060913" name="Picture 176806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4514" cy="1099087"/>
                    </a:xfrm>
                    <a:prstGeom prst="rect">
                      <a:avLst/>
                    </a:prstGeom>
                    <a:noFill/>
                  </pic:spPr>
                </pic:pic>
              </a:graphicData>
            </a:graphic>
          </wp:inline>
        </w:drawing>
      </w:r>
    </w:p>
    <w:p w14:paraId="77E8F927" w14:textId="05EADE35" w:rsidR="0038733E" w:rsidRPr="00013BDC" w:rsidRDefault="00830770" w:rsidP="00013BDC">
      <w:pPr>
        <w:pStyle w:val="JRCFiguresource"/>
        <w:rPr>
          <w:noProof/>
        </w:rPr>
      </w:pPr>
      <w:r w:rsidRPr="00013BDC">
        <w:rPr>
          <w:noProof/>
        </w:rPr>
        <w:t xml:space="preserve">Source: Authors’ own elaboration </w:t>
      </w:r>
      <w:r w:rsidR="0038733E" w:rsidRPr="00013BDC">
        <w:rPr>
          <w:rFonts w:eastAsiaTheme="minorEastAsia"/>
          <w:noProof/>
          <w:lang w:val="en-IE"/>
        </w:rPr>
        <w:t> </w:t>
      </w:r>
    </w:p>
    <w:p w14:paraId="5EAEA57C" w14:textId="58DAC042" w:rsidR="0038733E" w:rsidRPr="00013BDC" w:rsidRDefault="0038733E" w:rsidP="0038733E">
      <w:pPr>
        <w:spacing w:after="120"/>
        <w:rPr>
          <w:rFonts w:eastAsiaTheme="minorEastAsia"/>
          <w:noProof/>
          <w:lang w:val="en-IE"/>
        </w:rPr>
      </w:pPr>
      <w:r w:rsidRPr="00013BDC">
        <w:rPr>
          <w:rFonts w:eastAsiaTheme="minorEastAsia"/>
          <w:noProof/>
          <w:lang w:val="en-IE"/>
        </w:rPr>
        <w:t xml:space="preserve">The FW MFA model is combined with data from Corrado et al. (2020) to derive information on waste treatment. Although this model includes different shares for waste treatment per supply chain stages, it uses an EU average to determine how waste is treated for all MSs. In order to account for MS differentiation for waste treatment, World Bank database is used, which provides detailed information per country on waste treatment options. By multiplying the quantity with food collection prices gathered in the household waste module, we can calculate the value of waste collection.  FW MFA provides data on food waste at different stages of the production nests  product groups. All the food waste data coming from this database is mapped to the MAGNET commodities. Table </w:t>
      </w:r>
      <w:r w:rsidR="001921AB" w:rsidRPr="00013BDC">
        <w:rPr>
          <w:rFonts w:eastAsiaTheme="minorEastAsia"/>
          <w:noProof/>
          <w:lang w:val="en-IE"/>
        </w:rPr>
        <w:t>20</w:t>
      </w:r>
      <w:r w:rsidRPr="00013BDC">
        <w:rPr>
          <w:rFonts w:eastAsiaTheme="minorEastAsia"/>
          <w:noProof/>
          <w:lang w:val="en-IE"/>
        </w:rPr>
        <w:t xml:space="preserve"> below shows the link between commodities in the FW MFA model and the MAGNET commodities.  </w:t>
      </w:r>
    </w:p>
    <w:p w14:paraId="140DFD59" w14:textId="5DF8FA28" w:rsidR="00636158" w:rsidRPr="00013BDC" w:rsidRDefault="00636158" w:rsidP="00636158">
      <w:pPr>
        <w:pStyle w:val="Caption"/>
        <w:rPr>
          <w:noProof/>
          <w:color w:val="auto"/>
          <w:sz w:val="24"/>
          <w:szCs w:val="24"/>
          <w:lang w:val="en-IE"/>
        </w:rPr>
      </w:pPr>
      <w:bookmarkStart w:id="414" w:name="_Toc133229428"/>
      <w:bookmarkStart w:id="415" w:name="_Toc139033050"/>
      <w:r w:rsidRPr="00013BDC">
        <w:rPr>
          <w:noProof/>
          <w:color w:val="auto"/>
          <w:sz w:val="24"/>
          <w:szCs w:val="24"/>
          <w:lang w:val="en-IE"/>
        </w:rPr>
        <w:t xml:space="preserve">Table </w:t>
      </w:r>
      <w:r w:rsidR="004C5576">
        <w:rPr>
          <w:noProof/>
          <w:color w:val="auto"/>
          <w:sz w:val="24"/>
          <w:szCs w:val="24"/>
        </w:rPr>
        <w:t>20</w:t>
      </w:r>
      <w:r w:rsidRPr="00013BDC">
        <w:rPr>
          <w:noProof/>
          <w:color w:val="auto"/>
          <w:sz w:val="24"/>
          <w:szCs w:val="24"/>
          <w:lang w:val="en-IE"/>
        </w:rPr>
        <w:t xml:space="preserve"> – Mapping between the FW MFA and MAGNET models in terms of commodities</w:t>
      </w:r>
      <w:bookmarkEnd w:id="414"/>
      <w:bookmarkEnd w:id="415"/>
    </w:p>
    <w:tbl>
      <w:tblPr>
        <w:tblW w:w="87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6660"/>
      </w:tblGrid>
      <w:tr w:rsidR="0038733E" w:rsidRPr="00013BDC" w14:paraId="71BD2F88" w14:textId="77777777" w:rsidTr="0FCB278A">
        <w:trPr>
          <w:trHeight w:val="255"/>
        </w:trPr>
        <w:tc>
          <w:tcPr>
            <w:tcW w:w="2085" w:type="dxa"/>
            <w:tcBorders>
              <w:top w:val="single" w:sz="6" w:space="0" w:color="auto"/>
              <w:left w:val="single" w:sz="6" w:space="0" w:color="auto"/>
              <w:bottom w:val="single" w:sz="6" w:space="0" w:color="7F7F7F" w:themeColor="text1" w:themeTint="80"/>
              <w:right w:val="nil"/>
            </w:tcBorders>
            <w:shd w:val="clear" w:color="auto" w:fill="FFFFFF" w:themeFill="background1"/>
            <w:hideMark/>
          </w:tcPr>
          <w:p w14:paraId="01B05B36" w14:textId="6E784A67" w:rsidR="0038733E" w:rsidRPr="00013BDC" w:rsidRDefault="0038733E" w:rsidP="0038733E">
            <w:pPr>
              <w:spacing w:after="120"/>
              <w:rPr>
                <w:rFonts w:eastAsiaTheme="minorEastAsia"/>
                <w:i/>
                <w:noProof/>
                <w:sz w:val="22"/>
                <w:szCs w:val="22"/>
                <w:lang w:val="en-IE"/>
              </w:rPr>
            </w:pPr>
            <w:r w:rsidRPr="00013BDC">
              <w:rPr>
                <w:rFonts w:eastAsiaTheme="minorEastAsia"/>
                <w:b/>
                <w:i/>
                <w:noProof/>
                <w:sz w:val="22"/>
                <w:szCs w:val="22"/>
                <w:lang w:val="en-IE"/>
              </w:rPr>
              <w:t>Food commodities</w:t>
            </w:r>
            <w:r w:rsidRPr="00013BDC">
              <w:rPr>
                <w:rFonts w:eastAsiaTheme="minorEastAsia"/>
                <w:i/>
                <w:noProof/>
                <w:sz w:val="22"/>
                <w:szCs w:val="22"/>
                <w:lang w:val="en-IE"/>
              </w:rPr>
              <w:t> </w:t>
            </w:r>
            <w:r w:rsidR="5971EAFD" w:rsidRPr="00013BDC">
              <w:rPr>
                <w:rFonts w:eastAsiaTheme="minorEastAsia"/>
                <w:b/>
                <w:bCs/>
                <w:i/>
                <w:iCs/>
                <w:noProof/>
                <w:sz w:val="22"/>
                <w:szCs w:val="22"/>
                <w:lang w:val="en-IE"/>
              </w:rPr>
              <w:t>MFA</w:t>
            </w:r>
          </w:p>
        </w:tc>
        <w:tc>
          <w:tcPr>
            <w:tcW w:w="6660" w:type="dxa"/>
            <w:tcBorders>
              <w:top w:val="single" w:sz="6" w:space="0" w:color="auto"/>
              <w:left w:val="nil"/>
              <w:bottom w:val="single" w:sz="6" w:space="0" w:color="7F7F7F" w:themeColor="text1" w:themeTint="80"/>
              <w:right w:val="single" w:sz="6" w:space="0" w:color="auto"/>
            </w:tcBorders>
            <w:shd w:val="clear" w:color="auto" w:fill="FFFFFF" w:themeFill="background1"/>
            <w:hideMark/>
          </w:tcPr>
          <w:p w14:paraId="65A7CF00" w14:textId="77777777" w:rsidR="0038733E" w:rsidRPr="00013BDC" w:rsidRDefault="0038733E" w:rsidP="0038733E">
            <w:pPr>
              <w:spacing w:after="120"/>
              <w:rPr>
                <w:rFonts w:eastAsiaTheme="minorEastAsia"/>
                <w:i/>
                <w:noProof/>
                <w:sz w:val="22"/>
                <w:szCs w:val="22"/>
                <w:lang w:val="en-IE"/>
              </w:rPr>
            </w:pPr>
            <w:r w:rsidRPr="00013BDC">
              <w:rPr>
                <w:rFonts w:eastAsiaTheme="minorEastAsia"/>
                <w:b/>
                <w:i/>
                <w:noProof/>
                <w:sz w:val="22"/>
                <w:szCs w:val="22"/>
                <w:lang w:val="en-IE"/>
              </w:rPr>
              <w:t>MAGNET commodities</w:t>
            </w:r>
            <w:r w:rsidRPr="00013BDC">
              <w:rPr>
                <w:rFonts w:eastAsiaTheme="minorEastAsia"/>
                <w:i/>
                <w:noProof/>
                <w:sz w:val="22"/>
                <w:szCs w:val="22"/>
                <w:lang w:val="en-IE"/>
              </w:rPr>
              <w:t> </w:t>
            </w:r>
          </w:p>
        </w:tc>
      </w:tr>
      <w:tr w:rsidR="0038733E" w:rsidRPr="00013BDC" w14:paraId="1F917E1E" w14:textId="77777777" w:rsidTr="0FCB278A">
        <w:trPr>
          <w:trHeight w:val="300"/>
        </w:trPr>
        <w:tc>
          <w:tcPr>
            <w:tcW w:w="2085" w:type="dxa"/>
            <w:tcBorders>
              <w:top w:val="nil"/>
              <w:left w:val="single" w:sz="6" w:space="0" w:color="auto"/>
              <w:bottom w:val="nil"/>
              <w:right w:val="single" w:sz="6" w:space="0" w:color="7F7F7F" w:themeColor="text1" w:themeTint="80"/>
            </w:tcBorders>
            <w:shd w:val="clear" w:color="auto" w:fill="F2F2F2" w:themeFill="background1" w:themeFillShade="F2"/>
            <w:hideMark/>
          </w:tcPr>
          <w:p w14:paraId="01D560E8"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Cereals </w:t>
            </w:r>
          </w:p>
        </w:tc>
        <w:tc>
          <w:tcPr>
            <w:tcW w:w="6660" w:type="dxa"/>
            <w:tcBorders>
              <w:top w:val="nil"/>
              <w:left w:val="nil"/>
              <w:bottom w:val="nil"/>
              <w:right w:val="single" w:sz="6" w:space="0" w:color="auto"/>
            </w:tcBorders>
            <w:shd w:val="clear" w:color="auto" w:fill="F2F2F2" w:themeFill="background1" w:themeFillShade="F2"/>
            <w:hideMark/>
          </w:tcPr>
          <w:p w14:paraId="71F3585B"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Paddy rice (pdr), processed rice (ricepro), wheat (wht) and other grains (gro) </w:t>
            </w:r>
          </w:p>
        </w:tc>
      </w:tr>
      <w:tr w:rsidR="0038733E" w:rsidRPr="00013BDC" w14:paraId="7B4C235B" w14:textId="77777777" w:rsidTr="0FCB278A">
        <w:trPr>
          <w:trHeight w:val="240"/>
        </w:trPr>
        <w:tc>
          <w:tcPr>
            <w:tcW w:w="2085" w:type="dxa"/>
            <w:tcBorders>
              <w:top w:val="nil"/>
              <w:left w:val="single" w:sz="6" w:space="0" w:color="auto"/>
              <w:bottom w:val="nil"/>
              <w:right w:val="single" w:sz="6" w:space="0" w:color="7F7F7F" w:themeColor="text1" w:themeTint="80"/>
            </w:tcBorders>
            <w:shd w:val="clear" w:color="auto" w:fill="FFFFFF" w:themeFill="background1"/>
            <w:hideMark/>
          </w:tcPr>
          <w:p w14:paraId="2BA01466"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Dairy </w:t>
            </w:r>
          </w:p>
        </w:tc>
        <w:tc>
          <w:tcPr>
            <w:tcW w:w="6660" w:type="dxa"/>
            <w:tcBorders>
              <w:top w:val="nil"/>
              <w:left w:val="nil"/>
              <w:bottom w:val="nil"/>
              <w:right w:val="single" w:sz="6" w:space="0" w:color="auto"/>
            </w:tcBorders>
            <w:shd w:val="clear" w:color="auto" w:fill="auto"/>
            <w:hideMark/>
          </w:tcPr>
          <w:p w14:paraId="373B5C2E"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Raw milk (rmk), dairy products (dairy) </w:t>
            </w:r>
          </w:p>
        </w:tc>
      </w:tr>
      <w:tr w:rsidR="0038733E" w:rsidRPr="00013BDC" w14:paraId="3186E4A2" w14:textId="77777777" w:rsidTr="0FCB278A">
        <w:trPr>
          <w:trHeight w:val="255"/>
        </w:trPr>
        <w:tc>
          <w:tcPr>
            <w:tcW w:w="2085" w:type="dxa"/>
            <w:tcBorders>
              <w:top w:val="nil"/>
              <w:left w:val="single" w:sz="6" w:space="0" w:color="auto"/>
              <w:bottom w:val="nil"/>
              <w:right w:val="single" w:sz="6" w:space="0" w:color="7F7F7F" w:themeColor="text1" w:themeTint="80"/>
            </w:tcBorders>
            <w:shd w:val="clear" w:color="auto" w:fill="F2F2F2" w:themeFill="background1" w:themeFillShade="F2"/>
            <w:hideMark/>
          </w:tcPr>
          <w:p w14:paraId="32F54150"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Eggs </w:t>
            </w:r>
          </w:p>
        </w:tc>
        <w:tc>
          <w:tcPr>
            <w:tcW w:w="6660" w:type="dxa"/>
            <w:tcBorders>
              <w:top w:val="nil"/>
              <w:left w:val="nil"/>
              <w:bottom w:val="nil"/>
              <w:right w:val="single" w:sz="6" w:space="0" w:color="auto"/>
            </w:tcBorders>
            <w:shd w:val="clear" w:color="auto" w:fill="F2F2F2" w:themeFill="background1" w:themeFillShade="F2"/>
            <w:hideMark/>
          </w:tcPr>
          <w:p w14:paraId="05D7593B"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Poultry live animals (pltry) </w:t>
            </w:r>
          </w:p>
        </w:tc>
      </w:tr>
      <w:tr w:rsidR="0038733E" w:rsidRPr="00013BDC" w14:paraId="75905FEC" w14:textId="77777777" w:rsidTr="0FCB278A">
        <w:trPr>
          <w:trHeight w:val="255"/>
        </w:trPr>
        <w:tc>
          <w:tcPr>
            <w:tcW w:w="2085" w:type="dxa"/>
            <w:tcBorders>
              <w:top w:val="nil"/>
              <w:left w:val="single" w:sz="6" w:space="0" w:color="auto"/>
              <w:bottom w:val="nil"/>
              <w:right w:val="single" w:sz="6" w:space="0" w:color="7F7F7F" w:themeColor="text1" w:themeTint="80"/>
            </w:tcBorders>
            <w:shd w:val="clear" w:color="auto" w:fill="FFFFFF" w:themeFill="background1"/>
            <w:hideMark/>
          </w:tcPr>
          <w:p w14:paraId="1EFDD72C"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Fish </w:t>
            </w:r>
          </w:p>
        </w:tc>
        <w:tc>
          <w:tcPr>
            <w:tcW w:w="6660" w:type="dxa"/>
            <w:tcBorders>
              <w:top w:val="nil"/>
              <w:left w:val="nil"/>
              <w:bottom w:val="nil"/>
              <w:right w:val="single" w:sz="6" w:space="0" w:color="auto"/>
            </w:tcBorders>
            <w:shd w:val="clear" w:color="auto" w:fill="auto"/>
            <w:hideMark/>
          </w:tcPr>
          <w:p w14:paraId="0B346EEE"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Processed fish and crustaceans (fishp), fishing (fishing) </w:t>
            </w:r>
          </w:p>
        </w:tc>
      </w:tr>
      <w:tr w:rsidR="0038733E" w:rsidRPr="00013BDC" w14:paraId="621A3F78" w14:textId="77777777" w:rsidTr="0FCB278A">
        <w:trPr>
          <w:trHeight w:val="255"/>
        </w:trPr>
        <w:tc>
          <w:tcPr>
            <w:tcW w:w="2085" w:type="dxa"/>
            <w:tcBorders>
              <w:top w:val="nil"/>
              <w:left w:val="single" w:sz="6" w:space="0" w:color="auto"/>
              <w:bottom w:val="nil"/>
              <w:right w:val="single" w:sz="6" w:space="0" w:color="7F7F7F" w:themeColor="text1" w:themeTint="80"/>
            </w:tcBorders>
            <w:shd w:val="clear" w:color="auto" w:fill="F2F2F2" w:themeFill="background1" w:themeFillShade="F2"/>
            <w:hideMark/>
          </w:tcPr>
          <w:p w14:paraId="3EBCDB2B"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Fruits </w:t>
            </w:r>
          </w:p>
        </w:tc>
        <w:tc>
          <w:tcPr>
            <w:tcW w:w="6660" w:type="dxa"/>
            <w:tcBorders>
              <w:top w:val="nil"/>
              <w:left w:val="nil"/>
              <w:bottom w:val="nil"/>
              <w:right w:val="single" w:sz="6" w:space="0" w:color="auto"/>
            </w:tcBorders>
            <w:shd w:val="clear" w:color="auto" w:fill="F2F2F2" w:themeFill="background1" w:themeFillShade="F2"/>
            <w:hideMark/>
          </w:tcPr>
          <w:p w14:paraId="6E30D2F7"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Fruits and nuts (fruit)  </w:t>
            </w:r>
          </w:p>
        </w:tc>
      </w:tr>
      <w:tr w:rsidR="0038733E" w:rsidRPr="00013BDC" w14:paraId="1D94D5EB" w14:textId="77777777" w:rsidTr="0FCB278A">
        <w:trPr>
          <w:trHeight w:val="255"/>
        </w:trPr>
        <w:tc>
          <w:tcPr>
            <w:tcW w:w="2085" w:type="dxa"/>
            <w:tcBorders>
              <w:top w:val="nil"/>
              <w:left w:val="single" w:sz="6" w:space="0" w:color="auto"/>
              <w:bottom w:val="nil"/>
              <w:right w:val="single" w:sz="6" w:space="0" w:color="7F7F7F" w:themeColor="text1" w:themeTint="80"/>
            </w:tcBorders>
            <w:shd w:val="clear" w:color="auto" w:fill="FFFFFF" w:themeFill="background1"/>
            <w:hideMark/>
          </w:tcPr>
          <w:p w14:paraId="2401D49C"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Meat </w:t>
            </w:r>
          </w:p>
        </w:tc>
        <w:tc>
          <w:tcPr>
            <w:tcW w:w="6660" w:type="dxa"/>
            <w:tcBorders>
              <w:top w:val="nil"/>
              <w:left w:val="nil"/>
              <w:bottom w:val="nil"/>
              <w:right w:val="single" w:sz="6" w:space="0" w:color="auto"/>
            </w:tcBorders>
            <w:shd w:val="clear" w:color="auto" w:fill="auto"/>
            <w:hideMark/>
          </w:tcPr>
          <w:p w14:paraId="75461B5E"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Beef cattle (bfctl), sheep, goats and horses (ctl), poultry (pltry), pigs (oap), beef meat (bfcmt), rest of cattle meat (cmt), poultry meat (poum), pork meat (omt) </w:t>
            </w:r>
          </w:p>
        </w:tc>
      </w:tr>
      <w:tr w:rsidR="0038733E" w:rsidRPr="00013BDC" w14:paraId="454FE67B" w14:textId="77777777" w:rsidTr="0FCB278A">
        <w:trPr>
          <w:trHeight w:val="255"/>
        </w:trPr>
        <w:tc>
          <w:tcPr>
            <w:tcW w:w="2085" w:type="dxa"/>
            <w:tcBorders>
              <w:top w:val="nil"/>
              <w:left w:val="single" w:sz="6" w:space="0" w:color="auto"/>
              <w:bottom w:val="nil"/>
              <w:right w:val="single" w:sz="6" w:space="0" w:color="7F7F7F" w:themeColor="text1" w:themeTint="80"/>
            </w:tcBorders>
            <w:shd w:val="clear" w:color="auto" w:fill="F2F2F2" w:themeFill="background1" w:themeFillShade="F2"/>
            <w:hideMark/>
          </w:tcPr>
          <w:p w14:paraId="71DF5A15"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Oilcrops </w:t>
            </w:r>
          </w:p>
        </w:tc>
        <w:tc>
          <w:tcPr>
            <w:tcW w:w="6660" w:type="dxa"/>
            <w:tcBorders>
              <w:top w:val="nil"/>
              <w:left w:val="nil"/>
              <w:bottom w:val="nil"/>
              <w:right w:val="single" w:sz="6" w:space="0" w:color="auto"/>
            </w:tcBorders>
            <w:shd w:val="clear" w:color="auto" w:fill="F2F2F2" w:themeFill="background1" w:themeFillShade="F2"/>
            <w:hideMark/>
          </w:tcPr>
          <w:p w14:paraId="208FBCEF"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Oilseeds (osd) </w:t>
            </w:r>
          </w:p>
        </w:tc>
      </w:tr>
      <w:tr w:rsidR="0038733E" w:rsidRPr="00013BDC" w14:paraId="272C3120" w14:textId="77777777" w:rsidTr="0FCB278A">
        <w:trPr>
          <w:trHeight w:val="255"/>
        </w:trPr>
        <w:tc>
          <w:tcPr>
            <w:tcW w:w="2085" w:type="dxa"/>
            <w:tcBorders>
              <w:top w:val="nil"/>
              <w:left w:val="single" w:sz="6" w:space="0" w:color="auto"/>
              <w:bottom w:val="nil"/>
              <w:right w:val="single" w:sz="6" w:space="0" w:color="7F7F7F" w:themeColor="text1" w:themeTint="80"/>
            </w:tcBorders>
            <w:shd w:val="clear" w:color="auto" w:fill="auto"/>
            <w:hideMark/>
          </w:tcPr>
          <w:p w14:paraId="2549C55E"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Sugarbeets </w:t>
            </w:r>
          </w:p>
        </w:tc>
        <w:tc>
          <w:tcPr>
            <w:tcW w:w="6660" w:type="dxa"/>
            <w:tcBorders>
              <w:top w:val="nil"/>
              <w:left w:val="nil"/>
              <w:bottom w:val="nil"/>
              <w:right w:val="single" w:sz="6" w:space="0" w:color="auto"/>
            </w:tcBorders>
            <w:shd w:val="clear" w:color="auto" w:fill="auto"/>
            <w:hideMark/>
          </w:tcPr>
          <w:p w14:paraId="1A2561F8"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Sugar cane and beet (c_b) </w:t>
            </w:r>
          </w:p>
        </w:tc>
      </w:tr>
      <w:tr w:rsidR="0038733E" w:rsidRPr="00013BDC" w14:paraId="2DDC1D7C" w14:textId="77777777" w:rsidTr="0FCB278A">
        <w:trPr>
          <w:trHeight w:val="60"/>
        </w:trPr>
        <w:tc>
          <w:tcPr>
            <w:tcW w:w="2085" w:type="dxa"/>
            <w:tcBorders>
              <w:top w:val="nil"/>
              <w:left w:val="single" w:sz="6" w:space="0" w:color="auto"/>
              <w:bottom w:val="nil"/>
              <w:right w:val="single" w:sz="6" w:space="0" w:color="7F7F7F" w:themeColor="text1" w:themeTint="80"/>
            </w:tcBorders>
            <w:shd w:val="clear" w:color="auto" w:fill="F2F2F2" w:themeFill="background1" w:themeFillShade="F2"/>
            <w:hideMark/>
          </w:tcPr>
          <w:p w14:paraId="65655DC8"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Vegetables  </w:t>
            </w:r>
          </w:p>
        </w:tc>
        <w:tc>
          <w:tcPr>
            <w:tcW w:w="6660" w:type="dxa"/>
            <w:tcBorders>
              <w:top w:val="nil"/>
              <w:left w:val="nil"/>
              <w:bottom w:val="nil"/>
              <w:right w:val="single" w:sz="6" w:space="0" w:color="auto"/>
            </w:tcBorders>
            <w:shd w:val="clear" w:color="auto" w:fill="F2F2F2" w:themeFill="background1" w:themeFillShade="F2"/>
            <w:hideMark/>
          </w:tcPr>
          <w:p w14:paraId="7CCBB498"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Vegetables, pulses, roots and tubers (veg) </w:t>
            </w:r>
          </w:p>
        </w:tc>
      </w:tr>
      <w:tr w:rsidR="0038733E" w:rsidRPr="00013BDC" w14:paraId="203E98E3" w14:textId="77777777" w:rsidTr="0FCB278A">
        <w:trPr>
          <w:trHeight w:val="60"/>
        </w:trPr>
        <w:tc>
          <w:tcPr>
            <w:tcW w:w="2085" w:type="dxa"/>
            <w:tcBorders>
              <w:top w:val="nil"/>
              <w:left w:val="single" w:sz="6" w:space="0" w:color="auto"/>
              <w:bottom w:val="single" w:sz="6" w:space="0" w:color="auto"/>
              <w:right w:val="single" w:sz="6" w:space="0" w:color="7F7F7F" w:themeColor="text1" w:themeTint="80"/>
            </w:tcBorders>
            <w:shd w:val="clear" w:color="auto" w:fill="FFFFFF" w:themeFill="background1"/>
            <w:hideMark/>
          </w:tcPr>
          <w:p w14:paraId="7063F808" w14:textId="77777777" w:rsidR="0038733E" w:rsidRPr="00013BDC" w:rsidRDefault="0038733E" w:rsidP="0038733E">
            <w:pPr>
              <w:spacing w:after="120"/>
              <w:rPr>
                <w:rFonts w:eastAsiaTheme="minorEastAsia"/>
                <w:i/>
                <w:noProof/>
                <w:sz w:val="22"/>
                <w:szCs w:val="22"/>
                <w:lang w:val="en-IE"/>
              </w:rPr>
            </w:pPr>
            <w:r w:rsidRPr="00013BDC">
              <w:rPr>
                <w:rFonts w:eastAsiaTheme="minorEastAsia"/>
                <w:i/>
                <w:noProof/>
                <w:sz w:val="22"/>
                <w:szCs w:val="22"/>
                <w:lang w:val="en-IE"/>
              </w:rPr>
              <w:t>Potatoes </w:t>
            </w:r>
          </w:p>
        </w:tc>
        <w:tc>
          <w:tcPr>
            <w:tcW w:w="6660" w:type="dxa"/>
            <w:tcBorders>
              <w:top w:val="nil"/>
              <w:left w:val="nil"/>
              <w:bottom w:val="single" w:sz="6" w:space="0" w:color="auto"/>
              <w:right w:val="single" w:sz="6" w:space="0" w:color="auto"/>
            </w:tcBorders>
            <w:shd w:val="clear" w:color="auto" w:fill="auto"/>
            <w:hideMark/>
          </w:tcPr>
          <w:p w14:paraId="462F50E1" w14:textId="77777777" w:rsidR="0038733E" w:rsidRPr="00013BDC" w:rsidRDefault="0038733E" w:rsidP="0038733E">
            <w:pPr>
              <w:spacing w:after="120"/>
              <w:rPr>
                <w:rFonts w:eastAsiaTheme="minorEastAsia"/>
                <w:noProof/>
                <w:sz w:val="22"/>
                <w:szCs w:val="22"/>
                <w:lang w:val="en-IE"/>
              </w:rPr>
            </w:pPr>
            <w:r w:rsidRPr="00013BDC">
              <w:rPr>
                <w:rFonts w:eastAsiaTheme="minorEastAsia"/>
                <w:noProof/>
                <w:sz w:val="22"/>
                <w:szCs w:val="22"/>
                <w:lang w:val="en-IE"/>
              </w:rPr>
              <w:t>Vegetables, pulses, roots and tubers (veg) </w:t>
            </w:r>
          </w:p>
        </w:tc>
      </w:tr>
    </w:tbl>
    <w:p w14:paraId="1C7C0B71" w14:textId="7350BD77" w:rsidR="0038733E" w:rsidRPr="00013BDC" w:rsidRDefault="0038733E" w:rsidP="00636158">
      <w:pPr>
        <w:spacing w:after="120"/>
        <w:jc w:val="center"/>
        <w:rPr>
          <w:rFonts w:eastAsiaTheme="minorEastAsia"/>
          <w:noProof/>
          <w:sz w:val="22"/>
          <w:szCs w:val="22"/>
          <w:lang w:val="en-IE"/>
        </w:rPr>
      </w:pPr>
      <w:r w:rsidRPr="00013BDC">
        <w:rPr>
          <w:rFonts w:eastAsiaTheme="minorEastAsia"/>
          <w:noProof/>
          <w:sz w:val="22"/>
          <w:szCs w:val="22"/>
          <w:lang w:val="en-IE"/>
        </w:rPr>
        <w:t>Source: Authors’ own elaboration</w:t>
      </w:r>
    </w:p>
    <w:p w14:paraId="5DCFB2C2" w14:textId="77777777" w:rsidR="0038733E" w:rsidRPr="00013BDC" w:rsidRDefault="0038733E" w:rsidP="0038733E">
      <w:pPr>
        <w:spacing w:after="120"/>
        <w:rPr>
          <w:rFonts w:eastAsiaTheme="minorEastAsia"/>
          <w:noProof/>
          <w:lang w:val="en-IE"/>
        </w:rPr>
      </w:pPr>
      <w:r w:rsidRPr="00013BDC">
        <w:rPr>
          <w:rFonts w:eastAsiaTheme="minorEastAsia"/>
          <w:noProof/>
          <w:lang w:val="en-IE"/>
        </w:rPr>
        <w:t>Note: In addition to the FW MFA commodities, additional MAGNET commodities include other food, which comprises of mostly packaged and prepared food, and processed sugar which is mapped as others. </w:t>
      </w:r>
    </w:p>
    <w:p w14:paraId="02172DBA" w14:textId="4C5355E1" w:rsidR="0038733E" w:rsidRPr="00013BDC" w:rsidRDefault="00F64258" w:rsidP="00F64258">
      <w:pPr>
        <w:pStyle w:val="Heading3"/>
        <w:rPr>
          <w:rFonts w:eastAsiaTheme="minorEastAsia"/>
          <w:noProof/>
          <w:lang w:val="en-IE"/>
        </w:rPr>
      </w:pPr>
      <w:bookmarkStart w:id="416" w:name="_Toc1824232825"/>
      <w:bookmarkStart w:id="417" w:name="_Toc1345418336"/>
      <w:bookmarkStart w:id="418" w:name="_Toc295000722"/>
      <w:bookmarkStart w:id="419" w:name="_Toc1765740413"/>
      <w:bookmarkStart w:id="420" w:name="_Toc881356918"/>
      <w:bookmarkStart w:id="421" w:name="_Toc895405727"/>
      <w:bookmarkStart w:id="422" w:name="_Toc1261880974"/>
      <w:bookmarkStart w:id="423" w:name="_Toc392483201"/>
      <w:bookmarkStart w:id="424" w:name="_Toc139032968"/>
      <w:r w:rsidRPr="00F64258">
        <w:rPr>
          <w:rFonts w:eastAsiaTheme="minorEastAsia"/>
        </w:rPr>
        <w:t>2.1.6</w:t>
      </w:r>
      <w:r w:rsidRPr="00F64258">
        <w:rPr>
          <w:rFonts w:eastAsiaTheme="minorEastAsia"/>
        </w:rPr>
        <w:tab/>
      </w:r>
      <w:r w:rsidR="0038733E" w:rsidRPr="00013BDC">
        <w:rPr>
          <w:rFonts w:eastAsiaTheme="minorEastAsia"/>
          <w:noProof/>
          <w:lang w:val="en-IE"/>
        </w:rPr>
        <w:t>Discussion of the modelling approach</w:t>
      </w:r>
      <w:bookmarkEnd w:id="416"/>
      <w:bookmarkEnd w:id="417"/>
      <w:bookmarkEnd w:id="418"/>
      <w:bookmarkEnd w:id="419"/>
      <w:bookmarkEnd w:id="420"/>
      <w:bookmarkEnd w:id="421"/>
      <w:bookmarkEnd w:id="422"/>
      <w:bookmarkEnd w:id="423"/>
      <w:bookmarkEnd w:id="424"/>
      <w:r w:rsidR="0038733E" w:rsidRPr="00013BDC">
        <w:rPr>
          <w:rFonts w:eastAsiaTheme="minorEastAsia"/>
          <w:noProof/>
          <w:lang w:val="en-IE"/>
        </w:rPr>
        <w:t>  </w:t>
      </w:r>
    </w:p>
    <w:p w14:paraId="4E41E9DF" w14:textId="7377BDD2" w:rsidR="0038733E" w:rsidRPr="00013BDC" w:rsidRDefault="0038733E" w:rsidP="0038733E">
      <w:pPr>
        <w:spacing w:after="120"/>
        <w:rPr>
          <w:rFonts w:eastAsiaTheme="minorEastAsia"/>
          <w:noProof/>
          <w:lang w:val="en-IE"/>
        </w:rPr>
      </w:pPr>
      <w:r w:rsidRPr="00013BDC">
        <w:rPr>
          <w:rFonts w:eastAsiaTheme="minorEastAsia"/>
          <w:noProof/>
          <w:lang w:val="en-IE"/>
        </w:rPr>
        <w:t>As for all simulation modelling exercises, a number of general caveats are also true for the MAGNET approach employed in this study.</w:t>
      </w:r>
    </w:p>
    <w:p w14:paraId="51B5FDC9" w14:textId="519B476C" w:rsidR="0038733E" w:rsidRPr="00013BDC" w:rsidRDefault="0038733E" w:rsidP="0038733E">
      <w:pPr>
        <w:spacing w:after="120"/>
        <w:rPr>
          <w:rFonts w:eastAsiaTheme="minorEastAsia"/>
          <w:noProof/>
          <w:lang w:val="en-IE"/>
        </w:rPr>
      </w:pPr>
      <w:r w:rsidRPr="00013BDC">
        <w:rPr>
          <w:rFonts w:eastAsiaTheme="minorEastAsia"/>
          <w:noProof/>
          <w:lang w:val="en-IE"/>
        </w:rPr>
        <w:t>Economic simulation models are a conceptual framework representing the economy in a structured but schematic and simplified manner. By definition, they cannot reproduce the reality in its full complexity and thus have shortcomings and limitations, which affect the results of the studies based on such models.</w:t>
      </w:r>
    </w:p>
    <w:p w14:paraId="4DD5D678" w14:textId="77777777" w:rsidR="0038733E" w:rsidRPr="00013BDC" w:rsidRDefault="0038733E" w:rsidP="0038733E">
      <w:pPr>
        <w:spacing w:after="120"/>
        <w:rPr>
          <w:rFonts w:eastAsiaTheme="minorEastAsia"/>
          <w:noProof/>
          <w:lang w:val="en-IE"/>
        </w:rPr>
      </w:pPr>
      <w:r w:rsidRPr="00013BDC">
        <w:rPr>
          <w:rFonts w:eastAsiaTheme="minorEastAsia"/>
          <w:noProof/>
          <w:lang w:val="en-IE"/>
        </w:rPr>
        <w:t>The model employed is designed as a tool for conducting policy experiments in which a reference scenario or baseline is first simulated over a future period and then, after changing one or more underlying assumptions (e.g., policy settings, exogenous macroeconomic developments) a new scenario incorporating these changes is run over the same time period. The deviation between the new scenario and the baseline scenario at a given point in the simulation period establishes the direction and relative magnitude of the impacts on all the endogenous variables (e.g., prices, quantities, incomes etc.). In this study, the deviation year of interest is 2030, and the alternative states of the world correspond to different, hypothetical rules of waste reduction. </w:t>
      </w:r>
    </w:p>
    <w:p w14:paraId="1F919A41" w14:textId="77777777" w:rsidR="0038733E" w:rsidRPr="00013BDC" w:rsidRDefault="0038733E" w:rsidP="0038733E">
      <w:pPr>
        <w:spacing w:after="120"/>
        <w:rPr>
          <w:rFonts w:eastAsiaTheme="minorEastAsia"/>
          <w:noProof/>
          <w:lang w:val="en-IE"/>
        </w:rPr>
      </w:pPr>
      <w:r w:rsidRPr="00013BDC">
        <w:rPr>
          <w:rFonts w:eastAsiaTheme="minorEastAsia"/>
          <w:noProof/>
          <w:lang w:val="en-IE"/>
        </w:rPr>
        <w:t>Although the model can be used to project individual values of particular variables, it must be stressed that it is not a forecasting model and users should be aware that the projections should not be taken as accurate predictions of the state of the world in any given future period. A no change, or status quo baseline is set up to include, as far as reasonably possible, what we currently understand and can reasonably assume about medium-term future market developments to preserve the economic structure (i.e., relative importance) of different economic activities. It is not typically appropriate for capturing potentially short-term market developments nor unforeseen events (i.e., bad weather, economic crises). If one understands these limitations, then the subsequent deviations in model outcomes purely reflect exogenously controlled changes in those market mechanisms of interest (i.e., technology change, preference changes, tax changes). </w:t>
      </w:r>
    </w:p>
    <w:p w14:paraId="2FD76F3B" w14:textId="77777777" w:rsidR="0038733E" w:rsidRPr="00013BDC" w:rsidRDefault="0038733E" w:rsidP="0038733E">
      <w:pPr>
        <w:spacing w:after="120"/>
        <w:rPr>
          <w:rFonts w:eastAsiaTheme="minorEastAsia"/>
          <w:noProof/>
          <w:lang w:val="en-IE"/>
        </w:rPr>
      </w:pPr>
      <w:r w:rsidRPr="00013BDC">
        <w:rPr>
          <w:rFonts w:eastAsiaTheme="minorEastAsia"/>
          <w:noProof/>
          <w:lang w:val="en-IE"/>
        </w:rPr>
        <w:t>General (and partial) equilibrium model solutions become less reliable the further into the future outcomes are simulated. Given the very large number of assumptions, estimated or calibrated parameters, and stylised specification features that these models assemble, each of which is 'correct' only up to an (unknown) probability, it is difficult to establish confidence intervals or margins of error around individual projected numbers. </w:t>
      </w:r>
    </w:p>
    <w:p w14:paraId="76D2E613" w14:textId="77777777" w:rsidR="0038733E" w:rsidRPr="00013BDC" w:rsidRDefault="0038733E" w:rsidP="0038733E">
      <w:pPr>
        <w:spacing w:after="120"/>
        <w:rPr>
          <w:rFonts w:eastAsiaTheme="minorEastAsia"/>
          <w:noProof/>
          <w:lang w:val="en-IE"/>
        </w:rPr>
      </w:pPr>
      <w:r w:rsidRPr="00013BDC">
        <w:rPr>
          <w:rFonts w:eastAsiaTheme="minorEastAsia"/>
          <w:noProof/>
          <w:lang w:val="en-IE"/>
        </w:rPr>
        <w:t>Specific caveats are relevant with a view to the implementation of the food waste baseline and scenarios. </w:t>
      </w:r>
    </w:p>
    <w:p w14:paraId="13D15739"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First of all, model results can only be as good as the underlying databases and are influenced by the assumptions made of treating those within the context of the model. In the case of this assessments, </w:t>
      </w:r>
      <w:r w:rsidRPr="00013BDC">
        <w:rPr>
          <w:rFonts w:eastAsiaTheme="minorEastAsia"/>
          <w:b/>
          <w:noProof/>
          <w:lang w:val="en-IE"/>
        </w:rPr>
        <w:t>food waste statistics</w:t>
      </w:r>
      <w:r w:rsidRPr="00013BDC">
        <w:rPr>
          <w:rFonts w:eastAsiaTheme="minorEastAsia"/>
          <w:noProof/>
          <w:lang w:val="en-IE"/>
        </w:rPr>
        <w:t xml:space="preserve"> have been made available only end of October by ESTAT (published 25 October 2022 under this </w:t>
      </w:r>
      <w:hyperlink r:id="rId69" w:tgtFrame="_blank" w:history="1">
        <w:r w:rsidRPr="00013BDC">
          <w:rPr>
            <w:rStyle w:val="Hyperlink"/>
            <w:rFonts w:eastAsiaTheme="minorEastAsia"/>
            <w:noProof/>
            <w:lang w:val="en-IE"/>
          </w:rPr>
          <w:t>link</w:t>
        </w:r>
      </w:hyperlink>
      <w:r w:rsidRPr="00013BDC">
        <w:rPr>
          <w:rFonts w:eastAsiaTheme="minorEastAsia"/>
          <w:noProof/>
          <w:lang w:val="en-IE"/>
        </w:rPr>
        <w:t xml:space="preserve">). These numbers, provided by Member States, are very different from earlier estimates and do not provide time series. ESTAT explains in a detailed </w:t>
      </w:r>
      <w:hyperlink r:id="rId70" w:anchor="Methodology" w:tgtFrame="_blank" w:history="1">
        <w:r w:rsidRPr="00013BDC">
          <w:rPr>
            <w:rStyle w:val="Hyperlink"/>
            <w:rFonts w:eastAsiaTheme="minorEastAsia"/>
            <w:noProof/>
            <w:lang w:val="en-IE"/>
          </w:rPr>
          <w:t>methodology</w:t>
        </w:r>
      </w:hyperlink>
      <w:r w:rsidRPr="00013BDC">
        <w:rPr>
          <w:rFonts w:eastAsiaTheme="minorEastAsia"/>
          <w:noProof/>
          <w:lang w:val="en-IE"/>
        </w:rPr>
        <w:t xml:space="preserve"> description: “In this first data collection, several countries have used estimates or have indicated that for some data points their definitions differ. Estimates and differences in definitions are due to limitations in sample size, exclusion of small subsectors or of small companies or activities, incompleteness of sector surveys, suboptimal estimation of coefficients for the fresh mass calculation, misinterpretation of definitions by data reporters, difficulties in attributing the waste measurement in between two or more sectors.”  </w:t>
      </w:r>
    </w:p>
    <w:p w14:paraId="610BE3F9"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The limitations of the data set above have important impacts on the preparation of the baseline, more specifically the </w:t>
      </w:r>
      <w:r w:rsidRPr="00013BDC">
        <w:rPr>
          <w:rFonts w:eastAsiaTheme="minorEastAsia"/>
          <w:b/>
          <w:noProof/>
          <w:lang w:val="en-IE"/>
        </w:rPr>
        <w:t>projections</w:t>
      </w:r>
      <w:r w:rsidRPr="00013BDC">
        <w:rPr>
          <w:rFonts w:eastAsiaTheme="minorEastAsia"/>
          <w:noProof/>
          <w:lang w:val="en-IE"/>
        </w:rPr>
        <w:t xml:space="preserve"> of food waste over the next decade. Details are explained in the next section on the baseline.  </w:t>
      </w:r>
    </w:p>
    <w:p w14:paraId="20359F20" w14:textId="3067842C" w:rsidR="0038733E" w:rsidRPr="00013BDC" w:rsidRDefault="7D5C4CDA" w:rsidP="1BDF1DA9">
      <w:pPr>
        <w:spacing w:after="120"/>
        <w:rPr>
          <w:rFonts w:eastAsiaTheme="minorEastAsia"/>
          <w:noProof/>
          <w:lang w:val="en-IE"/>
        </w:rPr>
      </w:pPr>
      <w:r w:rsidRPr="00013BDC">
        <w:rPr>
          <w:rFonts w:eastAsiaTheme="minorEastAsia"/>
          <w:noProof/>
          <w:lang w:val="en-IE"/>
        </w:rPr>
        <w:t xml:space="preserve">This study does not account for </w:t>
      </w:r>
      <w:r w:rsidRPr="00013BDC">
        <w:rPr>
          <w:rFonts w:eastAsiaTheme="minorEastAsia"/>
          <w:b/>
          <w:bCs/>
          <w:noProof/>
          <w:lang w:val="en-IE"/>
        </w:rPr>
        <w:t>changes in consumer attitudes</w:t>
      </w:r>
      <w:r w:rsidRPr="00013BDC">
        <w:rPr>
          <w:rFonts w:eastAsiaTheme="minorEastAsia"/>
          <w:noProof/>
          <w:lang w:val="en-IE"/>
        </w:rPr>
        <w:t xml:space="preserve"> to food waste in the baseline. Following for example, Verma </w:t>
      </w:r>
      <w:r w:rsidR="36830B2E" w:rsidRPr="00013BDC">
        <w:rPr>
          <w:rFonts w:eastAsiaTheme="minorEastAsia"/>
          <w:noProof/>
          <w:lang w:val="en-IE"/>
        </w:rPr>
        <w:t xml:space="preserve">MvdB </w:t>
      </w:r>
      <w:r w:rsidRPr="00013BDC">
        <w:rPr>
          <w:rFonts w:eastAsiaTheme="minorEastAsia"/>
          <w:noProof/>
          <w:lang w:val="en-IE"/>
        </w:rPr>
        <w:t>et al. (2020), future studies could account for the evolution of food waste as a function of (</w:t>
      </w:r>
      <w:r w:rsidRPr="00013BDC">
        <w:rPr>
          <w:rFonts w:eastAsiaTheme="minorEastAsia"/>
          <w:i/>
          <w:iCs/>
          <w:noProof/>
          <w:lang w:val="en-IE"/>
        </w:rPr>
        <w:t>inter alia</w:t>
      </w:r>
      <w:r w:rsidRPr="00013BDC">
        <w:rPr>
          <w:rFonts w:eastAsiaTheme="minorEastAsia"/>
          <w:noProof/>
          <w:lang w:val="en-IE"/>
        </w:rPr>
        <w:t>) wealth, applying time series information on food waste development. In addition, the baseline does not consider potential technological changes that might have contributed to reducing food losses in agricultural production and post-harvest losses in the baseline.  </w:t>
      </w:r>
    </w:p>
    <w:p w14:paraId="44265608"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Another issue is related to the </w:t>
      </w:r>
      <w:r w:rsidRPr="00013BDC">
        <w:rPr>
          <w:rFonts w:eastAsiaTheme="minorEastAsia"/>
          <w:b/>
          <w:noProof/>
          <w:lang w:val="en-IE"/>
        </w:rPr>
        <w:t>edible and inedible parts of food waste</w:t>
      </w:r>
      <w:r w:rsidRPr="00013BDC">
        <w:rPr>
          <w:rFonts w:eastAsiaTheme="minorEastAsia"/>
          <w:noProof/>
          <w:lang w:val="en-IE"/>
        </w:rPr>
        <w:t>. According to the UNEP food waste index report “understanding the split between edible and inedible food waste is not a requirement for reporting on SDG 12.3 using the Food Waste Index, and SDG 12.3 is a target to halve total consumer food waste, including inedible parts." In this modelling exercise we do not distinguish edible/inedible waste. </w:t>
      </w:r>
    </w:p>
    <w:p w14:paraId="0DBF4EB8"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As shown in the surveys, there are </w:t>
      </w:r>
      <w:r w:rsidRPr="00013BDC">
        <w:rPr>
          <w:rFonts w:eastAsiaTheme="minorEastAsia"/>
          <w:b/>
          <w:noProof/>
          <w:lang w:val="en-IE"/>
        </w:rPr>
        <w:t>costs</w:t>
      </w:r>
      <w:r w:rsidRPr="00013BDC">
        <w:rPr>
          <w:rFonts w:eastAsiaTheme="minorEastAsia"/>
          <w:noProof/>
          <w:lang w:val="en-IE"/>
        </w:rPr>
        <w:t xml:space="preserve"> associated with the reduction of food waste and losses, however, with a high degree of uncertainty regarding the size of these costs. For this reason, an approach has been chosen to fix the reduction target and approximate costs needed through variable swaps.   </w:t>
      </w:r>
    </w:p>
    <w:p w14:paraId="7F3BAC33"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In line with the objective of this study, the MAGNET model simulates the impact of achieving the </w:t>
      </w:r>
      <w:r w:rsidRPr="00013BDC">
        <w:rPr>
          <w:rFonts w:eastAsiaTheme="minorEastAsia"/>
          <w:b/>
          <w:noProof/>
          <w:lang w:val="en-IE"/>
        </w:rPr>
        <w:t>SDG 12.3 target</w:t>
      </w:r>
      <w:r w:rsidRPr="00013BDC">
        <w:rPr>
          <w:rFonts w:eastAsiaTheme="minorEastAsia"/>
          <w:noProof/>
          <w:lang w:val="en-IE"/>
        </w:rPr>
        <w:t>. It does not provide a detailed analysis of the concrete instruments to implement the policy. </w:t>
      </w:r>
    </w:p>
    <w:p w14:paraId="2F4A2C0C" w14:textId="77777777" w:rsidR="0038733E" w:rsidRPr="00013BDC" w:rsidRDefault="0038733E" w:rsidP="0038733E">
      <w:pPr>
        <w:spacing w:after="120"/>
        <w:rPr>
          <w:rFonts w:eastAsiaTheme="minorEastAsia"/>
          <w:noProof/>
          <w:lang w:val="en-IE"/>
        </w:rPr>
      </w:pPr>
      <w:r w:rsidRPr="00013BDC">
        <w:rPr>
          <w:rFonts w:eastAsiaTheme="minorEastAsia"/>
          <w:noProof/>
          <w:lang w:val="en-IE"/>
        </w:rPr>
        <w:t>Furthermore, the MAGNET model includes households as one representative household per region. As a result, this study does not depict the impact of the different scenarios on poverty, food accessibility and food affordability of specific households. </w:t>
      </w:r>
    </w:p>
    <w:p w14:paraId="1F430809" w14:textId="0A82B8F6" w:rsidR="74F42EAB" w:rsidRPr="00013BDC" w:rsidRDefault="74F42EAB" w:rsidP="71F2423F">
      <w:pPr>
        <w:spacing w:after="120"/>
        <w:rPr>
          <w:rFonts w:eastAsiaTheme="minorEastAsia"/>
          <w:noProof/>
          <w:lang w:val="en-IE"/>
        </w:rPr>
      </w:pPr>
      <w:r w:rsidRPr="00013BDC">
        <w:rPr>
          <w:rFonts w:eastAsiaTheme="minorEastAsia"/>
          <w:noProof/>
          <w:lang w:val="en-IE"/>
        </w:rPr>
        <w:t xml:space="preserve">The MAGNET model depicts the </w:t>
      </w:r>
      <w:r w:rsidRPr="00013BDC">
        <w:rPr>
          <w:rFonts w:eastAsiaTheme="minorEastAsia"/>
          <w:b/>
          <w:noProof/>
          <w:lang w:val="en-IE"/>
        </w:rPr>
        <w:t>interlinkages and rebound effects</w:t>
      </w:r>
      <w:r w:rsidRPr="00013BDC">
        <w:rPr>
          <w:rFonts w:eastAsiaTheme="minorEastAsia"/>
          <w:noProof/>
          <w:lang w:val="en-IE"/>
        </w:rPr>
        <w:t xml:space="preserve"> of the whole economy. </w:t>
      </w:r>
      <w:r w:rsidR="3FF12098" w:rsidRPr="00013BDC">
        <w:rPr>
          <w:rFonts w:eastAsiaTheme="minorEastAsia"/>
          <w:noProof/>
          <w:lang w:val="en-IE"/>
        </w:rPr>
        <w:t>A rebound effect arises when through efficiency gains (in this case due to food waste reduction), resources (physical and monetary) are released, which then can provoke an increased consumption of the same good (called direct rebound effect) or a reallocation of the resources to other sectors (called indirect rebound effect). In this study, for instance in the case of households consuming less agri</w:t>
      </w:r>
      <w:r w:rsidR="00D42216" w:rsidRPr="00013BDC">
        <w:rPr>
          <w:rFonts w:eastAsiaTheme="minorEastAsia"/>
          <w:noProof/>
          <w:lang w:val="en-IE"/>
        </w:rPr>
        <w:t>-</w:t>
      </w:r>
      <w:r w:rsidR="3FF12098" w:rsidRPr="00013BDC">
        <w:rPr>
          <w:rFonts w:eastAsiaTheme="minorEastAsia"/>
          <w:noProof/>
          <w:lang w:val="en-IE"/>
        </w:rPr>
        <w:t>food products, the released economic means can be used for other purposes and consumption, thus increasing again emissions, which have been saved in the agri</w:t>
      </w:r>
      <w:r w:rsidR="00D42216" w:rsidRPr="00013BDC">
        <w:rPr>
          <w:rFonts w:eastAsiaTheme="minorEastAsia"/>
          <w:noProof/>
          <w:lang w:val="en-IE"/>
        </w:rPr>
        <w:t>-</w:t>
      </w:r>
      <w:r w:rsidR="3FF12098" w:rsidRPr="00013BDC">
        <w:rPr>
          <w:rFonts w:eastAsiaTheme="minorEastAsia"/>
          <w:noProof/>
          <w:lang w:val="en-IE"/>
        </w:rPr>
        <w:t xml:space="preserve">food sector. Therefore, results are different from partial or linear models, </w:t>
      </w:r>
      <w:r w:rsidR="01AC3FF7" w:rsidRPr="00013BDC">
        <w:rPr>
          <w:rFonts w:eastAsiaTheme="minorEastAsia"/>
          <w:noProof/>
          <w:lang w:val="en-IE"/>
        </w:rPr>
        <w:t>and in general show smaller savings of resources such as greenhouse gas emissions.</w:t>
      </w:r>
      <w:r w:rsidR="3FF12098" w:rsidRPr="00013BDC">
        <w:rPr>
          <w:rFonts w:eastAsiaTheme="minorEastAsia"/>
          <w:noProof/>
          <w:lang w:val="en-IE"/>
        </w:rPr>
        <w:t> </w:t>
      </w:r>
    </w:p>
    <w:p w14:paraId="4F4583EE"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In the applied modelling approach, the </w:t>
      </w:r>
      <w:r w:rsidRPr="00013BDC">
        <w:rPr>
          <w:rFonts w:eastAsiaTheme="minorEastAsia"/>
          <w:b/>
          <w:noProof/>
          <w:lang w:val="en-IE"/>
        </w:rPr>
        <w:t>benefits of ecosystem services</w:t>
      </w:r>
      <w:r w:rsidRPr="00013BDC">
        <w:rPr>
          <w:rFonts w:eastAsiaTheme="minorEastAsia"/>
          <w:noProof/>
          <w:lang w:val="en-IE"/>
        </w:rPr>
        <w:t xml:space="preserve"> cannot be measured. At the time the study was conducted, to the best of our knowledge, there was no global economic model available that explicitly considered ecosystem services. However, ecosystem service models provide information on how production changes that affect the ecosystem structure lead to changed values of ecosystem services. Linking CGE models such as MAGNET to ecosystem services models would provide an interesting springboard for future research but is far beyond the scope of this study. Such an approach would also require an ecosystem services database covering multiple ecosystem services in EU member states. To overcome this gap, this study provides a qualitative discussion of the potential implications of model results for ecosystem services provision and associated benefits.  </w:t>
      </w:r>
    </w:p>
    <w:p w14:paraId="33D907B8" w14:textId="21B050C9" w:rsidR="0038733E" w:rsidRPr="00013BDC" w:rsidRDefault="0038733E" w:rsidP="00636158">
      <w:pPr>
        <w:rPr>
          <w:rFonts w:eastAsiaTheme="minorEastAsia"/>
          <w:noProof/>
          <w:lang w:val="en-IE"/>
        </w:rPr>
      </w:pPr>
      <w:r w:rsidRPr="00013BDC">
        <w:rPr>
          <w:rFonts w:eastAsiaTheme="minorEastAsia"/>
          <w:noProof/>
          <w:lang w:val="en-IE"/>
        </w:rPr>
        <w:t xml:space="preserve">The reduction of food waste leads to a decrease in </w:t>
      </w:r>
      <w:r w:rsidRPr="00013BDC">
        <w:rPr>
          <w:noProof/>
          <w:lang w:val="en-IE"/>
        </w:rPr>
        <w:t>labour demand</w:t>
      </w:r>
      <w:r w:rsidRPr="00013BDC">
        <w:rPr>
          <w:rFonts w:eastAsiaTheme="minorEastAsia"/>
          <w:noProof/>
          <w:lang w:val="en-IE"/>
        </w:rPr>
        <w:t xml:space="preserve"> in the agricultural sectors. In this version of the MAGNET model, unemployment is not taken into account as the long-run equilibrium corresponds to the natural rate of unemployment, which is a common assumption in deterministic global CGE models.   </w:t>
      </w:r>
    </w:p>
    <w:p w14:paraId="2809F151" w14:textId="239954B4" w:rsidR="0038733E" w:rsidRPr="00013BDC" w:rsidRDefault="00F64258" w:rsidP="00F64258">
      <w:pPr>
        <w:pStyle w:val="Heading3"/>
        <w:rPr>
          <w:rFonts w:eastAsiaTheme="minorEastAsia"/>
          <w:noProof/>
          <w:lang w:val="en-IE"/>
        </w:rPr>
      </w:pPr>
      <w:bookmarkStart w:id="425" w:name="_Toc2048576928"/>
      <w:bookmarkStart w:id="426" w:name="_Toc1147908470"/>
      <w:bookmarkStart w:id="427" w:name="_Toc1758960639"/>
      <w:bookmarkStart w:id="428" w:name="_Toc2003451307"/>
      <w:bookmarkStart w:id="429" w:name="_Toc924971856"/>
      <w:bookmarkStart w:id="430" w:name="_Toc1686578508"/>
      <w:bookmarkStart w:id="431" w:name="_Toc869233379"/>
      <w:bookmarkStart w:id="432" w:name="_Toc2119097410"/>
      <w:bookmarkStart w:id="433" w:name="_Toc139032969"/>
      <w:r w:rsidRPr="00F64258">
        <w:rPr>
          <w:rFonts w:eastAsiaTheme="minorEastAsia"/>
        </w:rPr>
        <w:t>2.2</w:t>
      </w:r>
      <w:r w:rsidRPr="00F64258">
        <w:rPr>
          <w:rFonts w:eastAsiaTheme="minorEastAsia"/>
        </w:rPr>
        <w:tab/>
      </w:r>
      <w:r w:rsidR="0038733E" w:rsidRPr="00013BDC">
        <w:rPr>
          <w:rFonts w:eastAsiaTheme="minorEastAsia"/>
          <w:noProof/>
          <w:lang w:val="en-IE"/>
        </w:rPr>
        <w:t xml:space="preserve">Bottom-up Life Cycle-based analysis of food waste reduction </w:t>
      </w:r>
      <w:r w:rsidR="40F0F51D" w:rsidRPr="00013BDC">
        <w:rPr>
          <w:rFonts w:eastAsiaTheme="minorEastAsia"/>
          <w:noProof/>
          <w:lang w:val="en-IE"/>
        </w:rPr>
        <w:t>targets</w:t>
      </w:r>
      <w:bookmarkEnd w:id="425"/>
      <w:bookmarkEnd w:id="426"/>
      <w:bookmarkEnd w:id="427"/>
      <w:bookmarkEnd w:id="428"/>
      <w:bookmarkEnd w:id="429"/>
      <w:bookmarkEnd w:id="430"/>
      <w:bookmarkEnd w:id="431"/>
      <w:bookmarkEnd w:id="432"/>
      <w:bookmarkEnd w:id="433"/>
      <w:r w:rsidR="0038733E" w:rsidRPr="00013BDC">
        <w:rPr>
          <w:rFonts w:eastAsiaTheme="minorEastAsia"/>
          <w:noProof/>
          <w:lang w:val="en-IE"/>
        </w:rPr>
        <w:t>  </w:t>
      </w:r>
    </w:p>
    <w:p w14:paraId="207B713E" w14:textId="77777777" w:rsidR="0038733E" w:rsidRPr="00013BDC" w:rsidRDefault="0038733E" w:rsidP="0038733E">
      <w:pPr>
        <w:spacing w:after="120"/>
        <w:rPr>
          <w:rFonts w:eastAsiaTheme="minorEastAsia"/>
          <w:noProof/>
          <w:lang w:val="en-IE"/>
        </w:rPr>
      </w:pPr>
      <w:r w:rsidRPr="00013BDC">
        <w:rPr>
          <w:rFonts w:eastAsiaTheme="minorEastAsia"/>
          <w:noProof/>
          <w:lang w:val="en-IE"/>
        </w:rPr>
        <w:t xml:space="preserve">In this section, we describe a complementary modelling approach that was applied to the analysis of food waste prevention targets in order to support the policy impact assessment. The approach relies on the application of </w:t>
      </w:r>
      <w:r w:rsidRPr="00013BDC">
        <w:rPr>
          <w:rFonts w:eastAsiaTheme="minorEastAsia"/>
          <w:b/>
          <w:noProof/>
          <w:lang w:val="en-IE"/>
        </w:rPr>
        <w:t>Life Cycle Assessment (LCA)</w:t>
      </w:r>
      <w:r w:rsidRPr="00013BDC">
        <w:rPr>
          <w:rFonts w:eastAsiaTheme="minorEastAsia"/>
          <w:noProof/>
          <w:lang w:val="en-IE"/>
        </w:rPr>
        <w:t xml:space="preserve"> method, which allows assessing the environmental impacts of food and food waste by modelling individual food products in their entire life cycle (from agriculture production to food waste management).  </w:t>
      </w:r>
    </w:p>
    <w:p w14:paraId="6B480E2C" w14:textId="77777777" w:rsidR="00B577DC" w:rsidRPr="00013BDC" w:rsidRDefault="00B577DC" w:rsidP="00B577DC">
      <w:pPr>
        <w:pStyle w:val="Heading3"/>
        <w:rPr>
          <w:rFonts w:eastAsiaTheme="minorEastAsia"/>
          <w:noProof/>
          <w:lang w:val="en-IE"/>
        </w:rPr>
      </w:pPr>
      <w:bookmarkStart w:id="434" w:name="_Toc132804215"/>
      <w:bookmarkStart w:id="435" w:name="_Toc139032970"/>
      <w:r w:rsidRPr="00013BDC">
        <w:rPr>
          <w:rFonts w:eastAsiaTheme="minorEastAsia"/>
          <w:noProof/>
          <w:lang w:val="en-IE"/>
        </w:rPr>
        <w:t xml:space="preserve">2.2.1 </w:t>
      </w:r>
      <w:bookmarkEnd w:id="434"/>
      <w:r w:rsidRPr="00013BDC">
        <w:rPr>
          <w:rFonts w:eastAsiaTheme="minorEastAsia"/>
          <w:noProof/>
          <w:lang w:val="en-IE"/>
        </w:rPr>
        <w:t>Methodological approach</w:t>
      </w:r>
      <w:bookmarkEnd w:id="435"/>
      <w:r w:rsidRPr="00013BDC">
        <w:rPr>
          <w:rFonts w:eastAsiaTheme="minorEastAsia"/>
          <w:noProof/>
          <w:lang w:val="en-IE"/>
        </w:rPr>
        <w:t xml:space="preserve"> </w:t>
      </w:r>
    </w:p>
    <w:p w14:paraId="3AB40F92" w14:textId="450BF646" w:rsidR="0038733E" w:rsidRPr="00013BDC" w:rsidRDefault="0038733E" w:rsidP="0038733E">
      <w:pPr>
        <w:spacing w:after="120"/>
        <w:rPr>
          <w:rFonts w:eastAsiaTheme="minorEastAsia"/>
          <w:noProof/>
          <w:lang w:val="en-IE"/>
        </w:rPr>
      </w:pPr>
      <w:r w:rsidRPr="00013BDC">
        <w:rPr>
          <w:rFonts w:eastAsiaTheme="minorEastAsia"/>
          <w:noProof/>
          <w:lang w:val="en-IE"/>
        </w:rPr>
        <w:t>The JRC developed over time a number of studies on the environmental impacts of food and the food system adopting a product perspective (bottom-up)</w:t>
      </w:r>
      <w:r w:rsidRPr="00013BDC">
        <w:rPr>
          <w:rFonts w:eastAsiaTheme="minorEastAsia"/>
          <w:noProof/>
          <w:vertAlign w:val="superscript"/>
          <w:lang w:val="en-IE"/>
        </w:rPr>
        <w:t>1</w:t>
      </w:r>
      <w:r w:rsidRPr="00013BDC">
        <w:rPr>
          <w:rFonts w:eastAsiaTheme="minorEastAsia"/>
          <w:noProof/>
          <w:lang w:val="en-IE"/>
        </w:rPr>
        <w:t xml:space="preserve">. In particular, the </w:t>
      </w:r>
      <w:r w:rsidRPr="00013BDC">
        <w:rPr>
          <w:rFonts w:eastAsiaTheme="minorEastAsia"/>
          <w:b/>
          <w:noProof/>
          <w:lang w:val="en-IE"/>
        </w:rPr>
        <w:t>Consumption Footprint indicator</w:t>
      </w:r>
      <w:r w:rsidRPr="00013BDC">
        <w:rPr>
          <w:rFonts w:eastAsiaTheme="minorEastAsia"/>
          <w:noProof/>
          <w:lang w:val="en-IE"/>
        </w:rPr>
        <w:t xml:space="preserve"> includes the area of consumption “Food” as part of EU consumption (Castellani et al., 2017</w:t>
      </w:r>
      <w:r w:rsidR="00692865" w:rsidRPr="00013BDC">
        <w:rPr>
          <w:rFonts w:eastAsiaTheme="minorEastAsia"/>
          <w:noProof/>
          <w:lang w:val="en-IE"/>
        </w:rPr>
        <w:t>; Sanyé Mengual et al., 2023a</w:t>
      </w:r>
      <w:r w:rsidRPr="00013BDC">
        <w:rPr>
          <w:rFonts w:eastAsiaTheme="minorEastAsia"/>
          <w:noProof/>
          <w:lang w:val="en-IE"/>
        </w:rPr>
        <w:t>), which is composed of a so-called Basket of Products with 45 representative food products</w:t>
      </w:r>
      <w:r w:rsidRPr="00013BDC">
        <w:rPr>
          <w:rFonts w:eastAsiaTheme="minorEastAsia"/>
          <w:noProof/>
          <w:vertAlign w:val="superscript"/>
          <w:lang w:val="en-IE"/>
        </w:rPr>
        <w:t xml:space="preserve">2 </w:t>
      </w:r>
      <w:r w:rsidRPr="00013BDC">
        <w:rPr>
          <w:rFonts w:eastAsiaTheme="minorEastAsia"/>
          <w:noProof/>
          <w:lang w:val="en-IE"/>
        </w:rPr>
        <w:t xml:space="preserve">(associated with more than 70% of EU food and beverage consumption in mass). These representative products have been assessed by applying the LCA methodology and calculating their impacts for the 16 impact categories of the Environmental Footprint (EC - </w:t>
      </w:r>
      <w:r w:rsidR="000C441C" w:rsidRPr="00013BDC">
        <w:rPr>
          <w:rFonts w:eastAsiaTheme="minorEastAsia"/>
          <w:noProof/>
          <w:lang w:val="en-IE"/>
        </w:rPr>
        <w:t>JRC</w:t>
      </w:r>
      <w:r w:rsidRPr="00013BDC">
        <w:rPr>
          <w:rFonts w:eastAsiaTheme="minorEastAsia"/>
          <w:noProof/>
          <w:lang w:val="en-IE"/>
        </w:rPr>
        <w:t>, 2021;  Zampori &amp; Pant, 2019</w:t>
      </w:r>
      <w:r w:rsidR="00692865" w:rsidRPr="00013BDC">
        <w:rPr>
          <w:rFonts w:eastAsiaTheme="minorEastAsia"/>
          <w:noProof/>
          <w:lang w:val="en-IE"/>
        </w:rPr>
        <w:t>; Andreasi Bassi et al., 2023</w:t>
      </w:r>
      <w:r w:rsidRPr="00013BDC">
        <w:rPr>
          <w:rFonts w:eastAsiaTheme="minorEastAsia"/>
          <w:noProof/>
          <w:lang w:val="en-IE"/>
        </w:rPr>
        <w:t>). The impact of each representative product is then multiplied by annual EU consumption of each product in terms of mass</w:t>
      </w:r>
      <w:r w:rsidRPr="00013BDC">
        <w:rPr>
          <w:rFonts w:eastAsiaTheme="minorEastAsia"/>
          <w:noProof/>
          <w:vertAlign w:val="superscript"/>
          <w:lang w:val="en-IE"/>
        </w:rPr>
        <w:t>3</w:t>
      </w:r>
      <w:r w:rsidRPr="00013BDC">
        <w:rPr>
          <w:rFonts w:eastAsiaTheme="minorEastAsia"/>
          <w:noProof/>
          <w:lang w:val="en-IE"/>
        </w:rPr>
        <w:t>, allowing for the calculation of the Consumption Footprint due to the EU food consumption (EC - European Commission, 2022; Sala &amp; Sanye Mengual, 2022; Sanyé</w:t>
      </w:r>
      <w:r w:rsidR="00692865" w:rsidRPr="00013BDC">
        <w:rPr>
          <w:rFonts w:eastAsiaTheme="minorEastAsia"/>
          <w:noProof/>
          <w:lang w:val="en-IE"/>
        </w:rPr>
        <w:t xml:space="preserve"> </w:t>
      </w:r>
      <w:r w:rsidRPr="00013BDC">
        <w:rPr>
          <w:rFonts w:eastAsiaTheme="minorEastAsia"/>
          <w:noProof/>
          <w:lang w:val="en-IE"/>
        </w:rPr>
        <w:t>Mengual &amp; Sala, 2023). The same approach was used for other areas of consumption (i.e. appliances, household goods, mobility, housing), in order to derive the overall Consumption Footprint. The Consumption Footprint – Food can also be assessed with methods to quantify the biodiversity footprint (Crenna et al., 2019</w:t>
      </w:r>
      <w:r w:rsidR="00692865" w:rsidRPr="00013BDC">
        <w:rPr>
          <w:rFonts w:eastAsiaTheme="minorEastAsia"/>
          <w:noProof/>
          <w:lang w:val="en-IE"/>
        </w:rPr>
        <w:t>; Sanyé-Mengual et al., 2023b</w:t>
      </w:r>
      <w:r w:rsidRPr="00013BDC">
        <w:rPr>
          <w:rFonts w:eastAsiaTheme="minorEastAsia"/>
          <w:noProof/>
          <w:lang w:val="en-IE"/>
        </w:rPr>
        <w:t>) </w:t>
      </w:r>
    </w:p>
    <w:p w14:paraId="1CD92897" w14:textId="77777777" w:rsidR="0038733E" w:rsidRPr="00013BDC" w:rsidRDefault="0038733E" w:rsidP="0038733E">
      <w:pPr>
        <w:spacing w:after="120"/>
        <w:rPr>
          <w:rFonts w:eastAsiaTheme="minorEastAsia"/>
          <w:noProof/>
          <w:lang w:val="en-IE"/>
        </w:rPr>
      </w:pPr>
      <w:r w:rsidRPr="00013BDC">
        <w:rPr>
          <w:rFonts w:eastAsiaTheme="minorEastAsia"/>
          <w:noProof/>
          <w:lang w:val="en-IE"/>
        </w:rPr>
        <w:t>The life cycle assessment-based approach aims at complementing the outcomes of the macroeconomic model described in the previous chapter providing additional insights from a bottom-up perspective (i.e., starting from the analysis of single products) on the effects of setting food waste reduction targets.   </w:t>
      </w:r>
    </w:p>
    <w:p w14:paraId="51F6DAFB" w14:textId="18B421B9" w:rsidR="0038733E" w:rsidRPr="00013BDC" w:rsidRDefault="0038733E" w:rsidP="0038733E">
      <w:pPr>
        <w:spacing w:after="120"/>
        <w:rPr>
          <w:rFonts w:eastAsiaTheme="minorEastAsia"/>
          <w:noProof/>
          <w:lang w:val="en-IE"/>
        </w:rPr>
      </w:pPr>
      <w:r w:rsidRPr="00013BDC">
        <w:rPr>
          <w:rFonts w:eastAsiaTheme="minorEastAsia"/>
          <w:noProof/>
          <w:lang w:val="en-IE"/>
        </w:rPr>
        <w:t>In particular, it allows the estimation of the environmental impacts associated with the food waste that would be prevented in 2030 according to the different policy options (i.e., specific targets for different stages of the supply chain). Three different data sources have been combined in order to obtain these results:  </w:t>
      </w:r>
    </w:p>
    <w:p w14:paraId="063BBCE2" w14:textId="7C77CFE9" w:rsidR="0038733E" w:rsidRPr="00013BDC" w:rsidRDefault="0038733E" w:rsidP="00CF0DFB">
      <w:pPr>
        <w:numPr>
          <w:ilvl w:val="0"/>
          <w:numId w:val="105"/>
        </w:numPr>
        <w:spacing w:after="0"/>
        <w:rPr>
          <w:rFonts w:eastAsiaTheme="minorEastAsia"/>
          <w:noProof/>
          <w:lang w:val="en-IE"/>
        </w:rPr>
      </w:pPr>
      <w:r w:rsidRPr="00013BDC">
        <w:rPr>
          <w:rFonts w:eastAsiaTheme="minorEastAsia"/>
          <w:noProof/>
          <w:lang w:val="en-IE"/>
        </w:rPr>
        <w:t>Quantities of food waste avoided in the different policy scenarios (at food group level), calculated as presented in Section </w:t>
      </w:r>
      <w:r w:rsidR="00CF7CCB" w:rsidRPr="00013BDC">
        <w:rPr>
          <w:rFonts w:eastAsiaTheme="minorEastAsia"/>
          <w:noProof/>
          <w:lang w:val="en-IE"/>
        </w:rPr>
        <w:t>2</w:t>
      </w:r>
      <w:r w:rsidRPr="00013BDC">
        <w:rPr>
          <w:rFonts w:eastAsiaTheme="minorEastAsia"/>
          <w:noProof/>
          <w:lang w:val="en-IE"/>
        </w:rPr>
        <w:t>.1.5 </w:t>
      </w:r>
    </w:p>
    <w:p w14:paraId="3CC9DA95" w14:textId="77777777" w:rsidR="0038733E" w:rsidRPr="00013BDC" w:rsidRDefault="0038733E" w:rsidP="00CF0DFB">
      <w:pPr>
        <w:numPr>
          <w:ilvl w:val="0"/>
          <w:numId w:val="106"/>
        </w:numPr>
        <w:spacing w:after="0"/>
        <w:rPr>
          <w:rFonts w:eastAsiaTheme="minorEastAsia"/>
          <w:noProof/>
          <w:lang w:val="en-IE"/>
        </w:rPr>
      </w:pPr>
      <w:r w:rsidRPr="00013BDC">
        <w:rPr>
          <w:rFonts w:eastAsiaTheme="minorEastAsia"/>
          <w:noProof/>
          <w:lang w:val="en-IE"/>
        </w:rPr>
        <w:t>The environmental impact of individual food products from the Consumption Footprint, calculated by performing life cycle assessment of a set of 45 representative products and multiplying these impacts by the amounts of avoided food waste, calculated by applying the reduction targets to the food waste generated in the 2030 baseline. </w:t>
      </w:r>
    </w:p>
    <w:p w14:paraId="26D34D9D" w14:textId="77777777" w:rsidR="0038733E" w:rsidRPr="00013BDC" w:rsidRDefault="0038733E" w:rsidP="00CF0DFB">
      <w:pPr>
        <w:numPr>
          <w:ilvl w:val="0"/>
          <w:numId w:val="106"/>
        </w:numPr>
        <w:spacing w:after="120"/>
        <w:rPr>
          <w:rFonts w:eastAsiaTheme="minorEastAsia"/>
          <w:noProof/>
          <w:lang w:val="en-IE"/>
        </w:rPr>
      </w:pPr>
      <w:r w:rsidRPr="00013BDC">
        <w:rPr>
          <w:rFonts w:eastAsiaTheme="minorEastAsia"/>
          <w:noProof/>
          <w:lang w:val="en-IE"/>
        </w:rPr>
        <w:t>The environmental impact of avoided waste treatment, based on the Food Waste Prevention Calculator (De Laurentiis et al., 2020). This impact was calculated by multiplying the quantities of avoided food waste by the impacts of waste treatment, as presented in (Notarnicola et al., 2017), considering an average EU mix of waste treatment options. </w:t>
      </w:r>
    </w:p>
    <w:p w14:paraId="211D6398" w14:textId="77777777" w:rsidR="00DE73D0" w:rsidRPr="00013BDC" w:rsidRDefault="0038733E" w:rsidP="0038733E">
      <w:pPr>
        <w:spacing w:after="120"/>
        <w:rPr>
          <w:rFonts w:eastAsiaTheme="minorEastAsia"/>
          <w:noProof/>
          <w:lang w:val="en-IE"/>
        </w:rPr>
      </w:pPr>
      <w:r w:rsidRPr="00013BDC">
        <w:rPr>
          <w:rFonts w:eastAsiaTheme="minorEastAsia"/>
          <w:noProof/>
          <w:lang w:val="en-IE"/>
        </w:rPr>
        <w:t>Within the framework of the Consumption Footprint, environmental impacts of the production of imported goods consumed in the EU are included in the analysis, whereas the impacts of production of exported goods are not. </w:t>
      </w:r>
    </w:p>
    <w:p w14:paraId="7A5E3B97" w14:textId="6783654A" w:rsidR="001D06FB" w:rsidRPr="00013BDC" w:rsidRDefault="006E529E" w:rsidP="001D06FB">
      <w:pPr>
        <w:spacing w:after="120"/>
        <w:rPr>
          <w:rStyle w:val="normaltextrun"/>
          <w:noProof/>
        </w:rPr>
      </w:pPr>
      <w:r w:rsidRPr="00013BDC">
        <w:rPr>
          <w:rStyle w:val="normaltextrun"/>
          <w:noProof/>
        </w:rPr>
        <w:t xml:space="preserve">The methodological steps are illustrated in </w:t>
      </w:r>
      <w:r w:rsidRPr="00013BDC">
        <w:rPr>
          <w:rFonts w:eastAsiaTheme="minorEastAsia"/>
          <w:b/>
          <w:noProof/>
          <w:lang w:val="en-IE"/>
        </w:rPr>
        <w:t>Figure 8</w:t>
      </w:r>
      <w:r w:rsidR="001D06FB" w:rsidRPr="00013BDC">
        <w:rPr>
          <w:rFonts w:eastAsiaTheme="minorEastAsia"/>
          <w:bCs/>
          <w:noProof/>
          <w:lang w:val="en-IE"/>
        </w:rPr>
        <w:t xml:space="preserve">. In a first step, the </w:t>
      </w:r>
      <w:r w:rsidR="001D06FB" w:rsidRPr="00013BDC">
        <w:rPr>
          <w:rStyle w:val="normaltextrun"/>
          <w:noProof/>
        </w:rPr>
        <w:t xml:space="preserve">projected amounts of food waste generated in 2030 (derived from MAGNET, Section </w:t>
      </w:r>
      <w:r w:rsidR="00D135D6" w:rsidRPr="00013BDC">
        <w:rPr>
          <w:rStyle w:val="normaltextrun"/>
          <w:noProof/>
        </w:rPr>
        <w:t>2.1.5</w:t>
      </w:r>
      <w:r w:rsidR="001D06FB" w:rsidRPr="00013BDC">
        <w:rPr>
          <w:rStyle w:val="normaltextrun"/>
          <w:noProof/>
        </w:rPr>
        <w:t xml:space="preserve">) at product group level are multiplied by the environmental impacts of food products calculated performing process-based LCA of representative products from the Consumption Footprint. </w:t>
      </w:r>
    </w:p>
    <w:p w14:paraId="5F945691" w14:textId="77777777" w:rsidR="005F5BB6" w:rsidRPr="00013BDC" w:rsidRDefault="001D06FB" w:rsidP="001D06FB">
      <w:pPr>
        <w:spacing w:after="120"/>
        <w:rPr>
          <w:rStyle w:val="normaltextrun"/>
          <w:noProof/>
        </w:rPr>
      </w:pPr>
      <w:r w:rsidRPr="00013BDC">
        <w:rPr>
          <w:rStyle w:val="normaltextrun"/>
          <w:noProof/>
        </w:rPr>
        <w:t>In a second step, the impacts of waste treatment, calculated as presented in Notarnicola et al., (2017) and considering an average EU mix of waste treatment options - following the approach of the Food Waste Prevention Calculator (De Laurentiis et al., 2020), are multiplied by the amount of food waste generated in the baseline, and added to the impacts of the wasted food products calculated at the previous step to calculate the overall impact of food waste generation in the baseline. In a third and final step, the food waste reduction targets envisaged by the different policy options are applied to calculate environmental savings (i.e. avoided environmental impacts) brought by each policy option.</w:t>
      </w:r>
    </w:p>
    <w:p w14:paraId="4849A761" w14:textId="1B7022F2" w:rsidR="0038733E" w:rsidRPr="00013BDC" w:rsidRDefault="005F5BB6" w:rsidP="001D06FB">
      <w:pPr>
        <w:spacing w:after="120"/>
        <w:rPr>
          <w:rFonts w:eastAsiaTheme="minorEastAsia"/>
          <w:noProof/>
          <w:lang w:val="en-IE"/>
        </w:rPr>
      </w:pPr>
      <w:r w:rsidRPr="00013BDC">
        <w:rPr>
          <w:rStyle w:val="normaltextrun"/>
          <w:noProof/>
        </w:rPr>
        <w:t>The same approach</w:t>
      </w:r>
      <w:r w:rsidR="006315B5" w:rsidRPr="00013BDC">
        <w:rPr>
          <w:rStyle w:val="normaltextrun"/>
          <w:noProof/>
        </w:rPr>
        <w:t xml:space="preserve"> was used to quantify the</w:t>
      </w:r>
      <w:r w:rsidR="000F304C" w:rsidRPr="00013BDC">
        <w:rPr>
          <w:rStyle w:val="normaltextrun"/>
          <w:noProof/>
        </w:rPr>
        <w:t xml:space="preserve"> environmental</w:t>
      </w:r>
      <w:r w:rsidR="006315B5" w:rsidRPr="00013BDC">
        <w:rPr>
          <w:rStyle w:val="normaltextrun"/>
          <w:noProof/>
        </w:rPr>
        <w:t xml:space="preserve"> impacts of food waste </w:t>
      </w:r>
      <w:r w:rsidR="00B97969" w:rsidRPr="00013BDC">
        <w:rPr>
          <w:rStyle w:val="normaltextrun"/>
          <w:noProof/>
        </w:rPr>
        <w:t>generated in 2020,</w:t>
      </w:r>
      <w:r w:rsidR="009B5639" w:rsidRPr="00013BDC">
        <w:rPr>
          <w:rStyle w:val="normaltextrun"/>
          <w:noProof/>
        </w:rPr>
        <w:t xml:space="preserve"> based on the</w:t>
      </w:r>
      <w:r w:rsidR="000F304C" w:rsidRPr="00013BDC">
        <w:rPr>
          <w:rStyle w:val="normaltextrun"/>
          <w:noProof/>
        </w:rPr>
        <w:t xml:space="preserve"> food waste data</w:t>
      </w:r>
      <w:r w:rsidR="00B97969" w:rsidRPr="00013BDC">
        <w:rPr>
          <w:rStyle w:val="normaltextrun"/>
          <w:noProof/>
        </w:rPr>
        <w:t xml:space="preserve"> </w:t>
      </w:r>
      <w:r w:rsidR="000205AE" w:rsidRPr="00013BDC">
        <w:rPr>
          <w:rStyle w:val="normaltextrun"/>
          <w:noProof/>
        </w:rPr>
        <w:t>published by Eurostat</w:t>
      </w:r>
      <w:r w:rsidR="000F304C" w:rsidRPr="00013BDC">
        <w:rPr>
          <w:rStyle w:val="normaltextrun"/>
          <w:noProof/>
        </w:rPr>
        <w:t>.</w:t>
      </w:r>
    </w:p>
    <w:p w14:paraId="495FE38C" w14:textId="5E0319CF" w:rsidR="00636158" w:rsidRPr="00013BDC" w:rsidRDefault="00636158" w:rsidP="00636158">
      <w:pPr>
        <w:pStyle w:val="Caption"/>
        <w:spacing w:after="120"/>
        <w:rPr>
          <w:noProof/>
          <w:color w:val="auto"/>
          <w:sz w:val="24"/>
          <w:szCs w:val="24"/>
          <w:lang w:val="en-IE"/>
        </w:rPr>
      </w:pPr>
      <w:bookmarkStart w:id="436" w:name="_Toc133229278"/>
      <w:bookmarkStart w:id="437" w:name="_Toc139033005"/>
      <w:r w:rsidRPr="00013BDC">
        <w:rPr>
          <w:noProof/>
          <w:color w:val="auto"/>
          <w:sz w:val="24"/>
          <w:szCs w:val="24"/>
          <w:lang w:val="en-IE"/>
        </w:rPr>
        <w:t xml:space="preserve">Figure </w:t>
      </w:r>
      <w:r w:rsidR="004C5576">
        <w:rPr>
          <w:noProof/>
          <w:color w:val="auto"/>
          <w:sz w:val="24"/>
          <w:szCs w:val="24"/>
          <w:lang w:val="en-IE"/>
        </w:rPr>
        <w:t>8</w:t>
      </w:r>
      <w:r w:rsidRPr="00013BDC">
        <w:rPr>
          <w:noProof/>
          <w:color w:val="auto"/>
          <w:sz w:val="24"/>
          <w:szCs w:val="24"/>
          <w:lang w:val="en-IE"/>
        </w:rPr>
        <w:t xml:space="preserve"> – Modelling approach for the macro-scale assessment of projected environmental impacts deriving from the setting of food waste reduction targets</w:t>
      </w:r>
      <w:bookmarkEnd w:id="436"/>
      <w:bookmarkEnd w:id="437"/>
    </w:p>
    <w:p w14:paraId="656D019F" w14:textId="16BA6227" w:rsidR="0038733E" w:rsidRPr="00013BDC" w:rsidRDefault="0038733E" w:rsidP="00636158">
      <w:pPr>
        <w:rPr>
          <w:rFonts w:eastAsiaTheme="minorEastAsia"/>
          <w:noProof/>
          <w:lang w:val="en-IE"/>
        </w:rPr>
      </w:pPr>
      <w:r w:rsidRPr="00013BDC">
        <w:rPr>
          <w:rFonts w:eastAsiaTheme="minorEastAsia"/>
          <w:noProof/>
          <w:color w:val="2B579A"/>
          <w:shd w:val="clear" w:color="auto" w:fill="E6E6E6"/>
          <w:lang w:eastAsia="en-GB"/>
        </w:rPr>
        <w:drawing>
          <wp:inline distT="0" distB="0" distL="0" distR="0" wp14:anchorId="4F7CF019" wp14:editId="3700FEEE">
            <wp:extent cx="6103620" cy="1548765"/>
            <wp:effectExtent l="0" t="0" r="0" b="0"/>
            <wp:docPr id="1617598207" name="Picture 161759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03620" cy="1548765"/>
                    </a:xfrm>
                    <a:prstGeom prst="rect">
                      <a:avLst/>
                    </a:prstGeom>
                    <a:noFill/>
                    <a:ln>
                      <a:noFill/>
                    </a:ln>
                  </pic:spPr>
                </pic:pic>
              </a:graphicData>
            </a:graphic>
          </wp:inline>
        </w:drawing>
      </w:r>
    </w:p>
    <w:p w14:paraId="21E41697" w14:textId="6D19716A" w:rsidR="0038733E" w:rsidRPr="00013BDC" w:rsidRDefault="0038733E" w:rsidP="0038733E">
      <w:pPr>
        <w:spacing w:after="120"/>
        <w:rPr>
          <w:rFonts w:eastAsiaTheme="minorEastAsia"/>
          <w:noProof/>
          <w:lang w:val="en-IE"/>
        </w:rPr>
      </w:pPr>
      <w:r w:rsidRPr="00013BDC">
        <w:rPr>
          <w:rFonts w:eastAsiaTheme="minorEastAsia"/>
          <w:noProof/>
          <w:lang w:val="en-IE"/>
        </w:rPr>
        <w:t>The Life Cycle Assessment-based approach has the advantage of estimating environmental impacts due to EU food consumption and related food waste, considering the whole life cycle of products and 16 different impact categories (including a comprehensive list of emissions to the environment and resources use). At the same time, the proposed framework shows certain limitations and is affected by different sources of uncertainty: e.g.</w:t>
      </w:r>
      <w:r w:rsidR="00D77D34" w:rsidRPr="00013BDC">
        <w:rPr>
          <w:rFonts w:eastAsiaTheme="minorEastAsia"/>
          <w:noProof/>
          <w:lang w:val="en-IE"/>
        </w:rPr>
        <w:t>,</w:t>
      </w:r>
      <w:r w:rsidRPr="00013BDC">
        <w:rPr>
          <w:rFonts w:eastAsiaTheme="minorEastAsia"/>
          <w:noProof/>
          <w:lang w:val="en-IE"/>
        </w:rPr>
        <w:t xml:space="preserve"> in the data used in the modelling of representative products (Consumption Footprint) and in the impact assessment models of the Environmental Footprint, including temporal and regional representativeness. Moreover, the Consumption Footprint scope is limited to the currently modelled product groups. Finally, this approach does not consider the rebound effects or effects of re-exports when dealing with transboundary impacts (Sanyé-Mengual &amp; Sala, 2023). </w:t>
      </w:r>
    </w:p>
    <w:p w14:paraId="35813B16" w14:textId="5DB4D852" w:rsidR="005F1953" w:rsidRPr="00013BDC" w:rsidRDefault="00BC33A9" w:rsidP="0038733E">
      <w:pPr>
        <w:spacing w:after="120"/>
        <w:rPr>
          <w:rStyle w:val="ui-provider"/>
          <w:noProof/>
          <w:lang w:val="en-IE"/>
        </w:rPr>
      </w:pPr>
      <w:r w:rsidRPr="00013BDC">
        <w:rPr>
          <w:rFonts w:eastAsiaTheme="minorEastAsia"/>
          <w:noProof/>
          <w:lang w:val="en-IE"/>
        </w:rPr>
        <w:t>The resulting environmental</w:t>
      </w:r>
      <w:r w:rsidR="004D6C3F" w:rsidRPr="00013BDC">
        <w:rPr>
          <w:rFonts w:eastAsiaTheme="minorEastAsia"/>
          <w:noProof/>
          <w:lang w:val="en-IE"/>
        </w:rPr>
        <w:t xml:space="preserve"> impacts that are avoided in the three policy options</w:t>
      </w:r>
      <w:r w:rsidR="00BF6523" w:rsidRPr="00013BDC">
        <w:rPr>
          <w:rFonts w:eastAsiaTheme="minorEastAsia"/>
          <w:noProof/>
          <w:lang w:val="en-IE"/>
        </w:rPr>
        <w:t xml:space="preserve"> can be </w:t>
      </w:r>
      <w:r w:rsidR="00D73165" w:rsidRPr="00013BDC">
        <w:rPr>
          <w:rFonts w:eastAsiaTheme="minorEastAsia"/>
          <w:noProof/>
          <w:lang w:val="en-IE"/>
        </w:rPr>
        <w:t>translated</w:t>
      </w:r>
      <w:r w:rsidR="00BF6523" w:rsidRPr="00013BDC">
        <w:rPr>
          <w:rFonts w:eastAsiaTheme="minorEastAsia"/>
          <w:noProof/>
          <w:lang w:val="en-IE"/>
        </w:rPr>
        <w:t xml:space="preserve"> in monetary terms </w:t>
      </w:r>
      <w:r w:rsidR="00B261C6" w:rsidRPr="00013BDC">
        <w:rPr>
          <w:rFonts w:eastAsiaTheme="minorEastAsia"/>
          <w:noProof/>
          <w:lang w:val="en-IE"/>
        </w:rPr>
        <w:t>by applying conversion factors compiled by Amadei et al., (2021)</w:t>
      </w:r>
      <w:r w:rsidR="00690F8C" w:rsidRPr="00013BDC">
        <w:rPr>
          <w:rStyle w:val="FootnoteReference"/>
          <w:rFonts w:eastAsiaTheme="minorEastAsia"/>
          <w:noProof/>
          <w:lang w:val="en-IE"/>
        </w:rPr>
        <w:footnoteReference w:id="55"/>
      </w:r>
      <w:r w:rsidR="00B261C6" w:rsidRPr="00013BDC">
        <w:rPr>
          <w:rFonts w:eastAsiaTheme="minorEastAsia"/>
          <w:noProof/>
          <w:lang w:val="en-IE"/>
        </w:rPr>
        <w:t xml:space="preserve">. </w:t>
      </w:r>
      <w:r w:rsidR="00CF48F6" w:rsidRPr="00013BDC">
        <w:rPr>
          <w:rStyle w:val="ui-provider"/>
          <w:noProof/>
          <w:lang w:val="en-IE"/>
        </w:rPr>
        <w:t>Although these combine different methodological approaches, they can be employed for an estimation of the magnitude of the externalities associated to the environmental impacts calculated with the Environmental Footprint</w:t>
      </w:r>
      <w:r w:rsidR="00D75619" w:rsidRPr="00013BDC">
        <w:rPr>
          <w:rStyle w:val="ui-provider"/>
          <w:noProof/>
          <w:lang w:val="en-IE"/>
        </w:rPr>
        <w:t xml:space="preserve"> method</w:t>
      </w:r>
      <w:r w:rsidR="00CF48F6" w:rsidRPr="00013BDC">
        <w:rPr>
          <w:rStyle w:val="ui-provider"/>
          <w:noProof/>
          <w:lang w:val="en-IE"/>
        </w:rPr>
        <w:t>.</w:t>
      </w:r>
      <w:r w:rsidR="000866A6" w:rsidRPr="00013BDC">
        <w:rPr>
          <w:rStyle w:val="ui-provider"/>
          <w:noProof/>
          <w:lang w:val="en-IE"/>
        </w:rPr>
        <w:t xml:space="preserve"> The monetary valuation coefficients used are provided in </w:t>
      </w:r>
      <w:r w:rsidR="00690F8C" w:rsidRPr="00013BDC">
        <w:rPr>
          <w:rStyle w:val="ui-provider"/>
          <w:noProof/>
          <w:lang w:val="en-IE"/>
        </w:rPr>
        <w:fldChar w:fldCharType="begin"/>
      </w:r>
      <w:r w:rsidR="00690F8C" w:rsidRPr="00013BDC">
        <w:rPr>
          <w:rStyle w:val="ui-provider"/>
          <w:noProof/>
        </w:rPr>
        <w:instrText xml:space="preserve"> REF _Ref131172322 \h </w:instrText>
      </w:r>
      <w:r w:rsidR="00013BDC">
        <w:rPr>
          <w:rStyle w:val="ui-provider"/>
          <w:noProof/>
          <w:lang w:val="en-IE"/>
        </w:rPr>
        <w:instrText xml:space="preserve"> \* MERGEFORMAT </w:instrText>
      </w:r>
      <w:r w:rsidR="00690F8C" w:rsidRPr="00013BDC">
        <w:rPr>
          <w:rStyle w:val="ui-provider"/>
          <w:noProof/>
          <w:lang w:val="en-IE"/>
        </w:rPr>
      </w:r>
      <w:r w:rsidR="00690F8C" w:rsidRPr="00013BDC">
        <w:rPr>
          <w:rStyle w:val="ui-provider"/>
          <w:noProof/>
          <w:lang w:val="en-IE"/>
        </w:rPr>
        <w:fldChar w:fldCharType="separate"/>
      </w:r>
      <w:r w:rsidR="004C5576" w:rsidRPr="00013BDC">
        <w:rPr>
          <w:noProof/>
          <w:lang w:val="en-IE"/>
        </w:rPr>
        <w:t xml:space="preserve">Table </w:t>
      </w:r>
      <w:r w:rsidR="004C5576">
        <w:rPr>
          <w:noProof/>
          <w:lang w:val="en-IE"/>
        </w:rPr>
        <w:t>21</w:t>
      </w:r>
      <w:r w:rsidR="00690F8C" w:rsidRPr="00013BDC">
        <w:rPr>
          <w:rStyle w:val="ui-provider"/>
          <w:noProof/>
          <w:lang w:val="en-IE"/>
        </w:rPr>
        <w:fldChar w:fldCharType="end"/>
      </w:r>
      <w:r w:rsidR="00690F8C" w:rsidRPr="00013BDC">
        <w:rPr>
          <w:rStyle w:val="ui-provider"/>
          <w:noProof/>
          <w:lang w:val="en-IE"/>
        </w:rPr>
        <w:t>.</w:t>
      </w:r>
    </w:p>
    <w:p w14:paraId="53D9F98F" w14:textId="404EFA89" w:rsidR="00157878" w:rsidRPr="00013BDC" w:rsidRDefault="00157878" w:rsidP="00E27FF9">
      <w:pPr>
        <w:pStyle w:val="Caption"/>
        <w:keepNext/>
        <w:rPr>
          <w:noProof/>
          <w:color w:val="auto"/>
          <w:sz w:val="24"/>
          <w:szCs w:val="24"/>
          <w:lang w:val="en-IE"/>
        </w:rPr>
      </w:pPr>
      <w:bookmarkStart w:id="438" w:name="_Ref131172322"/>
      <w:bookmarkStart w:id="439" w:name="_Toc133229429"/>
      <w:bookmarkStart w:id="440" w:name="_Toc139033051"/>
      <w:r w:rsidRPr="00013BDC">
        <w:rPr>
          <w:noProof/>
          <w:color w:val="auto"/>
          <w:sz w:val="24"/>
          <w:szCs w:val="24"/>
          <w:lang w:val="en-IE"/>
        </w:rPr>
        <w:t xml:space="preserve">Table </w:t>
      </w:r>
      <w:r w:rsidR="004C5576">
        <w:rPr>
          <w:noProof/>
          <w:color w:val="auto"/>
          <w:sz w:val="24"/>
          <w:szCs w:val="24"/>
          <w:lang w:val="en-IE"/>
        </w:rPr>
        <w:t>21</w:t>
      </w:r>
      <w:bookmarkEnd w:id="438"/>
      <w:r w:rsidR="00690F8C" w:rsidRPr="00013BDC">
        <w:rPr>
          <w:noProof/>
          <w:color w:val="auto"/>
          <w:sz w:val="24"/>
          <w:szCs w:val="24"/>
          <w:lang w:val="en-IE"/>
        </w:rPr>
        <w:t>. Monetary valuation coefficients based on Amadei et al., (2021).</w:t>
      </w:r>
      <w:bookmarkEnd w:id="439"/>
      <w:bookmarkEnd w:id="440"/>
      <w:r w:rsidR="00690F8C" w:rsidRPr="00013BDC">
        <w:rPr>
          <w:noProof/>
          <w:color w:val="auto"/>
          <w:sz w:val="24"/>
          <w:szCs w:val="24"/>
          <w:lang w:val="en-IE"/>
        </w:rPr>
        <w:t xml:space="preserve"> </w:t>
      </w:r>
    </w:p>
    <w:tbl>
      <w:tblPr>
        <w:tblStyle w:val="TableGrid"/>
        <w:tblW w:w="0" w:type="auto"/>
        <w:tblLook w:val="04A0" w:firstRow="1" w:lastRow="0" w:firstColumn="1" w:lastColumn="0" w:noHBand="0" w:noVBand="1"/>
      </w:tblPr>
      <w:tblGrid>
        <w:gridCol w:w="1743"/>
        <w:gridCol w:w="1392"/>
        <w:gridCol w:w="2476"/>
        <w:gridCol w:w="2136"/>
      </w:tblGrid>
      <w:tr w:rsidR="00157878" w:rsidRPr="00013BDC" w14:paraId="2E8E2295" w14:textId="77777777" w:rsidTr="00B633E5">
        <w:tc>
          <w:tcPr>
            <w:tcW w:w="1743" w:type="dxa"/>
            <w:vAlign w:val="bottom"/>
          </w:tcPr>
          <w:p w14:paraId="57E130D2"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Climate change</w:t>
            </w:r>
          </w:p>
        </w:tc>
        <w:tc>
          <w:tcPr>
            <w:tcW w:w="1392" w:type="dxa"/>
            <w:vAlign w:val="bottom"/>
          </w:tcPr>
          <w:p w14:paraId="751ABDC8"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Land use</w:t>
            </w:r>
          </w:p>
        </w:tc>
        <w:tc>
          <w:tcPr>
            <w:tcW w:w="2476" w:type="dxa"/>
            <w:vAlign w:val="bottom"/>
          </w:tcPr>
          <w:p w14:paraId="1DEF852A"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Marine eutrophication</w:t>
            </w:r>
          </w:p>
        </w:tc>
        <w:tc>
          <w:tcPr>
            <w:tcW w:w="2136" w:type="dxa"/>
            <w:vAlign w:val="bottom"/>
          </w:tcPr>
          <w:p w14:paraId="08D45821"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Water scarcity</w:t>
            </w:r>
          </w:p>
        </w:tc>
      </w:tr>
      <w:tr w:rsidR="00157878" w:rsidRPr="00013BDC" w14:paraId="6B02990C" w14:textId="77777777" w:rsidTr="00B633E5">
        <w:tc>
          <w:tcPr>
            <w:tcW w:w="1743" w:type="dxa"/>
            <w:vAlign w:val="bottom"/>
          </w:tcPr>
          <w:p w14:paraId="6B77473C"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Euro/kgCO</w:t>
            </w:r>
            <w:r w:rsidRPr="00013BDC">
              <w:rPr>
                <w:rFonts w:ascii="Times New Roman" w:hAnsi="Times New Roman"/>
                <w:noProof/>
                <w:sz w:val="24"/>
                <w:szCs w:val="24"/>
                <w:vertAlign w:val="subscript"/>
                <w:lang w:val="en-IE"/>
              </w:rPr>
              <w:t>2</w:t>
            </w:r>
            <w:r w:rsidRPr="00013BDC">
              <w:rPr>
                <w:rFonts w:ascii="Times New Roman" w:hAnsi="Times New Roman"/>
                <w:noProof/>
                <w:sz w:val="24"/>
                <w:szCs w:val="24"/>
                <w:lang w:val="en-IE"/>
              </w:rPr>
              <w:t>eq.</w:t>
            </w:r>
          </w:p>
        </w:tc>
        <w:tc>
          <w:tcPr>
            <w:tcW w:w="1392" w:type="dxa"/>
            <w:vAlign w:val="bottom"/>
          </w:tcPr>
          <w:p w14:paraId="59F4C0FB" w14:textId="77777777" w:rsidR="00157878" w:rsidRPr="00013BDC" w:rsidRDefault="00157878">
            <w:pPr>
              <w:pStyle w:val="JRCText"/>
              <w:rPr>
                <w:rFonts w:ascii="Times New Roman" w:hAnsi="Times New Roman"/>
                <w:noProof/>
                <w:sz w:val="24"/>
                <w:lang w:val="en-IE"/>
              </w:rPr>
            </w:pPr>
            <w:r w:rsidRPr="00013BDC">
              <w:rPr>
                <w:rFonts w:ascii="Times New Roman" w:hAnsi="Times New Roman"/>
                <w:noProof/>
                <w:sz w:val="24"/>
                <w:szCs w:val="24"/>
                <w:lang w:val="en-IE"/>
              </w:rPr>
              <w:t>Euro / Pt</w:t>
            </w:r>
          </w:p>
        </w:tc>
        <w:tc>
          <w:tcPr>
            <w:tcW w:w="2476" w:type="dxa"/>
            <w:vAlign w:val="bottom"/>
          </w:tcPr>
          <w:p w14:paraId="1D9C4483" w14:textId="77777777" w:rsidR="00157878" w:rsidRPr="00013BDC" w:rsidRDefault="00157878">
            <w:pPr>
              <w:pStyle w:val="JRCText"/>
              <w:rPr>
                <w:rFonts w:ascii="Times New Roman" w:hAnsi="Times New Roman"/>
                <w:noProof/>
                <w:sz w:val="24"/>
                <w:lang w:val="en-IE"/>
              </w:rPr>
            </w:pPr>
            <w:r w:rsidRPr="00013BDC">
              <w:rPr>
                <w:rFonts w:ascii="Times New Roman" w:hAnsi="Times New Roman"/>
                <w:noProof/>
                <w:sz w:val="24"/>
                <w:szCs w:val="24"/>
                <w:lang w:val="en-IE"/>
              </w:rPr>
              <w:t>Euro /kg N eq.</w:t>
            </w:r>
          </w:p>
        </w:tc>
        <w:tc>
          <w:tcPr>
            <w:tcW w:w="2136" w:type="dxa"/>
            <w:vAlign w:val="bottom"/>
          </w:tcPr>
          <w:p w14:paraId="0EFD1B94"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Euro /m</w:t>
            </w:r>
            <w:r w:rsidRPr="00013BDC">
              <w:rPr>
                <w:rFonts w:ascii="Times New Roman" w:hAnsi="Times New Roman"/>
                <w:noProof/>
                <w:sz w:val="24"/>
                <w:szCs w:val="24"/>
                <w:vertAlign w:val="superscript"/>
                <w:lang w:val="en-IE"/>
              </w:rPr>
              <w:t>3</w:t>
            </w:r>
            <w:r w:rsidRPr="00013BDC">
              <w:rPr>
                <w:rFonts w:ascii="Times New Roman" w:hAnsi="Times New Roman"/>
                <w:noProof/>
                <w:sz w:val="24"/>
                <w:szCs w:val="24"/>
                <w:lang w:val="en-IE"/>
              </w:rPr>
              <w:t xml:space="preserve"> water eq.</w:t>
            </w:r>
          </w:p>
        </w:tc>
      </w:tr>
      <w:tr w:rsidR="00157878" w:rsidRPr="00013BDC" w14:paraId="288C41AE" w14:textId="77777777" w:rsidTr="00B633E5">
        <w:tc>
          <w:tcPr>
            <w:tcW w:w="1743" w:type="dxa"/>
            <w:vAlign w:val="bottom"/>
          </w:tcPr>
          <w:p w14:paraId="68D16337"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0.076-0.272</w:t>
            </w:r>
          </w:p>
        </w:tc>
        <w:tc>
          <w:tcPr>
            <w:tcW w:w="1392" w:type="dxa"/>
            <w:vAlign w:val="bottom"/>
          </w:tcPr>
          <w:p w14:paraId="43D81304"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0.000178</w:t>
            </w:r>
          </w:p>
        </w:tc>
        <w:tc>
          <w:tcPr>
            <w:tcW w:w="2476" w:type="dxa"/>
            <w:vAlign w:val="bottom"/>
          </w:tcPr>
          <w:p w14:paraId="535E58B8"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6.02-10.3</w:t>
            </w:r>
          </w:p>
        </w:tc>
        <w:tc>
          <w:tcPr>
            <w:tcW w:w="2136" w:type="dxa"/>
            <w:vAlign w:val="bottom"/>
          </w:tcPr>
          <w:p w14:paraId="657E63A2" w14:textId="77777777" w:rsidR="00157878" w:rsidRPr="00013BDC" w:rsidRDefault="00157878">
            <w:pPr>
              <w:pStyle w:val="JRCText"/>
              <w:rPr>
                <w:rFonts w:ascii="Times New Roman" w:hAnsi="Times New Roman"/>
                <w:noProof/>
                <w:sz w:val="24"/>
                <w:szCs w:val="24"/>
                <w:lang w:val="en-IE"/>
              </w:rPr>
            </w:pPr>
            <w:r w:rsidRPr="00013BDC">
              <w:rPr>
                <w:rFonts w:ascii="Times New Roman" w:hAnsi="Times New Roman"/>
                <w:noProof/>
                <w:sz w:val="24"/>
                <w:szCs w:val="24"/>
                <w:lang w:val="en-IE"/>
              </w:rPr>
              <w:t>0.00508</w:t>
            </w:r>
          </w:p>
        </w:tc>
      </w:tr>
    </w:tbl>
    <w:p w14:paraId="7B06546E" w14:textId="77777777" w:rsidR="00D75619" w:rsidRPr="00013BDC" w:rsidRDefault="00D75619" w:rsidP="0038733E">
      <w:pPr>
        <w:spacing w:after="120"/>
        <w:rPr>
          <w:rFonts w:eastAsiaTheme="minorEastAsia"/>
          <w:noProof/>
          <w:lang w:val="en-IE"/>
        </w:rPr>
      </w:pPr>
    </w:p>
    <w:p w14:paraId="3E5A5A91" w14:textId="77777777" w:rsidR="000A31BD" w:rsidRPr="00013BDC" w:rsidRDefault="000A31BD" w:rsidP="005D40F3">
      <w:pPr>
        <w:pStyle w:val="ListParagraph"/>
        <w:keepNext/>
        <w:ind w:left="1430"/>
        <w:contextualSpacing w:val="0"/>
        <w:outlineLvl w:val="2"/>
        <w:rPr>
          <w:rFonts w:eastAsiaTheme="minorEastAsia"/>
          <w:i/>
          <w:noProof/>
          <w:vanish/>
          <w:szCs w:val="20"/>
          <w:lang w:val="en-IE"/>
        </w:rPr>
      </w:pPr>
      <w:bookmarkStart w:id="441" w:name="_Toc133229561"/>
      <w:bookmarkStart w:id="442" w:name="_Toc133595343"/>
      <w:bookmarkStart w:id="443" w:name="_Toc133229562"/>
      <w:bookmarkStart w:id="444" w:name="_Toc133595344"/>
      <w:bookmarkStart w:id="445" w:name="_Toc133229563"/>
      <w:bookmarkStart w:id="446" w:name="_Toc133595345"/>
      <w:bookmarkStart w:id="447" w:name="_Toc58065010"/>
      <w:bookmarkStart w:id="448" w:name="_Toc393620893"/>
      <w:bookmarkStart w:id="449" w:name="_Toc629183725"/>
      <w:bookmarkStart w:id="450" w:name="_Toc1014578518"/>
      <w:bookmarkStart w:id="451" w:name="_Toc1218117615"/>
      <w:bookmarkStart w:id="452" w:name="_Toc2071220945"/>
      <w:bookmarkStart w:id="453" w:name="_Toc913750798"/>
      <w:bookmarkStart w:id="454" w:name="_Toc822551577"/>
      <w:bookmarkEnd w:id="441"/>
      <w:bookmarkEnd w:id="442"/>
      <w:bookmarkEnd w:id="443"/>
      <w:bookmarkEnd w:id="444"/>
      <w:bookmarkEnd w:id="445"/>
      <w:bookmarkEnd w:id="446"/>
    </w:p>
    <w:p w14:paraId="77EB3937" w14:textId="77777777" w:rsidR="00ED13CB" w:rsidRPr="00013BDC" w:rsidRDefault="00ED13CB" w:rsidP="00ED13CB">
      <w:pPr>
        <w:pStyle w:val="Heading3"/>
        <w:tabs>
          <w:tab w:val="clear" w:pos="1920"/>
        </w:tabs>
        <w:ind w:left="360" w:firstLine="0"/>
        <w:rPr>
          <w:rFonts w:eastAsiaTheme="minorEastAsia"/>
          <w:noProof/>
          <w:lang w:val="en-IE"/>
        </w:rPr>
      </w:pPr>
      <w:bookmarkStart w:id="455" w:name="_Toc132804216"/>
      <w:bookmarkStart w:id="456" w:name="_Toc139032971"/>
      <w:bookmarkEnd w:id="447"/>
      <w:bookmarkEnd w:id="448"/>
      <w:bookmarkEnd w:id="449"/>
      <w:bookmarkEnd w:id="450"/>
      <w:bookmarkEnd w:id="451"/>
      <w:bookmarkEnd w:id="452"/>
      <w:bookmarkEnd w:id="453"/>
      <w:bookmarkEnd w:id="454"/>
      <w:r w:rsidRPr="00013BDC">
        <w:rPr>
          <w:rFonts w:eastAsiaTheme="minorEastAsia"/>
          <w:noProof/>
          <w:lang w:val="en-IE"/>
        </w:rPr>
        <w:t>2.2.2 The Consumption Footprint model in policy assessment</w:t>
      </w:r>
      <w:bookmarkEnd w:id="455"/>
      <w:bookmarkEnd w:id="456"/>
    </w:p>
    <w:p w14:paraId="48C0DC82" w14:textId="75F04111" w:rsidR="00C81291" w:rsidRPr="00013BDC" w:rsidRDefault="00C81291" w:rsidP="00C81291">
      <w:pPr>
        <w:spacing w:after="120"/>
        <w:rPr>
          <w:rFonts w:eastAsiaTheme="minorEastAsia"/>
          <w:noProof/>
          <w:lang w:val="en-IE"/>
        </w:rPr>
      </w:pPr>
      <w:r w:rsidRPr="00013BDC">
        <w:rPr>
          <w:rFonts w:eastAsiaTheme="minorEastAsia"/>
          <w:noProof/>
          <w:lang w:val="en-IE"/>
        </w:rPr>
        <w:t>The Consumption Footprint assessment framework has been used to:  </w:t>
      </w:r>
    </w:p>
    <w:p w14:paraId="29D83DEC" w14:textId="75F04111" w:rsidR="00C81291" w:rsidRPr="00013BDC" w:rsidRDefault="00C81291" w:rsidP="00CF0DFB">
      <w:pPr>
        <w:numPr>
          <w:ilvl w:val="0"/>
          <w:numId w:val="102"/>
        </w:numPr>
        <w:spacing w:after="0"/>
        <w:rPr>
          <w:rFonts w:eastAsiaTheme="minorEastAsia"/>
          <w:noProof/>
          <w:lang w:val="en-IE"/>
        </w:rPr>
      </w:pPr>
      <w:r w:rsidRPr="00013BDC">
        <w:rPr>
          <w:rFonts w:eastAsiaTheme="minorEastAsia"/>
          <w:noProof/>
          <w:lang w:val="en-IE"/>
        </w:rPr>
        <w:t>monitor the evolution of impacts over time (Sanyé-Mengual et al., 2019)(EC - European Commission, 2022);</w:t>
      </w:r>
    </w:p>
    <w:p w14:paraId="67CC4047" w14:textId="75F04111" w:rsidR="00C81291" w:rsidRPr="00013BDC" w:rsidRDefault="00C81291" w:rsidP="00CF0DFB">
      <w:pPr>
        <w:numPr>
          <w:ilvl w:val="0"/>
          <w:numId w:val="103"/>
        </w:numPr>
        <w:spacing w:after="0"/>
        <w:rPr>
          <w:rFonts w:eastAsiaTheme="minorEastAsia"/>
          <w:noProof/>
          <w:lang w:val="en-IE"/>
        </w:rPr>
      </w:pPr>
      <w:r w:rsidRPr="00013BDC">
        <w:rPr>
          <w:rFonts w:eastAsiaTheme="minorEastAsia"/>
          <w:noProof/>
          <w:lang w:val="en-IE"/>
        </w:rPr>
        <w:t>test scenarios of impact reduction along the food value chain, both as technical (e.g. efficiency improvements) or behavioural transitions (e.g. dietary shift) (Castellani et al., 2017; Polizzi di Sorrentino et al., 2016; Sanyé-Mengual &amp; Sala, 2023);</w:t>
      </w:r>
    </w:p>
    <w:p w14:paraId="21CAD0D1" w14:textId="0573C02A" w:rsidR="00C81291" w:rsidRPr="00013BDC" w:rsidRDefault="00C81291" w:rsidP="00CF0DFB">
      <w:pPr>
        <w:numPr>
          <w:ilvl w:val="0"/>
          <w:numId w:val="104"/>
        </w:numPr>
        <w:spacing w:after="120"/>
        <w:rPr>
          <w:rFonts w:eastAsiaTheme="minorEastAsia"/>
          <w:noProof/>
          <w:lang w:val="en-IE"/>
        </w:rPr>
      </w:pPr>
      <w:r w:rsidRPr="00013BDC">
        <w:rPr>
          <w:rFonts w:eastAsiaTheme="minorEastAsia"/>
          <w:noProof/>
          <w:lang w:val="en-IE"/>
        </w:rPr>
        <w:t>assess the impacts of the EU food system against the Planetary Boundaries as absolute sustainability reference (Sala et al., 2020).</w:t>
      </w:r>
    </w:p>
    <w:p w14:paraId="298B4B7F" w14:textId="10C412B6" w:rsidR="00FE78C4" w:rsidRPr="00013BDC" w:rsidRDefault="00C81291" w:rsidP="00FE78C4">
      <w:pPr>
        <w:spacing w:after="0"/>
        <w:jc w:val="left"/>
        <w:rPr>
          <w:noProof/>
          <w:lang w:val="en-IE" w:eastAsia="en-GB"/>
        </w:rPr>
      </w:pPr>
      <w:r w:rsidRPr="00013BDC">
        <w:rPr>
          <w:rFonts w:eastAsiaTheme="minorEastAsia"/>
          <w:noProof/>
          <w:lang w:val="en-IE"/>
        </w:rPr>
        <w:t>The Consumption Footprint was also used to support different European Green Deal ambitions in impact assessments (e.g., 2030 climate target plan</w:t>
      </w:r>
      <w:r w:rsidR="00302F1F" w:rsidRPr="00013BDC">
        <w:rPr>
          <w:rStyle w:val="FootnoteReference"/>
          <w:rFonts w:eastAsiaTheme="minorEastAsia"/>
          <w:noProof/>
          <w:lang w:val="en-IE"/>
        </w:rPr>
        <w:footnoteReference w:id="56"/>
      </w:r>
      <w:r w:rsidRPr="00013BDC">
        <w:rPr>
          <w:rFonts w:eastAsiaTheme="minorEastAsia"/>
          <w:noProof/>
          <w:lang w:val="en-IE"/>
        </w:rPr>
        <w:t>, ecodesign for sustainable product requirements</w:t>
      </w:r>
      <w:r w:rsidR="00167BEE" w:rsidRPr="00013BDC">
        <w:rPr>
          <w:rStyle w:val="FootnoteReference"/>
          <w:rFonts w:eastAsiaTheme="minorEastAsia"/>
          <w:noProof/>
          <w:lang w:val="en-IE"/>
        </w:rPr>
        <w:footnoteReference w:id="57"/>
      </w:r>
      <w:r w:rsidRPr="00013BDC">
        <w:rPr>
          <w:rFonts w:eastAsiaTheme="minorEastAsia"/>
          <w:noProof/>
          <w:lang w:val="en-IE"/>
        </w:rPr>
        <w:t>, legislative framework for sustainable food systems</w:t>
      </w:r>
      <w:r w:rsidR="00167BEE" w:rsidRPr="00013BDC">
        <w:rPr>
          <w:rStyle w:val="FootnoteReference"/>
          <w:rFonts w:eastAsiaTheme="minorEastAsia"/>
          <w:noProof/>
          <w:lang w:val="en-IE"/>
        </w:rPr>
        <w:footnoteReference w:id="58"/>
      </w:r>
      <w:r w:rsidRPr="00013BDC">
        <w:rPr>
          <w:rFonts w:eastAsiaTheme="minorEastAsia"/>
          <w:noProof/>
          <w:lang w:val="en-IE"/>
        </w:rPr>
        <w:t>) and in monitoring frameworks (e.g., resilience dashboards</w:t>
      </w:r>
      <w:r w:rsidR="00167BEE" w:rsidRPr="00013BDC">
        <w:rPr>
          <w:rStyle w:val="FootnoteReference"/>
          <w:rFonts w:eastAsiaTheme="minorEastAsia"/>
          <w:noProof/>
          <w:lang w:val="en-IE"/>
        </w:rPr>
        <w:footnoteReference w:id="59"/>
      </w:r>
      <w:r w:rsidRPr="00013BDC">
        <w:rPr>
          <w:rFonts w:eastAsiaTheme="minorEastAsia"/>
          <w:noProof/>
          <w:lang w:val="en-IE"/>
        </w:rPr>
        <w:t>, 8</w:t>
      </w:r>
      <w:r w:rsidRPr="00013BDC">
        <w:rPr>
          <w:rFonts w:eastAsiaTheme="minorEastAsia"/>
          <w:noProof/>
          <w:vertAlign w:val="superscript"/>
          <w:lang w:val="en-IE"/>
        </w:rPr>
        <w:t>th</w:t>
      </w:r>
      <w:r w:rsidRPr="00013BDC">
        <w:rPr>
          <w:rFonts w:eastAsiaTheme="minorEastAsia"/>
          <w:noProof/>
          <w:lang w:val="en-IE"/>
        </w:rPr>
        <w:t xml:space="preserve"> Environment Action Programme</w:t>
      </w:r>
      <w:r w:rsidR="00167BEE" w:rsidRPr="00013BDC">
        <w:rPr>
          <w:rStyle w:val="FootnoteReference"/>
          <w:rFonts w:eastAsiaTheme="minorEastAsia"/>
          <w:noProof/>
          <w:lang w:val="en-IE"/>
        </w:rPr>
        <w:footnoteReference w:id="60"/>
      </w:r>
      <w:r w:rsidRPr="00013BDC">
        <w:rPr>
          <w:rFonts w:eastAsiaTheme="minorEastAsia"/>
          <w:noProof/>
          <w:lang w:val="en-IE"/>
        </w:rPr>
        <w:t>, Circular Economy Action Plan</w:t>
      </w:r>
      <w:r w:rsidRPr="00013BDC">
        <w:rPr>
          <w:rStyle w:val="FootnoteReference"/>
          <w:rFonts w:eastAsiaTheme="minorEastAsia"/>
          <w:noProof/>
          <w:lang w:val="en-IE"/>
        </w:rPr>
        <w:footnoteReference w:id="61"/>
      </w:r>
      <w:r w:rsidRPr="00013BDC">
        <w:rPr>
          <w:rFonts w:eastAsiaTheme="minorEastAsia"/>
          <w:noProof/>
          <w:lang w:val="en-IE"/>
        </w:rPr>
        <w:t>). </w:t>
      </w:r>
      <w:r w:rsidR="00FE78C4" w:rsidRPr="00013BDC">
        <w:rPr>
          <w:rFonts w:eastAsiaTheme="minorEastAsia"/>
          <w:noProof/>
          <w:lang w:val="en-IE"/>
        </w:rPr>
        <w:t>The Consumption Footprint also features in the 2021 OECD/JRC report on “</w:t>
      </w:r>
      <w:hyperlink r:id="rId72" w:history="1">
        <w:r w:rsidR="00FE78C4" w:rsidRPr="00013BDC">
          <w:rPr>
            <w:rFonts w:eastAsiaTheme="minorEastAsia"/>
            <w:noProof/>
            <w:lang w:val="en-IE"/>
          </w:rPr>
          <w:t>Understanding the spillovers and Transboundary Impacts of Public Policies</w:t>
        </w:r>
      </w:hyperlink>
      <w:r w:rsidR="00FE78C4" w:rsidRPr="00013BDC">
        <w:rPr>
          <w:rFonts w:eastAsiaTheme="minorEastAsia"/>
          <w:noProof/>
          <w:lang w:val="en-IE"/>
        </w:rPr>
        <w:t>”</w:t>
      </w:r>
      <w:r w:rsidR="00FE78C4" w:rsidRPr="00013BDC">
        <w:rPr>
          <w:rStyle w:val="FootnoteReference"/>
          <w:noProof/>
          <w:lang w:val="en-IE"/>
        </w:rPr>
        <w:footnoteReference w:id="62"/>
      </w:r>
      <w:r w:rsidR="00FE78C4" w:rsidRPr="00013BDC">
        <w:rPr>
          <w:noProof/>
          <w:lang w:val="en-IE"/>
        </w:rPr>
        <w:t>.</w:t>
      </w:r>
      <w:r w:rsidR="00FE78C4" w:rsidRPr="00013BDC">
        <w:rPr>
          <w:noProof/>
          <w:lang w:val="en-IE" w:eastAsia="en-GB"/>
        </w:rPr>
        <w:t xml:space="preserve"> </w:t>
      </w:r>
    </w:p>
    <w:p w14:paraId="3A5A20C7" w14:textId="75F04111" w:rsidR="000C441C" w:rsidRPr="00013BDC" w:rsidRDefault="000C441C" w:rsidP="0038733E">
      <w:pPr>
        <w:spacing w:after="120"/>
        <w:rPr>
          <w:rFonts w:eastAsiaTheme="minorEastAsia"/>
          <w:noProof/>
          <w:lang w:val="en-IE"/>
        </w:rPr>
      </w:pPr>
    </w:p>
    <w:p w14:paraId="148D00DC" w14:textId="77777777" w:rsidR="00F155AE" w:rsidRPr="00013BDC" w:rsidRDefault="00F155AE">
      <w:pPr>
        <w:spacing w:after="200" w:line="276" w:lineRule="auto"/>
        <w:jc w:val="left"/>
        <w:rPr>
          <w:rFonts w:eastAsia="Times New Roman"/>
          <w:b/>
          <w:smallCaps/>
          <w:noProof/>
          <w:sz w:val="32"/>
          <w:szCs w:val="20"/>
          <w:lang w:val="en-IE"/>
        </w:rPr>
      </w:pPr>
      <w:r w:rsidRPr="00013BDC">
        <w:rPr>
          <w:noProof/>
          <w:lang w:val="en-IE"/>
        </w:rPr>
        <w:br w:type="page"/>
      </w:r>
    </w:p>
    <w:p w14:paraId="48C9C8B3" w14:textId="7BE86E32" w:rsidR="0038733E" w:rsidRPr="00013BDC" w:rsidRDefault="0038733E" w:rsidP="004A0ACC">
      <w:pPr>
        <w:pStyle w:val="AnnexTitle"/>
        <w:rPr>
          <w:noProof/>
          <w:lang w:val="en-IE"/>
        </w:rPr>
      </w:pPr>
      <w:bookmarkStart w:id="457" w:name="_Toc132761283"/>
      <w:bookmarkStart w:id="458" w:name="_Toc316085462"/>
      <w:bookmarkStart w:id="459" w:name="_Toc1737133195"/>
      <w:bookmarkStart w:id="460" w:name="_Toc1869857789"/>
      <w:bookmarkStart w:id="461" w:name="_Toc106284536"/>
      <w:bookmarkStart w:id="462" w:name="_Toc383495461"/>
      <w:bookmarkStart w:id="463" w:name="_Toc1394355779"/>
      <w:bookmarkStart w:id="464" w:name="_Toc2011454351"/>
      <w:bookmarkStart w:id="465" w:name="_Toc139032972"/>
      <w:r w:rsidRPr="00013BDC">
        <w:rPr>
          <w:noProof/>
          <w:lang w:val="en-IE"/>
        </w:rPr>
        <w:t>Annex 5: Political and Legal Context</w:t>
      </w:r>
      <w:bookmarkEnd w:id="457"/>
      <w:bookmarkEnd w:id="458"/>
      <w:bookmarkEnd w:id="459"/>
      <w:bookmarkEnd w:id="460"/>
      <w:bookmarkEnd w:id="461"/>
      <w:bookmarkEnd w:id="462"/>
      <w:bookmarkEnd w:id="463"/>
      <w:bookmarkEnd w:id="464"/>
      <w:bookmarkEnd w:id="465"/>
    </w:p>
    <w:p w14:paraId="00255ADD" w14:textId="77777777" w:rsidR="0038733E" w:rsidRPr="00013BDC" w:rsidRDefault="0038733E" w:rsidP="0038733E">
      <w:pPr>
        <w:spacing w:after="120"/>
        <w:rPr>
          <w:rFonts w:eastAsiaTheme="minorEastAsia"/>
          <w:noProof/>
          <w:lang w:val="en-IE"/>
        </w:rPr>
      </w:pPr>
      <w:r w:rsidRPr="00013BDC">
        <w:rPr>
          <w:rFonts w:eastAsia="Times New Roman"/>
          <w:noProof/>
          <w:lang w:val="en-IE"/>
        </w:rPr>
        <w:t xml:space="preserve">The WFD sets the fundamental waste management principles applicable in the EU. Over its </w:t>
      </w:r>
      <w:r w:rsidRPr="00013BDC">
        <w:rPr>
          <w:rFonts w:eastAsiaTheme="minorEastAsia"/>
          <w:noProof/>
          <w:lang w:val="en-IE"/>
        </w:rPr>
        <w:t>lifetime, the WFD has evolved to address the changing way waste is perceived by society, away from a significant focus on disposal to one that gives greater priority to prevention and obtaining value from waste as a resource. In addition, it has considered how waste policy interacts with other environmental policies as explained below.</w:t>
      </w:r>
    </w:p>
    <w:p w14:paraId="64A83C7D" w14:textId="1755DAD5" w:rsidR="00902EC2" w:rsidRPr="00013BDC" w:rsidRDefault="741A1A88" w:rsidP="00CC7036">
      <w:pPr>
        <w:rPr>
          <w:rFonts w:eastAsia="Times New Roman"/>
          <w:noProof/>
          <w:lang w:val="en-IE"/>
        </w:rPr>
      </w:pPr>
      <w:r w:rsidRPr="00013BDC">
        <w:rPr>
          <w:rFonts w:eastAsia="Times New Roman"/>
          <w:noProof/>
          <w:lang w:val="en-IE"/>
        </w:rPr>
        <w:t xml:space="preserve">The WFD includes the basic concepts and definitions related to waste management, including definitions of waste, recycling and recovery. It requires waste </w:t>
      </w:r>
      <w:r w:rsidR="00C54CD9" w:rsidRPr="00013BDC">
        <w:rPr>
          <w:rFonts w:eastAsia="Times New Roman"/>
          <w:noProof/>
          <w:lang w:val="en-IE"/>
        </w:rPr>
        <w:t>to</w:t>
      </w:r>
      <w:r w:rsidRPr="00013BDC">
        <w:rPr>
          <w:rFonts w:eastAsia="Times New Roman"/>
          <w:noProof/>
          <w:lang w:val="en-IE"/>
        </w:rPr>
        <w:t xml:space="preserve"> be managed without endangering human health and harming the environment, without risk to water, air, soil, plants or animals, without causing a nuisance through noise or odours and without adversely affecting the countryside or places of special interest. EU waste management is </w:t>
      </w:r>
      <w:r w:rsidR="00C54CD9" w:rsidRPr="00013BDC">
        <w:rPr>
          <w:rFonts w:eastAsia="Times New Roman"/>
          <w:noProof/>
          <w:lang w:val="en-IE"/>
        </w:rPr>
        <w:t>based on</w:t>
      </w:r>
      <w:r w:rsidRPr="00013BDC">
        <w:rPr>
          <w:rFonts w:eastAsia="Times New Roman"/>
          <w:noProof/>
          <w:lang w:val="en-IE"/>
        </w:rPr>
        <w:t xml:space="preserve"> the five-step “waste hierarchy”, which establishes an order of preference for managing and disposing of waste: prevention first </w:t>
      </w:r>
      <w:r w:rsidR="006B53F8" w:rsidRPr="00013BDC">
        <w:rPr>
          <w:rFonts w:eastAsia="Times New Roman"/>
          <w:noProof/>
          <w:lang w:val="en-IE"/>
        </w:rPr>
        <w:t xml:space="preserve">(including reuse) </w:t>
      </w:r>
      <w:r w:rsidRPr="00013BDC">
        <w:rPr>
          <w:rFonts w:eastAsia="Times New Roman"/>
          <w:noProof/>
          <w:lang w:val="en-IE"/>
        </w:rPr>
        <w:t xml:space="preserve">followed by </w:t>
      </w:r>
      <w:r w:rsidR="006B53F8" w:rsidRPr="00013BDC">
        <w:rPr>
          <w:rFonts w:eastAsia="Times New Roman"/>
          <w:noProof/>
          <w:lang w:val="en-IE"/>
        </w:rPr>
        <w:t xml:space="preserve">waste management operations: preparing for </w:t>
      </w:r>
      <w:r w:rsidR="00D96247" w:rsidRPr="00013BDC">
        <w:rPr>
          <w:rFonts w:eastAsia="Times New Roman"/>
          <w:noProof/>
          <w:lang w:val="en-IE"/>
        </w:rPr>
        <w:t>reuse</w:t>
      </w:r>
      <w:r w:rsidRPr="00013BDC">
        <w:rPr>
          <w:rFonts w:eastAsia="Times New Roman"/>
          <w:noProof/>
          <w:lang w:val="en-IE"/>
        </w:rPr>
        <w:t>, recycling, recovery and last disposal.</w:t>
      </w:r>
    </w:p>
    <w:p w14:paraId="3E634C4E" w14:textId="3BD1A9C5" w:rsidR="00CC7036" w:rsidRPr="00013BDC" w:rsidRDefault="00CC7036" w:rsidP="001B1E6E">
      <w:pPr>
        <w:spacing w:after="120"/>
        <w:rPr>
          <w:rFonts w:eastAsia="Times New Roman"/>
          <w:i/>
          <w:noProof/>
          <w:lang w:val="en-IE"/>
        </w:rPr>
      </w:pPr>
      <w:bookmarkStart w:id="466" w:name="_Toc133229279"/>
      <w:bookmarkStart w:id="467" w:name="_Toc139033006"/>
      <w:r w:rsidRPr="00013BDC">
        <w:rPr>
          <w:i/>
          <w:noProof/>
          <w:lang w:val="en-IE"/>
        </w:rPr>
        <w:t xml:space="preserve">Figure </w:t>
      </w:r>
      <w:r w:rsidR="004C5576">
        <w:rPr>
          <w:i/>
          <w:noProof/>
          <w:lang w:val="en-IE"/>
        </w:rPr>
        <w:t>9</w:t>
      </w:r>
      <w:r w:rsidRPr="00013BDC">
        <w:rPr>
          <w:i/>
          <w:noProof/>
          <w:lang w:val="en-IE"/>
        </w:rPr>
        <w:t xml:space="preserve"> – The waste hierarchy</w:t>
      </w:r>
      <w:bookmarkEnd w:id="466"/>
      <w:bookmarkEnd w:id="467"/>
    </w:p>
    <w:p w14:paraId="268FB023" w14:textId="4B2746CA" w:rsidR="006B53F8" w:rsidRPr="00013BDC" w:rsidRDefault="006B53F8" w:rsidP="001B1E6E">
      <w:pPr>
        <w:spacing w:after="120"/>
        <w:rPr>
          <w:rFonts w:eastAsia="Times New Roman"/>
          <w:noProof/>
          <w:lang w:val="en-IE"/>
        </w:rPr>
      </w:pPr>
      <w:r w:rsidRPr="00013BDC">
        <w:rPr>
          <w:noProof/>
          <w:lang w:eastAsia="en-GB"/>
        </w:rPr>
        <w:drawing>
          <wp:inline distT="0" distB="0" distL="0" distR="0" wp14:anchorId="3CD38042" wp14:editId="7CA0E3C5">
            <wp:extent cx="6103620" cy="32886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03620" cy="3288665"/>
                    </a:xfrm>
                    <a:prstGeom prst="rect">
                      <a:avLst/>
                    </a:prstGeom>
                  </pic:spPr>
                </pic:pic>
              </a:graphicData>
            </a:graphic>
          </wp:inline>
        </w:drawing>
      </w:r>
    </w:p>
    <w:p w14:paraId="7E5736A6" w14:textId="03EB808D" w:rsidR="00AC3209" w:rsidRPr="00013BDC" w:rsidRDefault="00AC3209" w:rsidP="00A009E3">
      <w:pPr>
        <w:spacing w:after="120"/>
        <w:rPr>
          <w:rFonts w:eastAsiaTheme="minorEastAsia"/>
          <w:noProof/>
          <w:lang w:val="en-IE"/>
        </w:rPr>
      </w:pPr>
      <w:r w:rsidRPr="00013BDC">
        <w:rPr>
          <w:rFonts w:eastAsiaTheme="minorEastAsia"/>
          <w:noProof/>
          <w:lang w:val="en-IE"/>
        </w:rPr>
        <w:t xml:space="preserve">The WFD tasks Member States to take measures to limit waste generation, regulate and monitor waste treatment operations and operators, set up separate collection of waste to facilitate recovery of waste and attain preparing for </w:t>
      </w:r>
      <w:r w:rsidR="00D96247" w:rsidRPr="00013BDC">
        <w:rPr>
          <w:rFonts w:eastAsiaTheme="minorEastAsia"/>
          <w:noProof/>
          <w:lang w:val="en-IE"/>
        </w:rPr>
        <w:t>reuse</w:t>
      </w:r>
      <w:r w:rsidRPr="00013BDC">
        <w:rPr>
          <w:rFonts w:eastAsiaTheme="minorEastAsia"/>
          <w:noProof/>
          <w:lang w:val="en-IE"/>
        </w:rPr>
        <w:t xml:space="preserve"> and recycling targets for municipal waste. It also implements the polluter pays principle by setting general requirements for extended producer responsibility (EPR) schemes to strengthen </w:t>
      </w:r>
      <w:r w:rsidR="00D96247" w:rsidRPr="00013BDC">
        <w:rPr>
          <w:rFonts w:eastAsiaTheme="minorEastAsia"/>
          <w:noProof/>
          <w:lang w:val="en-IE"/>
        </w:rPr>
        <w:t>reuse</w:t>
      </w:r>
      <w:r w:rsidRPr="00013BDC">
        <w:rPr>
          <w:rFonts w:eastAsiaTheme="minorEastAsia"/>
          <w:noProof/>
          <w:lang w:val="en-IE"/>
        </w:rPr>
        <w:t>, waste prevention, recycling and other recovery of waste. The Directive also mandates the Member States to adopt waste prevention programmes, including dedicated food waste prevention programmes, and waste management plans to define their strategic planning in waste management aiming to decouple waste generation from economic growth and the transition towards a circular economy.</w:t>
      </w:r>
    </w:p>
    <w:p w14:paraId="61558390" w14:textId="7D8818D7" w:rsidR="00902EC2" w:rsidRPr="00013BDC" w:rsidRDefault="40F35119" w:rsidP="1A57811D">
      <w:pPr>
        <w:spacing w:after="120"/>
        <w:rPr>
          <w:rFonts w:eastAsia="Times New Roman"/>
          <w:noProof/>
          <w:lang w:val="en-IE"/>
        </w:rPr>
      </w:pPr>
      <w:r w:rsidRPr="00013BDC">
        <w:rPr>
          <w:rFonts w:eastAsia="Times New Roman"/>
          <w:noProof/>
          <w:lang w:val="en-IE"/>
        </w:rPr>
        <w:t xml:space="preserve">In 2015, the European Commission adopted its first </w:t>
      </w:r>
      <w:r w:rsidR="005A5D64" w:rsidRPr="00013BDC">
        <w:rPr>
          <w:rFonts w:eastAsia="Times New Roman"/>
          <w:noProof/>
          <w:lang w:val="en-IE"/>
        </w:rPr>
        <w:t>CEAP</w:t>
      </w:r>
      <w:r w:rsidR="005A5D64" w:rsidRPr="00013BDC">
        <w:rPr>
          <w:rStyle w:val="FootnoteReference"/>
          <w:rFonts w:eastAsia="Times New Roman"/>
          <w:noProof/>
          <w:lang w:val="en-IE"/>
        </w:rPr>
        <w:footnoteReference w:id="63"/>
      </w:r>
      <w:r w:rsidRPr="00013BDC">
        <w:rPr>
          <w:rFonts w:eastAsia="Times New Roman"/>
          <w:noProof/>
          <w:lang w:val="en-IE"/>
        </w:rPr>
        <w:t>. It included measures to help stimulate Europe's transition towards a circular economy, boost global competitiveness, foster sustainable economic growth and generate new jobs.</w:t>
      </w:r>
    </w:p>
    <w:p w14:paraId="25256393" w14:textId="2153A37A" w:rsidR="00902EC2" w:rsidRPr="00013BDC" w:rsidRDefault="00384422" w:rsidP="001B1E6E">
      <w:pPr>
        <w:spacing w:after="120"/>
        <w:rPr>
          <w:rFonts w:eastAsia="Times New Roman"/>
          <w:noProof/>
          <w:lang w:val="en-IE"/>
        </w:rPr>
      </w:pPr>
      <w:r w:rsidRPr="00013BDC">
        <w:rPr>
          <w:rFonts w:eastAsia="Times New Roman"/>
          <w:noProof/>
          <w:color w:val="333333"/>
          <w:lang w:val="en-IE"/>
        </w:rPr>
        <w:t xml:space="preserve">Together with that action plan, </w:t>
      </w:r>
      <w:r w:rsidR="7ACC89E0" w:rsidRPr="00013BDC">
        <w:rPr>
          <w:rFonts w:eastAsia="Times New Roman"/>
          <w:noProof/>
          <w:color w:val="333333"/>
          <w:lang w:val="en-IE"/>
        </w:rPr>
        <w:t>the Commission adopted</w:t>
      </w:r>
      <w:r w:rsidRPr="00013BDC">
        <w:rPr>
          <w:rFonts w:eastAsia="Times New Roman"/>
          <w:noProof/>
          <w:color w:val="333333"/>
          <w:lang w:val="en-IE"/>
        </w:rPr>
        <w:t xml:space="preserve"> a</w:t>
      </w:r>
      <w:r w:rsidR="7ACC89E0" w:rsidRPr="00013BDC">
        <w:rPr>
          <w:rFonts w:eastAsia="Times New Roman"/>
          <w:noProof/>
          <w:color w:val="333333"/>
          <w:lang w:val="en-IE"/>
        </w:rPr>
        <w:t xml:space="preserve"> legislative proposal on waste, which </w:t>
      </w:r>
      <w:r w:rsidR="2AEE3126" w:rsidRPr="00013BDC">
        <w:rPr>
          <w:rFonts w:eastAsia="Times New Roman"/>
          <w:noProof/>
          <w:color w:val="333333"/>
          <w:lang w:val="en-IE"/>
        </w:rPr>
        <w:t xml:space="preserve">resulted in </w:t>
      </w:r>
      <w:r w:rsidRPr="00013BDC">
        <w:rPr>
          <w:rFonts w:eastAsia="Times New Roman"/>
          <w:noProof/>
          <w:color w:val="333333"/>
          <w:lang w:val="en-IE"/>
        </w:rPr>
        <w:t xml:space="preserve">the </w:t>
      </w:r>
      <w:r w:rsidR="2AEE3126" w:rsidRPr="00013BDC">
        <w:rPr>
          <w:rFonts w:eastAsia="Times New Roman"/>
          <w:noProof/>
          <w:color w:val="333333"/>
          <w:lang w:val="en-IE"/>
        </w:rPr>
        <w:t>2018 waste package</w:t>
      </w:r>
      <w:r w:rsidR="674C8A5C" w:rsidRPr="00013BDC">
        <w:rPr>
          <w:rFonts w:eastAsia="Times New Roman"/>
          <w:noProof/>
          <w:color w:val="333333"/>
          <w:lang w:val="en-IE"/>
        </w:rPr>
        <w:t xml:space="preserve"> (described below). </w:t>
      </w:r>
      <w:r w:rsidR="00902EC2" w:rsidRPr="00013BDC">
        <w:rPr>
          <w:rFonts w:eastAsia="Times New Roman"/>
          <w:noProof/>
          <w:lang w:val="en-IE"/>
        </w:rPr>
        <w:t xml:space="preserve">The ‘2018 waste package’ </w:t>
      </w:r>
      <w:r w:rsidR="00902EC2" w:rsidRPr="00013BDC">
        <w:rPr>
          <w:rFonts w:eastAsiaTheme="minorEastAsia"/>
          <w:noProof/>
          <w:lang w:val="en-IE"/>
        </w:rPr>
        <w:t>introduced a significant number of changes to the EU waste management rules. The most important changes are listed below</w:t>
      </w:r>
      <w:r w:rsidR="002839A4" w:rsidRPr="00013BDC">
        <w:rPr>
          <w:rFonts w:eastAsiaTheme="minorEastAsia"/>
          <w:noProof/>
          <w:lang w:val="en-IE"/>
        </w:rPr>
        <w:t xml:space="preserve"> some details of the provisions is provided in the order of the WFD articles</w:t>
      </w:r>
      <w:r w:rsidR="00902EC2" w:rsidRPr="00013BDC">
        <w:rPr>
          <w:rFonts w:eastAsiaTheme="minorEastAsia"/>
          <w:noProof/>
          <w:lang w:val="en-IE"/>
        </w:rPr>
        <w:t xml:space="preserve">. </w:t>
      </w:r>
    </w:p>
    <w:p w14:paraId="2669C1EA" w14:textId="39AC025E" w:rsidR="00902EC2" w:rsidRPr="00013BDC" w:rsidRDefault="00902EC2" w:rsidP="00410D9F">
      <w:pPr>
        <w:pStyle w:val="ListParagraph"/>
        <w:numPr>
          <w:ilvl w:val="0"/>
          <w:numId w:val="19"/>
        </w:numPr>
        <w:ind w:left="630"/>
        <w:rPr>
          <w:rFonts w:eastAsia="Times New Roman"/>
          <w:noProof/>
          <w:lang w:val="en-IE"/>
        </w:rPr>
      </w:pPr>
      <w:r w:rsidRPr="00013BDC">
        <w:rPr>
          <w:rFonts w:eastAsia="Times New Roman"/>
          <w:noProof/>
          <w:lang w:val="en-IE"/>
        </w:rPr>
        <w:t>Clarified key concepts such as the definitions of waste, recovery and disposal</w:t>
      </w:r>
      <w:r w:rsidR="003719EC" w:rsidRPr="00013BDC">
        <w:rPr>
          <w:rFonts w:eastAsia="Times New Roman"/>
          <w:noProof/>
          <w:lang w:val="en-IE"/>
        </w:rPr>
        <w:t>.</w:t>
      </w:r>
    </w:p>
    <w:p w14:paraId="4240FABC" w14:textId="16E3B2C2" w:rsidR="00902EC2" w:rsidRPr="00013BDC" w:rsidRDefault="00902EC2" w:rsidP="00410D9F">
      <w:pPr>
        <w:pStyle w:val="ListParagraph"/>
        <w:numPr>
          <w:ilvl w:val="0"/>
          <w:numId w:val="18"/>
        </w:numPr>
        <w:ind w:left="630"/>
        <w:rPr>
          <w:rFonts w:eastAsia="Times New Roman"/>
          <w:noProof/>
          <w:lang w:val="en-IE"/>
        </w:rPr>
      </w:pPr>
      <w:r w:rsidRPr="00013BDC">
        <w:rPr>
          <w:rFonts w:eastAsia="Times New Roman"/>
          <w:noProof/>
          <w:lang w:val="en-IE"/>
        </w:rPr>
        <w:t xml:space="preserve">Increased preparing for </w:t>
      </w:r>
      <w:r w:rsidR="00D96247" w:rsidRPr="00013BDC">
        <w:rPr>
          <w:rFonts w:eastAsia="Times New Roman"/>
          <w:noProof/>
          <w:lang w:val="en-IE"/>
        </w:rPr>
        <w:t>reuse</w:t>
      </w:r>
      <w:r w:rsidRPr="00013BDC">
        <w:rPr>
          <w:rFonts w:eastAsia="Times New Roman"/>
          <w:noProof/>
          <w:lang w:val="en-IE"/>
        </w:rPr>
        <w:t xml:space="preserve"> and recycling targets for municipal waste and packaging waste</w:t>
      </w:r>
      <w:r w:rsidR="003719EC" w:rsidRPr="00013BDC">
        <w:rPr>
          <w:rFonts w:eastAsia="Times New Roman"/>
          <w:noProof/>
          <w:lang w:val="en-IE"/>
        </w:rPr>
        <w:t>.</w:t>
      </w:r>
    </w:p>
    <w:p w14:paraId="51DFD823" w14:textId="384D7174" w:rsidR="00902EC2" w:rsidRPr="00013BDC" w:rsidRDefault="00902EC2" w:rsidP="00410D9F">
      <w:pPr>
        <w:pStyle w:val="ListParagraph"/>
        <w:numPr>
          <w:ilvl w:val="0"/>
          <w:numId w:val="17"/>
        </w:numPr>
        <w:ind w:left="630"/>
        <w:rPr>
          <w:rFonts w:eastAsia="Times New Roman"/>
          <w:noProof/>
          <w:lang w:val="en-IE"/>
        </w:rPr>
      </w:pPr>
      <w:r w:rsidRPr="00013BDC">
        <w:rPr>
          <w:rFonts w:eastAsia="Times New Roman"/>
          <w:noProof/>
          <w:lang w:val="en-IE"/>
        </w:rPr>
        <w:t>Set a target on the maximum amount of municipal waste that can be landfilled</w:t>
      </w:r>
      <w:r w:rsidR="003719EC" w:rsidRPr="00013BDC">
        <w:rPr>
          <w:rFonts w:eastAsia="Times New Roman"/>
          <w:noProof/>
          <w:lang w:val="en-IE"/>
        </w:rPr>
        <w:t>.</w:t>
      </w:r>
    </w:p>
    <w:p w14:paraId="13738864" w14:textId="0E0632BB" w:rsidR="00902EC2" w:rsidRPr="00013BDC" w:rsidRDefault="00902EC2" w:rsidP="00410D9F">
      <w:pPr>
        <w:pStyle w:val="ListParagraph"/>
        <w:numPr>
          <w:ilvl w:val="0"/>
          <w:numId w:val="16"/>
        </w:numPr>
        <w:ind w:left="630"/>
        <w:rPr>
          <w:rFonts w:eastAsia="Times New Roman"/>
          <w:noProof/>
          <w:lang w:val="en-IE"/>
        </w:rPr>
      </w:pPr>
      <w:r w:rsidRPr="00013BDC">
        <w:rPr>
          <w:rFonts w:eastAsia="Times New Roman"/>
          <w:noProof/>
          <w:lang w:val="en-IE"/>
        </w:rPr>
        <w:t>Harmonised and simplified the legal framework on by-products and end-of-waste status</w:t>
      </w:r>
      <w:r w:rsidR="003719EC" w:rsidRPr="00013BDC">
        <w:rPr>
          <w:rFonts w:eastAsia="Times New Roman"/>
          <w:noProof/>
          <w:lang w:val="en-IE"/>
        </w:rPr>
        <w:t>.</w:t>
      </w:r>
    </w:p>
    <w:p w14:paraId="5244175A" w14:textId="1ED4DD44" w:rsidR="00902EC2" w:rsidRPr="00013BDC" w:rsidRDefault="00902EC2" w:rsidP="00410D9F">
      <w:pPr>
        <w:pStyle w:val="ListParagraph"/>
        <w:numPr>
          <w:ilvl w:val="0"/>
          <w:numId w:val="15"/>
        </w:numPr>
        <w:ind w:left="630"/>
        <w:rPr>
          <w:rFonts w:eastAsia="Times New Roman"/>
          <w:noProof/>
          <w:lang w:val="en-IE"/>
        </w:rPr>
      </w:pPr>
      <w:r w:rsidRPr="00013BDC">
        <w:rPr>
          <w:rFonts w:eastAsia="Times New Roman"/>
          <w:noProof/>
          <w:lang w:val="en-IE"/>
        </w:rPr>
        <w:t>Tasked EU Member States to take measures to limit waste generation</w:t>
      </w:r>
      <w:r w:rsidR="003719EC" w:rsidRPr="00013BDC">
        <w:rPr>
          <w:rFonts w:eastAsia="Times New Roman"/>
          <w:noProof/>
          <w:lang w:val="en-IE"/>
        </w:rPr>
        <w:t>.</w:t>
      </w:r>
    </w:p>
    <w:p w14:paraId="1940CC49" w14:textId="67394F6B" w:rsidR="00902EC2" w:rsidRPr="00013BDC" w:rsidRDefault="00902EC2" w:rsidP="00410D9F">
      <w:pPr>
        <w:pStyle w:val="ListParagraph"/>
        <w:numPr>
          <w:ilvl w:val="0"/>
          <w:numId w:val="14"/>
        </w:numPr>
        <w:ind w:left="630"/>
        <w:rPr>
          <w:rFonts w:eastAsia="Times New Roman"/>
          <w:noProof/>
          <w:lang w:val="en-IE"/>
        </w:rPr>
      </w:pPr>
      <w:r w:rsidRPr="00013BDC">
        <w:rPr>
          <w:rFonts w:eastAsia="Times New Roman"/>
          <w:noProof/>
          <w:lang w:val="en-IE"/>
        </w:rPr>
        <w:t>Introduced general requirements for Extended Producer Responsibility schemes</w:t>
      </w:r>
      <w:r w:rsidR="003719EC" w:rsidRPr="00013BDC">
        <w:rPr>
          <w:rFonts w:eastAsia="Times New Roman"/>
          <w:noProof/>
          <w:lang w:val="en-IE"/>
        </w:rPr>
        <w:t>.</w:t>
      </w:r>
    </w:p>
    <w:p w14:paraId="65E9D845" w14:textId="4E3C2F0E" w:rsidR="00902EC2" w:rsidRPr="00013BDC" w:rsidRDefault="00902EC2" w:rsidP="00410D9F">
      <w:pPr>
        <w:pStyle w:val="ListParagraph"/>
        <w:numPr>
          <w:ilvl w:val="0"/>
          <w:numId w:val="13"/>
        </w:numPr>
        <w:ind w:left="630"/>
        <w:rPr>
          <w:rFonts w:eastAsia="Times New Roman"/>
          <w:noProof/>
          <w:lang w:val="en-IE"/>
        </w:rPr>
      </w:pPr>
      <w:r w:rsidRPr="00013BDC">
        <w:rPr>
          <w:rFonts w:eastAsia="Times New Roman"/>
          <w:noProof/>
          <w:lang w:val="en-IE"/>
        </w:rPr>
        <w:t xml:space="preserve">Introduced an </w:t>
      </w:r>
      <w:r w:rsidR="1BCA0AB4" w:rsidRPr="00013BDC">
        <w:rPr>
          <w:rFonts w:eastAsiaTheme="minorEastAsia"/>
          <w:noProof/>
          <w:lang w:val="en-IE"/>
        </w:rPr>
        <w:t>EWR</w:t>
      </w:r>
      <w:r w:rsidRPr="00013BDC">
        <w:rPr>
          <w:rFonts w:eastAsia="Times New Roman"/>
          <w:noProof/>
          <w:lang w:val="en-IE"/>
        </w:rPr>
        <w:t xml:space="preserve"> as a compliance promotion tool</w:t>
      </w:r>
      <w:r w:rsidR="003719EC" w:rsidRPr="00013BDC">
        <w:rPr>
          <w:rFonts w:eastAsia="Times New Roman"/>
          <w:noProof/>
          <w:lang w:val="en-IE"/>
        </w:rPr>
        <w:t>.</w:t>
      </w:r>
    </w:p>
    <w:p w14:paraId="571AC168" w14:textId="1CA8B449" w:rsidR="00902EC2" w:rsidRPr="00013BDC" w:rsidRDefault="00902EC2" w:rsidP="00410D9F">
      <w:pPr>
        <w:pStyle w:val="ListParagraph"/>
        <w:numPr>
          <w:ilvl w:val="0"/>
          <w:numId w:val="13"/>
        </w:numPr>
        <w:ind w:left="630"/>
        <w:rPr>
          <w:noProof/>
          <w:color w:val="000000" w:themeColor="text1"/>
          <w:lang w:val="en-IE"/>
        </w:rPr>
      </w:pPr>
      <w:r w:rsidRPr="00013BDC">
        <w:rPr>
          <w:noProof/>
          <w:color w:val="000000" w:themeColor="text1"/>
          <w:lang w:val="en-IE"/>
        </w:rPr>
        <w:t xml:space="preserve">Introduced </w:t>
      </w:r>
      <w:r w:rsidR="003719EC" w:rsidRPr="00013BDC">
        <w:rPr>
          <w:noProof/>
          <w:color w:val="000000" w:themeColor="text1"/>
          <w:lang w:val="en-IE"/>
        </w:rPr>
        <w:t>a</w:t>
      </w:r>
      <w:r w:rsidRPr="00013BDC">
        <w:rPr>
          <w:noProof/>
          <w:color w:val="000000" w:themeColor="text1"/>
          <w:lang w:val="en-IE"/>
        </w:rPr>
        <w:t xml:space="preserve"> whole life cycle </w:t>
      </w:r>
      <w:r w:rsidR="003719EC" w:rsidRPr="00013BDC">
        <w:rPr>
          <w:noProof/>
          <w:color w:val="000000" w:themeColor="text1"/>
          <w:lang w:val="en-IE"/>
        </w:rPr>
        <w:t xml:space="preserve">approach </w:t>
      </w:r>
      <w:r w:rsidRPr="00013BDC">
        <w:rPr>
          <w:noProof/>
          <w:color w:val="000000" w:themeColor="text1"/>
          <w:lang w:val="en-IE"/>
        </w:rPr>
        <w:t>of products and materials and not only the waste phase</w:t>
      </w:r>
      <w:r w:rsidR="003719EC" w:rsidRPr="00013BDC">
        <w:rPr>
          <w:noProof/>
          <w:color w:val="000000" w:themeColor="text1"/>
          <w:lang w:val="en-IE"/>
        </w:rPr>
        <w:t>.</w:t>
      </w:r>
    </w:p>
    <w:p w14:paraId="387A93AA" w14:textId="08C73959" w:rsidR="00902EC2" w:rsidRPr="00013BDC" w:rsidRDefault="00902EC2" w:rsidP="00410D9F">
      <w:pPr>
        <w:pStyle w:val="ListParagraph"/>
        <w:numPr>
          <w:ilvl w:val="0"/>
          <w:numId w:val="13"/>
        </w:numPr>
        <w:ind w:left="630"/>
        <w:rPr>
          <w:noProof/>
          <w:color w:val="000000" w:themeColor="text1"/>
          <w:lang w:val="en-IE"/>
        </w:rPr>
      </w:pPr>
      <w:r w:rsidRPr="00013BDC">
        <w:rPr>
          <w:noProof/>
          <w:color w:val="000000" w:themeColor="text1"/>
          <w:lang w:val="en-IE"/>
        </w:rPr>
        <w:t>Focused on reducing the environmental impacts of waste generation and waste management</w:t>
      </w:r>
      <w:r w:rsidR="003719EC" w:rsidRPr="00013BDC">
        <w:rPr>
          <w:noProof/>
          <w:color w:val="000000" w:themeColor="text1"/>
          <w:lang w:val="en-IE"/>
        </w:rPr>
        <w:t>.</w:t>
      </w:r>
    </w:p>
    <w:p w14:paraId="517FB547" w14:textId="4DBC3A2A" w:rsidR="00902EC2" w:rsidRPr="00013BDC" w:rsidRDefault="00902EC2" w:rsidP="00410D9F">
      <w:pPr>
        <w:pStyle w:val="ListParagraph"/>
        <w:numPr>
          <w:ilvl w:val="0"/>
          <w:numId w:val="12"/>
        </w:numPr>
        <w:ind w:left="630"/>
        <w:rPr>
          <w:rFonts w:eastAsia="Times New Roman"/>
          <w:noProof/>
          <w:lang w:val="en-IE"/>
        </w:rPr>
      </w:pPr>
      <w:r w:rsidRPr="00013BDC">
        <w:rPr>
          <w:rFonts w:eastAsia="Times New Roman"/>
          <w:noProof/>
          <w:lang w:val="en-IE"/>
        </w:rPr>
        <w:t>Simplified and streamlined reporting obligations</w:t>
      </w:r>
      <w:r w:rsidR="003719EC" w:rsidRPr="00013BDC">
        <w:rPr>
          <w:rFonts w:eastAsia="Times New Roman"/>
          <w:noProof/>
          <w:lang w:val="en-IE"/>
        </w:rPr>
        <w:t>.</w:t>
      </w:r>
    </w:p>
    <w:p w14:paraId="5AAFC84E" w14:textId="49102AE2" w:rsidR="003719EC" w:rsidRPr="00013BDC" w:rsidRDefault="00902EC2" w:rsidP="00410D9F">
      <w:pPr>
        <w:pStyle w:val="ListParagraph"/>
        <w:numPr>
          <w:ilvl w:val="0"/>
          <w:numId w:val="11"/>
        </w:numPr>
        <w:ind w:left="630"/>
        <w:rPr>
          <w:noProof/>
          <w:lang w:val="en-IE"/>
        </w:rPr>
      </w:pPr>
      <w:r w:rsidRPr="00013BDC">
        <w:rPr>
          <w:rFonts w:eastAsia="Times New Roman"/>
          <w:noProof/>
          <w:lang w:val="en-IE"/>
        </w:rPr>
        <w:t xml:space="preserve">Aligned the legislation to Articles 290 and 291 TFEU on delegated and implementing acts. </w:t>
      </w:r>
    </w:p>
    <w:p w14:paraId="3F80A5C4" w14:textId="332EA497" w:rsidR="00902EC2" w:rsidRPr="00013BDC" w:rsidRDefault="00046A81" w:rsidP="00410D9F">
      <w:pPr>
        <w:pStyle w:val="ListParagraph"/>
        <w:numPr>
          <w:ilvl w:val="0"/>
          <w:numId w:val="11"/>
        </w:numPr>
        <w:ind w:left="630"/>
        <w:rPr>
          <w:rFonts w:eastAsia="Times New Roman"/>
          <w:noProof/>
          <w:lang w:val="en-IE"/>
        </w:rPr>
      </w:pPr>
      <w:r w:rsidRPr="00013BDC">
        <w:rPr>
          <w:rFonts w:eastAsia="Times New Roman"/>
          <w:noProof/>
          <w:lang w:val="en-IE"/>
        </w:rPr>
        <w:t>Specific</w:t>
      </w:r>
      <w:r w:rsidR="00902EC2" w:rsidRPr="00013BDC">
        <w:rPr>
          <w:rFonts w:eastAsia="Times New Roman"/>
          <w:noProof/>
          <w:lang w:val="en-IE"/>
        </w:rPr>
        <w:t xml:space="preserve"> provisions of the WFD and the 2018 revision are detailed below. </w:t>
      </w:r>
    </w:p>
    <w:p w14:paraId="45642A31" w14:textId="48E5AFF1" w:rsidR="00902EC2" w:rsidRPr="00013BDC" w:rsidRDefault="54498EB1" w:rsidP="0062681C">
      <w:pPr>
        <w:spacing w:after="120"/>
        <w:rPr>
          <w:rFonts w:eastAsia="Times New Roman"/>
          <w:noProof/>
          <w:lang w:val="en-IE"/>
        </w:rPr>
      </w:pPr>
      <w:r w:rsidRPr="00013BDC">
        <w:rPr>
          <w:rFonts w:eastAsia="Times New Roman"/>
          <w:noProof/>
          <w:lang w:val="en-IE"/>
        </w:rPr>
        <w:t xml:space="preserve">In December 2019, the European Commission adopted the Communication on a </w:t>
      </w:r>
      <w:r w:rsidR="004D1466" w:rsidRPr="00013BDC">
        <w:rPr>
          <w:rFonts w:eastAsia="Times New Roman"/>
          <w:noProof/>
          <w:lang w:val="en-IE"/>
        </w:rPr>
        <w:t>EGD</w:t>
      </w:r>
      <w:r w:rsidRPr="00013BDC">
        <w:rPr>
          <w:rFonts w:eastAsia="Times New Roman"/>
          <w:noProof/>
          <w:lang w:val="en-IE"/>
        </w:rPr>
        <w:t xml:space="preserve"> which sets out an ambitious roadmap to transform the EU into a </w:t>
      </w:r>
      <w:r w:rsidRPr="00013BDC">
        <w:rPr>
          <w:rFonts w:eastAsia="Times New Roman"/>
          <w:b/>
          <w:noProof/>
          <w:sz w:val="23"/>
          <w:szCs w:val="23"/>
          <w:lang w:val="en-IE"/>
        </w:rPr>
        <w:t>modern, resource-efficient and competitive economy</w:t>
      </w:r>
      <w:r w:rsidRPr="00013BDC">
        <w:rPr>
          <w:rFonts w:eastAsia="Times New Roman"/>
          <w:noProof/>
          <w:lang w:val="en-IE"/>
        </w:rPr>
        <w:t xml:space="preserve">. One of the objectives of the Green Deal is “mobilising industry for a clean and circular economy”. This initiative is part of the Commission’s current ambition to bring about a Green Transition in the EU and is one of several initiatives in the area of waste. </w:t>
      </w:r>
    </w:p>
    <w:p w14:paraId="2EB37969" w14:textId="67945B37" w:rsidR="00902EC2" w:rsidRPr="00013BDC" w:rsidRDefault="54498EB1" w:rsidP="0062681C">
      <w:pPr>
        <w:spacing w:after="120"/>
        <w:rPr>
          <w:noProof/>
          <w:lang w:val="en-IE"/>
        </w:rPr>
      </w:pPr>
      <w:r w:rsidRPr="00013BDC">
        <w:rPr>
          <w:rFonts w:eastAsia="Times New Roman"/>
          <w:noProof/>
          <w:lang w:val="en-IE"/>
        </w:rPr>
        <w:t>A major component of the Green Deal is the new CEAP</w:t>
      </w:r>
      <w:r w:rsidR="00631A9A" w:rsidRPr="00013BDC">
        <w:rPr>
          <w:rFonts w:eastAsia="Times New Roman"/>
          <w:noProof/>
          <w:lang w:val="en-IE"/>
        </w:rPr>
        <w:t>,</w:t>
      </w:r>
      <w:r w:rsidRPr="00013BDC">
        <w:rPr>
          <w:rFonts w:eastAsia="Times New Roman"/>
          <w:noProof/>
          <w:lang w:val="en-IE"/>
        </w:rPr>
        <w:t xml:space="preserve"> adopted in March 2020. Managing waste in an environmentally sound manner and making use of secondary raw materials are key elements of this plan. The CEAP calls for the Commission to put forward waste prevention measures, including waste reduction targets for specific streams. It also calls for the Commission to enhance the implementation of extended producer responsibility schemes and to provide incentives and encourage sharing of information and good practices in waste recycling. </w:t>
      </w:r>
    </w:p>
    <w:p w14:paraId="3645824B" w14:textId="2D4D5CF0" w:rsidR="00902EC2" w:rsidRPr="00013BDC" w:rsidRDefault="54498EB1" w:rsidP="00C851A1">
      <w:pPr>
        <w:spacing w:after="120"/>
        <w:rPr>
          <w:rFonts w:eastAsia="Times New Roman"/>
          <w:noProof/>
          <w:color w:val="000000" w:themeColor="text1"/>
          <w:lang w:val="en-IE"/>
        </w:rPr>
      </w:pPr>
      <w:r w:rsidRPr="00013BDC">
        <w:rPr>
          <w:rFonts w:eastAsia="Times New Roman"/>
          <w:noProof/>
          <w:color w:val="000000" w:themeColor="text1"/>
          <w:lang w:val="en-IE"/>
        </w:rPr>
        <w:t>The European Commission’s 2020 industrial strategy for Europe</w:t>
      </w:r>
      <w:r w:rsidR="00DB7D7D" w:rsidRPr="00013BDC">
        <w:rPr>
          <w:rFonts w:eastAsia="Times New Roman"/>
          <w:noProof/>
          <w:color w:val="000000" w:themeColor="text1"/>
          <w:lang w:val="en-IE"/>
        </w:rPr>
        <w:t xml:space="preserve"> </w:t>
      </w:r>
      <w:r w:rsidR="00902EC2" w:rsidRPr="00013BDC">
        <w:rPr>
          <w:rFonts w:eastAsia="Times New Roman"/>
          <w:noProof/>
          <w:color w:val="000000" w:themeColor="text1"/>
          <w:vertAlign w:val="superscript"/>
          <w:lang w:val="en-IE"/>
        </w:rPr>
        <w:footnoteReference w:id="64"/>
      </w:r>
      <w:r w:rsidRPr="00013BDC">
        <w:rPr>
          <w:rFonts w:eastAsia="Times New Roman"/>
          <w:noProof/>
          <w:color w:val="000000" w:themeColor="text1"/>
          <w:lang w:val="en-IE"/>
        </w:rPr>
        <w:t xml:space="preserve"> sets out the EU’s overarching ambition to foster a ‘twin transition’ to climate neutrality and digital leadership. It echoes the European Green Deal in highlighting the leading role that Europe’s industry must play in this, by reducing its carbon and material footprint and embedding circularity across the economy. It underlines the need to move away from </w:t>
      </w:r>
      <w:r w:rsidRPr="00013BDC">
        <w:rPr>
          <w:rFonts w:eastAsia="Times New Roman"/>
          <w:noProof/>
          <w:lang w:val="en-IE"/>
        </w:rPr>
        <w:t>traditional models, and revolutionise the way we design, make, use and dispose of products. In 2021, the Commission published an update to the industrial strategy</w:t>
      </w:r>
      <w:r w:rsidR="004D1466" w:rsidRPr="00013BDC">
        <w:rPr>
          <w:rFonts w:eastAsia="Times New Roman"/>
          <w:noProof/>
          <w:lang w:val="en-IE"/>
        </w:rPr>
        <w:t>,</w:t>
      </w:r>
      <w:r w:rsidR="00DB7D7D" w:rsidRPr="00013BDC">
        <w:rPr>
          <w:rFonts w:eastAsia="Times New Roman"/>
          <w:noProof/>
          <w:lang w:val="en-IE"/>
        </w:rPr>
        <w:t xml:space="preserve"> </w:t>
      </w:r>
      <w:r w:rsidR="00DB7D7D" w:rsidRPr="00013BDC">
        <w:rPr>
          <w:rStyle w:val="FootnoteReference"/>
          <w:rFonts w:eastAsia="Times New Roman"/>
          <w:noProof/>
          <w:lang w:val="en-IE"/>
        </w:rPr>
        <w:footnoteReference w:id="65"/>
      </w:r>
      <w:r w:rsidRPr="00013BDC">
        <w:rPr>
          <w:rFonts w:eastAsia="Times New Roman"/>
          <w:noProof/>
          <w:color w:val="000000" w:themeColor="text1"/>
          <w:lang w:val="en-IE"/>
        </w:rPr>
        <w:t xml:space="preserve"> which reinforces the main messages of the 2020 strategy and provides a range of additional implementation tools.</w:t>
      </w:r>
    </w:p>
    <w:p w14:paraId="23A44639" w14:textId="5582C60C" w:rsidR="00902EC2" w:rsidRPr="00013BDC" w:rsidRDefault="42FB26FA" w:rsidP="00BF69DC">
      <w:pPr>
        <w:spacing w:after="120"/>
        <w:rPr>
          <w:noProof/>
          <w:lang w:val="en-IE"/>
        </w:rPr>
      </w:pPr>
      <w:r w:rsidRPr="00013BDC">
        <w:rPr>
          <w:rFonts w:eastAsia="Times New Roman"/>
          <w:noProof/>
          <w:lang w:val="en-IE"/>
        </w:rPr>
        <w:t xml:space="preserve">The EU </w:t>
      </w:r>
      <w:r w:rsidR="194B0688" w:rsidRPr="00013BDC">
        <w:rPr>
          <w:rFonts w:eastAsia="Times New Roman"/>
          <w:noProof/>
          <w:lang w:val="en-IE"/>
        </w:rPr>
        <w:t>T</w:t>
      </w:r>
      <w:r w:rsidRPr="00013BDC">
        <w:rPr>
          <w:rFonts w:eastAsia="Times New Roman"/>
          <w:noProof/>
          <w:lang w:val="en-IE"/>
        </w:rPr>
        <w:t xml:space="preserve">extiles </w:t>
      </w:r>
      <w:r w:rsidR="104311AC" w:rsidRPr="00013BDC">
        <w:rPr>
          <w:rFonts w:eastAsia="Times New Roman"/>
          <w:noProof/>
          <w:lang w:val="en-IE"/>
        </w:rPr>
        <w:t>S</w:t>
      </w:r>
      <w:r w:rsidRPr="00013BDC">
        <w:rPr>
          <w:rFonts w:eastAsia="Times New Roman"/>
          <w:noProof/>
          <w:lang w:val="en-IE"/>
        </w:rPr>
        <w:t>trategy</w:t>
      </w:r>
      <w:r w:rsidRPr="00013BDC">
        <w:rPr>
          <w:noProof/>
          <w:lang w:val="en-IE"/>
        </w:rPr>
        <w:t xml:space="preserve"> sets out the vision and concrete actions to ensure that by 2030 textile products placed on the EU market are long-lived and recyclable, made as much as possible of recycled fibres, free of hazardous substances and produced in respect of social rights and the environment</w:t>
      </w:r>
      <w:r w:rsidRPr="00013BDC">
        <w:rPr>
          <w:rFonts w:eastAsia="Times New Roman"/>
          <w:noProof/>
          <w:lang w:val="en-IE"/>
        </w:rPr>
        <w:t xml:space="preserve">. </w:t>
      </w:r>
      <w:r w:rsidR="007E2DB7" w:rsidRPr="00013BDC">
        <w:rPr>
          <w:rFonts w:eastAsia="Times New Roman"/>
          <w:noProof/>
          <w:lang w:val="en-IE"/>
        </w:rPr>
        <w:t xml:space="preserve">It </w:t>
      </w:r>
      <w:r w:rsidR="00A95633" w:rsidRPr="00013BDC">
        <w:rPr>
          <w:rFonts w:eastAsia="Times New Roman"/>
          <w:noProof/>
          <w:lang w:val="en-IE"/>
        </w:rPr>
        <w:t xml:space="preserve">indicates urgent action is needed across the entire lifecycle of textile products since that ecosystem is the fourth highest-pressure category for the use of primary raw materials and water and fifth for GHG emissions. It calls for a sustainable product policy and circularity to retain value of textiles is retained in the economy for as long as possible through </w:t>
      </w:r>
      <w:r w:rsidR="00D96247" w:rsidRPr="00013BDC">
        <w:rPr>
          <w:rFonts w:eastAsia="Times New Roman"/>
          <w:noProof/>
          <w:lang w:val="en-IE"/>
        </w:rPr>
        <w:t>reuse</w:t>
      </w:r>
      <w:r w:rsidR="00A95633" w:rsidRPr="00013BDC">
        <w:rPr>
          <w:rFonts w:eastAsia="Times New Roman"/>
          <w:noProof/>
          <w:lang w:val="en-IE"/>
        </w:rPr>
        <w:t xml:space="preserve">, repair and recycling to </w:t>
      </w:r>
      <w:r w:rsidR="00F03440" w:rsidRPr="00013BDC">
        <w:rPr>
          <w:noProof/>
          <w:lang w:val="en-IE"/>
        </w:rPr>
        <w:t>reduce dependencies on virgin raw materials.</w:t>
      </w:r>
      <w:r w:rsidR="00F03440" w:rsidRPr="00013BDC">
        <w:rPr>
          <w:rFonts w:eastAsia="Times New Roman"/>
          <w:noProof/>
          <w:lang w:val="en-IE"/>
        </w:rPr>
        <w:t xml:space="preserve"> </w:t>
      </w:r>
      <w:r w:rsidRPr="00013BDC">
        <w:rPr>
          <w:noProof/>
          <w:lang w:val="en-IE"/>
        </w:rPr>
        <w:t xml:space="preserve">The proposed specific measures include eco-design requirements for textiles, clearer information, a Digital Product Passport and harmonising EU </w:t>
      </w:r>
      <w:r w:rsidR="00B746EA" w:rsidRPr="00013BDC">
        <w:rPr>
          <w:noProof/>
          <w:lang w:val="en-IE"/>
        </w:rPr>
        <w:t>EPR</w:t>
      </w:r>
      <w:r w:rsidRPr="00013BDC">
        <w:rPr>
          <w:noProof/>
          <w:lang w:val="en-IE"/>
        </w:rPr>
        <w:t xml:space="preserve"> rules. To address fast fashion, the Strategy also calls on companies to reduce the number of collections per year, take responsibility and act to minimise their carbon and environmental footprints, and on Member States to adopt favourable taxation measures for the reuse and repair sector. Design requirements for an extended lifetime and durability of textiles, EPR schemes, collection, preparation for reuse and recycling operations are currently partially implemented or mandated in Members States.</w:t>
      </w:r>
    </w:p>
    <w:p w14:paraId="1D2B0700" w14:textId="4D3B2DC4" w:rsidR="49F2504F" w:rsidRPr="00013BDC" w:rsidRDefault="3A62E332" w:rsidP="00BF69DC">
      <w:pPr>
        <w:spacing w:after="120"/>
        <w:rPr>
          <w:noProof/>
          <w:lang w:val="en-IE"/>
        </w:rPr>
      </w:pPr>
      <w:r w:rsidRPr="00013BDC">
        <w:rPr>
          <w:noProof/>
          <w:lang w:val="en-IE"/>
        </w:rPr>
        <w:t>Article 4a</w:t>
      </w:r>
      <w:r w:rsidR="73952341" w:rsidRPr="00013BDC">
        <w:rPr>
          <w:noProof/>
          <w:lang w:val="en-IE"/>
        </w:rPr>
        <w:t xml:space="preserve"> of the WFD established definition of food waste – as all food (in the meaning of General Food Law</w:t>
      </w:r>
      <w:r w:rsidR="553CB5DD" w:rsidRPr="00013BDC">
        <w:rPr>
          <w:noProof/>
          <w:lang w:val="en-IE"/>
        </w:rPr>
        <w:t>)</w:t>
      </w:r>
      <w:r w:rsidR="73952341" w:rsidRPr="00013BDC">
        <w:rPr>
          <w:noProof/>
          <w:lang w:val="en-IE"/>
        </w:rPr>
        <w:t>, which has become a waste.</w:t>
      </w:r>
    </w:p>
    <w:p w14:paraId="0E16EC8F" w14:textId="06B38F5B" w:rsidR="0000317C" w:rsidRPr="00013BDC" w:rsidRDefault="0000317C" w:rsidP="0000317C">
      <w:pPr>
        <w:spacing w:after="120"/>
        <w:rPr>
          <w:noProof/>
          <w:lang w:val="en-IE"/>
        </w:rPr>
      </w:pPr>
      <w:r w:rsidRPr="00013BDC">
        <w:rPr>
          <w:noProof/>
          <w:lang w:val="en-IE"/>
        </w:rPr>
        <w:t xml:space="preserve">Article 6 of the WFD specifies that Member States must take appropriate measures to ensure that waste which has undergone a recycling or other recovery operation is considered to have ceased to be waste if it complies with specific conditions outlines in the article. End-of-waste criteria specify when certain waste ceases to be waste and becomes a product (non-waste). According to Article 6 (1) and (2) of the Waste Framework Directive, certain specified waste ceases to be waste when it has undergone a recovery operation (including recycling) and complies with specific criteria, </w:t>
      </w:r>
      <w:r w:rsidR="00971014" w:rsidRPr="00013BDC">
        <w:rPr>
          <w:noProof/>
          <w:lang w:val="en-IE"/>
        </w:rPr>
        <w:t>when</w:t>
      </w:r>
      <w:r w:rsidRPr="00013BDC">
        <w:rPr>
          <w:noProof/>
          <w:lang w:val="en-IE"/>
        </w:rPr>
        <w:t>:</w:t>
      </w:r>
    </w:p>
    <w:p w14:paraId="207DEA2A" w14:textId="77777777" w:rsidR="0000317C" w:rsidRPr="00013BDC" w:rsidRDefault="0000317C" w:rsidP="00CF0DFB">
      <w:pPr>
        <w:pStyle w:val="ListParagraph"/>
        <w:numPr>
          <w:ilvl w:val="0"/>
          <w:numId w:val="36"/>
        </w:numPr>
        <w:spacing w:after="120"/>
        <w:rPr>
          <w:noProof/>
          <w:lang w:val="en-IE"/>
        </w:rPr>
      </w:pPr>
      <w:r w:rsidRPr="00013BDC">
        <w:rPr>
          <w:noProof/>
          <w:lang w:val="en-IE"/>
        </w:rPr>
        <w:t>The substance or object is commonly used for specific purposes.</w:t>
      </w:r>
    </w:p>
    <w:p w14:paraId="198D1A49" w14:textId="77777777" w:rsidR="0000317C" w:rsidRPr="00013BDC" w:rsidRDefault="0000317C" w:rsidP="00CF0DFB">
      <w:pPr>
        <w:pStyle w:val="ListParagraph"/>
        <w:numPr>
          <w:ilvl w:val="0"/>
          <w:numId w:val="36"/>
        </w:numPr>
        <w:spacing w:after="120"/>
        <w:rPr>
          <w:noProof/>
          <w:lang w:val="en-IE"/>
        </w:rPr>
      </w:pPr>
      <w:r w:rsidRPr="00013BDC">
        <w:rPr>
          <w:noProof/>
          <w:lang w:val="en-IE"/>
        </w:rPr>
        <w:t>There is an existing market or demand for the substance or object.</w:t>
      </w:r>
    </w:p>
    <w:p w14:paraId="553631DE" w14:textId="77777777" w:rsidR="0000317C" w:rsidRPr="00013BDC" w:rsidRDefault="0000317C" w:rsidP="00CF0DFB">
      <w:pPr>
        <w:pStyle w:val="ListParagraph"/>
        <w:numPr>
          <w:ilvl w:val="0"/>
          <w:numId w:val="36"/>
        </w:numPr>
        <w:spacing w:after="120"/>
        <w:rPr>
          <w:noProof/>
          <w:lang w:val="en-IE"/>
        </w:rPr>
      </w:pPr>
      <w:r w:rsidRPr="00013BDC">
        <w:rPr>
          <w:noProof/>
          <w:lang w:val="en-IE"/>
        </w:rPr>
        <w:t>The use is lawful (substance or object fulfils the technical requirements for the specific purposes and meets the existing legislation and standards applicable to products).</w:t>
      </w:r>
    </w:p>
    <w:p w14:paraId="1B23F934" w14:textId="51938D85" w:rsidR="0000317C" w:rsidRPr="00013BDC" w:rsidRDefault="0000317C" w:rsidP="00CF0DFB">
      <w:pPr>
        <w:pStyle w:val="ListParagraph"/>
        <w:numPr>
          <w:ilvl w:val="0"/>
          <w:numId w:val="36"/>
        </w:numPr>
        <w:rPr>
          <w:noProof/>
          <w:lang w:val="en-IE"/>
        </w:rPr>
      </w:pPr>
      <w:r w:rsidRPr="00013BDC">
        <w:rPr>
          <w:noProof/>
          <w:lang w:val="en-IE"/>
        </w:rPr>
        <w:t>The use will not lead to overall adverse environmental or human health impacts.</w:t>
      </w:r>
    </w:p>
    <w:p w14:paraId="4E1BF46A" w14:textId="032B77E0" w:rsidR="0000317C" w:rsidRPr="00013BDC" w:rsidRDefault="0000317C" w:rsidP="00B31B6F">
      <w:pPr>
        <w:spacing w:after="120"/>
        <w:rPr>
          <w:noProof/>
          <w:lang w:val="en-IE"/>
        </w:rPr>
      </w:pPr>
      <w:r w:rsidRPr="00013BDC">
        <w:rPr>
          <w:noProof/>
          <w:lang w:val="en-IE"/>
        </w:rPr>
        <w:t xml:space="preserve">Relevant product legislation, in particular </w:t>
      </w:r>
      <w:r w:rsidR="00242628" w:rsidRPr="00013BDC">
        <w:rPr>
          <w:noProof/>
          <w:lang w:val="en-IE"/>
        </w:rPr>
        <w:t xml:space="preserve">Regulation (EC) No 1907/2006 </w:t>
      </w:r>
      <w:r w:rsidR="00A37D6F" w:rsidRPr="00013BDC">
        <w:rPr>
          <w:noProof/>
          <w:lang w:val="en-IE"/>
        </w:rPr>
        <w:t xml:space="preserve">concerning the Registration, Evaluation, Authorisation and Restriction of Chemicals (REACH) </w:t>
      </w:r>
      <w:r w:rsidR="002512A9" w:rsidRPr="00013BDC">
        <w:rPr>
          <w:rStyle w:val="FootnoteReference"/>
          <w:noProof/>
          <w:lang w:val="en-IE"/>
        </w:rPr>
        <w:footnoteReference w:id="66"/>
      </w:r>
      <w:r w:rsidRPr="00013BDC">
        <w:rPr>
          <w:noProof/>
          <w:lang w:val="en-IE"/>
        </w:rPr>
        <w:t xml:space="preserve">, </w:t>
      </w:r>
      <w:r w:rsidR="00525A4F" w:rsidRPr="00013BDC">
        <w:rPr>
          <w:noProof/>
          <w:lang w:val="en-IE"/>
        </w:rPr>
        <w:t xml:space="preserve">Regulation (EC) No 1272/2008 on the classification, labelling and packaging of substances and mixtures </w:t>
      </w:r>
      <w:r w:rsidR="009E6059" w:rsidRPr="00013BDC">
        <w:rPr>
          <w:noProof/>
          <w:lang w:val="en-IE"/>
        </w:rPr>
        <w:t xml:space="preserve">(CLP) </w:t>
      </w:r>
      <w:r w:rsidR="009E6059" w:rsidRPr="00013BDC">
        <w:rPr>
          <w:rStyle w:val="FootnoteReference"/>
          <w:noProof/>
          <w:lang w:val="en-IE"/>
        </w:rPr>
        <w:footnoteReference w:id="67"/>
      </w:r>
      <w:r w:rsidRPr="00013BDC">
        <w:rPr>
          <w:noProof/>
          <w:lang w:val="en-IE"/>
        </w:rPr>
        <w:t xml:space="preserve">and requirements specific to textile products apply to textiles recovered from waste. </w:t>
      </w:r>
      <w:r w:rsidR="008924BB" w:rsidRPr="00013BDC">
        <w:rPr>
          <w:noProof/>
          <w:lang w:val="en-IE"/>
        </w:rPr>
        <w:t>As in the case of other relevant waste streams, the presence of forbidden hazardous chemicals</w:t>
      </w:r>
      <w:r w:rsidR="0093162C" w:rsidRPr="00013BDC">
        <w:rPr>
          <w:noProof/>
          <w:lang w:val="en-IE"/>
        </w:rPr>
        <w:t xml:space="preserve"> in textiles</w:t>
      </w:r>
      <w:r w:rsidR="008924BB" w:rsidRPr="00013BDC">
        <w:rPr>
          <w:noProof/>
          <w:lang w:val="en-IE"/>
        </w:rPr>
        <w:t xml:space="preserve">, the use of which may have been previously allowed, can have a detrimental effect on the safety and quality of the recovered textile material, be it recycled fibres or textile articles for </w:t>
      </w:r>
      <w:r w:rsidR="00D96247" w:rsidRPr="00013BDC">
        <w:rPr>
          <w:noProof/>
          <w:lang w:val="en-IE"/>
        </w:rPr>
        <w:t>reuse</w:t>
      </w:r>
      <w:r w:rsidR="008924BB" w:rsidRPr="00013BDC">
        <w:rPr>
          <w:noProof/>
          <w:lang w:val="en-IE"/>
        </w:rPr>
        <w:t xml:space="preserve">. The presence, nature and amount of such substances may also have an impact on the amount of textile material than can be prepared for </w:t>
      </w:r>
      <w:r w:rsidR="00D96247" w:rsidRPr="00013BDC">
        <w:rPr>
          <w:noProof/>
          <w:lang w:val="en-IE"/>
        </w:rPr>
        <w:t>reuse</w:t>
      </w:r>
      <w:r w:rsidR="008924BB" w:rsidRPr="00013BDC">
        <w:rPr>
          <w:noProof/>
          <w:lang w:val="en-IE"/>
        </w:rPr>
        <w:t xml:space="preserve"> or recycled. REACH already imposes restrictions on certain substances in textiles, contained in its Annex XVII. This includes a restriction on certain azocolorants and azodyes (entry 43 and appendices 8 and 9), nonylphenol ethoxylates (entry 46a), hexavalent chromium (restriction entry 47) and </w:t>
      </w:r>
      <w:r w:rsidR="001C53AA" w:rsidRPr="00013BDC">
        <w:rPr>
          <w:noProof/>
          <w:lang w:val="en-IE"/>
        </w:rPr>
        <w:t xml:space="preserve">on </w:t>
      </w:r>
      <w:r w:rsidR="008924BB" w:rsidRPr="00013BDC">
        <w:rPr>
          <w:noProof/>
          <w:lang w:val="en-IE"/>
        </w:rPr>
        <w:t>a list of 67 specific CMR</w:t>
      </w:r>
      <w:r w:rsidR="0093162C" w:rsidRPr="00013BDC">
        <w:rPr>
          <w:rStyle w:val="FootnoteReference"/>
          <w:noProof/>
          <w:lang w:val="en-IE"/>
        </w:rPr>
        <w:footnoteReference w:id="68"/>
      </w:r>
      <w:r w:rsidR="008924BB" w:rsidRPr="00013BDC">
        <w:rPr>
          <w:noProof/>
          <w:lang w:val="en-IE"/>
        </w:rPr>
        <w:t xml:space="preserve"> substances (entry 72 and appendix 12).  The Commission is currently working on the preparation of a further restriction under REACH, on skin sensitising substances in textiles</w:t>
      </w:r>
      <w:r w:rsidR="00213537" w:rsidRPr="00013BDC">
        <w:rPr>
          <w:rStyle w:val="FootnoteReference"/>
          <w:noProof/>
          <w:lang w:val="en-IE"/>
        </w:rPr>
        <w:footnoteReference w:id="69"/>
      </w:r>
      <w:r w:rsidR="008924BB" w:rsidRPr="00013BDC">
        <w:rPr>
          <w:noProof/>
          <w:lang w:val="en-IE"/>
        </w:rPr>
        <w:t xml:space="preserve">, based on an opinion of the European Chemicals Agency. </w:t>
      </w:r>
      <w:r w:rsidR="00AB0BD8" w:rsidRPr="00013BDC">
        <w:rPr>
          <w:noProof/>
          <w:lang w:val="en-IE"/>
        </w:rPr>
        <w:t>Limit values in Annex I of Regulation (EU) 2019/1021 on Protecting health and the environment from persistent organic pollutants</w:t>
      </w:r>
      <w:r w:rsidR="00AB0BD8" w:rsidRPr="00013BDC">
        <w:rPr>
          <w:rStyle w:val="FootnoteReference"/>
          <w:noProof/>
          <w:lang w:val="en-IE"/>
        </w:rPr>
        <w:footnoteReference w:id="70"/>
      </w:r>
      <w:r w:rsidR="00AB0BD8" w:rsidRPr="00013BDC">
        <w:rPr>
          <w:noProof/>
          <w:lang w:val="en-IE"/>
        </w:rPr>
        <w:t xml:space="preserve"> are also relevant to the placing on the market of recycled fibres. </w:t>
      </w:r>
      <w:r w:rsidR="008924BB" w:rsidRPr="00013BDC">
        <w:rPr>
          <w:noProof/>
          <w:lang w:val="en-IE"/>
        </w:rPr>
        <w:t>Furthermore, the recently published Regulation (EU) 2022/2400</w:t>
      </w:r>
      <w:r w:rsidR="005F6BD1" w:rsidRPr="00013BDC">
        <w:rPr>
          <w:rStyle w:val="FootnoteReference"/>
          <w:noProof/>
          <w:lang w:val="en-IE"/>
        </w:rPr>
        <w:footnoteReference w:id="71"/>
      </w:r>
      <w:r w:rsidR="008924BB" w:rsidRPr="00013BDC">
        <w:rPr>
          <w:noProof/>
          <w:lang w:val="en-IE"/>
        </w:rPr>
        <w:t>, has introduced limit values relevant to the waste management of textile waste containing certain persistent organic pollutants (POPs), particularly PFOA, PFHxS and their salts and related compounds. The relevance of these restrictions depends on their precise scope, the limit values defined for the different substances and on the concentrations found of the relevant substances in recycled fibres, in textile waste prepared for reuse and in non-waste articles destined for reuse. It should be noted that some of the referred restrictions specifically exclude from their scope second-hand articles.</w:t>
      </w:r>
    </w:p>
    <w:p w14:paraId="7026BD6A" w14:textId="0CA849A2" w:rsidR="00902EC2" w:rsidRPr="00013BDC" w:rsidRDefault="00902EC2" w:rsidP="00BF69DC">
      <w:pPr>
        <w:spacing w:after="120"/>
        <w:rPr>
          <w:rFonts w:eastAsiaTheme="minorEastAsia"/>
          <w:noProof/>
          <w:lang w:val="en-IE"/>
        </w:rPr>
      </w:pPr>
      <w:r w:rsidRPr="00013BDC">
        <w:rPr>
          <w:noProof/>
          <w:lang w:val="en-IE"/>
        </w:rPr>
        <w:t xml:space="preserve">Article 8a of the WFD sets the general minimum requirements </w:t>
      </w:r>
      <w:r w:rsidRPr="00013BDC">
        <w:rPr>
          <w:rFonts w:eastAsiaTheme="minorEastAsia"/>
          <w:noProof/>
          <w:lang w:val="en-IE"/>
        </w:rPr>
        <w:t xml:space="preserve">for all </w:t>
      </w:r>
      <w:r w:rsidR="00141F70" w:rsidRPr="00013BDC">
        <w:rPr>
          <w:rFonts w:eastAsiaTheme="minorEastAsia"/>
          <w:noProof/>
          <w:lang w:val="en-IE"/>
        </w:rPr>
        <w:t>extended producer responsibility (</w:t>
      </w:r>
      <w:r w:rsidRPr="00013BDC">
        <w:rPr>
          <w:rFonts w:eastAsiaTheme="minorEastAsia"/>
          <w:noProof/>
          <w:lang w:val="en-IE"/>
        </w:rPr>
        <w:t>EPR</w:t>
      </w:r>
      <w:r w:rsidR="00141F70" w:rsidRPr="00013BDC">
        <w:rPr>
          <w:rFonts w:eastAsiaTheme="minorEastAsia"/>
          <w:noProof/>
          <w:lang w:val="en-IE"/>
        </w:rPr>
        <w:t>)</w:t>
      </w:r>
      <w:r w:rsidRPr="00013BDC">
        <w:rPr>
          <w:rFonts w:eastAsiaTheme="minorEastAsia"/>
          <w:noProof/>
          <w:lang w:val="en-IE"/>
        </w:rPr>
        <w:t xml:space="preserve"> schemes set up within the EU. The Directive does not propose specific rules on EPR for textiles. </w:t>
      </w:r>
      <w:r w:rsidR="004861A6" w:rsidRPr="00013BDC">
        <w:rPr>
          <w:rFonts w:eastAsiaTheme="minorEastAsia"/>
          <w:noProof/>
          <w:lang w:val="en-IE"/>
        </w:rPr>
        <w:t xml:space="preserve">The OECD indicated that </w:t>
      </w:r>
      <w:r w:rsidR="00140AC6" w:rsidRPr="00013BDC">
        <w:rPr>
          <w:rFonts w:eastAsiaTheme="minorEastAsia"/>
          <w:noProof/>
          <w:lang w:val="en-IE"/>
        </w:rPr>
        <w:t>EPR “</w:t>
      </w:r>
      <w:r w:rsidR="004861A6" w:rsidRPr="00013BDC">
        <w:rPr>
          <w:rFonts w:eastAsiaTheme="minorEastAsia"/>
          <w:noProof/>
          <w:lang w:val="en-IE"/>
        </w:rPr>
        <w:t>is a policy approach under which producers are given a significant responsibility – financial and/or physical – for the treatment or disposal of post-consumer products. Assigning such responsibility could in principle provide incentives to prevent wastes at the source, promote product design for the environment and support the achievement of public recycling and materials management goals. Within the OECD the trend is towards the extension of EPR to new products, product groups and waste streams such as electrical appliances and electronics.</w:t>
      </w:r>
      <w:r w:rsidR="00140AC6" w:rsidRPr="00013BDC">
        <w:rPr>
          <w:rFonts w:eastAsiaTheme="minorEastAsia"/>
          <w:noProof/>
          <w:lang w:val="en-IE"/>
        </w:rPr>
        <w:t xml:space="preserve">” </w:t>
      </w:r>
      <w:r w:rsidR="00140AC6" w:rsidRPr="00013BDC">
        <w:rPr>
          <w:rStyle w:val="FootnoteReference"/>
          <w:rFonts w:eastAsiaTheme="minorEastAsia"/>
          <w:noProof/>
          <w:lang w:val="en-IE"/>
        </w:rPr>
        <w:footnoteReference w:id="72"/>
      </w:r>
      <w:r w:rsidR="004861A6" w:rsidRPr="00013BDC">
        <w:rPr>
          <w:rFonts w:eastAsiaTheme="minorEastAsia"/>
          <w:noProof/>
          <w:lang w:val="en-IE"/>
        </w:rPr>
        <w:t xml:space="preserve"> Indeed, the EU, EPR is mandatory within the context of the WEEE and ELV Directives</w:t>
      </w:r>
      <w:r w:rsidR="00D07C8D" w:rsidRPr="00013BDC">
        <w:rPr>
          <w:rFonts w:eastAsiaTheme="minorEastAsia"/>
          <w:noProof/>
          <w:lang w:val="en-IE"/>
        </w:rPr>
        <w:t xml:space="preserve"> as well as the Batteries </w:t>
      </w:r>
      <w:r w:rsidR="000B2E09" w:rsidRPr="00013BDC">
        <w:rPr>
          <w:rFonts w:eastAsiaTheme="minorEastAsia"/>
          <w:noProof/>
          <w:lang w:val="en-IE"/>
        </w:rPr>
        <w:t xml:space="preserve">Regulation </w:t>
      </w:r>
      <w:r w:rsidR="00D07C8D" w:rsidRPr="00013BDC">
        <w:rPr>
          <w:rFonts w:eastAsiaTheme="minorEastAsia"/>
          <w:noProof/>
          <w:lang w:val="en-IE"/>
        </w:rPr>
        <w:t xml:space="preserve">and </w:t>
      </w:r>
      <w:r w:rsidR="000B2E09" w:rsidRPr="00013BDC">
        <w:rPr>
          <w:rFonts w:eastAsiaTheme="minorEastAsia"/>
          <w:noProof/>
          <w:lang w:val="en-IE"/>
        </w:rPr>
        <w:t>PPWD</w:t>
      </w:r>
      <w:r w:rsidR="00D07C8D" w:rsidRPr="00013BDC">
        <w:rPr>
          <w:rFonts w:eastAsiaTheme="minorEastAsia"/>
          <w:noProof/>
          <w:lang w:val="en-IE"/>
        </w:rPr>
        <w:t>.</w:t>
      </w:r>
      <w:r w:rsidR="00EB0466" w:rsidRPr="00013BDC">
        <w:rPr>
          <w:rFonts w:eastAsiaTheme="minorEastAsia"/>
          <w:noProof/>
          <w:lang w:val="en-IE"/>
        </w:rPr>
        <w:t xml:space="preserve"> Additional waste streams have been most identified for an EPR scheme within the EU, including tyres, waste oil, paper and card, and construction and demolition waste. In addition, a much broader range of waste streams are subject to obligatory or voluntary producer responsibility systems in some Member States, including farm plastics, medicines and medical waste, plastic bags, photo-chemicals and chemicals, newspapers, refrigerants, pesticides and herbicides, textiles, mattresses, and lamps, light bulbs and fittings.</w:t>
      </w:r>
    </w:p>
    <w:p w14:paraId="193D7B01" w14:textId="159A1692" w:rsidR="00902EC2" w:rsidRPr="00013BDC" w:rsidRDefault="00902EC2" w:rsidP="001B1E6E">
      <w:pPr>
        <w:spacing w:after="120"/>
        <w:rPr>
          <w:rFonts w:eastAsiaTheme="minorEastAsia"/>
          <w:noProof/>
          <w:lang w:val="en-IE"/>
        </w:rPr>
      </w:pPr>
      <w:r w:rsidRPr="00013BDC">
        <w:rPr>
          <w:noProof/>
          <w:lang w:val="en-IE"/>
        </w:rPr>
        <w:t xml:space="preserve">Article 9 of the WFD </w:t>
      </w:r>
      <w:r w:rsidRPr="00013BDC">
        <w:rPr>
          <w:rFonts w:eastAsia="Times New Roman"/>
          <w:noProof/>
          <w:lang w:val="en-IE"/>
        </w:rPr>
        <w:t xml:space="preserve">requires Member States to “encourages the </w:t>
      </w:r>
      <w:r w:rsidR="00D96247" w:rsidRPr="00013BDC">
        <w:rPr>
          <w:rFonts w:eastAsia="Times New Roman"/>
          <w:noProof/>
          <w:lang w:val="en-IE"/>
        </w:rPr>
        <w:t>reuse</w:t>
      </w:r>
      <w:r w:rsidRPr="00013BDC">
        <w:rPr>
          <w:rFonts w:eastAsia="Times New Roman"/>
          <w:noProof/>
          <w:lang w:val="en-IE"/>
        </w:rPr>
        <w:t xml:space="preserve"> of products and the setting up of systems promoting repair and </w:t>
      </w:r>
      <w:r w:rsidR="00D96247" w:rsidRPr="00013BDC">
        <w:rPr>
          <w:rFonts w:eastAsia="Times New Roman"/>
          <w:noProof/>
          <w:lang w:val="en-IE"/>
        </w:rPr>
        <w:t>reuse</w:t>
      </w:r>
      <w:r w:rsidRPr="00013BDC">
        <w:rPr>
          <w:rFonts w:eastAsia="Times New Roman"/>
          <w:noProof/>
          <w:lang w:val="en-IE"/>
        </w:rPr>
        <w:t xml:space="preserve"> activities” for textiles, </w:t>
      </w:r>
      <w:r w:rsidRPr="00013BDC" w:rsidDel="00134BE0">
        <w:rPr>
          <w:rFonts w:eastAsia="Times New Roman"/>
          <w:noProof/>
          <w:lang w:val="en-IE"/>
        </w:rPr>
        <w:t xml:space="preserve">and it cites </w:t>
      </w:r>
      <w:r w:rsidRPr="00013BDC">
        <w:rPr>
          <w:rFonts w:eastAsia="Times New Roman"/>
          <w:noProof/>
          <w:lang w:val="en-IE"/>
        </w:rPr>
        <w:t xml:space="preserve">in recitals </w:t>
      </w:r>
      <w:r w:rsidRPr="00013BDC" w:rsidDel="00134BE0">
        <w:rPr>
          <w:rFonts w:eastAsia="Times New Roman"/>
          <w:noProof/>
          <w:lang w:val="en-IE"/>
        </w:rPr>
        <w:t xml:space="preserve">that specific end-of-waste criteria should be considered for textiles. </w:t>
      </w:r>
      <w:r w:rsidRPr="00013BDC">
        <w:rPr>
          <w:rFonts w:eastAsia="Times New Roman"/>
          <w:noProof/>
          <w:lang w:val="en-IE"/>
        </w:rPr>
        <w:t>It furthermore requires M</w:t>
      </w:r>
      <w:r w:rsidR="0083236B" w:rsidRPr="00013BDC">
        <w:rPr>
          <w:rFonts w:eastAsia="Times New Roman"/>
          <w:noProof/>
          <w:lang w:val="en-IE"/>
        </w:rPr>
        <w:t xml:space="preserve">ember </w:t>
      </w:r>
      <w:r w:rsidRPr="00013BDC">
        <w:rPr>
          <w:rFonts w:eastAsia="Times New Roman"/>
          <w:noProof/>
          <w:lang w:val="en-IE"/>
        </w:rPr>
        <w:t>S</w:t>
      </w:r>
      <w:r w:rsidR="0083236B" w:rsidRPr="00013BDC">
        <w:rPr>
          <w:rFonts w:eastAsia="Times New Roman"/>
          <w:noProof/>
          <w:lang w:val="en-IE"/>
        </w:rPr>
        <w:t>tates</w:t>
      </w:r>
      <w:r w:rsidRPr="00013BDC">
        <w:rPr>
          <w:rFonts w:eastAsia="Times New Roman"/>
          <w:noProof/>
          <w:lang w:val="en-IE"/>
        </w:rPr>
        <w:t xml:space="preserve"> to take measures to: </w:t>
      </w:r>
    </w:p>
    <w:p w14:paraId="66A493A0" w14:textId="25309587" w:rsidR="00902EC2" w:rsidRPr="00013BDC" w:rsidRDefault="00902EC2" w:rsidP="00410D9F">
      <w:pPr>
        <w:pStyle w:val="ListParagraph"/>
        <w:numPr>
          <w:ilvl w:val="0"/>
          <w:numId w:val="10"/>
        </w:numPr>
        <w:rPr>
          <w:rFonts w:eastAsia="Times New Roman"/>
          <w:noProof/>
          <w:lang w:val="en-IE"/>
        </w:rPr>
      </w:pPr>
      <w:r w:rsidRPr="00013BDC">
        <w:rPr>
          <w:rFonts w:eastAsia="Times New Roman"/>
          <w:noProof/>
          <w:lang w:val="en-IE"/>
        </w:rPr>
        <w:t>Promote and support sustainable production and consumption models</w:t>
      </w:r>
      <w:r w:rsidR="00AD35DD" w:rsidRPr="00013BDC">
        <w:rPr>
          <w:rFonts w:eastAsia="Times New Roman"/>
          <w:noProof/>
          <w:lang w:val="en-IE"/>
        </w:rPr>
        <w:t>.</w:t>
      </w:r>
    </w:p>
    <w:p w14:paraId="52C05F27" w14:textId="53E52792" w:rsidR="00902EC2" w:rsidRPr="00013BDC" w:rsidRDefault="00902EC2" w:rsidP="00410D9F">
      <w:pPr>
        <w:pStyle w:val="ListParagraph"/>
        <w:numPr>
          <w:ilvl w:val="0"/>
          <w:numId w:val="10"/>
        </w:numPr>
        <w:rPr>
          <w:rFonts w:eastAsia="Times New Roman"/>
          <w:noProof/>
          <w:lang w:val="en-IE"/>
        </w:rPr>
      </w:pPr>
      <w:r w:rsidRPr="00013BDC">
        <w:rPr>
          <w:rFonts w:eastAsia="Times New Roman"/>
          <w:noProof/>
          <w:lang w:val="en-IE"/>
        </w:rPr>
        <w:t>Encourage the design, manufacturing and use of products that are resource efficient, durable, reparable, reusable and capable of being upgraded</w:t>
      </w:r>
      <w:r w:rsidR="00AD35DD" w:rsidRPr="00013BDC">
        <w:rPr>
          <w:rFonts w:eastAsia="Times New Roman"/>
          <w:noProof/>
          <w:lang w:val="en-IE"/>
        </w:rPr>
        <w:t>.</w:t>
      </w:r>
    </w:p>
    <w:p w14:paraId="390F48F0" w14:textId="192BE97A" w:rsidR="00902EC2" w:rsidRPr="00013BDC" w:rsidRDefault="00902EC2" w:rsidP="00410D9F">
      <w:pPr>
        <w:pStyle w:val="ListParagraph"/>
        <w:numPr>
          <w:ilvl w:val="0"/>
          <w:numId w:val="10"/>
        </w:numPr>
        <w:rPr>
          <w:rFonts w:eastAsia="Times New Roman"/>
          <w:noProof/>
          <w:lang w:val="en-IE"/>
        </w:rPr>
      </w:pPr>
      <w:r w:rsidRPr="00013BDC">
        <w:rPr>
          <w:rFonts w:eastAsia="Times New Roman"/>
          <w:noProof/>
          <w:lang w:val="en-IE"/>
        </w:rPr>
        <w:t>Target products containing critical raw materials to prevent those materials becoming waste</w:t>
      </w:r>
      <w:r w:rsidR="00AD35DD" w:rsidRPr="00013BDC">
        <w:rPr>
          <w:rFonts w:eastAsia="Times New Roman"/>
          <w:noProof/>
          <w:lang w:val="en-IE"/>
        </w:rPr>
        <w:t>.</w:t>
      </w:r>
    </w:p>
    <w:p w14:paraId="1A6DFD00" w14:textId="6FF1E0BB" w:rsidR="00902EC2" w:rsidRPr="00013BDC" w:rsidRDefault="00902EC2" w:rsidP="00410D9F">
      <w:pPr>
        <w:pStyle w:val="ListParagraph"/>
        <w:numPr>
          <w:ilvl w:val="0"/>
          <w:numId w:val="10"/>
        </w:numPr>
        <w:rPr>
          <w:rFonts w:eastAsia="Times New Roman"/>
          <w:noProof/>
          <w:lang w:val="en-IE"/>
        </w:rPr>
      </w:pPr>
      <w:r w:rsidRPr="00013BDC">
        <w:rPr>
          <w:noProof/>
          <w:lang w:val="en-IE"/>
        </w:rPr>
        <w:t xml:space="preserve">Encourage the </w:t>
      </w:r>
      <w:r w:rsidR="00D96247" w:rsidRPr="00013BDC">
        <w:rPr>
          <w:noProof/>
          <w:lang w:val="en-IE"/>
        </w:rPr>
        <w:t>reuse</w:t>
      </w:r>
      <w:r w:rsidRPr="00013BDC">
        <w:rPr>
          <w:noProof/>
          <w:lang w:val="en-IE"/>
        </w:rPr>
        <w:t xml:space="preserve"> of products and the setting up of systems promoting repair and </w:t>
      </w:r>
      <w:r w:rsidR="00D96247" w:rsidRPr="00013BDC">
        <w:rPr>
          <w:noProof/>
          <w:lang w:val="en-IE"/>
        </w:rPr>
        <w:t>reuse</w:t>
      </w:r>
      <w:r w:rsidRPr="00013BDC">
        <w:rPr>
          <w:noProof/>
          <w:lang w:val="en-IE"/>
        </w:rPr>
        <w:t xml:space="preserve"> activities</w:t>
      </w:r>
      <w:r w:rsidR="00AD35DD" w:rsidRPr="00013BDC">
        <w:rPr>
          <w:noProof/>
          <w:lang w:val="en-IE"/>
        </w:rPr>
        <w:t>.</w:t>
      </w:r>
    </w:p>
    <w:p w14:paraId="1EFB04F9" w14:textId="1716024A" w:rsidR="00902EC2" w:rsidRPr="00013BDC" w:rsidRDefault="00902EC2" w:rsidP="00410D9F">
      <w:pPr>
        <w:pStyle w:val="ListParagraph"/>
        <w:numPr>
          <w:ilvl w:val="0"/>
          <w:numId w:val="10"/>
        </w:numPr>
        <w:rPr>
          <w:rFonts w:eastAsia="Times New Roman"/>
          <w:noProof/>
          <w:lang w:val="en-IE"/>
        </w:rPr>
      </w:pPr>
      <w:r w:rsidRPr="00013BDC">
        <w:rPr>
          <w:rFonts w:eastAsia="Times New Roman"/>
          <w:noProof/>
          <w:lang w:val="en-IE"/>
        </w:rPr>
        <w:t>Promote the reduction of the content of hazardous substances in materials and products</w:t>
      </w:r>
      <w:r w:rsidR="00AD35DD" w:rsidRPr="00013BDC">
        <w:rPr>
          <w:rFonts w:eastAsia="Times New Roman"/>
          <w:noProof/>
          <w:lang w:val="en-IE"/>
        </w:rPr>
        <w:t>.</w:t>
      </w:r>
    </w:p>
    <w:p w14:paraId="1EFA7E87" w14:textId="493F50D6" w:rsidR="00902EC2" w:rsidRPr="00013BDC" w:rsidRDefault="00902EC2" w:rsidP="00410D9F">
      <w:pPr>
        <w:pStyle w:val="ListParagraph"/>
        <w:numPr>
          <w:ilvl w:val="0"/>
          <w:numId w:val="10"/>
        </w:numPr>
        <w:rPr>
          <w:rFonts w:eastAsia="Times New Roman"/>
          <w:noProof/>
          <w:lang w:val="en-IE"/>
        </w:rPr>
      </w:pPr>
      <w:r w:rsidRPr="00013BDC">
        <w:rPr>
          <w:rFonts w:eastAsia="Times New Roman"/>
          <w:noProof/>
          <w:lang w:val="en-IE"/>
        </w:rPr>
        <w:t>Stop the generation of marine litter.</w:t>
      </w:r>
    </w:p>
    <w:p w14:paraId="0AD4D21E" w14:textId="15317D00" w:rsidR="00902EC2" w:rsidRPr="00013BDC" w:rsidRDefault="00902EC2" w:rsidP="0062681C">
      <w:pPr>
        <w:spacing w:after="120"/>
        <w:rPr>
          <w:rFonts w:eastAsia="Times New Roman"/>
          <w:noProof/>
          <w:lang w:val="en-IE"/>
        </w:rPr>
      </w:pPr>
      <w:r w:rsidRPr="00013BDC">
        <w:rPr>
          <w:rFonts w:eastAsia="Times New Roman"/>
          <w:noProof/>
          <w:lang w:val="en-IE"/>
        </w:rPr>
        <w:t xml:space="preserve">Article 9 requires the Commission, by 31 December 2024, to examine data provided by Member States and consider the feasibility of measures to encourage the </w:t>
      </w:r>
      <w:r w:rsidR="00D96247" w:rsidRPr="00013BDC">
        <w:rPr>
          <w:rFonts w:eastAsia="Times New Roman"/>
          <w:noProof/>
          <w:lang w:val="en-IE"/>
        </w:rPr>
        <w:t>reuse</w:t>
      </w:r>
      <w:r w:rsidRPr="00013BDC">
        <w:rPr>
          <w:rFonts w:eastAsia="Times New Roman"/>
          <w:noProof/>
          <w:lang w:val="en-IE"/>
        </w:rPr>
        <w:t xml:space="preserve"> of products, including the setting of quantitative targets as well as other waste prevention measures. </w:t>
      </w:r>
      <w:r w:rsidR="00A8058F" w:rsidRPr="00013BDC">
        <w:rPr>
          <w:rFonts w:eastAsia="Times New Roman"/>
          <w:noProof/>
          <w:lang w:val="en-IE"/>
        </w:rPr>
        <w:t>In</w:t>
      </w:r>
      <w:r w:rsidRPr="00013BDC">
        <w:rPr>
          <w:rFonts w:eastAsia="Times New Roman"/>
          <w:noProof/>
          <w:lang w:val="en-IE"/>
        </w:rPr>
        <w:t xml:space="preserve"> 2020, the Commission adopted an implementing act with a common methodology to measure and report on product </w:t>
      </w:r>
      <w:r w:rsidR="00D96247" w:rsidRPr="00013BDC">
        <w:rPr>
          <w:rFonts w:eastAsia="Times New Roman"/>
          <w:noProof/>
          <w:lang w:val="en-IE"/>
        </w:rPr>
        <w:t>reuse</w:t>
      </w:r>
      <w:r w:rsidRPr="00013BDC">
        <w:rPr>
          <w:rFonts w:eastAsia="Times New Roman"/>
          <w:noProof/>
          <w:lang w:val="en-IE"/>
        </w:rPr>
        <w:t xml:space="preserve">. The first reporting year is 2021 and Member States will report on reference year 2021 in June 2023. </w:t>
      </w:r>
    </w:p>
    <w:p w14:paraId="7A29EEE3" w14:textId="1D5C34B0" w:rsidR="00902EC2" w:rsidRPr="00013BDC" w:rsidRDefault="448D6C8A" w:rsidP="0062681C">
      <w:pPr>
        <w:spacing w:after="120"/>
        <w:rPr>
          <w:rFonts w:eastAsia="Times New Roman"/>
          <w:noProof/>
          <w:lang w:val="en-IE"/>
        </w:rPr>
      </w:pPr>
      <w:r w:rsidRPr="00013BDC">
        <w:rPr>
          <w:noProof/>
          <w:lang w:val="en-IE"/>
        </w:rPr>
        <w:t>Article 9 sets a general requirement to reduce food-waste generation as a contribution to the United Nations Sustainable Development Goal Target 12.3 by 2030. It establishes a hierarchy of food waste prevention operations (ADD) and requ</w:t>
      </w:r>
      <w:r w:rsidR="3EA05294" w:rsidRPr="00013BDC">
        <w:rPr>
          <w:noProof/>
          <w:lang w:val="en-IE"/>
        </w:rPr>
        <w:t xml:space="preserve">ires </w:t>
      </w:r>
      <w:r w:rsidRPr="00013BDC">
        <w:rPr>
          <w:noProof/>
          <w:lang w:val="en-IE"/>
        </w:rPr>
        <w:t>measuring the levels of food waste on the basis of the methodology established by the delegated act referred to in Article 9(8)</w:t>
      </w:r>
      <w:r w:rsidR="05122663" w:rsidRPr="00013BDC">
        <w:rPr>
          <w:noProof/>
          <w:lang w:val="en-IE"/>
        </w:rPr>
        <w:t xml:space="preserve">. </w:t>
      </w:r>
      <w:r w:rsidRPr="00013BDC">
        <w:rPr>
          <w:noProof/>
          <w:lang w:val="en-IE"/>
        </w:rPr>
        <w:t>On the basis of that data, the WFD calls the Commission, by 31 December 2023, to examine the data with a view to considering the feasibility of establishing Union-wide food waste reduction target to be met by 2030.</w:t>
      </w:r>
      <w:r w:rsidRPr="00013BDC">
        <w:rPr>
          <w:rFonts w:eastAsia="Times New Roman"/>
          <w:noProof/>
          <w:lang w:val="en-IE"/>
        </w:rPr>
        <w:t xml:space="preserve"> </w:t>
      </w:r>
    </w:p>
    <w:p w14:paraId="218D90E8" w14:textId="2E1DD40A" w:rsidR="00902EC2" w:rsidRPr="00013BDC" w:rsidRDefault="00902EC2" w:rsidP="0062681C">
      <w:pPr>
        <w:spacing w:after="120"/>
        <w:rPr>
          <w:rFonts w:eastAsia="Times New Roman"/>
          <w:noProof/>
          <w:lang w:val="en-IE"/>
        </w:rPr>
      </w:pPr>
      <w:r w:rsidRPr="00013BDC">
        <w:rPr>
          <w:rFonts w:eastAsia="Times New Roman"/>
          <w:noProof/>
          <w:lang w:val="en-IE"/>
        </w:rPr>
        <w:t xml:space="preserve">Article 10 of the WFD requires Member States to take the necessary measures to ensure that waste undergoes preparing for </w:t>
      </w:r>
      <w:r w:rsidR="00D96247" w:rsidRPr="00013BDC">
        <w:rPr>
          <w:rFonts w:eastAsia="Times New Roman"/>
          <w:noProof/>
          <w:lang w:val="en-IE"/>
        </w:rPr>
        <w:t>reuse</w:t>
      </w:r>
      <w:r w:rsidRPr="00013BDC">
        <w:rPr>
          <w:rFonts w:eastAsia="Times New Roman"/>
          <w:noProof/>
          <w:lang w:val="en-IE"/>
        </w:rPr>
        <w:t xml:space="preserve">, recycling or other recovery operations. Where necessary to facilitate or improve preparing for </w:t>
      </w:r>
      <w:r w:rsidR="00D96247" w:rsidRPr="00013BDC">
        <w:rPr>
          <w:rFonts w:eastAsia="Times New Roman"/>
          <w:noProof/>
          <w:lang w:val="en-IE"/>
        </w:rPr>
        <w:t>reuse</w:t>
      </w:r>
      <w:r w:rsidRPr="00013BDC">
        <w:rPr>
          <w:rFonts w:eastAsia="Times New Roman"/>
          <w:noProof/>
          <w:lang w:val="en-IE"/>
        </w:rPr>
        <w:t>, recycling and other recovery operations, waste shall be subject to separate collection and shall not be mixed with other waste or other materials with different properties. The Green Deal calls on the Commission to propose an EU model for separate waste collection and CEAP specifies some of the elements to be considered: the most effective combinations of separate collection models, the density and accessibility of separate collection points, common bin colours, harmonised symbols for key waste types, product labels, information campaigns and economic instruments, and the standardisation and use of quality management for collection systems.</w:t>
      </w:r>
    </w:p>
    <w:p w14:paraId="4EFCDD1C" w14:textId="0FDD7EAC" w:rsidR="00902EC2" w:rsidRPr="00013BDC" w:rsidRDefault="00902EC2" w:rsidP="0062681C">
      <w:pPr>
        <w:spacing w:after="120"/>
        <w:rPr>
          <w:rFonts w:eastAsia="Times New Roman"/>
          <w:i/>
          <w:noProof/>
          <w:color w:val="000000" w:themeColor="text1"/>
          <w:sz w:val="20"/>
          <w:szCs w:val="20"/>
          <w:lang w:val="en-IE"/>
        </w:rPr>
      </w:pPr>
      <w:r w:rsidRPr="00013BDC">
        <w:rPr>
          <w:rFonts w:eastAsia="Times New Roman"/>
          <w:noProof/>
          <w:lang w:val="en-IE"/>
        </w:rPr>
        <w:t xml:space="preserve">Article 11 of the WFD specifies that Member States shall take measures to promote high-quality recycling and, to this end, requires Member States to set up separate collection for at least for paper, metal, plastic and glass, and, by 1 January 2025, for textiles. It also sets preparing for </w:t>
      </w:r>
      <w:r w:rsidR="00D96247" w:rsidRPr="00013BDC">
        <w:rPr>
          <w:rFonts w:eastAsia="Times New Roman"/>
          <w:noProof/>
          <w:lang w:val="en-IE"/>
        </w:rPr>
        <w:t>reuse</w:t>
      </w:r>
      <w:r w:rsidRPr="00013BDC">
        <w:rPr>
          <w:rFonts w:eastAsia="Times New Roman"/>
          <w:noProof/>
          <w:lang w:val="en-IE"/>
        </w:rPr>
        <w:t xml:space="preserve"> and recycling targets (by weight) for municipal waste to 55% by 2025, 60% by 2030 and 65% by 2035. In addition, Article 11 calls for the Commission to </w:t>
      </w:r>
      <w:r w:rsidRPr="00013BDC">
        <w:rPr>
          <w:rFonts w:eastAsiaTheme="minorEastAsia"/>
          <w:noProof/>
          <w:lang w:val="en-IE"/>
        </w:rPr>
        <w:t>consider by 31 December 2024, the setting of targets for (preparing for) reuse and for recycling of separately collected textiles.</w:t>
      </w:r>
    </w:p>
    <w:p w14:paraId="55BB6A4A" w14:textId="77777777" w:rsidR="00902EC2" w:rsidRPr="00013BDC" w:rsidRDefault="00902EC2" w:rsidP="0062681C">
      <w:pPr>
        <w:spacing w:after="120"/>
        <w:rPr>
          <w:rFonts w:eastAsia="Times New Roman"/>
          <w:noProof/>
          <w:lang w:val="en-IE"/>
        </w:rPr>
      </w:pPr>
      <w:r w:rsidRPr="00013BDC">
        <w:rPr>
          <w:rFonts w:eastAsia="Times New Roman"/>
          <w:noProof/>
          <w:lang w:val="en-IE"/>
        </w:rPr>
        <w:t>Article 21 of the WFD requires Member States to ensure collection and treatment of waste oils (WO). It also indicates a priority for regeneration (here used synonymously with ‘recycled’) as regenerated lubricant oil reduces the demand for virgin fossil resources. Combustion for energy recovery is another option, but less desirable than regeneration according to the EU’s waste hierarchy. The WFD requires the Commission, by 31 December 2022, to examine information on WO provided by Member States and to consider the feasibility of adopting measures, including quantitative targets and other measures to promote the regeneration of WLO.</w:t>
      </w:r>
    </w:p>
    <w:p w14:paraId="11E98109" w14:textId="77777777" w:rsidR="00902EC2" w:rsidRPr="00013BDC" w:rsidRDefault="00902EC2" w:rsidP="0062681C">
      <w:pPr>
        <w:spacing w:after="120"/>
        <w:rPr>
          <w:rFonts w:eastAsia="Times New Roman"/>
          <w:noProof/>
          <w:lang w:val="en-IE"/>
        </w:rPr>
      </w:pPr>
      <w:r w:rsidRPr="00013BDC">
        <w:rPr>
          <w:rFonts w:eastAsia="Times New Roman"/>
          <w:noProof/>
          <w:lang w:val="en-IE"/>
        </w:rPr>
        <w:t>Article 22 of the WFD requires Member States to ensure that, by 31 December 2023, bio-waste is either separated and recycled at source, or is collected separately and is not mixed with other types of waste.</w:t>
      </w:r>
    </w:p>
    <w:p w14:paraId="50D38072" w14:textId="0B6852A8" w:rsidR="003B549E" w:rsidRPr="00013BDC" w:rsidRDefault="00902EC2" w:rsidP="00DE0121">
      <w:pPr>
        <w:spacing w:after="120"/>
        <w:rPr>
          <w:rFonts w:eastAsia="Times New Roman"/>
          <w:noProof/>
          <w:lang w:val="en-IE"/>
        </w:rPr>
      </w:pPr>
      <w:r w:rsidRPr="00013BDC">
        <w:rPr>
          <w:rFonts w:eastAsia="Times New Roman"/>
          <w:noProof/>
          <w:lang w:val="en-IE"/>
        </w:rPr>
        <w:t>Article 29 of the WFD mandates Member States to establish waste prevention programs</w:t>
      </w:r>
      <w:r w:rsidR="003135BA" w:rsidRPr="00013BDC">
        <w:rPr>
          <w:rFonts w:eastAsia="Times New Roman"/>
          <w:noProof/>
          <w:lang w:val="en-IE"/>
        </w:rPr>
        <w:t>, including food waste prevention,</w:t>
      </w:r>
      <w:r w:rsidRPr="00013BDC">
        <w:rPr>
          <w:rFonts w:eastAsia="Times New Roman"/>
          <w:noProof/>
          <w:lang w:val="en-IE"/>
        </w:rPr>
        <w:t xml:space="preserve"> that describe existing and planned instruments </w:t>
      </w:r>
      <w:r w:rsidRPr="00013BDC">
        <w:rPr>
          <w:rFonts w:eastAsia="Times New Roman"/>
          <w:noProof/>
          <w:color w:val="000000" w:themeColor="text1"/>
          <w:lang w:val="en-IE"/>
        </w:rPr>
        <w:t xml:space="preserve">and measures and their contributions to decoupling waste generation from economic </w:t>
      </w:r>
      <w:r w:rsidRPr="00013BDC">
        <w:rPr>
          <w:rFonts w:eastAsia="Times New Roman"/>
          <w:noProof/>
          <w:lang w:val="en-IE"/>
        </w:rPr>
        <w:t>growth. It also requires them to monitor and assess the implementation of their food waste prevention measures by measuring the levels of food waste on the basis of the methodology established by the delegated act referred to in Article 9(8) (i.e.</w:t>
      </w:r>
      <w:r w:rsidR="00D77D34" w:rsidRPr="00013BDC">
        <w:rPr>
          <w:rFonts w:eastAsia="Times New Roman"/>
          <w:noProof/>
          <w:lang w:val="en-IE"/>
        </w:rPr>
        <w:t>,</w:t>
      </w:r>
      <w:r w:rsidRPr="00013BDC">
        <w:rPr>
          <w:rFonts w:eastAsia="Times New Roman"/>
          <w:noProof/>
          <w:lang w:val="en-IE"/>
        </w:rPr>
        <w:t xml:space="preserve"> 2019/1597/EC), as </w:t>
      </w:r>
      <w:r w:rsidR="003135BA" w:rsidRPr="00013BDC">
        <w:rPr>
          <w:rFonts w:eastAsia="Times New Roman"/>
          <w:noProof/>
          <w:lang w:val="en-IE"/>
        </w:rPr>
        <w:t xml:space="preserve">of reference </w:t>
      </w:r>
      <w:r w:rsidRPr="00013BDC">
        <w:rPr>
          <w:rFonts w:eastAsia="Times New Roman"/>
          <w:noProof/>
          <w:lang w:val="en-IE"/>
        </w:rPr>
        <w:t>year 2020.</w:t>
      </w:r>
    </w:p>
    <w:p w14:paraId="34CD0257" w14:textId="2506B91E" w:rsidR="00DE0121" w:rsidRPr="00013BDC" w:rsidRDefault="00DE0121" w:rsidP="001B1E6E">
      <w:pPr>
        <w:rPr>
          <w:rFonts w:eastAsia="Times New Roman"/>
          <w:noProof/>
          <w:lang w:val="en-IE"/>
        </w:rPr>
      </w:pPr>
      <w:r w:rsidRPr="00013BDC">
        <w:rPr>
          <w:rFonts w:eastAsia="Times New Roman"/>
          <w:noProof/>
          <w:lang w:val="en-IE"/>
        </w:rPr>
        <w:t xml:space="preserve">This initiative </w:t>
      </w:r>
      <w:r w:rsidR="00E2019D" w:rsidRPr="00013BDC">
        <w:rPr>
          <w:rFonts w:eastAsia="Times New Roman"/>
          <w:noProof/>
          <w:lang w:val="en-IE"/>
        </w:rPr>
        <w:t xml:space="preserve">will assess whether </w:t>
      </w:r>
      <w:r w:rsidR="00A80014" w:rsidRPr="00013BDC">
        <w:rPr>
          <w:rFonts w:eastAsia="Times New Roman"/>
          <w:noProof/>
          <w:lang w:val="en-IE"/>
        </w:rPr>
        <w:t xml:space="preserve">Member States are on track to meet the separate </w:t>
      </w:r>
      <w:r w:rsidR="00362D52" w:rsidRPr="00013BDC">
        <w:rPr>
          <w:rFonts w:eastAsia="Times New Roman"/>
          <w:noProof/>
          <w:lang w:val="en-IE"/>
        </w:rPr>
        <w:t xml:space="preserve">collection </w:t>
      </w:r>
      <w:r w:rsidR="00A80014" w:rsidRPr="00013BDC">
        <w:rPr>
          <w:rFonts w:eastAsia="Times New Roman"/>
          <w:noProof/>
          <w:lang w:val="en-IE"/>
        </w:rPr>
        <w:t xml:space="preserve">obligation for </w:t>
      </w:r>
      <w:r w:rsidR="00362D52" w:rsidRPr="00013BDC">
        <w:rPr>
          <w:rFonts w:eastAsia="Times New Roman"/>
          <w:noProof/>
          <w:lang w:val="en-IE"/>
        </w:rPr>
        <w:t xml:space="preserve">textiles and amongst other measures, whether </w:t>
      </w:r>
      <w:r w:rsidR="000945AD" w:rsidRPr="00013BDC">
        <w:rPr>
          <w:rFonts w:eastAsia="Times New Roman"/>
          <w:noProof/>
          <w:lang w:val="en-IE"/>
        </w:rPr>
        <w:t>specific EPR rules are needed for textiles products in addition to the general minimum requirements in Article 8a</w:t>
      </w:r>
      <w:r w:rsidR="00440790" w:rsidRPr="00013BDC">
        <w:rPr>
          <w:rFonts w:eastAsia="Times New Roman"/>
          <w:noProof/>
          <w:lang w:val="en-IE"/>
        </w:rPr>
        <w:t xml:space="preserve"> and address</w:t>
      </w:r>
      <w:r w:rsidR="00A80014" w:rsidRPr="00013BDC">
        <w:rPr>
          <w:rFonts w:eastAsia="Times New Roman"/>
          <w:noProof/>
          <w:lang w:val="en-IE"/>
        </w:rPr>
        <w:t xml:space="preserve"> </w:t>
      </w:r>
      <w:r w:rsidRPr="00013BDC">
        <w:rPr>
          <w:rFonts w:eastAsia="Times New Roman"/>
          <w:noProof/>
          <w:lang w:val="en-IE"/>
        </w:rPr>
        <w:t>the review clause for waste oils in Article 21</w:t>
      </w:r>
    </w:p>
    <w:p w14:paraId="29D176E2" w14:textId="747E1284" w:rsidR="00EA6BD2" w:rsidRPr="00013BDC" w:rsidRDefault="00F64258" w:rsidP="00F64258">
      <w:pPr>
        <w:pStyle w:val="Heading2"/>
        <w:rPr>
          <w:noProof/>
          <w:lang w:val="en-IE"/>
        </w:rPr>
      </w:pPr>
      <w:bookmarkStart w:id="468" w:name="_Toc120782544"/>
      <w:bookmarkStart w:id="469" w:name="_Toc124777288"/>
      <w:bookmarkStart w:id="470" w:name="_Toc967782635"/>
      <w:bookmarkStart w:id="471" w:name="_Toc109745611"/>
      <w:bookmarkStart w:id="472" w:name="_Toc1960994365"/>
      <w:bookmarkStart w:id="473" w:name="_Toc1480212773"/>
      <w:bookmarkStart w:id="474" w:name="_Toc678028339"/>
      <w:bookmarkStart w:id="475" w:name="_Toc1487824749"/>
      <w:bookmarkStart w:id="476" w:name="_Toc1719810026"/>
      <w:bookmarkStart w:id="477" w:name="_Toc139032973"/>
      <w:r w:rsidRPr="00F64258">
        <w:t>1-</w:t>
      </w:r>
      <w:r w:rsidRPr="00F64258">
        <w:tab/>
      </w:r>
      <w:r w:rsidR="00EA6BD2" w:rsidRPr="00013BDC">
        <w:rPr>
          <w:noProof/>
          <w:lang w:val="en-IE"/>
        </w:rPr>
        <w:t>Textiles</w:t>
      </w:r>
      <w:bookmarkEnd w:id="468"/>
      <w:bookmarkEnd w:id="469"/>
      <w:bookmarkEnd w:id="470"/>
      <w:bookmarkEnd w:id="471"/>
      <w:bookmarkEnd w:id="472"/>
      <w:bookmarkEnd w:id="473"/>
      <w:bookmarkEnd w:id="474"/>
      <w:bookmarkEnd w:id="475"/>
      <w:bookmarkEnd w:id="476"/>
      <w:bookmarkEnd w:id="477"/>
      <w:r w:rsidR="00EA6BD2" w:rsidRPr="00013BDC">
        <w:rPr>
          <w:noProof/>
          <w:lang w:val="en-IE"/>
        </w:rPr>
        <w:t xml:space="preserve"> </w:t>
      </w:r>
    </w:p>
    <w:p w14:paraId="4E596557" w14:textId="1305C13B" w:rsidR="009E760C" w:rsidRPr="00013BDC" w:rsidRDefault="5A5E8291" w:rsidP="0062681C">
      <w:pPr>
        <w:spacing w:after="120"/>
        <w:rPr>
          <w:rFonts w:eastAsiaTheme="minorEastAsia"/>
          <w:noProof/>
          <w:lang w:val="en-IE"/>
        </w:rPr>
      </w:pPr>
      <w:r w:rsidRPr="00013BDC">
        <w:rPr>
          <w:rFonts w:eastAsiaTheme="minorEastAsia"/>
          <w:noProof/>
          <w:lang w:val="en-IE"/>
        </w:rPr>
        <w:t xml:space="preserve">The Waste Statistics Regulation (WStatR) </w:t>
      </w:r>
      <w:r w:rsidR="0006200E" w:rsidRPr="00013BDC">
        <w:rPr>
          <w:rStyle w:val="FootnoteReference"/>
          <w:rFonts w:eastAsiaTheme="minorEastAsia"/>
          <w:noProof/>
          <w:lang w:val="en-IE"/>
        </w:rPr>
        <w:footnoteReference w:id="73"/>
      </w:r>
      <w:r w:rsidRPr="00013BDC">
        <w:rPr>
          <w:rFonts w:eastAsiaTheme="minorEastAsia"/>
          <w:noProof/>
          <w:lang w:val="en-IE"/>
        </w:rPr>
        <w:t xml:space="preserve"> provides for data collected biennial</w:t>
      </w:r>
      <w:r w:rsidR="3002C399" w:rsidRPr="00013BDC">
        <w:rPr>
          <w:rFonts w:eastAsiaTheme="minorEastAsia"/>
          <w:noProof/>
          <w:lang w:val="en-IE"/>
        </w:rPr>
        <w:t>ly</w:t>
      </w:r>
      <w:r w:rsidRPr="00013BDC">
        <w:rPr>
          <w:rFonts w:eastAsiaTheme="minorEastAsia"/>
          <w:noProof/>
          <w:lang w:val="en-IE"/>
        </w:rPr>
        <w:t xml:space="preserve">. </w:t>
      </w:r>
      <w:r w:rsidR="00C97330" w:rsidRPr="00013BDC">
        <w:rPr>
          <w:rFonts w:eastAsiaTheme="minorEastAsia"/>
          <w:noProof/>
          <w:lang w:val="en-IE"/>
        </w:rPr>
        <w:t>T</w:t>
      </w:r>
      <w:r w:rsidRPr="00013BDC">
        <w:rPr>
          <w:rFonts w:eastAsiaTheme="minorEastAsia"/>
          <w:noProof/>
          <w:lang w:val="en-IE"/>
        </w:rPr>
        <w:t xml:space="preserve">extile waste is </w:t>
      </w:r>
      <w:r w:rsidR="1608A522" w:rsidRPr="00013BDC">
        <w:rPr>
          <w:rFonts w:eastAsiaTheme="minorEastAsia"/>
          <w:noProof/>
          <w:lang w:val="en-IE"/>
        </w:rPr>
        <w:t>included</w:t>
      </w:r>
      <w:r w:rsidRPr="00013BDC">
        <w:rPr>
          <w:rFonts w:eastAsiaTheme="minorEastAsia"/>
          <w:noProof/>
          <w:lang w:val="en-IE"/>
        </w:rPr>
        <w:t xml:space="preserve"> under W076 ‘Textile Waste’</w:t>
      </w:r>
      <w:r w:rsidR="1608A522" w:rsidRPr="00013BDC">
        <w:rPr>
          <w:rFonts w:eastAsiaTheme="minorEastAsia"/>
          <w:noProof/>
          <w:lang w:val="en-IE"/>
        </w:rPr>
        <w:t xml:space="preserve"> and it is </w:t>
      </w:r>
      <w:r w:rsidRPr="00013BDC">
        <w:rPr>
          <w:rFonts w:eastAsiaTheme="minorEastAsia"/>
          <w:noProof/>
          <w:lang w:val="en-IE"/>
        </w:rPr>
        <w:t xml:space="preserve">measured in tonnes. </w:t>
      </w:r>
      <w:r w:rsidR="004A2648" w:rsidRPr="00013BDC">
        <w:rPr>
          <w:rFonts w:eastAsiaTheme="minorEastAsia"/>
          <w:noProof/>
          <w:lang w:val="en-IE"/>
        </w:rPr>
        <w:t xml:space="preserve">Textile waste comprises two entries in separately collected municipal waste fractions (20 01 10 clothes, and 20 01 11 textiles). </w:t>
      </w:r>
    </w:p>
    <w:p w14:paraId="141B14AA" w14:textId="76B00F1E" w:rsidR="00E44DA5" w:rsidRPr="00013BDC" w:rsidRDefault="00CF6F83" w:rsidP="002C3157">
      <w:pPr>
        <w:spacing w:after="120"/>
        <w:rPr>
          <w:rFonts w:eastAsiaTheme="minorEastAsia"/>
          <w:noProof/>
          <w:lang w:val="en-IE"/>
        </w:rPr>
      </w:pPr>
      <w:r w:rsidRPr="00013BDC">
        <w:rPr>
          <w:rFonts w:eastAsiaTheme="minorEastAsia"/>
          <w:noProof/>
          <w:lang w:val="en-IE"/>
        </w:rPr>
        <w:t xml:space="preserve">In addition, </w:t>
      </w:r>
      <w:r w:rsidR="00DC0367" w:rsidRPr="00013BDC">
        <w:rPr>
          <w:rFonts w:eastAsiaTheme="minorEastAsia"/>
          <w:noProof/>
          <w:lang w:val="en-IE"/>
        </w:rPr>
        <w:t>t</w:t>
      </w:r>
      <w:r w:rsidR="00AF2330" w:rsidRPr="00013BDC">
        <w:rPr>
          <w:rFonts w:eastAsiaTheme="minorEastAsia"/>
          <w:noProof/>
          <w:lang w:val="en-IE"/>
        </w:rPr>
        <w:t>he ‘2018 waste package’ introduced a new definition of municipal waste that includes textiles in the list of mixed waste and separately collected waste from households</w:t>
      </w:r>
      <w:r w:rsidR="003135BA" w:rsidRPr="00013BDC">
        <w:rPr>
          <w:rFonts w:eastAsiaTheme="minorEastAsia"/>
          <w:noProof/>
          <w:lang w:val="en-IE"/>
        </w:rPr>
        <w:t>, this</w:t>
      </w:r>
      <w:r w:rsidR="00AF2330" w:rsidRPr="00013BDC">
        <w:rPr>
          <w:rFonts w:eastAsiaTheme="minorEastAsia"/>
          <w:noProof/>
          <w:lang w:val="en-IE"/>
        </w:rPr>
        <w:t xml:space="preserve"> will be reported annually from reference year 2020 (in June 2022).</w:t>
      </w:r>
    </w:p>
    <w:p w14:paraId="64056BFE" w14:textId="107AD5B0" w:rsidR="00CF6F83" w:rsidRPr="00013BDC" w:rsidRDefault="00CF6F83" w:rsidP="001B1E6E">
      <w:pPr>
        <w:rPr>
          <w:rFonts w:eastAsiaTheme="minorEastAsia"/>
          <w:noProof/>
          <w:lang w:val="en-IE"/>
        </w:rPr>
      </w:pPr>
      <w:r w:rsidRPr="00013BDC">
        <w:rPr>
          <w:rFonts w:eastAsiaTheme="minorEastAsia"/>
          <w:noProof/>
          <w:lang w:val="en-IE"/>
        </w:rPr>
        <w:t xml:space="preserve">According to the guidance prepared by Eurostat, countries should estimate waste generation by material breakdown (including a specific class for textiles) by applying waste composition analysis to the different waste streams. In the light of the data received, 14 countries out of 22 seem not to have applied such waste composition analysis. For those countries, the municipal textile waste generation reported is very low, and comparing it with recycling is not meaningful. The table </w:t>
      </w:r>
      <w:r w:rsidR="009A6C94" w:rsidRPr="00013BDC">
        <w:rPr>
          <w:rFonts w:eastAsiaTheme="minorEastAsia"/>
          <w:noProof/>
          <w:lang w:val="en-IE"/>
        </w:rPr>
        <w:t>below</w:t>
      </w:r>
      <w:r w:rsidRPr="00013BDC">
        <w:rPr>
          <w:rFonts w:eastAsiaTheme="minorEastAsia"/>
          <w:noProof/>
          <w:lang w:val="en-IE"/>
        </w:rPr>
        <w:t xml:space="preserve"> shows the breakdown of waste generation by material as reported by Member States.</w:t>
      </w:r>
    </w:p>
    <w:p w14:paraId="434C0EC8" w14:textId="77777777" w:rsidR="00BC786C" w:rsidRPr="00013BDC" w:rsidRDefault="00BC786C" w:rsidP="001B1E6E">
      <w:pPr>
        <w:rPr>
          <w:rFonts w:eastAsiaTheme="minorEastAsia"/>
          <w:noProof/>
          <w:lang w:val="en-IE"/>
        </w:rPr>
        <w:sectPr w:rsidR="00BC786C" w:rsidRPr="00013BDC" w:rsidSect="006126D3">
          <w:headerReference w:type="even" r:id="rId74"/>
          <w:headerReference w:type="default" r:id="rId75"/>
          <w:footerReference w:type="even" r:id="rId76"/>
          <w:footerReference w:type="default" r:id="rId77"/>
          <w:headerReference w:type="first" r:id="rId78"/>
          <w:footerReference w:type="first" r:id="rId79"/>
          <w:pgSz w:w="11906" w:h="16838"/>
          <w:pgMar w:top="1020" w:right="707" w:bottom="1020" w:left="1587" w:header="601" w:footer="1077" w:gutter="0"/>
          <w:cols w:space="720"/>
          <w:titlePg/>
        </w:sectPr>
      </w:pPr>
    </w:p>
    <w:p w14:paraId="5A25058E" w14:textId="19DE53E6" w:rsidR="00F03440" w:rsidRPr="00013BDC" w:rsidRDefault="00777667" w:rsidP="00F03440">
      <w:pPr>
        <w:pStyle w:val="Caption"/>
        <w:rPr>
          <w:noProof/>
          <w:color w:val="auto"/>
          <w:sz w:val="24"/>
          <w:szCs w:val="24"/>
          <w:lang w:val="en-IE"/>
        </w:rPr>
      </w:pPr>
      <w:bookmarkStart w:id="478" w:name="_Toc133229430"/>
      <w:bookmarkStart w:id="479" w:name="_Toc139033052"/>
      <w:r w:rsidRPr="00013BDC">
        <w:rPr>
          <w:noProof/>
          <w:color w:val="auto"/>
          <w:sz w:val="24"/>
          <w:szCs w:val="24"/>
          <w:lang w:val="en-IE"/>
        </w:rPr>
        <w:t xml:space="preserve">Table </w:t>
      </w:r>
      <w:r w:rsidR="004C5576">
        <w:rPr>
          <w:noProof/>
          <w:color w:val="auto"/>
          <w:sz w:val="24"/>
          <w:szCs w:val="24"/>
        </w:rPr>
        <w:t>22</w:t>
      </w:r>
      <w:r w:rsidRPr="00013BDC">
        <w:rPr>
          <w:noProof/>
          <w:color w:val="auto"/>
          <w:sz w:val="24"/>
          <w:szCs w:val="24"/>
          <w:lang w:val="en-IE"/>
        </w:rPr>
        <w:t xml:space="preserve"> – </w:t>
      </w:r>
      <w:r w:rsidR="00C94247" w:rsidRPr="00013BDC">
        <w:rPr>
          <w:noProof/>
          <w:color w:val="auto"/>
          <w:sz w:val="24"/>
          <w:szCs w:val="24"/>
          <w:lang w:val="en-IE"/>
        </w:rPr>
        <w:t xml:space="preserve">Breakdown of waste generation by </w:t>
      </w:r>
      <w:r w:rsidR="00F03440" w:rsidRPr="00013BDC">
        <w:rPr>
          <w:noProof/>
          <w:color w:val="auto"/>
          <w:sz w:val="24"/>
          <w:szCs w:val="24"/>
          <w:lang w:val="en-IE"/>
        </w:rPr>
        <w:t>material</w:t>
      </w:r>
      <w:bookmarkEnd w:id="478"/>
      <w:bookmarkEnd w:id="479"/>
    </w:p>
    <w:p w14:paraId="28E78FFA" w14:textId="61278B26" w:rsidR="00F03440" w:rsidRPr="00013BDC" w:rsidRDefault="00F03440" w:rsidP="001B1E6E">
      <w:pPr>
        <w:rPr>
          <w:rFonts w:eastAsiaTheme="minorEastAsia"/>
          <w:noProof/>
          <w:lang w:val="en-IE"/>
        </w:rPr>
        <w:sectPr w:rsidR="00F03440" w:rsidRPr="00013BDC" w:rsidSect="00BC786C">
          <w:headerReference w:type="even" r:id="rId80"/>
          <w:headerReference w:type="default" r:id="rId81"/>
          <w:footerReference w:type="even" r:id="rId82"/>
          <w:footerReference w:type="default" r:id="rId83"/>
          <w:headerReference w:type="first" r:id="rId84"/>
          <w:footerReference w:type="first" r:id="rId85"/>
          <w:pgSz w:w="16838" w:h="11906" w:orient="landscape"/>
          <w:pgMar w:top="1587" w:right="1020" w:bottom="707" w:left="1020" w:header="601" w:footer="1077" w:gutter="0"/>
          <w:cols w:space="720"/>
          <w:titlePg/>
          <w:docGrid w:linePitch="326"/>
        </w:sectPr>
      </w:pPr>
      <w:r w:rsidRPr="00013BDC">
        <w:rPr>
          <w:noProof/>
          <w:lang w:eastAsia="en-GB"/>
        </w:rPr>
        <w:drawing>
          <wp:inline distT="0" distB="0" distL="0" distR="0" wp14:anchorId="45121D60" wp14:editId="2382459F">
            <wp:extent cx="9396730" cy="49409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396730" cy="4940935"/>
                    </a:xfrm>
                    <a:prstGeom prst="rect">
                      <a:avLst/>
                    </a:prstGeom>
                    <a:noFill/>
                    <a:ln>
                      <a:noFill/>
                    </a:ln>
                  </pic:spPr>
                </pic:pic>
              </a:graphicData>
            </a:graphic>
          </wp:inline>
        </w:drawing>
      </w:r>
    </w:p>
    <w:p w14:paraId="41C7D7F1" w14:textId="27728299" w:rsidR="00902EC2" w:rsidRPr="00013BDC" w:rsidRDefault="00902EC2" w:rsidP="0062681C">
      <w:pPr>
        <w:spacing w:after="120"/>
        <w:rPr>
          <w:rFonts w:eastAsiaTheme="minorEastAsia"/>
          <w:noProof/>
          <w:lang w:val="en-IE"/>
        </w:rPr>
      </w:pPr>
      <w:r w:rsidRPr="00013BDC">
        <w:rPr>
          <w:rFonts w:eastAsiaTheme="minorEastAsia"/>
          <w:noProof/>
          <w:lang w:val="en-IE"/>
        </w:rPr>
        <w:t>There is a lack of reliable data on textile waste generation and how much it represents of total municipal solid waste but from several sources it seems that a reasonable estimate is 3-4%. In the best performing Member States, about a third of it is separately collected and about two thirds end up in the mixed waste bin.</w:t>
      </w:r>
    </w:p>
    <w:p w14:paraId="35A46840" w14:textId="19DA6411" w:rsidR="0062681C" w:rsidRPr="00013BDC" w:rsidRDefault="0062681C" w:rsidP="00EE2527">
      <w:pPr>
        <w:spacing w:after="120"/>
        <w:rPr>
          <w:noProof/>
          <w:lang w:val="en-IE"/>
        </w:rPr>
      </w:pPr>
      <w:r w:rsidRPr="00013BDC">
        <w:rPr>
          <w:noProof/>
          <w:lang w:val="en-IE"/>
        </w:rPr>
        <w:t>Regulation (EC) No 1013/2006 on shipments of waste</w:t>
      </w:r>
      <w:r w:rsidR="00EE2527" w:rsidRPr="00013BDC">
        <w:rPr>
          <w:noProof/>
          <w:lang w:val="en-IE"/>
        </w:rPr>
        <w:t xml:space="preserve"> </w:t>
      </w:r>
      <w:r w:rsidRPr="00013BDC">
        <w:rPr>
          <w:rStyle w:val="FootnoteReference"/>
          <w:noProof/>
          <w:lang w:val="en-IE"/>
        </w:rPr>
        <w:footnoteReference w:id="74"/>
      </w:r>
      <w:r w:rsidRPr="00013BDC">
        <w:rPr>
          <w:noProof/>
          <w:lang w:val="en-IE"/>
        </w:rPr>
        <w:t xml:space="preserve"> (Waste Shipment</w:t>
      </w:r>
      <w:r w:rsidR="0050796C" w:rsidRPr="00013BDC">
        <w:rPr>
          <w:noProof/>
          <w:lang w:val="en-IE"/>
        </w:rPr>
        <w:t>s</w:t>
      </w:r>
      <w:r w:rsidRPr="00013BDC">
        <w:rPr>
          <w:noProof/>
          <w:lang w:val="en-IE"/>
        </w:rPr>
        <w:t xml:space="preserve"> Regulation or ‘WSR’) applies to shipments of waste:</w:t>
      </w:r>
    </w:p>
    <w:p w14:paraId="7F403CD5" w14:textId="09E82834" w:rsidR="0062681C" w:rsidRPr="00013BDC" w:rsidRDefault="0062681C" w:rsidP="00CF0DFB">
      <w:pPr>
        <w:pStyle w:val="ListParagraph"/>
        <w:numPr>
          <w:ilvl w:val="0"/>
          <w:numId w:val="40"/>
        </w:numPr>
        <w:spacing w:after="0"/>
        <w:jc w:val="left"/>
        <w:rPr>
          <w:noProof/>
          <w:lang w:val="en-IE"/>
        </w:rPr>
      </w:pPr>
      <w:r w:rsidRPr="00013BDC">
        <w:rPr>
          <w:noProof/>
          <w:lang w:val="en-IE"/>
        </w:rPr>
        <w:t xml:space="preserve">Between EU countries within the EU </w:t>
      </w:r>
      <w:r w:rsidR="000E5184" w:rsidRPr="00013BDC">
        <w:rPr>
          <w:noProof/>
          <w:lang w:val="en-IE"/>
        </w:rPr>
        <w:t xml:space="preserve">borders </w:t>
      </w:r>
      <w:r w:rsidRPr="00013BDC">
        <w:rPr>
          <w:noProof/>
          <w:lang w:val="en-IE"/>
        </w:rPr>
        <w:t>or transiting via non-EU countries;</w:t>
      </w:r>
    </w:p>
    <w:p w14:paraId="5E6AB28F" w14:textId="77777777" w:rsidR="0062681C" w:rsidRPr="00013BDC" w:rsidRDefault="0062681C" w:rsidP="00CF0DFB">
      <w:pPr>
        <w:pStyle w:val="ListParagraph"/>
        <w:numPr>
          <w:ilvl w:val="0"/>
          <w:numId w:val="40"/>
        </w:numPr>
        <w:spacing w:after="0"/>
        <w:jc w:val="left"/>
        <w:rPr>
          <w:noProof/>
          <w:lang w:val="en-IE"/>
        </w:rPr>
      </w:pPr>
      <w:r w:rsidRPr="00013BDC">
        <w:rPr>
          <w:noProof/>
          <w:lang w:val="en-IE"/>
        </w:rPr>
        <w:t>Imported into the EU from non-EU countries;</w:t>
      </w:r>
    </w:p>
    <w:p w14:paraId="3E510977" w14:textId="77777777" w:rsidR="0062681C" w:rsidRPr="00013BDC" w:rsidRDefault="0062681C" w:rsidP="00CF0DFB">
      <w:pPr>
        <w:pStyle w:val="ListParagraph"/>
        <w:numPr>
          <w:ilvl w:val="0"/>
          <w:numId w:val="40"/>
        </w:numPr>
        <w:spacing w:after="0"/>
        <w:jc w:val="left"/>
        <w:rPr>
          <w:noProof/>
          <w:lang w:val="en-IE"/>
        </w:rPr>
      </w:pPr>
      <w:r w:rsidRPr="00013BDC">
        <w:rPr>
          <w:noProof/>
          <w:lang w:val="en-IE"/>
        </w:rPr>
        <w:t>Exported from the EU to non-EU countries;</w:t>
      </w:r>
    </w:p>
    <w:p w14:paraId="45E4FB30" w14:textId="77777777" w:rsidR="0062681C" w:rsidRPr="00013BDC" w:rsidRDefault="0062681C" w:rsidP="00CF0DFB">
      <w:pPr>
        <w:pStyle w:val="ListParagraph"/>
        <w:numPr>
          <w:ilvl w:val="0"/>
          <w:numId w:val="40"/>
        </w:numPr>
        <w:jc w:val="left"/>
        <w:rPr>
          <w:noProof/>
          <w:lang w:val="en-IE"/>
        </w:rPr>
      </w:pPr>
      <w:r w:rsidRPr="00013BDC">
        <w:rPr>
          <w:noProof/>
          <w:lang w:val="en-IE"/>
        </w:rPr>
        <w:t>In transit through the EU, on the way from or to non-EU countries.</w:t>
      </w:r>
    </w:p>
    <w:p w14:paraId="1E58C49F" w14:textId="77777777" w:rsidR="0062681C" w:rsidRPr="00013BDC" w:rsidRDefault="0062681C" w:rsidP="00E50CD7">
      <w:pPr>
        <w:spacing w:after="120"/>
        <w:rPr>
          <w:noProof/>
          <w:lang w:val="en-IE"/>
        </w:rPr>
      </w:pPr>
      <w:r w:rsidRPr="00013BDC">
        <w:rPr>
          <w:noProof/>
          <w:lang w:val="en-IE"/>
        </w:rPr>
        <w:t>There are two control procedures for the shipment of waste:</w:t>
      </w:r>
    </w:p>
    <w:p w14:paraId="4E7BD337" w14:textId="03E51984" w:rsidR="0062681C" w:rsidRPr="00013BDC" w:rsidRDefault="00E50CD7" w:rsidP="00CF0DFB">
      <w:pPr>
        <w:numPr>
          <w:ilvl w:val="0"/>
          <w:numId w:val="38"/>
        </w:numPr>
        <w:spacing w:after="0"/>
        <w:jc w:val="left"/>
        <w:rPr>
          <w:noProof/>
          <w:lang w:val="en-IE"/>
        </w:rPr>
      </w:pPr>
      <w:r w:rsidRPr="00013BDC">
        <w:rPr>
          <w:noProof/>
          <w:lang w:val="en-IE"/>
        </w:rPr>
        <w:t>G</w:t>
      </w:r>
      <w:r w:rsidR="0062681C" w:rsidRPr="00013BDC">
        <w:rPr>
          <w:noProof/>
          <w:lang w:val="en-IE"/>
        </w:rPr>
        <w:t>eneral information requirements</w:t>
      </w:r>
      <w:r w:rsidRPr="00013BDC">
        <w:rPr>
          <w:noProof/>
          <w:lang w:val="en-IE"/>
        </w:rPr>
        <w:t xml:space="preserve"> a</w:t>
      </w:r>
      <w:r w:rsidR="0062681C" w:rsidRPr="00013BDC">
        <w:rPr>
          <w:noProof/>
          <w:lang w:val="en-IE"/>
        </w:rPr>
        <w:t>ppl</w:t>
      </w:r>
      <w:r w:rsidRPr="00013BDC">
        <w:rPr>
          <w:noProof/>
          <w:lang w:val="en-IE"/>
        </w:rPr>
        <w:t>y</w:t>
      </w:r>
      <w:r w:rsidR="0062681C" w:rsidRPr="00013BDC">
        <w:rPr>
          <w:noProof/>
          <w:lang w:val="en-IE"/>
        </w:rPr>
        <w:t xml:space="preserve"> to shipments for recovery of wastes, listed in Annex III (‘green’ listed wastes - non-hazardous, such as paper or plastics) or IIIA; and</w:t>
      </w:r>
    </w:p>
    <w:p w14:paraId="09BDF5C9" w14:textId="5F6F9E33" w:rsidR="0062681C" w:rsidRPr="00013BDC" w:rsidRDefault="00E50CD7" w:rsidP="00CF0DFB">
      <w:pPr>
        <w:numPr>
          <w:ilvl w:val="0"/>
          <w:numId w:val="38"/>
        </w:numPr>
        <w:spacing w:after="0"/>
        <w:jc w:val="left"/>
        <w:rPr>
          <w:noProof/>
          <w:lang w:val="en-IE"/>
        </w:rPr>
      </w:pPr>
      <w:r w:rsidRPr="00013BDC">
        <w:rPr>
          <w:noProof/>
          <w:lang w:val="en-IE"/>
        </w:rPr>
        <w:t>P</w:t>
      </w:r>
      <w:r w:rsidR="0062681C" w:rsidRPr="00013BDC">
        <w:rPr>
          <w:noProof/>
          <w:lang w:val="en-IE"/>
        </w:rPr>
        <w:t xml:space="preserve">rior written notification and consent </w:t>
      </w:r>
      <w:r w:rsidRPr="00013BDC">
        <w:rPr>
          <w:noProof/>
          <w:lang w:val="en-IE"/>
        </w:rPr>
        <w:t>applies to</w:t>
      </w:r>
      <w:r w:rsidR="0062681C" w:rsidRPr="00013BDC">
        <w:rPr>
          <w:noProof/>
          <w:lang w:val="en-IE"/>
        </w:rPr>
        <w:t xml:space="preserve"> other types of shipments of wastes, including:</w:t>
      </w:r>
    </w:p>
    <w:p w14:paraId="578ACCC0" w14:textId="18F979FA" w:rsidR="0062681C" w:rsidRPr="00013BDC" w:rsidRDefault="0062681C" w:rsidP="00CF0DFB">
      <w:pPr>
        <w:numPr>
          <w:ilvl w:val="0"/>
          <w:numId w:val="39"/>
        </w:numPr>
        <w:spacing w:after="0"/>
        <w:ind w:left="1560" w:hanging="567"/>
        <w:jc w:val="left"/>
        <w:rPr>
          <w:noProof/>
          <w:lang w:val="en-IE"/>
        </w:rPr>
      </w:pPr>
      <w:r w:rsidRPr="00013BDC">
        <w:rPr>
          <w:noProof/>
          <w:lang w:val="en-IE"/>
        </w:rPr>
        <w:t>shipments of wastes listed in Annex IV (‘amber’ listed wastes containing both hazardous and non-hazardous parts) or in Part 2 of Annex V (</w:t>
      </w:r>
      <w:r w:rsidR="0061219A" w:rsidRPr="00013BDC">
        <w:rPr>
          <w:noProof/>
          <w:lang w:val="en-IE"/>
        </w:rPr>
        <w:t xml:space="preserve">EWC Codes (European Waste Codes) </w:t>
      </w:r>
      <w:r w:rsidR="0061219A" w:rsidRPr="00013BDC">
        <w:rPr>
          <w:rStyle w:val="FootnoteReference"/>
          <w:noProof/>
          <w:lang w:val="en-IE"/>
        </w:rPr>
        <w:footnoteReference w:id="75"/>
      </w:r>
      <w:r w:rsidRPr="00013BDC">
        <w:rPr>
          <w:noProof/>
          <w:lang w:val="en-IE"/>
        </w:rPr>
        <w:t xml:space="preserve">, </w:t>
      </w:r>
      <w:r w:rsidR="00BE584C" w:rsidRPr="00013BDC">
        <w:rPr>
          <w:noProof/>
          <w:lang w:val="en-IE"/>
        </w:rPr>
        <w:t>e.g.,</w:t>
      </w:r>
      <w:r w:rsidRPr="00013BDC">
        <w:rPr>
          <w:noProof/>
          <w:lang w:val="en-IE"/>
        </w:rPr>
        <w:t xml:space="preserve"> wastes from mining, quarrying and physical and chemical treatment of minerals); and</w:t>
      </w:r>
    </w:p>
    <w:p w14:paraId="02DDCC74" w14:textId="77777777" w:rsidR="0062681C" w:rsidRPr="00013BDC" w:rsidRDefault="0062681C" w:rsidP="00CF0DFB">
      <w:pPr>
        <w:numPr>
          <w:ilvl w:val="0"/>
          <w:numId w:val="39"/>
        </w:numPr>
        <w:spacing w:after="120"/>
        <w:ind w:left="1560" w:hanging="567"/>
        <w:jc w:val="left"/>
        <w:rPr>
          <w:noProof/>
          <w:lang w:val="en-IE"/>
        </w:rPr>
      </w:pPr>
      <w:r w:rsidRPr="00013BDC">
        <w:rPr>
          <w:noProof/>
          <w:lang w:val="en-IE"/>
        </w:rPr>
        <w:t>shipments for disposal of wastes listed in Annex III (‘green’ listed wastes).</w:t>
      </w:r>
    </w:p>
    <w:p w14:paraId="1DF762D6" w14:textId="5EA966D5" w:rsidR="0062681C" w:rsidRPr="00013BDC" w:rsidRDefault="03E3961B" w:rsidP="0062681C">
      <w:pPr>
        <w:rPr>
          <w:noProof/>
          <w:lang w:val="en-IE"/>
        </w:rPr>
      </w:pPr>
      <w:r w:rsidRPr="00013BDC">
        <w:rPr>
          <w:noProof/>
          <w:lang w:val="en-IE"/>
        </w:rPr>
        <w:t>The Regulation aims to protect the environment and public health from the adverse effects of the shipments of waste and its subsequent treatment</w:t>
      </w:r>
      <w:r w:rsidR="74D90118" w:rsidRPr="00013BDC">
        <w:rPr>
          <w:noProof/>
          <w:lang w:val="en-IE"/>
        </w:rPr>
        <w:t xml:space="preserve">. </w:t>
      </w:r>
      <w:r w:rsidR="3AE7E9E8" w:rsidRPr="00013BDC">
        <w:rPr>
          <w:noProof/>
          <w:lang w:val="en-IE"/>
        </w:rPr>
        <w:t>I</w:t>
      </w:r>
      <w:r w:rsidR="3EDC7C06" w:rsidRPr="00013BDC">
        <w:rPr>
          <w:noProof/>
          <w:lang w:val="en-IE"/>
        </w:rPr>
        <w:t xml:space="preserve">t requires </w:t>
      </w:r>
      <w:r w:rsidR="3AE7E9E8" w:rsidRPr="00013BDC">
        <w:rPr>
          <w:noProof/>
          <w:lang w:val="en-IE"/>
        </w:rPr>
        <w:t xml:space="preserve">that waste is managed in an environmentally sound manner, respecting EU and international rules, throughout the shipment process and when it is recovered or disposed of. </w:t>
      </w:r>
    </w:p>
    <w:p w14:paraId="73EC9FAE" w14:textId="7BE86E32" w:rsidR="00902EC2" w:rsidRPr="00013BDC" w:rsidRDefault="00902EC2" w:rsidP="0B9E2EEF">
      <w:pPr>
        <w:pStyle w:val="Heading3"/>
        <w:rPr>
          <w:b/>
          <w:noProof/>
          <w:lang w:val="en-IE"/>
        </w:rPr>
      </w:pPr>
      <w:bookmarkStart w:id="480" w:name="_Toc1257681535"/>
      <w:bookmarkStart w:id="481" w:name="_Toc295401837"/>
      <w:bookmarkStart w:id="482" w:name="_Toc14638558"/>
      <w:bookmarkStart w:id="483" w:name="_Toc408630580"/>
      <w:bookmarkStart w:id="484" w:name="_Toc139032974"/>
      <w:r w:rsidRPr="00013BDC">
        <w:rPr>
          <w:noProof/>
          <w:lang w:val="en-IE"/>
        </w:rPr>
        <w:t>Coherence Analysis</w:t>
      </w:r>
      <w:bookmarkEnd w:id="480"/>
      <w:bookmarkEnd w:id="481"/>
      <w:bookmarkEnd w:id="482"/>
      <w:bookmarkEnd w:id="483"/>
      <w:bookmarkEnd w:id="484"/>
    </w:p>
    <w:p w14:paraId="57B6C5C7" w14:textId="77777777" w:rsidR="00902EC2" w:rsidRPr="00013BDC" w:rsidRDefault="00902EC2" w:rsidP="1F760E78">
      <w:pPr>
        <w:spacing w:after="120"/>
        <w:rPr>
          <w:b/>
          <w:i/>
          <w:noProof/>
          <w:lang w:val="en-IE"/>
        </w:rPr>
      </w:pPr>
      <w:r w:rsidRPr="00013BDC">
        <w:rPr>
          <w:b/>
          <w:i/>
          <w:noProof/>
          <w:color w:val="2B579A"/>
          <w:shd w:val="clear" w:color="auto" w:fill="E6E6E6"/>
          <w:lang w:val="en-IE"/>
        </w:rPr>
        <w:t>Links with other EU policies</w:t>
      </w:r>
    </w:p>
    <w:p w14:paraId="2E696736" w14:textId="77777777" w:rsidR="007B3B78" w:rsidRPr="00013BDC" w:rsidRDefault="00902EC2" w:rsidP="001B1E6E">
      <w:pPr>
        <w:rPr>
          <w:noProof/>
          <w:shd w:val="clear" w:color="auto" w:fill="E6E6E6"/>
          <w:lang w:val="en-IE"/>
        </w:rPr>
      </w:pPr>
      <w:r w:rsidRPr="00013BDC">
        <w:rPr>
          <w:noProof/>
          <w:shd w:val="clear" w:color="auto" w:fill="E6E6E6"/>
          <w:lang w:val="en-IE"/>
        </w:rPr>
        <w:t>The following initiatives, adopted or planned in the Commission work programme, will have an impact on the themes being investigated</w:t>
      </w:r>
      <w:r w:rsidR="00806BEB" w:rsidRPr="00013BDC">
        <w:rPr>
          <w:noProof/>
          <w:shd w:val="clear" w:color="auto" w:fill="E6E6E6"/>
          <w:lang w:val="en-IE"/>
        </w:rPr>
        <w:t>. They are summarised in the Table below and more details are provided after the table</w:t>
      </w:r>
      <w:r w:rsidR="007B3B78" w:rsidRPr="00013BDC">
        <w:rPr>
          <w:noProof/>
          <w:shd w:val="clear" w:color="auto" w:fill="E6E6E6"/>
          <w:lang w:val="en-IE"/>
        </w:rPr>
        <w:t>.</w:t>
      </w:r>
    </w:p>
    <w:p w14:paraId="5693A86D" w14:textId="5D17FB2E" w:rsidR="00EF5F06" w:rsidRPr="00013BDC" w:rsidRDefault="00214DCB" w:rsidP="00EF5F06">
      <w:pPr>
        <w:pStyle w:val="Caption"/>
        <w:keepNext/>
        <w:spacing w:after="120" w:line="276" w:lineRule="auto"/>
        <w:rPr>
          <w:rFonts w:eastAsia="Times New Roman"/>
          <w:noProof/>
          <w:color w:val="auto"/>
          <w:lang w:val="en-IE"/>
        </w:rPr>
      </w:pPr>
      <w:bookmarkStart w:id="485" w:name="_Toc133229431"/>
      <w:bookmarkStart w:id="486" w:name="_Toc139033053"/>
      <w:r w:rsidRPr="00013BDC">
        <w:rPr>
          <w:noProof/>
          <w:color w:val="auto"/>
          <w:sz w:val="24"/>
          <w:szCs w:val="24"/>
          <w:lang w:val="en-IE"/>
        </w:rPr>
        <w:t xml:space="preserve">Table </w:t>
      </w:r>
      <w:r w:rsidR="004C5576">
        <w:rPr>
          <w:noProof/>
          <w:color w:val="auto"/>
          <w:sz w:val="24"/>
          <w:szCs w:val="24"/>
        </w:rPr>
        <w:t>23</w:t>
      </w:r>
      <w:r w:rsidRPr="00013BDC">
        <w:rPr>
          <w:noProof/>
          <w:color w:val="auto"/>
          <w:sz w:val="24"/>
          <w:szCs w:val="24"/>
          <w:lang w:val="en-IE"/>
        </w:rPr>
        <w:t xml:space="preserve"> – </w:t>
      </w:r>
      <w:r w:rsidR="00FD5472" w:rsidRPr="00013BDC">
        <w:rPr>
          <w:noProof/>
          <w:color w:val="auto"/>
          <w:sz w:val="24"/>
          <w:szCs w:val="24"/>
          <w:lang w:val="en-IE"/>
        </w:rPr>
        <w:t xml:space="preserve">Mapping </w:t>
      </w:r>
      <w:r w:rsidR="00EF5F06" w:rsidRPr="00013BDC">
        <w:rPr>
          <w:noProof/>
          <w:color w:val="auto"/>
          <w:sz w:val="24"/>
          <w:szCs w:val="24"/>
          <w:lang w:val="en-IE"/>
        </w:rPr>
        <w:t>of the main links to WFD</w:t>
      </w:r>
      <w:bookmarkEnd w:id="485"/>
      <w:bookmarkEnd w:id="486"/>
    </w:p>
    <w:tbl>
      <w:tblPr>
        <w:tblStyle w:val="TableGrid"/>
        <w:tblW w:w="0" w:type="auto"/>
        <w:tblLook w:val="06A0" w:firstRow="1" w:lastRow="0" w:firstColumn="1" w:lastColumn="0" w:noHBand="1" w:noVBand="1"/>
      </w:tblPr>
      <w:tblGrid>
        <w:gridCol w:w="2802"/>
        <w:gridCol w:w="6214"/>
      </w:tblGrid>
      <w:tr w:rsidR="00EF5F06" w:rsidRPr="00013BDC" w14:paraId="32219C2B" w14:textId="77777777" w:rsidTr="00D3084C">
        <w:tc>
          <w:tcPr>
            <w:tcW w:w="2802" w:type="dxa"/>
            <w:shd w:val="clear" w:color="auto" w:fill="365F91" w:themeFill="accent1" w:themeFillShade="BF"/>
          </w:tcPr>
          <w:p w14:paraId="79B14FDC" w14:textId="77777777" w:rsidR="00EF5F06" w:rsidRPr="00013BDC" w:rsidRDefault="00EF5F06">
            <w:pPr>
              <w:spacing w:line="276" w:lineRule="auto"/>
              <w:jc w:val="center"/>
              <w:rPr>
                <w:noProof/>
                <w:sz w:val="22"/>
                <w:szCs w:val="22"/>
                <w:lang w:val="en-IE"/>
              </w:rPr>
            </w:pPr>
            <w:r w:rsidRPr="00013BDC">
              <w:rPr>
                <w:noProof/>
                <w:sz w:val="22"/>
                <w:szCs w:val="22"/>
                <w:lang w:val="en-IE"/>
              </w:rPr>
              <w:t>Policy area</w:t>
            </w:r>
          </w:p>
        </w:tc>
        <w:tc>
          <w:tcPr>
            <w:tcW w:w="6214" w:type="dxa"/>
            <w:shd w:val="clear" w:color="auto" w:fill="365F91" w:themeFill="accent1" w:themeFillShade="BF"/>
          </w:tcPr>
          <w:p w14:paraId="2251AB34" w14:textId="77777777" w:rsidR="00EF5F06" w:rsidRPr="00013BDC" w:rsidRDefault="00EF5F06">
            <w:pPr>
              <w:spacing w:line="276" w:lineRule="auto"/>
              <w:jc w:val="center"/>
              <w:rPr>
                <w:noProof/>
                <w:sz w:val="22"/>
                <w:szCs w:val="22"/>
                <w:lang w:val="en-IE"/>
              </w:rPr>
            </w:pPr>
            <w:r w:rsidRPr="00013BDC">
              <w:rPr>
                <w:noProof/>
                <w:sz w:val="22"/>
                <w:szCs w:val="22"/>
                <w:lang w:val="en-IE"/>
              </w:rPr>
              <w:t>WFD contribution and relevance</w:t>
            </w:r>
          </w:p>
        </w:tc>
      </w:tr>
      <w:tr w:rsidR="00EF5F06" w:rsidRPr="00013BDC" w14:paraId="7B7BBB30" w14:textId="77777777" w:rsidTr="00D3084C">
        <w:tc>
          <w:tcPr>
            <w:tcW w:w="2802" w:type="dxa"/>
          </w:tcPr>
          <w:p w14:paraId="4E70F2E4" w14:textId="77777777" w:rsidR="00EF5F06" w:rsidRPr="00013BDC" w:rsidRDefault="00EF5F06">
            <w:pPr>
              <w:spacing w:after="60"/>
              <w:rPr>
                <w:noProof/>
                <w:sz w:val="22"/>
                <w:szCs w:val="22"/>
                <w:lang w:val="en-IE"/>
              </w:rPr>
            </w:pPr>
            <w:r w:rsidRPr="00013BDC">
              <w:rPr>
                <w:noProof/>
                <w:sz w:val="22"/>
                <w:szCs w:val="22"/>
                <w:lang w:val="en-IE"/>
              </w:rPr>
              <w:t>The 8th Environment Action Programme (8</w:t>
            </w:r>
            <w:r w:rsidRPr="00013BDC">
              <w:rPr>
                <w:noProof/>
                <w:sz w:val="22"/>
                <w:szCs w:val="22"/>
                <w:vertAlign w:val="superscript"/>
                <w:lang w:val="en-IE"/>
              </w:rPr>
              <w:t>th</w:t>
            </w:r>
            <w:r w:rsidRPr="00013BDC">
              <w:rPr>
                <w:noProof/>
                <w:sz w:val="22"/>
                <w:szCs w:val="22"/>
                <w:lang w:val="en-IE"/>
              </w:rPr>
              <w:t xml:space="preserve"> EAP)</w:t>
            </w:r>
            <w:r w:rsidRPr="00013BDC">
              <w:rPr>
                <w:noProof/>
                <w:sz w:val="22"/>
                <w:szCs w:val="22"/>
                <w:vertAlign w:val="superscript"/>
                <w:lang w:val="en-IE"/>
              </w:rPr>
              <w:footnoteReference w:id="76"/>
            </w:r>
          </w:p>
        </w:tc>
        <w:tc>
          <w:tcPr>
            <w:tcW w:w="6214" w:type="dxa"/>
          </w:tcPr>
          <w:p w14:paraId="5E22E36D" w14:textId="77777777" w:rsidR="00EF5F06" w:rsidRPr="00013BDC" w:rsidRDefault="00EF5F06">
            <w:pPr>
              <w:spacing w:after="60"/>
              <w:rPr>
                <w:noProof/>
                <w:sz w:val="22"/>
                <w:szCs w:val="22"/>
                <w:lang w:val="en-IE"/>
              </w:rPr>
            </w:pPr>
            <w:r w:rsidRPr="00013BDC">
              <w:rPr>
                <w:noProof/>
                <w:sz w:val="22"/>
                <w:szCs w:val="22"/>
                <w:lang w:val="en-IE"/>
              </w:rPr>
              <w:t>Speed up the transition to a climate-neutral, sustainable, non-toxic, resource-efficient, renewable energy-based, resilient and competitive circular economy to attain the EU’s 2050 vision of living within planetary boundaries.</w:t>
            </w:r>
          </w:p>
        </w:tc>
      </w:tr>
      <w:tr w:rsidR="00EF5F06" w:rsidRPr="00013BDC" w14:paraId="5984A3D3" w14:textId="77777777" w:rsidTr="00D3084C">
        <w:tc>
          <w:tcPr>
            <w:tcW w:w="2802" w:type="dxa"/>
          </w:tcPr>
          <w:p w14:paraId="54C92489" w14:textId="77777777" w:rsidR="00EF5F06" w:rsidRPr="00013BDC" w:rsidRDefault="00EF5F06">
            <w:pPr>
              <w:spacing w:after="60"/>
              <w:rPr>
                <w:noProof/>
                <w:sz w:val="22"/>
                <w:szCs w:val="22"/>
                <w:vertAlign w:val="superscript"/>
                <w:lang w:val="en-IE"/>
              </w:rPr>
            </w:pPr>
            <w:r w:rsidRPr="00013BDC">
              <w:rPr>
                <w:noProof/>
                <w:sz w:val="22"/>
                <w:szCs w:val="22"/>
                <w:lang w:val="en-IE"/>
              </w:rPr>
              <w:t>Circular Economy Action Plan (CEAP)</w:t>
            </w:r>
          </w:p>
        </w:tc>
        <w:tc>
          <w:tcPr>
            <w:tcW w:w="6214" w:type="dxa"/>
          </w:tcPr>
          <w:p w14:paraId="438B7E9A" w14:textId="77777777" w:rsidR="00EF5F06" w:rsidRPr="00013BDC" w:rsidRDefault="00EF5F06">
            <w:pPr>
              <w:spacing w:after="60"/>
              <w:rPr>
                <w:noProof/>
                <w:sz w:val="22"/>
                <w:szCs w:val="22"/>
                <w:lang w:val="en-IE"/>
              </w:rPr>
            </w:pPr>
            <w:r w:rsidRPr="00013BDC">
              <w:rPr>
                <w:noProof/>
                <w:sz w:val="22"/>
                <w:szCs w:val="22"/>
                <w:lang w:val="en-IE"/>
              </w:rPr>
              <w:t>Increase circularity of resource intensive sectors, such as textiles and food</w:t>
            </w:r>
            <w:r w:rsidRPr="00013BDC">
              <w:rPr>
                <w:rStyle w:val="FootnoteReference"/>
                <w:noProof/>
                <w:sz w:val="22"/>
                <w:szCs w:val="22"/>
                <w:lang w:val="en-IE"/>
              </w:rPr>
              <w:footnoteReference w:id="77"/>
            </w:r>
            <w:r w:rsidRPr="00013BDC">
              <w:rPr>
                <w:noProof/>
                <w:sz w:val="22"/>
                <w:szCs w:val="22"/>
                <w:lang w:val="en-IE"/>
              </w:rPr>
              <w:t xml:space="preserve"> for people, regions and cities. Prevent or reduce waste generation. Enhance the implementation of the polluter pays principle. Strengthened markets for secondary raw materials and more circularity. Reduce environmental impacts through waste management.</w:t>
            </w:r>
          </w:p>
        </w:tc>
      </w:tr>
      <w:tr w:rsidR="00EF5F06" w:rsidRPr="00013BDC" w14:paraId="1E660B57" w14:textId="77777777" w:rsidTr="00D3084C">
        <w:tc>
          <w:tcPr>
            <w:tcW w:w="2802" w:type="dxa"/>
          </w:tcPr>
          <w:p w14:paraId="508DB33D" w14:textId="77777777" w:rsidR="00EF5F06" w:rsidRPr="00013BDC" w:rsidRDefault="00EF5F06">
            <w:pPr>
              <w:spacing w:after="60"/>
              <w:rPr>
                <w:noProof/>
                <w:sz w:val="22"/>
                <w:szCs w:val="22"/>
                <w:lang w:val="en-IE"/>
              </w:rPr>
            </w:pPr>
            <w:r w:rsidRPr="00013BDC">
              <w:rPr>
                <w:noProof/>
                <w:sz w:val="22"/>
                <w:szCs w:val="22"/>
                <w:lang w:val="en-IE"/>
              </w:rPr>
              <w:t>Bioeconomy Strategy</w:t>
            </w:r>
            <w:r w:rsidRPr="00013BDC">
              <w:rPr>
                <w:rStyle w:val="FootnoteReference"/>
                <w:noProof/>
                <w:sz w:val="22"/>
                <w:szCs w:val="22"/>
                <w:lang w:val="en-IE"/>
              </w:rPr>
              <w:footnoteReference w:id="78"/>
            </w:r>
          </w:p>
        </w:tc>
        <w:tc>
          <w:tcPr>
            <w:tcW w:w="6214" w:type="dxa"/>
          </w:tcPr>
          <w:p w14:paraId="6721FFFA" w14:textId="77777777" w:rsidR="00EF5F06" w:rsidRPr="00013BDC" w:rsidRDefault="00EF5F06">
            <w:pPr>
              <w:spacing w:after="60"/>
              <w:rPr>
                <w:noProof/>
                <w:sz w:val="22"/>
                <w:szCs w:val="22"/>
                <w:lang w:val="en-IE"/>
              </w:rPr>
            </w:pPr>
            <w:r w:rsidRPr="00013BDC">
              <w:rPr>
                <w:noProof/>
                <w:sz w:val="22"/>
                <w:szCs w:val="22"/>
                <w:lang w:val="en-IE"/>
              </w:rPr>
              <w:t>It calls for actions for the reuse, reduction and recycling of waste streams of a biological nature. Principles such as the circular economy, cascading use of biomass and the waste hierarchy are at its core.</w:t>
            </w:r>
          </w:p>
        </w:tc>
      </w:tr>
      <w:tr w:rsidR="00EF5F06" w:rsidRPr="00013BDC" w14:paraId="670505F9" w14:textId="77777777" w:rsidTr="00D3084C">
        <w:tblPrEx>
          <w:tblLook w:val="04A0" w:firstRow="1" w:lastRow="0" w:firstColumn="1" w:lastColumn="0" w:noHBand="0" w:noVBand="1"/>
        </w:tblPrEx>
        <w:tc>
          <w:tcPr>
            <w:tcW w:w="2802" w:type="dxa"/>
          </w:tcPr>
          <w:p w14:paraId="4BCDC333" w14:textId="77777777" w:rsidR="00EF5F06" w:rsidRPr="00013BDC" w:rsidRDefault="00EF5F06">
            <w:pPr>
              <w:spacing w:after="60"/>
              <w:rPr>
                <w:noProof/>
                <w:sz w:val="22"/>
                <w:szCs w:val="22"/>
                <w:lang w:val="en-IE"/>
              </w:rPr>
            </w:pPr>
            <w:r w:rsidRPr="00013BDC">
              <w:rPr>
                <w:rFonts w:eastAsia="Calibri"/>
                <w:noProof/>
                <w:sz w:val="22"/>
                <w:szCs w:val="22"/>
                <w:lang w:val="en-IE"/>
              </w:rPr>
              <w:t xml:space="preserve">Ecodesign for Sustainable Products Regulation </w:t>
            </w:r>
            <w:r w:rsidRPr="00013BDC">
              <w:rPr>
                <w:rStyle w:val="normaltextrun"/>
                <w:noProof/>
                <w:color w:val="000000"/>
                <w:sz w:val="22"/>
                <w:szCs w:val="22"/>
                <w:shd w:val="clear" w:color="auto" w:fill="FFFFFF"/>
                <w:lang w:val="en-IE"/>
              </w:rPr>
              <w:t>(</w:t>
            </w:r>
            <w:r w:rsidRPr="00013BDC">
              <w:rPr>
                <w:rStyle w:val="findhit"/>
                <w:noProof/>
                <w:color w:val="000000"/>
                <w:sz w:val="22"/>
                <w:szCs w:val="22"/>
                <w:shd w:val="clear" w:color="auto" w:fill="FFFFFF"/>
                <w:lang w:val="en-IE"/>
              </w:rPr>
              <w:t>ESPR</w:t>
            </w:r>
            <w:r w:rsidRPr="00013BDC">
              <w:rPr>
                <w:rStyle w:val="normaltextrun"/>
                <w:noProof/>
                <w:color w:val="000000"/>
                <w:sz w:val="22"/>
                <w:szCs w:val="22"/>
                <w:shd w:val="clear" w:color="auto" w:fill="FFFFFF"/>
                <w:lang w:val="en-IE"/>
              </w:rPr>
              <w:t>)</w:t>
            </w:r>
            <w:r w:rsidRPr="00013BDC">
              <w:rPr>
                <w:rStyle w:val="FootnoteReference"/>
                <w:noProof/>
                <w:color w:val="000000"/>
                <w:sz w:val="22"/>
                <w:szCs w:val="22"/>
                <w:shd w:val="clear" w:color="auto" w:fill="FFFFFF"/>
                <w:lang w:val="en-IE"/>
              </w:rPr>
              <w:footnoteReference w:id="79"/>
            </w:r>
          </w:p>
        </w:tc>
        <w:tc>
          <w:tcPr>
            <w:tcW w:w="6214" w:type="dxa"/>
          </w:tcPr>
          <w:p w14:paraId="2FC65704" w14:textId="77777777" w:rsidR="00EF5F06" w:rsidRPr="00013BDC" w:rsidRDefault="00EF5F06">
            <w:pPr>
              <w:spacing w:after="60"/>
              <w:rPr>
                <w:noProof/>
                <w:sz w:val="22"/>
                <w:szCs w:val="22"/>
                <w:lang w:val="en-IE"/>
              </w:rPr>
            </w:pPr>
            <w:r w:rsidRPr="00013BDC">
              <w:rPr>
                <w:noProof/>
                <w:sz w:val="22"/>
                <w:szCs w:val="22"/>
                <w:lang w:val="en-IE"/>
              </w:rPr>
              <w:t>Make sustainable products the norm in the EU by setting minimum requirements to</w:t>
            </w:r>
            <w:r w:rsidRPr="00013BDC">
              <w:rPr>
                <w:rFonts w:eastAsia="Calibri"/>
                <w:noProof/>
                <w:sz w:val="22"/>
                <w:szCs w:val="22"/>
                <w:lang w:val="en-IE"/>
              </w:rPr>
              <w:t xml:space="preserve"> improve their circularity, energy performance,</w:t>
            </w:r>
            <w:r w:rsidRPr="00013BDC">
              <w:rPr>
                <w:noProof/>
                <w:sz w:val="22"/>
                <w:szCs w:val="22"/>
                <w:lang w:val="en-IE"/>
              </w:rPr>
              <w:t xml:space="preserve"> promote/support sustainable production and consumption models and stimulate re-use, repair and recycling.</w:t>
            </w:r>
          </w:p>
        </w:tc>
      </w:tr>
      <w:tr w:rsidR="00EF5F06" w:rsidRPr="00013BDC" w14:paraId="2A2B548F" w14:textId="77777777" w:rsidTr="00D3084C">
        <w:tc>
          <w:tcPr>
            <w:tcW w:w="2802" w:type="dxa"/>
          </w:tcPr>
          <w:p w14:paraId="46C31346" w14:textId="77777777" w:rsidR="00EF5F06" w:rsidRPr="00013BDC" w:rsidRDefault="00EF5F06">
            <w:pPr>
              <w:spacing w:after="60"/>
              <w:rPr>
                <w:noProof/>
                <w:sz w:val="22"/>
                <w:szCs w:val="22"/>
                <w:vertAlign w:val="superscript"/>
                <w:lang w:val="en-IE"/>
              </w:rPr>
            </w:pPr>
            <w:r w:rsidRPr="00013BDC">
              <w:rPr>
                <w:noProof/>
                <w:sz w:val="22"/>
                <w:szCs w:val="22"/>
                <w:lang w:val="en-IE"/>
              </w:rPr>
              <w:t>EU Strategy for Sustainable and Circular Textiles’</w:t>
            </w:r>
            <w:r w:rsidRPr="00013BDC">
              <w:rPr>
                <w:noProof/>
                <w:sz w:val="22"/>
                <w:szCs w:val="22"/>
                <w:vertAlign w:val="superscript"/>
                <w:lang w:val="en-IE"/>
              </w:rPr>
              <w:t xml:space="preserve"> </w:t>
            </w:r>
            <w:r w:rsidRPr="00013BDC">
              <w:rPr>
                <w:noProof/>
                <w:sz w:val="22"/>
                <w:szCs w:val="22"/>
                <w:lang w:val="en-IE"/>
              </w:rPr>
              <w:t>(EU Textiles Strategy)</w:t>
            </w:r>
          </w:p>
        </w:tc>
        <w:tc>
          <w:tcPr>
            <w:tcW w:w="6214" w:type="dxa"/>
          </w:tcPr>
          <w:p w14:paraId="44C73AE6" w14:textId="77777777" w:rsidR="00EF5F06" w:rsidRPr="00013BDC" w:rsidRDefault="00EF5F06">
            <w:pPr>
              <w:spacing w:after="60"/>
              <w:rPr>
                <w:noProof/>
                <w:sz w:val="22"/>
                <w:szCs w:val="22"/>
                <w:lang w:val="en-IE"/>
              </w:rPr>
            </w:pPr>
            <w:r w:rsidRPr="00013BDC">
              <w:rPr>
                <w:noProof/>
                <w:sz w:val="22"/>
                <w:szCs w:val="22"/>
                <w:lang w:val="en-IE"/>
              </w:rPr>
              <w:t>Calls for urgent action across the entire lifecycle of textile products to ensure sustainable textile products and circularity to retain textiles’ value in the economy for as long as possible and to reduce dependencies on virgin raw materials.</w:t>
            </w:r>
          </w:p>
        </w:tc>
      </w:tr>
      <w:tr w:rsidR="00EF5F06" w:rsidRPr="00013BDC" w14:paraId="29E60C6D" w14:textId="77777777" w:rsidTr="00D3084C">
        <w:trPr>
          <w:trHeight w:val="300"/>
        </w:trPr>
        <w:tc>
          <w:tcPr>
            <w:tcW w:w="2802" w:type="dxa"/>
          </w:tcPr>
          <w:p w14:paraId="5B57C4F8" w14:textId="77777777" w:rsidR="00EF5F06" w:rsidRPr="00013BDC" w:rsidRDefault="00EF5F06">
            <w:pPr>
              <w:spacing w:after="60"/>
              <w:rPr>
                <w:noProof/>
                <w:sz w:val="22"/>
                <w:szCs w:val="22"/>
                <w:lang w:val="en-IE"/>
              </w:rPr>
            </w:pPr>
            <w:r w:rsidRPr="00013BDC">
              <w:rPr>
                <w:noProof/>
                <w:sz w:val="22"/>
                <w:szCs w:val="22"/>
                <w:lang w:val="en-IE"/>
              </w:rPr>
              <w:t>Farm to Fork Strategy</w:t>
            </w:r>
          </w:p>
        </w:tc>
        <w:tc>
          <w:tcPr>
            <w:tcW w:w="6214" w:type="dxa"/>
          </w:tcPr>
          <w:p w14:paraId="512C41D3" w14:textId="77777777" w:rsidR="00EF5F06" w:rsidRPr="00013BDC" w:rsidRDefault="00EF5F06">
            <w:pPr>
              <w:spacing w:after="60"/>
              <w:rPr>
                <w:noProof/>
                <w:sz w:val="22"/>
                <w:szCs w:val="22"/>
                <w:lang w:val="en-IE"/>
              </w:rPr>
            </w:pPr>
            <w:r w:rsidRPr="00013BDC">
              <w:rPr>
                <w:noProof/>
                <w:sz w:val="22"/>
                <w:szCs w:val="22"/>
                <w:lang w:val="en-IE"/>
              </w:rPr>
              <w:t xml:space="preserve">Reduce food waste levels. Establish a baseline for food waste levels, considering new data measured by Member States and propose legally binding targets to reduce food waste across the EU by 2023. </w:t>
            </w:r>
          </w:p>
        </w:tc>
      </w:tr>
      <w:tr w:rsidR="00EF5F06" w:rsidRPr="00013BDC" w14:paraId="783E2E86" w14:textId="77777777" w:rsidTr="00D3084C">
        <w:trPr>
          <w:trHeight w:val="300"/>
        </w:trPr>
        <w:tc>
          <w:tcPr>
            <w:tcW w:w="2802" w:type="dxa"/>
          </w:tcPr>
          <w:p w14:paraId="79778417" w14:textId="77777777" w:rsidR="00EF5F06" w:rsidRPr="00013BDC" w:rsidRDefault="00EF5F06">
            <w:pPr>
              <w:spacing w:after="60"/>
              <w:rPr>
                <w:noProof/>
                <w:sz w:val="22"/>
                <w:szCs w:val="22"/>
                <w:lang w:val="en-IE"/>
              </w:rPr>
            </w:pPr>
            <w:r w:rsidRPr="00013BDC">
              <w:rPr>
                <w:noProof/>
                <w:sz w:val="22"/>
                <w:szCs w:val="22"/>
                <w:lang w:val="en-IE"/>
              </w:rPr>
              <w:t>Commission analysis of the drivers of food security</w:t>
            </w:r>
            <w:r w:rsidRPr="00013BDC">
              <w:rPr>
                <w:rStyle w:val="FootnoteReference"/>
                <w:noProof/>
                <w:sz w:val="22"/>
                <w:szCs w:val="22"/>
                <w:lang w:val="en-IE"/>
              </w:rPr>
              <w:footnoteReference w:id="80"/>
            </w:r>
          </w:p>
        </w:tc>
        <w:tc>
          <w:tcPr>
            <w:tcW w:w="6214" w:type="dxa"/>
          </w:tcPr>
          <w:p w14:paraId="79136608" w14:textId="77777777" w:rsidR="00EF5F06" w:rsidRPr="00013BDC" w:rsidRDefault="00EF5F06">
            <w:pPr>
              <w:spacing w:after="60"/>
              <w:rPr>
                <w:noProof/>
                <w:sz w:val="22"/>
                <w:szCs w:val="22"/>
                <w:lang w:val="en-IE"/>
              </w:rPr>
            </w:pPr>
            <w:r w:rsidRPr="00013BDC">
              <w:rPr>
                <w:noProof/>
                <w:sz w:val="22"/>
                <w:szCs w:val="22"/>
                <w:lang w:val="en-IE"/>
              </w:rPr>
              <w:t>Food waste is one of the main drivers affecting food security from both the supply and demand sides. Food waste reduces productivity and can reduce food availability. Moreover, reducing food waste could contribute to food price decreases, thereby potentially improving economic access to food.</w:t>
            </w:r>
          </w:p>
        </w:tc>
      </w:tr>
      <w:tr w:rsidR="00EF5F06" w:rsidRPr="00013BDC" w14:paraId="08B1F8A0" w14:textId="77777777" w:rsidTr="00D3084C">
        <w:trPr>
          <w:trHeight w:val="300"/>
        </w:trPr>
        <w:tc>
          <w:tcPr>
            <w:tcW w:w="2802" w:type="dxa"/>
          </w:tcPr>
          <w:p w14:paraId="048BC0FF" w14:textId="77777777" w:rsidR="00EF5F06" w:rsidRPr="00013BDC" w:rsidRDefault="00EF5F06">
            <w:pPr>
              <w:spacing w:after="60"/>
              <w:rPr>
                <w:noProof/>
                <w:sz w:val="22"/>
                <w:szCs w:val="22"/>
                <w:lang w:val="en-IE"/>
              </w:rPr>
            </w:pPr>
            <w:r w:rsidRPr="00013BDC">
              <w:rPr>
                <w:noProof/>
                <w:sz w:val="22"/>
                <w:szCs w:val="22"/>
                <w:lang w:val="en-IE"/>
              </w:rPr>
              <w:t>Proposal for a legislative Framework for a Union Sustainable Food System (‘FSFS’) – (planned for Q3 2023).</w:t>
            </w:r>
          </w:p>
        </w:tc>
        <w:tc>
          <w:tcPr>
            <w:tcW w:w="6214" w:type="dxa"/>
          </w:tcPr>
          <w:p w14:paraId="0077A2EC" w14:textId="77777777" w:rsidR="00EF5F06" w:rsidRPr="00013BDC" w:rsidRDefault="00EF5F06">
            <w:pPr>
              <w:spacing w:after="60"/>
              <w:rPr>
                <w:noProof/>
                <w:sz w:val="22"/>
                <w:szCs w:val="22"/>
                <w:lang w:val="en-IE"/>
              </w:rPr>
            </w:pPr>
            <w:r w:rsidRPr="00013BDC">
              <w:rPr>
                <w:noProof/>
                <w:sz w:val="22"/>
                <w:szCs w:val="22"/>
                <w:lang w:val="en-IE"/>
              </w:rPr>
              <w:t xml:space="preserve">Food waste reduction will be part and parcel of the future legislative proposal establishing a framework for a Union Sustainable Food System. There will be a cross-fertilisation between the two initiatives. For instance, when Member States implement national food waste prevention programmes to meet the set targets, they would need to take into account the general principles of FSFS where applicable and relevant. </w:t>
            </w:r>
          </w:p>
        </w:tc>
      </w:tr>
      <w:tr w:rsidR="00EF5F06" w:rsidRPr="00013BDC" w14:paraId="37005419" w14:textId="77777777" w:rsidTr="00D3084C">
        <w:trPr>
          <w:trHeight w:val="300"/>
        </w:trPr>
        <w:tc>
          <w:tcPr>
            <w:tcW w:w="2802" w:type="dxa"/>
          </w:tcPr>
          <w:p w14:paraId="2E9BD124" w14:textId="77777777" w:rsidR="00EF5F06" w:rsidRPr="00013BDC" w:rsidRDefault="00EF5F06">
            <w:pPr>
              <w:spacing w:after="60"/>
              <w:rPr>
                <w:noProof/>
                <w:sz w:val="22"/>
                <w:szCs w:val="22"/>
                <w:lang w:val="en-IE"/>
              </w:rPr>
            </w:pPr>
            <w:r w:rsidRPr="00013BDC">
              <w:rPr>
                <w:noProof/>
                <w:sz w:val="22"/>
                <w:szCs w:val="22"/>
                <w:lang w:val="en-IE"/>
              </w:rPr>
              <w:t xml:space="preserve">Food Information to Consumers - revision of EU rules on date marking </w:t>
            </w:r>
          </w:p>
        </w:tc>
        <w:tc>
          <w:tcPr>
            <w:tcW w:w="6214" w:type="dxa"/>
          </w:tcPr>
          <w:p w14:paraId="2AB32E34" w14:textId="77777777" w:rsidR="00EF5F06" w:rsidRPr="00013BDC" w:rsidRDefault="00EF5F06">
            <w:pPr>
              <w:spacing w:after="60"/>
              <w:rPr>
                <w:noProof/>
                <w:sz w:val="22"/>
                <w:szCs w:val="22"/>
                <w:lang w:val="en-IE"/>
              </w:rPr>
            </w:pPr>
            <w:r w:rsidRPr="00013BDC">
              <w:rPr>
                <w:noProof/>
                <w:sz w:val="22"/>
                <w:szCs w:val="22"/>
                <w:lang w:val="en-IE"/>
              </w:rPr>
              <w:t>Clarify wording of ‘use by’ and ‘best before’ dates in order to prevent food waste linked to the misunderstanding and/or misuse of these dates.</w:t>
            </w:r>
          </w:p>
        </w:tc>
      </w:tr>
      <w:tr w:rsidR="00EF5F06" w:rsidRPr="00013BDC" w14:paraId="584EEF5F" w14:textId="77777777" w:rsidTr="00D3084C">
        <w:tc>
          <w:tcPr>
            <w:tcW w:w="2802" w:type="dxa"/>
          </w:tcPr>
          <w:p w14:paraId="22A7250E" w14:textId="77777777" w:rsidR="00EF5F06" w:rsidRPr="00013BDC" w:rsidRDefault="00EF5F06">
            <w:pPr>
              <w:spacing w:after="60"/>
              <w:rPr>
                <w:noProof/>
                <w:sz w:val="22"/>
                <w:szCs w:val="22"/>
                <w:lang w:val="en-IE"/>
              </w:rPr>
            </w:pPr>
            <w:r w:rsidRPr="00013BDC">
              <w:rPr>
                <w:noProof/>
                <w:sz w:val="22"/>
                <w:szCs w:val="22"/>
                <w:lang w:val="en-IE"/>
              </w:rPr>
              <w:t>REPowerEU</w:t>
            </w:r>
            <w:r w:rsidRPr="00013BDC">
              <w:rPr>
                <w:rStyle w:val="FootnoteReference"/>
                <w:noProof/>
                <w:sz w:val="22"/>
                <w:szCs w:val="22"/>
                <w:lang w:val="en-IE"/>
              </w:rPr>
              <w:footnoteReference w:id="81"/>
            </w:r>
          </w:p>
        </w:tc>
        <w:tc>
          <w:tcPr>
            <w:tcW w:w="6214" w:type="dxa"/>
          </w:tcPr>
          <w:p w14:paraId="01453D57" w14:textId="77777777" w:rsidR="00EF5F06" w:rsidRPr="00013BDC" w:rsidRDefault="00EF5F06">
            <w:pPr>
              <w:spacing w:after="60"/>
              <w:rPr>
                <w:noProof/>
                <w:sz w:val="22"/>
                <w:szCs w:val="22"/>
                <w:lang w:val="en-IE"/>
              </w:rPr>
            </w:pPr>
            <w:r w:rsidRPr="00013BDC">
              <w:rPr>
                <w:noProof/>
                <w:sz w:val="22"/>
                <w:szCs w:val="22"/>
                <w:lang w:val="en-IE"/>
              </w:rPr>
              <w:t>Increasing production from 3,5 (2021) to 35 (2030) bcm of biomethane from sustainably sourced feedstock, including food waste, to strengthen security of energy supply and reduce dependence on imported Russian natural gas. While food waste reduction is not expected to contribute to this target, indirect effects (e.g., freeing land for non-food uses) may have limited impact.</w:t>
            </w:r>
          </w:p>
        </w:tc>
      </w:tr>
      <w:tr w:rsidR="00EF5F06" w:rsidRPr="00013BDC" w14:paraId="6D75C75D" w14:textId="77777777" w:rsidTr="00D3084C">
        <w:tc>
          <w:tcPr>
            <w:tcW w:w="2802" w:type="dxa"/>
          </w:tcPr>
          <w:p w14:paraId="6741F543" w14:textId="77777777" w:rsidR="00EF5F06" w:rsidRPr="00013BDC" w:rsidRDefault="00EF5F06">
            <w:pPr>
              <w:spacing w:after="60"/>
              <w:rPr>
                <w:noProof/>
                <w:sz w:val="22"/>
                <w:szCs w:val="22"/>
                <w:lang w:val="en-IE"/>
              </w:rPr>
            </w:pPr>
            <w:r w:rsidRPr="00013BDC">
              <w:rPr>
                <w:noProof/>
                <w:sz w:val="22"/>
                <w:szCs w:val="22"/>
                <w:lang w:val="en-IE"/>
              </w:rPr>
              <w:t>Social Economy Action Plan</w:t>
            </w:r>
            <w:r w:rsidRPr="00013BDC">
              <w:rPr>
                <w:rStyle w:val="FootnoteReference"/>
                <w:noProof/>
                <w:sz w:val="22"/>
                <w:szCs w:val="22"/>
                <w:lang w:val="en-IE"/>
              </w:rPr>
              <w:footnoteReference w:id="82"/>
            </w:r>
          </w:p>
        </w:tc>
        <w:tc>
          <w:tcPr>
            <w:tcW w:w="6214" w:type="dxa"/>
          </w:tcPr>
          <w:p w14:paraId="686B0A44" w14:textId="77777777" w:rsidR="00EF5F06" w:rsidRPr="00013BDC" w:rsidRDefault="00EF5F06">
            <w:pPr>
              <w:spacing w:after="60"/>
              <w:rPr>
                <w:noProof/>
                <w:sz w:val="22"/>
                <w:szCs w:val="22"/>
                <w:lang w:val="en-IE"/>
              </w:rPr>
            </w:pPr>
            <w:r w:rsidRPr="00013BDC">
              <w:rPr>
                <w:noProof/>
                <w:sz w:val="22"/>
                <w:szCs w:val="22"/>
                <w:lang w:val="en-IE"/>
              </w:rPr>
              <w:t>Sets waste management rules to provide opportunities for social enterprises and circular business models.</w:t>
            </w:r>
          </w:p>
        </w:tc>
      </w:tr>
      <w:tr w:rsidR="00EF5F06" w:rsidRPr="00013BDC" w14:paraId="3F8F5AE8" w14:textId="77777777" w:rsidTr="00D3084C">
        <w:tblPrEx>
          <w:tblLook w:val="04A0" w:firstRow="1" w:lastRow="0" w:firstColumn="1" w:lastColumn="0" w:noHBand="0" w:noVBand="1"/>
        </w:tblPrEx>
        <w:tc>
          <w:tcPr>
            <w:tcW w:w="2802" w:type="dxa"/>
          </w:tcPr>
          <w:p w14:paraId="5A6E33DE" w14:textId="77777777" w:rsidR="00EF5F06" w:rsidRPr="00013BDC" w:rsidRDefault="00EF5F06">
            <w:pPr>
              <w:spacing w:after="60"/>
              <w:rPr>
                <w:noProof/>
                <w:sz w:val="22"/>
                <w:szCs w:val="22"/>
                <w:lang w:val="en-IE"/>
              </w:rPr>
            </w:pPr>
            <w:r w:rsidRPr="00013BDC">
              <w:rPr>
                <w:noProof/>
                <w:sz w:val="22"/>
                <w:szCs w:val="22"/>
                <w:lang w:val="en-IE"/>
              </w:rPr>
              <w:t>Chemicals Strategy for Sustainability</w:t>
            </w:r>
            <w:r w:rsidRPr="00013BDC">
              <w:rPr>
                <w:rStyle w:val="FootnoteReference"/>
                <w:noProof/>
                <w:sz w:val="22"/>
                <w:szCs w:val="22"/>
                <w:lang w:val="en-IE"/>
              </w:rPr>
              <w:footnoteReference w:id="83"/>
            </w:r>
          </w:p>
        </w:tc>
        <w:tc>
          <w:tcPr>
            <w:tcW w:w="6214" w:type="dxa"/>
          </w:tcPr>
          <w:p w14:paraId="50C8B9DE" w14:textId="77777777" w:rsidR="00EF5F06" w:rsidRPr="00013BDC" w:rsidRDefault="00EF5F06">
            <w:pPr>
              <w:spacing w:after="60"/>
              <w:rPr>
                <w:noProof/>
                <w:sz w:val="22"/>
                <w:szCs w:val="22"/>
                <w:lang w:val="en-IE"/>
              </w:rPr>
            </w:pPr>
            <w:r w:rsidRPr="00013BDC">
              <w:rPr>
                <w:noProof/>
                <w:sz w:val="22"/>
                <w:szCs w:val="22"/>
                <w:lang w:val="en-IE"/>
              </w:rPr>
              <w:t xml:space="preserve">Protect citizens and the environment from harmful chemicals, ensuring all chemicals are used more safely and sustainably and prioritising innovation for substituting substances of concern across sectors, such as textiles, construction materials, etc. </w:t>
            </w:r>
          </w:p>
        </w:tc>
      </w:tr>
      <w:tr w:rsidR="00EF5F06" w:rsidRPr="00013BDC" w14:paraId="25420C5B" w14:textId="77777777" w:rsidTr="00D3084C">
        <w:tc>
          <w:tcPr>
            <w:tcW w:w="2802" w:type="dxa"/>
          </w:tcPr>
          <w:p w14:paraId="799F4747" w14:textId="77777777" w:rsidR="00EF5F06" w:rsidRPr="00013BDC" w:rsidRDefault="00EF5F06">
            <w:pPr>
              <w:spacing w:after="60"/>
              <w:rPr>
                <w:noProof/>
                <w:sz w:val="22"/>
                <w:szCs w:val="22"/>
                <w:lang w:val="en-IE"/>
              </w:rPr>
            </w:pPr>
            <w:r w:rsidRPr="00013BDC">
              <w:rPr>
                <w:noProof/>
                <w:sz w:val="22"/>
                <w:szCs w:val="22"/>
                <w:lang w:val="en-IE"/>
              </w:rPr>
              <w:t>Zero pollution</w:t>
            </w:r>
          </w:p>
        </w:tc>
        <w:tc>
          <w:tcPr>
            <w:tcW w:w="6214" w:type="dxa"/>
          </w:tcPr>
          <w:p w14:paraId="6E7E5631" w14:textId="77777777" w:rsidR="00EF5F06" w:rsidRPr="00013BDC" w:rsidRDefault="00EF5F06">
            <w:pPr>
              <w:spacing w:after="60"/>
              <w:rPr>
                <w:noProof/>
                <w:sz w:val="22"/>
                <w:szCs w:val="22"/>
                <w:lang w:val="en-IE"/>
              </w:rPr>
            </w:pPr>
            <w:r w:rsidRPr="00013BDC">
              <w:rPr>
                <w:noProof/>
                <w:sz w:val="22"/>
                <w:szCs w:val="22"/>
                <w:lang w:val="en-IE"/>
              </w:rPr>
              <w:t>Mandate that waste is managed without endangering human health and harming the environment.</w:t>
            </w:r>
          </w:p>
          <w:p w14:paraId="7FBD891D" w14:textId="77777777" w:rsidR="00EF5F06" w:rsidRPr="00013BDC" w:rsidRDefault="00EF5F06">
            <w:pPr>
              <w:spacing w:after="60"/>
              <w:rPr>
                <w:noProof/>
                <w:sz w:val="22"/>
                <w:szCs w:val="22"/>
                <w:lang w:val="en-IE"/>
              </w:rPr>
            </w:pPr>
            <w:r w:rsidRPr="00013BDC">
              <w:rPr>
                <w:noProof/>
                <w:sz w:val="22"/>
                <w:szCs w:val="22"/>
                <w:lang w:val="en-IE"/>
              </w:rPr>
              <w:t>Promote waste hierarchy to reduce pollution.</w:t>
            </w:r>
          </w:p>
        </w:tc>
      </w:tr>
    </w:tbl>
    <w:p w14:paraId="1AB8343F" w14:textId="3369EF55" w:rsidR="00902EC2" w:rsidRPr="00013BDC" w:rsidRDefault="00E907B5" w:rsidP="00D3084C">
      <w:pPr>
        <w:pStyle w:val="ListParagraph"/>
        <w:numPr>
          <w:ilvl w:val="0"/>
          <w:numId w:val="9"/>
        </w:numPr>
        <w:spacing w:before="120"/>
        <w:rPr>
          <w:rFonts w:eastAsia="Times New Roman"/>
          <w:noProof/>
          <w:color w:val="000000" w:themeColor="text1"/>
          <w:lang w:val="en-IE"/>
        </w:rPr>
      </w:pPr>
      <w:r w:rsidRPr="00013BDC">
        <w:rPr>
          <w:rFonts w:eastAsia="Times New Roman"/>
          <w:noProof/>
          <w:lang w:val="en-IE"/>
        </w:rPr>
        <w:t>The EU Textiles Strategy</w:t>
      </w:r>
      <w:r w:rsidRPr="00013BDC">
        <w:rPr>
          <w:rFonts w:eastAsia="Times New Roman"/>
          <w:noProof/>
          <w:color w:val="000000" w:themeColor="text1"/>
          <w:lang w:val="en-IE"/>
        </w:rPr>
        <w:t xml:space="preserve"> </w:t>
      </w:r>
      <w:r w:rsidR="00902EC2" w:rsidRPr="00013BDC">
        <w:rPr>
          <w:rFonts w:eastAsia="Times New Roman"/>
          <w:noProof/>
          <w:color w:val="000000" w:themeColor="text1"/>
          <w:lang w:val="en-IE"/>
        </w:rPr>
        <w:t>addresses the production and consumption of textiles, whilst recognising the importance of the textiles sector. It presents the Commission's 2030 Vision for Textiles. Particularly relevant for waste management is that it announced harmonised EU rules on extended producer responsibility for textiles, and economic incentives to make products more sustainable (“eco-modulation of fees”). Furthermore, it highlighted the Commission’s aim to address the challenges related to halting the export of textile waste.</w:t>
      </w:r>
      <w:r w:rsidR="00BC0612" w:rsidRPr="00013BDC">
        <w:rPr>
          <w:rFonts w:eastAsia="Times New Roman"/>
          <w:noProof/>
          <w:color w:val="000000" w:themeColor="text1"/>
          <w:lang w:val="en-IE"/>
        </w:rPr>
        <w:t xml:space="preserve"> In alignment with the Strategy, Measure 2.</w:t>
      </w:r>
      <w:r w:rsidR="539FABD9" w:rsidRPr="00013BDC">
        <w:rPr>
          <w:rFonts w:eastAsia="Times New Roman"/>
          <w:noProof/>
          <w:color w:val="000000" w:themeColor="text1"/>
          <w:lang w:val="en-IE"/>
        </w:rPr>
        <w:t>9</w:t>
      </w:r>
      <w:r w:rsidR="00BC0612" w:rsidRPr="00013BDC">
        <w:rPr>
          <w:rFonts w:eastAsia="Times New Roman"/>
          <w:noProof/>
          <w:color w:val="000000" w:themeColor="text1"/>
          <w:lang w:val="en-IE"/>
        </w:rPr>
        <w:t xml:space="preserve"> presented in this assessment addresses extended producer responsibility for textiles.</w:t>
      </w:r>
    </w:p>
    <w:p w14:paraId="27B9188C" w14:textId="212220AF" w:rsidR="00902EC2" w:rsidRPr="00013BDC" w:rsidRDefault="00902EC2" w:rsidP="00410D9F">
      <w:pPr>
        <w:pStyle w:val="ListParagraph"/>
        <w:numPr>
          <w:ilvl w:val="0"/>
          <w:numId w:val="9"/>
        </w:numPr>
        <w:rPr>
          <w:rFonts w:eastAsia="Times New Roman"/>
          <w:noProof/>
          <w:color w:val="000000" w:themeColor="text1"/>
          <w:lang w:val="en-IE"/>
        </w:rPr>
      </w:pPr>
      <w:r w:rsidRPr="00013BDC">
        <w:rPr>
          <w:rFonts w:eastAsia="Times New Roman"/>
          <w:noProof/>
          <w:color w:val="000000" w:themeColor="text1"/>
          <w:lang w:val="en-IE"/>
        </w:rPr>
        <w:t>The revision of the PPWD will aim to reduce waste generation of packaging waste. Together this initiative and the PPWD initiative will tackle over 65% of all municipal waste generated (packaging, food waste and textile waste) therefore contributing to the overarching objective of the WFD and the EGD/CEAP policy objectives of minimising waste.</w:t>
      </w:r>
      <w:r w:rsidR="00650BAD" w:rsidRPr="00013BDC">
        <w:rPr>
          <w:rFonts w:eastAsia="Times New Roman"/>
          <w:noProof/>
          <w:color w:val="000000" w:themeColor="text1"/>
          <w:lang w:val="en-IE"/>
        </w:rPr>
        <w:t xml:space="preserve"> Textile waste packaging is specifically excluded from this assessment so as to eliminate any possible incoherence.</w:t>
      </w:r>
    </w:p>
    <w:p w14:paraId="02EF8D87" w14:textId="2CD0CAE4" w:rsidR="00902EC2" w:rsidRPr="00013BDC" w:rsidRDefault="00902EC2" w:rsidP="00410D9F">
      <w:pPr>
        <w:pStyle w:val="ListParagraph"/>
        <w:numPr>
          <w:ilvl w:val="0"/>
          <w:numId w:val="9"/>
        </w:numPr>
        <w:rPr>
          <w:rFonts w:eastAsia="Times New Roman"/>
          <w:noProof/>
          <w:color w:val="000000" w:themeColor="text1"/>
          <w:lang w:val="en-IE"/>
        </w:rPr>
      </w:pPr>
      <w:r w:rsidRPr="00013BDC">
        <w:rPr>
          <w:rFonts w:eastAsia="Times New Roman"/>
          <w:noProof/>
          <w:color w:val="000000" w:themeColor="text1"/>
          <w:lang w:val="en-IE"/>
        </w:rPr>
        <w:t xml:space="preserve">The </w:t>
      </w:r>
      <w:r w:rsidR="00CC3EC0" w:rsidRPr="00013BDC">
        <w:rPr>
          <w:rFonts w:eastAsia="Times New Roman"/>
          <w:noProof/>
          <w:color w:val="000000" w:themeColor="text1"/>
          <w:lang w:val="en-IE"/>
        </w:rPr>
        <w:t xml:space="preserve">Commission proposal for the </w:t>
      </w:r>
      <w:r w:rsidRPr="00013BDC">
        <w:rPr>
          <w:noProof/>
          <w:color w:val="000000" w:themeColor="text1"/>
          <w:lang w:val="en-IE"/>
        </w:rPr>
        <w:t xml:space="preserve">Waste Shipments </w:t>
      </w:r>
      <w:r w:rsidR="00CC3EC0" w:rsidRPr="00013BDC">
        <w:rPr>
          <w:noProof/>
          <w:color w:val="000000" w:themeColor="text1"/>
          <w:lang w:val="en-IE"/>
        </w:rPr>
        <w:t xml:space="preserve">Regulation </w:t>
      </w:r>
      <w:r w:rsidRPr="00013BDC">
        <w:rPr>
          <w:rFonts w:eastAsia="Times New Roman"/>
          <w:noProof/>
          <w:color w:val="000000" w:themeColor="text1"/>
          <w:lang w:val="en-IE"/>
        </w:rPr>
        <w:t>was proposed on 17 November 2021. It aims to ensure that the EU does not export its waste challenges to third countries and to facilitate shipments for recycling, while discouraging shipments to disposal. Measures include criteria to better distinguish between mixed and non-mixed waste, as well as between used vs waste goods, that may be established for textiles. Also</w:t>
      </w:r>
      <w:r w:rsidR="00415C81" w:rsidRPr="00013BDC">
        <w:rPr>
          <w:rFonts w:eastAsia="Times New Roman"/>
          <w:noProof/>
          <w:color w:val="000000" w:themeColor="text1"/>
          <w:lang w:val="en-IE"/>
        </w:rPr>
        <w:t>,</w:t>
      </w:r>
      <w:r w:rsidRPr="00013BDC">
        <w:rPr>
          <w:rFonts w:eastAsia="Times New Roman"/>
          <w:noProof/>
          <w:color w:val="000000" w:themeColor="text1"/>
          <w:lang w:val="en-IE"/>
        </w:rPr>
        <w:t xml:space="preserve"> a stricter export regime to non-OECD third countries is proposed, as well as an obligation to audit the performance of recovery facilities in third countries. Finally, measures are proposed to step up the efforts on enforcement of the waste shipment rules, including for textile waste.</w:t>
      </w:r>
      <w:r w:rsidR="00E558C1" w:rsidRPr="00013BDC">
        <w:rPr>
          <w:rFonts w:eastAsia="Times New Roman"/>
          <w:noProof/>
          <w:color w:val="000000" w:themeColor="text1"/>
          <w:lang w:val="en-IE"/>
        </w:rPr>
        <w:t xml:space="preserve"> The impacts of the WSR proposal are factored into the assessment performed. Furthermore, the measures that address shipments of materials (measures 2.6 and 2.9) distinguish textiles that are for reuse and no longer waste (and, therefore, not subject to the WSR) and those that are waste for which the measures in the proposal are referred to directly.</w:t>
      </w:r>
    </w:p>
    <w:p w14:paraId="3B151F47" w14:textId="34ECB163" w:rsidR="00902EC2" w:rsidRPr="00013BDC" w:rsidRDefault="00902EC2" w:rsidP="00410D9F">
      <w:pPr>
        <w:pStyle w:val="ListParagraph"/>
        <w:numPr>
          <w:ilvl w:val="0"/>
          <w:numId w:val="9"/>
        </w:numPr>
        <w:rPr>
          <w:rFonts w:eastAsia="Times New Roman"/>
          <w:noProof/>
          <w:color w:val="000000" w:themeColor="text1"/>
          <w:lang w:val="en-IE"/>
        </w:rPr>
      </w:pPr>
      <w:r w:rsidRPr="00013BDC">
        <w:rPr>
          <w:rFonts w:eastAsia="Times New Roman"/>
          <w:noProof/>
          <w:color w:val="000000" w:themeColor="text1"/>
          <w:lang w:val="en-IE"/>
        </w:rPr>
        <w:t>The proposal for a Regulation on a Single Market for Digital Services (Digital Services Act) aims at improving consumer protection and their fundamental rights online and to ensure transparency and accountability of online platforms. The new rules foster innovation, growth and competitiveness, and facilitate the scaling up of smaller platforms, SMEs and start-ups. The responsibilities of users, platforms, and public authorities are rebalanced according to European values, placing citizens at the centre.</w:t>
      </w:r>
      <w:r w:rsidR="00F44242" w:rsidRPr="00013BDC">
        <w:rPr>
          <w:rFonts w:eastAsia="Times New Roman"/>
          <w:noProof/>
          <w:color w:val="000000" w:themeColor="text1"/>
          <w:lang w:val="en-IE"/>
        </w:rPr>
        <w:t xml:space="preserve"> Specifically in relation to measure 2.</w:t>
      </w:r>
      <w:r w:rsidR="6FECC3C1" w:rsidRPr="00013BDC">
        <w:rPr>
          <w:rFonts w:eastAsia="Times New Roman"/>
          <w:noProof/>
          <w:color w:val="000000" w:themeColor="text1"/>
          <w:lang w:val="en-IE"/>
        </w:rPr>
        <w:t>9</w:t>
      </w:r>
      <w:r w:rsidR="00F44242" w:rsidRPr="00013BDC">
        <w:rPr>
          <w:rFonts w:eastAsia="Times New Roman"/>
          <w:noProof/>
          <w:color w:val="000000" w:themeColor="text1"/>
          <w:lang w:val="en-IE"/>
        </w:rPr>
        <w:t xml:space="preserve"> on extended producer responsibility the impacts and measures foreseen under the Digital Services Act are explicitly referred to.</w:t>
      </w:r>
    </w:p>
    <w:p w14:paraId="345DB938" w14:textId="72B4BFDD" w:rsidR="00902EC2" w:rsidRPr="00013BDC" w:rsidRDefault="00902EC2" w:rsidP="00410D9F">
      <w:pPr>
        <w:pStyle w:val="ListParagraph"/>
        <w:numPr>
          <w:ilvl w:val="0"/>
          <w:numId w:val="9"/>
        </w:numPr>
        <w:rPr>
          <w:rFonts w:eastAsia="Times New Roman"/>
          <w:noProof/>
          <w:color w:val="000000" w:themeColor="text1"/>
          <w:lang w:val="en-IE"/>
        </w:rPr>
      </w:pPr>
      <w:r w:rsidRPr="00013BDC">
        <w:rPr>
          <w:rFonts w:eastAsiaTheme="minorEastAsia"/>
          <w:noProof/>
          <w:color w:val="000000" w:themeColor="text1"/>
          <w:lang w:val="en-IE"/>
        </w:rPr>
        <w:t>The General Product Safety Directive mandates the producer to place only safe products on the market. While this legislation does not cover EPR compliance, this obligation is consistent with the current requirements under the waste legislation to take back products already used or their waste under the EPR. Indeed, both legal instruments require the relevant actors to organise collection and treatment of the product.</w:t>
      </w:r>
    </w:p>
    <w:p w14:paraId="0A975C55" w14:textId="54EDC9AA" w:rsidR="00902EC2" w:rsidRPr="00013BDC" w:rsidRDefault="54498EB1" w:rsidP="00410D9F">
      <w:pPr>
        <w:pStyle w:val="ListParagraph"/>
        <w:numPr>
          <w:ilvl w:val="0"/>
          <w:numId w:val="9"/>
        </w:numPr>
        <w:rPr>
          <w:rFonts w:eastAsia="Times New Roman"/>
          <w:noProof/>
          <w:color w:val="000000" w:themeColor="text1"/>
          <w:lang w:val="en-IE"/>
        </w:rPr>
      </w:pPr>
      <w:r w:rsidRPr="00013BDC">
        <w:rPr>
          <w:rFonts w:eastAsiaTheme="minorEastAsia"/>
          <w:noProof/>
          <w:color w:val="000000" w:themeColor="text1"/>
          <w:lang w:val="en-IE"/>
        </w:rPr>
        <w:t>The Commission proposal to review the Industrial Emissions Directive</w:t>
      </w:r>
      <w:r w:rsidR="00902EC2" w:rsidRPr="00013BDC">
        <w:rPr>
          <w:rFonts w:eastAsiaTheme="minorEastAsia"/>
          <w:noProof/>
          <w:color w:val="000000" w:themeColor="text1"/>
          <w:vertAlign w:val="superscript"/>
          <w:lang w:val="en-IE"/>
        </w:rPr>
        <w:footnoteReference w:id="84"/>
      </w:r>
      <w:r w:rsidRPr="00013BDC">
        <w:rPr>
          <w:rFonts w:eastAsiaTheme="minorEastAsia"/>
          <w:noProof/>
          <w:color w:val="000000" w:themeColor="text1"/>
          <w:lang w:val="en-IE"/>
        </w:rPr>
        <w:t xml:space="preserve"> increases the focus on the circular performance of industrial installations in terms of requirements on resource efficiency and waste prevention. Furthermore, under this proposal operators are required to have an environmental management system in place, addressing the management and substitution of hazardous chemicals and, from 2030, would require the inclusion of a transformation plan towards a clean, circular and climate neutral industry. </w:t>
      </w:r>
    </w:p>
    <w:p w14:paraId="6FF4871F" w14:textId="522A051B" w:rsidR="00902EC2" w:rsidRPr="00013BDC" w:rsidRDefault="00902EC2" w:rsidP="00410D9F">
      <w:pPr>
        <w:pStyle w:val="ListParagraph"/>
        <w:numPr>
          <w:ilvl w:val="0"/>
          <w:numId w:val="9"/>
        </w:numPr>
        <w:rPr>
          <w:rFonts w:eastAsia="Times New Roman"/>
          <w:noProof/>
          <w:lang w:val="en-IE"/>
        </w:rPr>
      </w:pPr>
      <w:r w:rsidRPr="00013BDC">
        <w:rPr>
          <w:rFonts w:eastAsia="Times New Roman"/>
          <w:noProof/>
          <w:lang w:val="en-IE"/>
        </w:rPr>
        <w:t>The Commission adopted a</w:t>
      </w:r>
      <w:r w:rsidR="00082644" w:rsidRPr="00013BDC">
        <w:rPr>
          <w:rFonts w:eastAsia="Times New Roman"/>
          <w:noProof/>
          <w:lang w:val="en-IE"/>
        </w:rPr>
        <w:t xml:space="preserve"> proposal for a directive on</w:t>
      </w:r>
      <w:r w:rsidR="00840FD2" w:rsidRPr="00013BDC">
        <w:rPr>
          <w:rFonts w:eastAsia="Times New Roman"/>
          <w:noProof/>
          <w:lang w:val="en-IE"/>
        </w:rPr>
        <w:t xml:space="preserve"> sustainability due diligence</w:t>
      </w:r>
      <w:r w:rsidR="00013F21" w:rsidRPr="00013BDC">
        <w:rPr>
          <w:rStyle w:val="FootnoteReference"/>
          <w:rFonts w:eastAsia="Times New Roman"/>
          <w:noProof/>
          <w:lang w:val="en-IE"/>
        </w:rPr>
        <w:footnoteReference w:id="85"/>
      </w:r>
      <w:r w:rsidR="00082644" w:rsidRPr="00013BDC">
        <w:rPr>
          <w:rFonts w:eastAsia="Times New Roman"/>
          <w:noProof/>
          <w:lang w:val="en-IE"/>
        </w:rPr>
        <w:t xml:space="preserve"> </w:t>
      </w:r>
      <w:r w:rsidRPr="00013BDC">
        <w:rPr>
          <w:rFonts w:eastAsia="Times New Roman"/>
          <w:noProof/>
          <w:lang w:val="en-IE"/>
        </w:rPr>
        <w:t xml:space="preserve">aimed at supporting EU companies’ sustainability transition. It introduces a horizontal framework requiring businesses across all sectors of the economy to respect human rights and the environment in their own operations, their subsidiaries and through their value chains. The due diligence duty is aligned with internationally recognised human rights and labour standards as well as international environmental commitments. The proposal covers large companies based in EU but also non-EU companies generating a significant turnover on the EU market and excludes SMEs. The textiles sector is identified as one of the high impact sectors. The Commission may issue guidance on the topic as additional support to companies. </w:t>
      </w:r>
    </w:p>
    <w:p w14:paraId="12F0A5AD" w14:textId="64FE0C74" w:rsidR="00902EC2" w:rsidRPr="00013BDC" w:rsidRDefault="54498EB1" w:rsidP="00410D9F">
      <w:pPr>
        <w:pStyle w:val="ListParagraph"/>
        <w:numPr>
          <w:ilvl w:val="0"/>
          <w:numId w:val="9"/>
        </w:numPr>
        <w:rPr>
          <w:rFonts w:eastAsia="Times New Roman"/>
          <w:noProof/>
          <w:lang w:val="en-IE"/>
        </w:rPr>
      </w:pPr>
      <w:r w:rsidRPr="00013BDC">
        <w:rPr>
          <w:rFonts w:eastAsia="Times New Roman"/>
          <w:noProof/>
          <w:lang w:val="en-IE"/>
        </w:rPr>
        <w:t>The Zero Pollution Action Plan</w:t>
      </w:r>
      <w:r w:rsidR="00902EC2" w:rsidRPr="00013BDC">
        <w:rPr>
          <w:rFonts w:eastAsia="Times New Roman"/>
          <w:noProof/>
          <w:vertAlign w:val="superscript"/>
          <w:lang w:val="en-IE"/>
        </w:rPr>
        <w:footnoteReference w:id="86"/>
      </w:r>
      <w:r w:rsidRPr="00013BDC">
        <w:rPr>
          <w:rFonts w:eastAsia="Times New Roman"/>
          <w:noProof/>
          <w:lang w:val="en-IE"/>
        </w:rPr>
        <w:t xml:space="preserve"> (ZPAP) provides a compass for including pollution prevention in all relevant EU policies, maximising synergies in an effective and proportionate way, stepping up implementation and identifying possible gaps or trade-offs. It also provides a vision according to which by 2050, air, water and soil pollution is reduced to levels no longer considered harmful to health and natural ecosystems and that respect the boundaries our planet can cope with. As also reflected in the CEAP, the ZPAP addresses the ambition for a more environmentally friendly production and consumption where waste generation and pollution are minimised, also as regards impacts beyond EU borders. The ZPAP includes targets for 2030 for preventing and better managing waste, calling for significant reductions in waste generation and halving the amount of residual municipal waste generated in the EU. </w:t>
      </w:r>
    </w:p>
    <w:p w14:paraId="5B4744EC" w14:textId="0D9E4E6F" w:rsidR="00902EC2" w:rsidRPr="00013BDC" w:rsidRDefault="54498EB1" w:rsidP="00410D9F">
      <w:pPr>
        <w:pStyle w:val="ListParagraph"/>
        <w:numPr>
          <w:ilvl w:val="0"/>
          <w:numId w:val="9"/>
        </w:numPr>
        <w:rPr>
          <w:noProof/>
          <w:lang w:val="en-IE"/>
        </w:rPr>
      </w:pPr>
      <w:r w:rsidRPr="00013BDC">
        <w:rPr>
          <w:rFonts w:eastAsia="Times New Roman"/>
          <w:noProof/>
          <w:lang w:val="en-IE"/>
        </w:rPr>
        <w:t>The Chemicals Strategy for Sustainability</w:t>
      </w:r>
      <w:r w:rsidR="00B05E5E" w:rsidRPr="00013BDC">
        <w:rPr>
          <w:rStyle w:val="FootnoteReference"/>
          <w:rFonts w:eastAsia="Times New Roman"/>
          <w:noProof/>
          <w:lang w:val="en-IE"/>
        </w:rPr>
        <w:footnoteReference w:id="87"/>
      </w:r>
      <w:r w:rsidRPr="00013BDC">
        <w:rPr>
          <w:rFonts w:eastAsia="Times New Roman"/>
          <w:noProof/>
          <w:lang w:val="en-IE"/>
        </w:rPr>
        <w:t xml:space="preserve"> states that in order to move towards toxic-free material cycles and clean recycling it is necessary to ensure that substances of concern in products and recycled materials are minimized and that, as a principle, the same limit values for hazardous substances should apply to both virgin and recycled materials</w:t>
      </w:r>
      <w:r w:rsidR="4B640A1D" w:rsidRPr="00013BDC">
        <w:rPr>
          <w:rFonts w:eastAsia="Times New Roman"/>
          <w:noProof/>
          <w:lang w:val="en-IE"/>
        </w:rPr>
        <w:t>, except</w:t>
      </w:r>
      <w:r w:rsidR="68D75DFF" w:rsidRPr="00013BDC">
        <w:rPr>
          <w:rFonts w:eastAsia="Times New Roman"/>
          <w:noProof/>
          <w:lang w:val="en-IE"/>
        </w:rPr>
        <w:t xml:space="preserve"> </w:t>
      </w:r>
      <w:r w:rsidR="4FFA7793" w:rsidRPr="00013BDC">
        <w:rPr>
          <w:rFonts w:eastAsia="Times New Roman"/>
          <w:noProof/>
          <w:lang w:val="en-IE"/>
        </w:rPr>
        <w:t>in exceptional circu</w:t>
      </w:r>
      <w:r w:rsidR="2ED28AC1" w:rsidRPr="00013BDC">
        <w:rPr>
          <w:rFonts w:eastAsia="Times New Roman"/>
          <w:noProof/>
          <w:lang w:val="en-IE"/>
        </w:rPr>
        <w:t>m</w:t>
      </w:r>
      <w:r w:rsidR="4FFA7793" w:rsidRPr="00013BDC">
        <w:rPr>
          <w:rFonts w:eastAsia="Times New Roman"/>
          <w:noProof/>
          <w:lang w:val="en-IE"/>
        </w:rPr>
        <w:t>stances</w:t>
      </w:r>
      <w:r w:rsidR="1C038A87" w:rsidRPr="00013BDC">
        <w:rPr>
          <w:rFonts w:eastAsia="Times New Roman"/>
          <w:noProof/>
          <w:lang w:val="en-IE"/>
        </w:rPr>
        <w:t xml:space="preserve">, subject to case-by-case analysis, </w:t>
      </w:r>
      <w:r w:rsidR="4FFA7793" w:rsidRPr="00013BDC">
        <w:rPr>
          <w:rFonts w:eastAsia="Times New Roman"/>
          <w:noProof/>
          <w:lang w:val="en-IE"/>
        </w:rPr>
        <w:t>where derogation from this principle may be necessary</w:t>
      </w:r>
      <w:r w:rsidR="54C70B5E" w:rsidRPr="00013BDC">
        <w:rPr>
          <w:rFonts w:eastAsia="Times New Roman"/>
          <w:noProof/>
          <w:lang w:val="en-IE"/>
        </w:rPr>
        <w:t xml:space="preserve"> and under the condition </w:t>
      </w:r>
      <w:r w:rsidR="4E9AC4C2" w:rsidRPr="00013BDC">
        <w:rPr>
          <w:rFonts w:eastAsia="Times New Roman"/>
          <w:noProof/>
          <w:lang w:val="en-IE"/>
        </w:rPr>
        <w:t>that the use of the recycled material is limited to clearly defined applications and there are no negative impacts to human health and the environment</w:t>
      </w:r>
      <w:r w:rsidR="4FFA7793" w:rsidRPr="00013BDC">
        <w:rPr>
          <w:rFonts w:eastAsia="Times New Roman"/>
          <w:noProof/>
          <w:lang w:val="en-IE"/>
        </w:rPr>
        <w:t xml:space="preserve">. </w:t>
      </w:r>
      <w:r w:rsidRPr="00013BDC">
        <w:rPr>
          <w:rFonts w:eastAsia="Times New Roman"/>
          <w:noProof/>
          <w:lang w:val="en-IE"/>
        </w:rPr>
        <w:t xml:space="preserve">The REACH Regulation is the overarching chemicals legislation in the EU and provides the means to ensure the safe use of chemicals. </w:t>
      </w:r>
    </w:p>
    <w:p w14:paraId="2BD4F621" w14:textId="4FAE95FE" w:rsidR="00902EC2" w:rsidRPr="00013BDC" w:rsidRDefault="54498EB1" w:rsidP="00410D9F">
      <w:pPr>
        <w:pStyle w:val="ListParagraph"/>
        <w:numPr>
          <w:ilvl w:val="0"/>
          <w:numId w:val="9"/>
        </w:numPr>
        <w:rPr>
          <w:noProof/>
          <w:lang w:val="en-IE"/>
        </w:rPr>
      </w:pPr>
      <w:r w:rsidRPr="00013BDC">
        <w:rPr>
          <w:noProof/>
          <w:lang w:val="en-IE"/>
        </w:rPr>
        <w:t xml:space="preserve">The </w:t>
      </w:r>
      <w:r w:rsidR="00E42DEC" w:rsidRPr="00013BDC">
        <w:rPr>
          <w:noProof/>
          <w:lang w:val="en-IE"/>
        </w:rPr>
        <w:t>e</w:t>
      </w:r>
      <w:r w:rsidRPr="00013BDC">
        <w:rPr>
          <w:noProof/>
          <w:lang w:val="en-IE"/>
        </w:rPr>
        <w:t>codesign for Sustainable Products Regulation (ESPR)</w:t>
      </w:r>
      <w:r w:rsidR="00902EC2" w:rsidRPr="00013BDC">
        <w:rPr>
          <w:rStyle w:val="FootnoteReference"/>
          <w:noProof/>
          <w:lang w:val="en-IE"/>
        </w:rPr>
        <w:footnoteReference w:id="88"/>
      </w:r>
      <w:r w:rsidRPr="00013BDC">
        <w:rPr>
          <w:noProof/>
          <w:lang w:val="en-IE"/>
        </w:rPr>
        <w:t xml:space="preserve"> sets a framework to set ecodesign requirements for specific product groups to significantly improve their circularity, energy performance and other environmental sustainability aspects. Ecodesign requirements can be of key importance for waste prevention and high-quality recycling, as they can improve product durability, reparability, recyclability and recycled content. The development of such requirements can also serve as a basis for the setting of harmonized financial contributions to Extended Producer Responsibility Schemes. Ecodesign requirements for textiles are expected to be in place by 2025 or 2026.</w:t>
      </w:r>
      <w:r w:rsidR="103486FB" w:rsidRPr="00013BDC">
        <w:rPr>
          <w:noProof/>
          <w:lang w:val="en-IE"/>
        </w:rPr>
        <w:t xml:space="preserve"> In addition to the introduction of ecodesign requirements, ESPR introduces measures to counter the destruction of unsold consumer products. Firs</w:t>
      </w:r>
      <w:r w:rsidR="076C3994" w:rsidRPr="00013BDC">
        <w:rPr>
          <w:noProof/>
          <w:lang w:val="en-IE"/>
        </w:rPr>
        <w:t xml:space="preserve">tly, it introduces a requirement for large enterprises to publicly disclose information on the number and types of unsold consumer products they discard. This </w:t>
      </w:r>
      <w:r w:rsidR="60CA6DB6" w:rsidRPr="00013BDC">
        <w:rPr>
          <w:noProof/>
          <w:lang w:val="en-IE"/>
        </w:rPr>
        <w:t xml:space="preserve">measure </w:t>
      </w:r>
      <w:r w:rsidR="076C3994" w:rsidRPr="00013BDC">
        <w:rPr>
          <w:noProof/>
          <w:lang w:val="en-IE"/>
        </w:rPr>
        <w:t>is intende</w:t>
      </w:r>
      <w:r w:rsidR="3956259C" w:rsidRPr="00013BDC">
        <w:rPr>
          <w:noProof/>
          <w:lang w:val="en-IE"/>
        </w:rPr>
        <w:t xml:space="preserve">d </w:t>
      </w:r>
      <w:r w:rsidR="5AEA6436" w:rsidRPr="00013BDC">
        <w:rPr>
          <w:noProof/>
          <w:lang w:val="en-IE"/>
        </w:rPr>
        <w:t>to function as a reputational dis-incentive for this practice while it is also envisaged to create an improved evidence base on the extent to which the des</w:t>
      </w:r>
      <w:r w:rsidR="002F0517" w:rsidRPr="00013BDC">
        <w:rPr>
          <w:noProof/>
          <w:lang w:val="en-IE"/>
        </w:rPr>
        <w:t>t</w:t>
      </w:r>
      <w:r w:rsidR="5AEA6436" w:rsidRPr="00013BDC">
        <w:rPr>
          <w:noProof/>
          <w:lang w:val="en-IE"/>
        </w:rPr>
        <w:t>ruction</w:t>
      </w:r>
      <w:r w:rsidR="1AF50679" w:rsidRPr="00013BDC">
        <w:rPr>
          <w:noProof/>
          <w:lang w:val="en-IE"/>
        </w:rPr>
        <w:t xml:space="preserve"> of unsold consumer products takes place. Secondly, ESPR includes an empowerment to adopt delegated acts prohibiting the destruction of specific grou</w:t>
      </w:r>
      <w:r w:rsidR="45567EE7" w:rsidRPr="00013BDC">
        <w:rPr>
          <w:noProof/>
          <w:lang w:val="en-IE"/>
        </w:rPr>
        <w:t xml:space="preserve">ps of unsold consumer products, such as textiles, taking into account the information from the general disclosure obligation. </w:t>
      </w:r>
    </w:p>
    <w:p w14:paraId="44A06120" w14:textId="6F9974FC" w:rsidR="007C3712" w:rsidRPr="00013BDC" w:rsidRDefault="38DD6467" w:rsidP="00410D9F">
      <w:pPr>
        <w:pStyle w:val="ListParagraph"/>
        <w:numPr>
          <w:ilvl w:val="0"/>
          <w:numId w:val="9"/>
        </w:numPr>
        <w:rPr>
          <w:noProof/>
          <w:color w:val="000000" w:themeColor="text1"/>
          <w:lang w:val="en-IE"/>
        </w:rPr>
      </w:pPr>
      <w:r w:rsidRPr="00013BDC">
        <w:rPr>
          <w:rFonts w:eastAsia="Times New Roman"/>
          <w:noProof/>
          <w:color w:val="000000" w:themeColor="text1"/>
          <w:lang w:val="en-IE"/>
        </w:rPr>
        <w:t xml:space="preserve">The recently adopted </w:t>
      </w:r>
      <w:hyperlink r:id="rId87">
        <w:r w:rsidRPr="00013BDC">
          <w:rPr>
            <w:rStyle w:val="Hyperlink"/>
            <w:rFonts w:eastAsia="Times New Roman"/>
            <w:noProof/>
            <w:lang w:val="en-IE"/>
          </w:rPr>
          <w:t>Proposal for a Directive on empowering consumers for the green transition and annex | European Commission (europa.eu)</w:t>
        </w:r>
      </w:hyperlink>
      <w:r w:rsidRPr="00013BDC">
        <w:rPr>
          <w:rFonts w:eastAsia="Times New Roman"/>
          <w:noProof/>
          <w:color w:val="000000" w:themeColor="text1"/>
          <w:lang w:val="en-IE"/>
        </w:rPr>
        <w:t xml:space="preserve"> will be complemented with the upcoming legislative proposal to substantiate Green claims, which sets minimum requirements on substantiation and communication of voluntary green claims on products and organisations. This proposal incentivises the use of Product Environmental Footprint methods (add reference) as the method will be compliant with the rules on minimum criteria for substantiation of claims). </w:t>
      </w:r>
      <w:r w:rsidR="000F410A" w:rsidRPr="00013BDC">
        <w:rPr>
          <w:rFonts w:eastAsia="Times New Roman"/>
          <w:noProof/>
          <w:color w:val="000000" w:themeColor="text1"/>
          <w:lang w:val="en-IE"/>
        </w:rPr>
        <w:t>This</w:t>
      </w:r>
      <w:r w:rsidR="006C4411" w:rsidRPr="00013BDC">
        <w:rPr>
          <w:rFonts w:eastAsia="Times New Roman"/>
          <w:noProof/>
          <w:color w:val="000000" w:themeColor="text1"/>
          <w:lang w:val="en-IE"/>
        </w:rPr>
        <w:t xml:space="preserve"> is</w:t>
      </w:r>
      <w:r w:rsidRPr="00013BDC">
        <w:rPr>
          <w:rFonts w:eastAsia="Times New Roman"/>
          <w:noProof/>
          <w:color w:val="000000" w:themeColor="text1"/>
          <w:lang w:val="en-IE"/>
        </w:rPr>
        <w:t xml:space="preserve"> relevant for textiles, because the industry (supported by the Commission) is finalising PEF category rules for apparel and footwear (planned by end of 2023). </w:t>
      </w:r>
      <w:r w:rsidR="00CC3EC0" w:rsidRPr="00013BDC">
        <w:rPr>
          <w:rFonts w:eastAsia="Times New Roman"/>
          <w:noProof/>
          <w:color w:val="000000" w:themeColor="text1"/>
          <w:lang w:val="en-IE"/>
        </w:rPr>
        <w:t>T</w:t>
      </w:r>
      <w:r w:rsidRPr="00013BDC">
        <w:rPr>
          <w:rFonts w:eastAsia="Times New Roman"/>
          <w:noProof/>
          <w:color w:val="000000" w:themeColor="text1"/>
          <w:lang w:val="en-IE"/>
        </w:rPr>
        <w:t xml:space="preserve">hese rules will standardise the measurements of impacts of apparel and footwear, allowing for a comparison of products. The rules can feed into other policy developments in the field of textiles. For instance, in the preparation of the Delegated act for the ESPR and in the context of the revision of </w:t>
      </w:r>
      <w:r w:rsidR="009510F9" w:rsidRPr="00013BDC">
        <w:rPr>
          <w:rFonts w:eastAsia="Times New Roman"/>
          <w:noProof/>
          <w:color w:val="000000" w:themeColor="text1"/>
          <w:lang w:val="en-IE"/>
        </w:rPr>
        <w:t>Regulation (EU) No 1007/2011</w:t>
      </w:r>
      <w:r w:rsidR="000971F0" w:rsidRPr="00013BDC">
        <w:rPr>
          <w:rStyle w:val="FootnoteReference"/>
          <w:rFonts w:eastAsia="Times New Roman"/>
          <w:noProof/>
          <w:color w:val="000000" w:themeColor="text1"/>
          <w:lang w:val="en-IE"/>
        </w:rPr>
        <w:footnoteReference w:id="89"/>
      </w:r>
      <w:r w:rsidR="009510F9" w:rsidRPr="00013BDC">
        <w:rPr>
          <w:rFonts w:eastAsia="Times New Roman"/>
          <w:noProof/>
          <w:color w:val="000000" w:themeColor="text1"/>
          <w:lang w:val="en-IE"/>
        </w:rPr>
        <w:t xml:space="preserve"> (</w:t>
      </w:r>
      <w:r w:rsidR="003726E9" w:rsidRPr="00013BDC">
        <w:rPr>
          <w:rStyle w:val="normaltextrun"/>
          <w:noProof/>
          <w:color w:val="000000" w:themeColor="text1"/>
          <w:shd w:val="clear" w:color="auto" w:fill="FFFFFF"/>
          <w:lang w:val="en-IE"/>
        </w:rPr>
        <w:t>Textiles Labelling Regulation</w:t>
      </w:r>
      <w:r w:rsidR="009510F9" w:rsidRPr="00013BDC">
        <w:rPr>
          <w:rStyle w:val="normaltextrun"/>
          <w:noProof/>
          <w:color w:val="000000" w:themeColor="text1"/>
          <w:lang w:val="en-IE"/>
        </w:rPr>
        <w:t>)</w:t>
      </w:r>
      <w:r w:rsidRPr="00013BDC">
        <w:rPr>
          <w:rFonts w:eastAsia="Times New Roman"/>
          <w:noProof/>
          <w:color w:val="000000" w:themeColor="text1"/>
          <w:lang w:val="en-IE"/>
        </w:rPr>
        <w:t xml:space="preserve">. The proposal also indicates that the Commission will monitor the evolution on the substantiation of claims so that following a review it can decide to change/reinforce the use of PEF.  </w:t>
      </w:r>
    </w:p>
    <w:p w14:paraId="069758A5" w14:textId="327CCBB9" w:rsidR="1015A469" w:rsidRPr="00013BDC" w:rsidRDefault="75900E8F" w:rsidP="00410D9F">
      <w:pPr>
        <w:pStyle w:val="ListParagraph"/>
        <w:numPr>
          <w:ilvl w:val="0"/>
          <w:numId w:val="9"/>
        </w:numPr>
        <w:rPr>
          <w:rFonts w:eastAsia="Calibri"/>
          <w:noProof/>
          <w:color w:val="000000" w:themeColor="text1"/>
          <w:lang w:val="en-IE"/>
        </w:rPr>
      </w:pPr>
      <w:r w:rsidRPr="00013BDC">
        <w:rPr>
          <w:rFonts w:eastAsia="Calibri"/>
          <w:noProof/>
          <w:lang w:val="en-IE"/>
        </w:rPr>
        <w:t xml:space="preserve">The Commission is finalising an initiative to reduce the release of microplastics on the environment, including textiles. </w:t>
      </w:r>
      <w:r w:rsidR="000F410A" w:rsidRPr="00013BDC">
        <w:rPr>
          <w:rFonts w:eastAsia="Calibri"/>
          <w:noProof/>
          <w:lang w:val="en-IE"/>
        </w:rPr>
        <w:t>T</w:t>
      </w:r>
      <w:r w:rsidRPr="00013BDC">
        <w:rPr>
          <w:rFonts w:eastAsia="Calibri"/>
          <w:noProof/>
          <w:lang w:val="en-IE"/>
        </w:rPr>
        <w:t xml:space="preserve">he preparatory work of the initiative has shown that there is a need to develop a </w:t>
      </w:r>
      <w:r w:rsidRPr="00013BDC">
        <w:rPr>
          <w:rFonts w:eastAsia="Calibri"/>
          <w:noProof/>
          <w:color w:val="000000" w:themeColor="text1"/>
          <w:lang w:val="en-IE"/>
        </w:rPr>
        <w:t xml:space="preserve">standardised methodology to quantify microplastics releases from textiles. </w:t>
      </w:r>
      <w:r w:rsidR="000F410A" w:rsidRPr="00013BDC">
        <w:rPr>
          <w:rFonts w:eastAsia="Calibri"/>
          <w:noProof/>
          <w:color w:val="000000" w:themeColor="text1"/>
          <w:lang w:val="en-IE"/>
        </w:rPr>
        <w:t>T</w:t>
      </w:r>
      <w:r w:rsidRPr="00013BDC">
        <w:rPr>
          <w:rFonts w:eastAsia="Calibri"/>
          <w:noProof/>
          <w:color w:val="000000" w:themeColor="text1"/>
          <w:lang w:val="en-IE"/>
        </w:rPr>
        <w:t>his standar</w:t>
      </w:r>
      <w:r w:rsidR="001417A4" w:rsidRPr="00013BDC">
        <w:rPr>
          <w:rFonts w:eastAsia="Calibri"/>
          <w:noProof/>
          <w:color w:val="000000" w:themeColor="text1"/>
          <w:lang w:val="en-IE"/>
        </w:rPr>
        <w:t>d</w:t>
      </w:r>
      <w:r w:rsidRPr="00013BDC">
        <w:rPr>
          <w:rFonts w:eastAsia="Calibri"/>
          <w:noProof/>
          <w:color w:val="000000" w:themeColor="text1"/>
          <w:lang w:val="en-IE"/>
        </w:rPr>
        <w:t xml:space="preserve">ised methodology would allow </w:t>
      </w:r>
      <w:r w:rsidR="00E50047" w:rsidRPr="00013BDC">
        <w:rPr>
          <w:rFonts w:eastAsia="Calibri"/>
          <w:noProof/>
          <w:color w:val="000000" w:themeColor="text1"/>
          <w:lang w:val="en-IE"/>
        </w:rPr>
        <w:t>to</w:t>
      </w:r>
      <w:r w:rsidRPr="00013BDC">
        <w:rPr>
          <w:rFonts w:eastAsia="Calibri"/>
          <w:noProof/>
          <w:color w:val="000000" w:themeColor="text1"/>
          <w:lang w:val="en-IE"/>
        </w:rPr>
        <w:t xml:space="preserve"> introduce ecodesig</w:t>
      </w:r>
      <w:r w:rsidR="00030C08" w:rsidRPr="00013BDC">
        <w:rPr>
          <w:rFonts w:eastAsia="Calibri"/>
          <w:noProof/>
          <w:color w:val="000000" w:themeColor="text1"/>
          <w:lang w:val="en-IE"/>
        </w:rPr>
        <w:t>n</w:t>
      </w:r>
      <w:r w:rsidRPr="00013BDC">
        <w:rPr>
          <w:rFonts w:eastAsia="Calibri"/>
          <w:noProof/>
          <w:color w:val="000000" w:themeColor="text1"/>
          <w:lang w:val="en-IE"/>
        </w:rPr>
        <w:t xml:space="preserve"> requirements in the context of the upcoming delegated act of the ESPR and could be used to include microplastic releases as part of the modulation of fees in the</w:t>
      </w:r>
      <w:r w:rsidR="00E50047" w:rsidRPr="00013BDC">
        <w:rPr>
          <w:noProof/>
          <w:color w:val="000000" w:themeColor="text1"/>
          <w:shd w:val="clear" w:color="auto" w:fill="E6E6E6"/>
          <w:lang w:val="en-IE"/>
        </w:rPr>
        <w:t xml:space="preserve"> </w:t>
      </w:r>
      <w:r w:rsidRPr="00013BDC">
        <w:rPr>
          <w:rFonts w:eastAsia="Calibri"/>
          <w:noProof/>
          <w:color w:val="000000" w:themeColor="text1"/>
          <w:lang w:val="en-IE"/>
        </w:rPr>
        <w:t xml:space="preserve">Extended Producer Responsibility Scheme </w:t>
      </w:r>
      <w:r w:rsidR="00E50047" w:rsidRPr="00013BDC">
        <w:rPr>
          <w:rFonts w:eastAsia="Calibri"/>
          <w:noProof/>
          <w:color w:val="000000" w:themeColor="text1"/>
          <w:lang w:val="en-IE"/>
        </w:rPr>
        <w:t>proposed</w:t>
      </w:r>
      <w:r w:rsidRPr="00013BDC">
        <w:rPr>
          <w:rFonts w:eastAsia="Calibri"/>
          <w:noProof/>
          <w:color w:val="000000" w:themeColor="text1"/>
          <w:lang w:val="en-IE"/>
        </w:rPr>
        <w:t xml:space="preserve"> in this </w:t>
      </w:r>
      <w:r w:rsidR="00E50047" w:rsidRPr="00013BDC">
        <w:rPr>
          <w:rFonts w:eastAsia="Calibri"/>
          <w:noProof/>
          <w:color w:val="000000" w:themeColor="text1"/>
          <w:lang w:val="en-IE"/>
        </w:rPr>
        <w:t>impact assessment</w:t>
      </w:r>
      <w:r w:rsidRPr="00013BDC">
        <w:rPr>
          <w:rFonts w:eastAsia="Calibri"/>
          <w:noProof/>
          <w:color w:val="000000" w:themeColor="text1"/>
          <w:lang w:val="en-IE"/>
        </w:rPr>
        <w:t>.</w:t>
      </w:r>
      <w:r w:rsidR="00E50047" w:rsidRPr="00013BDC">
        <w:rPr>
          <w:rFonts w:eastAsia="Calibri"/>
          <w:noProof/>
          <w:color w:val="000000" w:themeColor="text1"/>
          <w:lang w:val="en-IE"/>
        </w:rPr>
        <w:t xml:space="preserve"> </w:t>
      </w:r>
    </w:p>
    <w:p w14:paraId="29076BEB" w14:textId="0FF4DC77" w:rsidR="00902EC2" w:rsidRPr="00013BDC" w:rsidRDefault="54498EB1" w:rsidP="00410D9F">
      <w:pPr>
        <w:pStyle w:val="ListParagraph"/>
        <w:numPr>
          <w:ilvl w:val="0"/>
          <w:numId w:val="9"/>
        </w:numPr>
        <w:rPr>
          <w:noProof/>
          <w:lang w:val="en-IE"/>
        </w:rPr>
      </w:pPr>
      <w:r w:rsidRPr="00013BDC">
        <w:rPr>
          <w:noProof/>
          <w:lang w:val="en-IE"/>
        </w:rPr>
        <w:t>The Social Economy Action Plan</w:t>
      </w:r>
      <w:r w:rsidR="00902EC2" w:rsidRPr="00013BDC">
        <w:rPr>
          <w:rStyle w:val="FootnoteReference"/>
          <w:noProof/>
          <w:lang w:val="en-IE"/>
        </w:rPr>
        <w:footnoteReference w:id="90"/>
      </w:r>
      <w:r w:rsidRPr="00013BDC">
        <w:rPr>
          <w:noProof/>
          <w:lang w:val="en-IE"/>
        </w:rPr>
        <w:t xml:space="preserve"> aims to raise the social economy</w:t>
      </w:r>
      <w:r w:rsidR="00CC3EC0" w:rsidRPr="00013BDC">
        <w:rPr>
          <w:noProof/>
          <w:lang w:val="en-IE"/>
        </w:rPr>
        <w:t>’</w:t>
      </w:r>
      <w:r w:rsidRPr="00013BDC">
        <w:rPr>
          <w:noProof/>
          <w:lang w:val="en-IE"/>
        </w:rPr>
        <w:t>s visibility and create an environment that enables the social economy to thrive and grow. These organisations create and retain quality jobs and contribute to social and labour market inclusion. They drive sustainable economic development, promote the active participation of citizens, and play an important role in Europe</w:t>
      </w:r>
      <w:r w:rsidR="00CC3EC0" w:rsidRPr="00013BDC">
        <w:rPr>
          <w:noProof/>
          <w:lang w:val="en-IE"/>
        </w:rPr>
        <w:t>’</w:t>
      </w:r>
      <w:r w:rsidRPr="00013BDC">
        <w:rPr>
          <w:noProof/>
          <w:lang w:val="en-IE"/>
        </w:rPr>
        <w:t>s welfare systems.</w:t>
      </w:r>
    </w:p>
    <w:p w14:paraId="10467183" w14:textId="46C919AA" w:rsidR="00F7331A" w:rsidRPr="00013BDC" w:rsidRDefault="00F7331A" w:rsidP="1F760E78">
      <w:pPr>
        <w:spacing w:after="120"/>
        <w:rPr>
          <w:noProof/>
          <w:lang w:val="en-IE"/>
        </w:rPr>
      </w:pPr>
      <w:r w:rsidRPr="00013BDC">
        <w:rPr>
          <w:noProof/>
          <w:lang w:val="en-IE"/>
        </w:rPr>
        <w:t xml:space="preserve">As regards </w:t>
      </w:r>
      <w:r w:rsidR="00595C04" w:rsidRPr="00013BDC">
        <w:rPr>
          <w:noProof/>
          <w:lang w:val="en-IE"/>
        </w:rPr>
        <w:t>implementation of</w:t>
      </w:r>
      <w:r w:rsidRPr="00013BDC">
        <w:rPr>
          <w:noProof/>
          <w:lang w:val="en-IE"/>
        </w:rPr>
        <w:t xml:space="preserve"> the ESPR framework, Delegated Acts will be developed for product groups and horizontal measures following a dedicated Working Plan. In preparation of such Working Plan, </w:t>
      </w:r>
      <w:r w:rsidR="001A2C21" w:rsidRPr="00013BDC">
        <w:rPr>
          <w:noProof/>
          <w:lang w:val="en-IE"/>
        </w:rPr>
        <w:t>a</w:t>
      </w:r>
      <w:r w:rsidRPr="00013BDC">
        <w:rPr>
          <w:noProof/>
          <w:lang w:val="en-IE"/>
        </w:rPr>
        <w:t xml:space="preserve"> JRC Report</w:t>
      </w:r>
      <w:r w:rsidR="001A2C21" w:rsidRPr="00013BDC">
        <w:rPr>
          <w:rStyle w:val="FootnoteReference"/>
          <w:noProof/>
          <w:lang w:val="en-IE"/>
        </w:rPr>
        <w:footnoteReference w:id="91"/>
      </w:r>
      <w:r w:rsidRPr="00013BDC">
        <w:rPr>
          <w:noProof/>
          <w:lang w:val="en-IE"/>
        </w:rPr>
        <w:t xml:space="preserve"> is providing a preliminary proposal of product groups and horizontal measures that should be considered as a priority for the ESPR framework. The product groups and horizontal measures identified in the Report should be considered in addition to the ones already identified in the Ecodesign and Energy Labelling Working Plan 2022-2024. </w:t>
      </w:r>
    </w:p>
    <w:p w14:paraId="457D226C" w14:textId="77777777" w:rsidR="00056273" w:rsidRPr="00013BDC" w:rsidRDefault="00056273" w:rsidP="00056273">
      <w:pPr>
        <w:spacing w:after="120"/>
        <w:rPr>
          <w:noProof/>
          <w:lang w:val="en-IE"/>
        </w:rPr>
      </w:pPr>
      <w:r w:rsidRPr="00013BDC">
        <w:rPr>
          <w:noProof/>
          <w:lang w:val="en-IE"/>
        </w:rPr>
        <w:t>Textiles have been</w:t>
      </w:r>
      <w:r w:rsidR="005B3ABE" w:rsidRPr="00013BDC">
        <w:rPr>
          <w:noProof/>
          <w:lang w:val="en-IE"/>
        </w:rPr>
        <w:t xml:space="preserve"> confirmed as a priority product following the stakeholder consultation</w:t>
      </w:r>
      <w:r w:rsidR="0021037E" w:rsidRPr="00013BDC">
        <w:rPr>
          <w:rStyle w:val="FootnoteReference"/>
          <w:noProof/>
          <w:lang w:val="en-IE"/>
        </w:rPr>
        <w:footnoteReference w:id="92"/>
      </w:r>
      <w:r w:rsidR="005B3ABE" w:rsidRPr="00013BDC">
        <w:rPr>
          <w:noProof/>
          <w:lang w:val="en-IE"/>
        </w:rPr>
        <w:t xml:space="preserve">, </w:t>
      </w:r>
      <w:r w:rsidRPr="00013BDC">
        <w:rPr>
          <w:noProof/>
          <w:lang w:val="en-IE"/>
        </w:rPr>
        <w:t>and the technical work supporting the Delegated Act on textiles under the</w:t>
      </w:r>
      <w:r w:rsidR="005B3ABE" w:rsidRPr="00013BDC">
        <w:rPr>
          <w:noProof/>
          <w:lang w:val="en-IE"/>
        </w:rPr>
        <w:t xml:space="preserve"> ESPR </w:t>
      </w:r>
      <w:r w:rsidRPr="00013BDC">
        <w:rPr>
          <w:noProof/>
          <w:lang w:val="en-IE"/>
        </w:rPr>
        <w:t xml:space="preserve">is underway. It is estimated that the Delegated Act would be adopted in 2024/25 which coincides broadly with the possible adoption and entry into force of the Waste Framework Directive rules on Extended Producer Responsibility considered in this assessment. Therefore, full alignment is possible both at the policy development and implementation stage. Full alignment between the two legislations in terms of scope and standards (e.g. on the design factors and measurement tools) is a top priority for the Commission. In practice, it is important to ensure that fee modulation under EPR is fully consistent with the ESPR sustainability criteria and their measurement standards. This will provide the clearest policy signal and prevent unnecessary administrative burdens. This approach is also strongly supported by the textiles industry. </w:t>
      </w:r>
    </w:p>
    <w:p w14:paraId="25B0101D" w14:textId="0A74447E" w:rsidR="005B3ABE" w:rsidRPr="00013BDC" w:rsidRDefault="005B3ABE" w:rsidP="00200A1B">
      <w:pPr>
        <w:spacing w:after="120"/>
        <w:rPr>
          <w:noProof/>
          <w:lang w:val="en-IE"/>
        </w:rPr>
      </w:pPr>
      <w:r w:rsidRPr="00013BDC">
        <w:rPr>
          <w:noProof/>
          <w:lang w:val="en-IE"/>
        </w:rPr>
        <w:t xml:space="preserve">The nature of that ESPR legislation would be determined following an Impact Assessment in line with the Commission’s Better Regulation Guidelines, and hence it is too early to specify its nature. However, it would have a clear impact on textiles and would be complementary to the </w:t>
      </w:r>
      <w:r w:rsidR="00E50047" w:rsidRPr="00013BDC">
        <w:rPr>
          <w:noProof/>
          <w:lang w:val="en-IE"/>
        </w:rPr>
        <w:t>WFD</w:t>
      </w:r>
      <w:r w:rsidRPr="00013BDC">
        <w:rPr>
          <w:noProof/>
          <w:lang w:val="en-IE"/>
        </w:rPr>
        <w:t xml:space="preserve"> revision</w:t>
      </w:r>
      <w:r w:rsidR="00686B96" w:rsidRPr="00013BDC">
        <w:rPr>
          <w:noProof/>
          <w:lang w:val="en-IE"/>
        </w:rPr>
        <w:t>. F</w:t>
      </w:r>
      <w:r w:rsidRPr="00013BDC">
        <w:rPr>
          <w:noProof/>
          <w:lang w:val="en-IE"/>
        </w:rPr>
        <w:t>or example, it could:</w:t>
      </w:r>
    </w:p>
    <w:p w14:paraId="6E66DF88" w14:textId="31FF8937" w:rsidR="005B3ABE" w:rsidRPr="00013BDC" w:rsidRDefault="005B3ABE" w:rsidP="00CF0DFB">
      <w:pPr>
        <w:pStyle w:val="ListParagraph"/>
        <w:numPr>
          <w:ilvl w:val="0"/>
          <w:numId w:val="112"/>
        </w:numPr>
        <w:spacing w:after="0"/>
        <w:rPr>
          <w:noProof/>
          <w:lang w:val="en-IE"/>
        </w:rPr>
      </w:pPr>
      <w:r w:rsidRPr="00013BDC">
        <w:rPr>
          <w:noProof/>
          <w:lang w:val="en-IE"/>
        </w:rPr>
        <w:t xml:space="preserve">Reduce the amount of textiles waste by improving </w:t>
      </w:r>
      <w:r w:rsidR="2282ED5F" w:rsidRPr="00013BDC">
        <w:rPr>
          <w:noProof/>
          <w:lang w:val="en-IE"/>
        </w:rPr>
        <w:t xml:space="preserve">durability and </w:t>
      </w:r>
      <w:r w:rsidRPr="00013BDC">
        <w:rPr>
          <w:noProof/>
          <w:lang w:val="en-IE"/>
        </w:rPr>
        <w:t>repairability</w:t>
      </w:r>
      <w:r w:rsidR="00686B96" w:rsidRPr="00013BDC">
        <w:rPr>
          <w:noProof/>
          <w:lang w:val="en-IE"/>
        </w:rPr>
        <w:t>,</w:t>
      </w:r>
    </w:p>
    <w:p w14:paraId="7B9A4AAE" w14:textId="353DC462" w:rsidR="005B3ABE" w:rsidRPr="00013BDC" w:rsidRDefault="005B3ABE" w:rsidP="00CF0DFB">
      <w:pPr>
        <w:pStyle w:val="ListParagraph"/>
        <w:numPr>
          <w:ilvl w:val="0"/>
          <w:numId w:val="112"/>
        </w:numPr>
        <w:spacing w:after="0"/>
        <w:rPr>
          <w:noProof/>
          <w:lang w:val="en-IE"/>
        </w:rPr>
      </w:pPr>
      <w:r w:rsidRPr="00013BDC">
        <w:rPr>
          <w:noProof/>
          <w:lang w:val="en-IE"/>
        </w:rPr>
        <w:t>Improve the recyclability of textiles waste</w:t>
      </w:r>
      <w:r w:rsidR="365D40E8" w:rsidRPr="00013BDC">
        <w:rPr>
          <w:noProof/>
          <w:lang w:val="en-IE"/>
        </w:rPr>
        <w:t xml:space="preserve"> and increase recycled content</w:t>
      </w:r>
      <w:r w:rsidR="00686B96" w:rsidRPr="00013BDC">
        <w:rPr>
          <w:noProof/>
          <w:lang w:val="en-IE"/>
        </w:rPr>
        <w:t>,</w:t>
      </w:r>
    </w:p>
    <w:p w14:paraId="692FF32A" w14:textId="0E8619F8" w:rsidR="005B3ABE" w:rsidRPr="00013BDC" w:rsidRDefault="005B3ABE" w:rsidP="00CF0DFB">
      <w:pPr>
        <w:pStyle w:val="ListParagraph"/>
        <w:numPr>
          <w:ilvl w:val="0"/>
          <w:numId w:val="112"/>
        </w:numPr>
        <w:spacing w:after="120"/>
        <w:rPr>
          <w:noProof/>
          <w:lang w:val="en-IE"/>
        </w:rPr>
      </w:pPr>
      <w:r w:rsidRPr="00013BDC">
        <w:rPr>
          <w:noProof/>
          <w:lang w:val="en-IE"/>
        </w:rPr>
        <w:t>Identify characteristics that could be used for EPR fee modulation</w:t>
      </w:r>
      <w:r w:rsidR="00686B96" w:rsidRPr="00013BDC">
        <w:rPr>
          <w:noProof/>
          <w:lang w:val="en-IE"/>
        </w:rPr>
        <w:t>.</w:t>
      </w:r>
    </w:p>
    <w:p w14:paraId="4DEAA0FA" w14:textId="6A377183" w:rsidR="00F7331A" w:rsidRPr="00013BDC" w:rsidRDefault="005B3ABE" w:rsidP="00200A1B">
      <w:pPr>
        <w:spacing w:after="120"/>
        <w:rPr>
          <w:noProof/>
          <w:lang w:val="en-IE"/>
        </w:rPr>
      </w:pPr>
      <w:r w:rsidRPr="00013BDC">
        <w:rPr>
          <w:noProof/>
          <w:lang w:val="en-IE"/>
        </w:rPr>
        <w:t xml:space="preserve">This would </w:t>
      </w:r>
      <w:r w:rsidR="000F7773" w:rsidRPr="00013BDC">
        <w:rPr>
          <w:noProof/>
          <w:lang w:val="en-IE"/>
        </w:rPr>
        <w:t xml:space="preserve">complement </w:t>
      </w:r>
      <w:r w:rsidRPr="00013BDC">
        <w:rPr>
          <w:noProof/>
          <w:lang w:val="en-IE"/>
        </w:rPr>
        <w:t>the separate collection requirements that come into force in 2025, ensuring that textile waste once collecte</w:t>
      </w:r>
      <w:r w:rsidR="00F7331A" w:rsidRPr="00013BDC">
        <w:rPr>
          <w:noProof/>
          <w:lang w:val="en-IE"/>
        </w:rPr>
        <w:t xml:space="preserve">d </w:t>
      </w:r>
      <w:r w:rsidR="000F7773" w:rsidRPr="00013BDC">
        <w:rPr>
          <w:noProof/>
          <w:lang w:val="en-IE"/>
        </w:rPr>
        <w:t xml:space="preserve">is </w:t>
      </w:r>
      <w:r w:rsidR="00F7331A" w:rsidRPr="00013BDC">
        <w:rPr>
          <w:noProof/>
          <w:lang w:val="en-IE"/>
        </w:rPr>
        <w:t xml:space="preserve">easier to </w:t>
      </w:r>
      <w:r w:rsidR="1FA56901" w:rsidRPr="00013BDC">
        <w:rPr>
          <w:noProof/>
          <w:lang w:val="en-IE"/>
        </w:rPr>
        <w:t>reuse</w:t>
      </w:r>
      <w:r w:rsidR="6BF6E0BC" w:rsidRPr="00013BDC">
        <w:rPr>
          <w:noProof/>
          <w:lang w:val="en-IE"/>
        </w:rPr>
        <w:t xml:space="preserve"> </w:t>
      </w:r>
      <w:r w:rsidR="00F7331A" w:rsidRPr="00013BDC">
        <w:rPr>
          <w:noProof/>
          <w:lang w:val="en-IE"/>
        </w:rPr>
        <w:t xml:space="preserve">and </w:t>
      </w:r>
      <w:r w:rsidR="6BF6E0BC" w:rsidRPr="00013BDC">
        <w:rPr>
          <w:noProof/>
          <w:lang w:val="en-IE"/>
        </w:rPr>
        <w:t>recycle</w:t>
      </w:r>
      <w:r w:rsidR="00F7331A" w:rsidRPr="00013BDC">
        <w:rPr>
          <w:noProof/>
          <w:lang w:val="en-IE"/>
        </w:rPr>
        <w:t>.</w:t>
      </w:r>
    </w:p>
    <w:p w14:paraId="46A60F59" w14:textId="432D2660" w:rsidR="00F7331A" w:rsidRPr="00013BDC" w:rsidRDefault="00F7331A" w:rsidP="003B052E">
      <w:pPr>
        <w:spacing w:after="120"/>
        <w:rPr>
          <w:rFonts w:eastAsia="Calibri"/>
          <w:noProof/>
          <w:color w:val="000000" w:themeColor="text1"/>
          <w:lang w:val="en-IE"/>
        </w:rPr>
      </w:pPr>
      <w:r w:rsidRPr="00013BDC">
        <w:rPr>
          <w:noProof/>
          <w:lang w:val="en-IE"/>
        </w:rPr>
        <w:t>The metho</w:t>
      </w:r>
      <w:r w:rsidR="00200A1B" w:rsidRPr="00013BDC">
        <w:rPr>
          <w:noProof/>
          <w:lang w:val="en-IE"/>
        </w:rPr>
        <w:t>do</w:t>
      </w:r>
      <w:r w:rsidRPr="00013BDC">
        <w:rPr>
          <w:noProof/>
          <w:lang w:val="en-IE"/>
        </w:rPr>
        <w:t xml:space="preserve">logy followed in the </w:t>
      </w:r>
      <w:r w:rsidR="0051707B" w:rsidRPr="00013BDC">
        <w:rPr>
          <w:noProof/>
          <w:lang w:val="en-IE"/>
        </w:rPr>
        <w:t xml:space="preserve">JRC </w:t>
      </w:r>
      <w:r w:rsidRPr="00013BDC">
        <w:rPr>
          <w:noProof/>
          <w:lang w:val="en-IE"/>
        </w:rPr>
        <w:t xml:space="preserve">report </w:t>
      </w:r>
      <w:r w:rsidR="008C7763" w:rsidRPr="00013BDC">
        <w:rPr>
          <w:rFonts w:eastAsia="Calibri"/>
          <w:noProof/>
          <w:color w:val="000000" w:themeColor="text1"/>
          <w:lang w:val="en-IE"/>
        </w:rPr>
        <w:t xml:space="preserve">selected product groups </w:t>
      </w:r>
      <w:r w:rsidRPr="00013BDC">
        <w:rPr>
          <w:noProof/>
          <w:lang w:val="en-IE"/>
        </w:rPr>
        <w:t>based on three steps</w:t>
      </w:r>
      <w:r w:rsidR="008C7763" w:rsidRPr="00013BDC">
        <w:rPr>
          <w:noProof/>
          <w:lang w:val="en-IE"/>
        </w:rPr>
        <w:t xml:space="preserve">: </w:t>
      </w:r>
      <w:r w:rsidRPr="00013BDC">
        <w:rPr>
          <w:rFonts w:eastAsia="Calibri"/>
          <w:noProof/>
          <w:color w:val="000000" w:themeColor="text1"/>
          <w:lang w:val="en-IE"/>
        </w:rPr>
        <w:t>the products’ environmental impacts, market relevance and policy coverage. The identified product groups are then evaluated based on criteria such as environmental impacts</w:t>
      </w:r>
      <w:r w:rsidR="0038482A" w:rsidRPr="00013BDC">
        <w:rPr>
          <w:rFonts w:eastAsia="Calibri"/>
          <w:noProof/>
          <w:color w:val="000000" w:themeColor="text1"/>
          <w:lang w:val="en-IE"/>
        </w:rPr>
        <w:t xml:space="preserve">, </w:t>
      </w:r>
      <w:r w:rsidRPr="00013BDC">
        <w:rPr>
          <w:rFonts w:eastAsia="Calibri"/>
          <w:noProof/>
          <w:color w:val="000000" w:themeColor="text1"/>
          <w:lang w:val="en-IE"/>
        </w:rPr>
        <w:t xml:space="preserve">improvement potential, policy gaps and proportionality of costs related to the improvement potential identified, to propose a preliminary ranking. </w:t>
      </w:r>
      <w:r w:rsidRPr="00013BDC">
        <w:rPr>
          <w:rFonts w:eastAsia="EC Square Sans Pro"/>
          <w:noProof/>
          <w:color w:val="000000" w:themeColor="text1"/>
          <w:lang w:val="en-IE"/>
        </w:rPr>
        <w:t>A</w:t>
      </w:r>
      <w:r w:rsidRPr="00013BDC">
        <w:rPr>
          <w:rFonts w:eastAsia="Calibri"/>
          <w:noProof/>
          <w:color w:val="000000" w:themeColor="text1"/>
          <w:lang w:val="en-IE"/>
        </w:rPr>
        <w:t xml:space="preserve"> quantification of the potential environmental impacts </w:t>
      </w:r>
      <w:r w:rsidR="00FC71E3" w:rsidRPr="00013BDC">
        <w:rPr>
          <w:rFonts w:eastAsia="Calibri"/>
          <w:noProof/>
          <w:color w:val="000000" w:themeColor="text1"/>
          <w:lang w:val="en-IE"/>
        </w:rPr>
        <w:t xml:space="preserve">of </w:t>
      </w:r>
      <w:r w:rsidRPr="00013BDC">
        <w:rPr>
          <w:rFonts w:eastAsia="Calibri"/>
          <w:noProof/>
          <w:color w:val="000000" w:themeColor="text1"/>
          <w:lang w:val="en-IE"/>
        </w:rPr>
        <w:t xml:space="preserve">the identified product groups is provided </w:t>
      </w:r>
      <w:r w:rsidR="00FC71E3" w:rsidRPr="00013BDC">
        <w:rPr>
          <w:rFonts w:eastAsia="Calibri"/>
          <w:noProof/>
          <w:color w:val="000000" w:themeColor="text1"/>
          <w:lang w:val="en-IE"/>
        </w:rPr>
        <w:t>based on</w:t>
      </w:r>
      <w:r w:rsidRPr="00013BDC">
        <w:rPr>
          <w:rFonts w:eastAsia="Calibri"/>
          <w:noProof/>
          <w:color w:val="000000" w:themeColor="text1"/>
          <w:lang w:val="en-IE"/>
        </w:rPr>
        <w:t xml:space="preserve"> </w:t>
      </w:r>
      <w:r w:rsidR="00FC71E3" w:rsidRPr="00013BDC">
        <w:rPr>
          <w:rFonts w:eastAsia="Calibri"/>
          <w:noProof/>
          <w:color w:val="000000" w:themeColor="text1"/>
          <w:lang w:val="en-IE"/>
        </w:rPr>
        <w:t xml:space="preserve">the </w:t>
      </w:r>
      <w:r w:rsidRPr="00013BDC">
        <w:rPr>
          <w:rFonts w:eastAsia="Calibri"/>
          <w:noProof/>
          <w:color w:val="000000" w:themeColor="text1"/>
          <w:lang w:val="en-IE"/>
        </w:rPr>
        <w:t>improvement scenarios.</w:t>
      </w:r>
    </w:p>
    <w:p w14:paraId="3021B9D3" w14:textId="7A7AB73F" w:rsidR="00F7331A" w:rsidRPr="00013BDC" w:rsidRDefault="00F7331A" w:rsidP="1F760E78">
      <w:pPr>
        <w:spacing w:after="120"/>
        <w:rPr>
          <w:rFonts w:eastAsia="Calibri"/>
          <w:noProof/>
          <w:lang w:val="en-IE"/>
        </w:rPr>
      </w:pPr>
      <w:r w:rsidRPr="00013BDC">
        <w:rPr>
          <w:rFonts w:eastAsia="Calibri"/>
          <w:noProof/>
          <w:lang w:val="en-IE"/>
        </w:rPr>
        <w:t>From an initial list of 34 product groups referenced in recent policy documents, 20 products (12 end-use and 8 intermediary products) were first shortlisted based on environmental, market and policy considerations. The 20 shortlisted product groups are then assessed in terms of environmental relevance (i.e., impacts and improvement potential) for ten impact categories addressing the main climate, environmental and energy objectives of the EU (see Figure I): water effects; air effects; soil effects; biodiversity effects; waste generation and management; climate change; life-cycle energy consumption; human toxicity; material efficiency; and lifetime extension.</w:t>
      </w:r>
    </w:p>
    <w:p w14:paraId="448F6525" w14:textId="0F30C4FB" w:rsidR="00FE629E" w:rsidRPr="00013BDC" w:rsidRDefault="00FE629E" w:rsidP="6A201FEE">
      <w:pPr>
        <w:spacing w:after="120"/>
        <w:rPr>
          <w:noProof/>
          <w:lang w:val="en-IE"/>
        </w:rPr>
      </w:pPr>
      <w:r w:rsidRPr="00013BDC">
        <w:rPr>
          <w:noProof/>
          <w:lang w:val="en-IE"/>
        </w:rPr>
        <w:t xml:space="preserve">Horizontal measures are proposed on the basis of main product aspects (see Article 5 of ESPR legal proposal) for groupings of products that demonstrate sufficient technical similarity and can be subject to the same set of potential provisions. As a result, five horizontal measures are proposed: “Durability”, “Recyclability”, “Lightweight design”, “Post-consumer recycled content”, and “Sustainable sourcing” (see Table III), each covering a specific set of proposed product groups and each accompanied by an analysis of the proposed provisions. The provisions proposed are intended at this stage to be applicable to a set of proposed product groups, albeit with proportional adjustment in the level of ambition per product group. </w:t>
      </w:r>
      <w:r w:rsidR="00955AD2" w:rsidRPr="00013BDC">
        <w:rPr>
          <w:noProof/>
          <w:lang w:val="en-IE"/>
        </w:rPr>
        <w:t xml:space="preserve">Many of </w:t>
      </w:r>
      <w:r w:rsidRPr="00013BDC">
        <w:rPr>
          <w:noProof/>
          <w:lang w:val="en-IE"/>
        </w:rPr>
        <w:t>the horizontal measures could be applied to textiles</w:t>
      </w:r>
      <w:r w:rsidR="0A4CFEFB" w:rsidRPr="00013BDC">
        <w:rPr>
          <w:noProof/>
          <w:lang w:val="en-IE"/>
        </w:rPr>
        <w:t xml:space="preserve">, although this would depend on whether the </w:t>
      </w:r>
      <w:r w:rsidR="479CEDB9" w:rsidRPr="00013BDC">
        <w:rPr>
          <w:noProof/>
          <w:lang w:val="en-IE"/>
        </w:rPr>
        <w:t xml:space="preserve">considered </w:t>
      </w:r>
      <w:r w:rsidR="0A4CFEFB" w:rsidRPr="00013BDC">
        <w:rPr>
          <w:noProof/>
          <w:lang w:val="en-IE"/>
        </w:rPr>
        <w:t>aspects are already addressed in a delegated act specificall</w:t>
      </w:r>
      <w:r w:rsidR="4E3B25F8" w:rsidRPr="00013BDC">
        <w:rPr>
          <w:noProof/>
          <w:lang w:val="en-IE"/>
        </w:rPr>
        <w:t>y for textiles</w:t>
      </w:r>
      <w:r w:rsidR="7DB393A4" w:rsidRPr="00013BDC">
        <w:rPr>
          <w:noProof/>
          <w:lang w:val="en-IE"/>
        </w:rPr>
        <w:t xml:space="preserve"> rather than a horizontal measure</w:t>
      </w:r>
      <w:r w:rsidR="008560A9" w:rsidRPr="00013BDC">
        <w:rPr>
          <w:noProof/>
          <w:lang w:val="en-IE"/>
        </w:rPr>
        <w:t>.</w:t>
      </w:r>
    </w:p>
    <w:p w14:paraId="42A83D7E" w14:textId="0CD2FDA9" w:rsidR="009A3B31" w:rsidRPr="00013BDC" w:rsidRDefault="536046A6" w:rsidP="000460BA">
      <w:pPr>
        <w:pStyle w:val="JRCText"/>
        <w:rPr>
          <w:rFonts w:ascii="Times New Roman" w:hAnsi="Times New Roman"/>
          <w:noProof/>
          <w:sz w:val="24"/>
          <w:szCs w:val="24"/>
          <w:lang w:val="en-IE"/>
        </w:rPr>
      </w:pPr>
      <w:r w:rsidRPr="00013BDC">
        <w:rPr>
          <w:rFonts w:ascii="Times New Roman" w:hAnsi="Times New Roman"/>
          <w:noProof/>
          <w:sz w:val="24"/>
          <w:szCs w:val="24"/>
          <w:lang w:val="en-IE"/>
        </w:rPr>
        <w:t>Several</w:t>
      </w:r>
      <w:r w:rsidR="008560A9" w:rsidRPr="00013BDC">
        <w:rPr>
          <w:rFonts w:ascii="Times New Roman" w:hAnsi="Times New Roman"/>
          <w:noProof/>
          <w:sz w:val="24"/>
          <w:szCs w:val="24"/>
          <w:lang w:val="en-IE"/>
        </w:rPr>
        <w:t xml:space="preserve"> potential horizontal provisions</w:t>
      </w:r>
      <w:r w:rsidR="009A3B31" w:rsidRPr="00013BDC">
        <w:rPr>
          <w:rFonts w:ascii="Times New Roman" w:hAnsi="Times New Roman"/>
          <w:noProof/>
          <w:sz w:val="24"/>
          <w:szCs w:val="24"/>
          <w:lang w:val="en-IE"/>
        </w:rPr>
        <w:t xml:space="preserve"> relating to the “durability” measure</w:t>
      </w:r>
      <w:r w:rsidR="008560A9" w:rsidRPr="00013BDC">
        <w:rPr>
          <w:rFonts w:ascii="Times New Roman" w:hAnsi="Times New Roman"/>
          <w:noProof/>
          <w:sz w:val="24"/>
          <w:szCs w:val="24"/>
          <w:lang w:val="en-IE"/>
        </w:rPr>
        <w:t xml:space="preserve"> </w:t>
      </w:r>
      <w:r w:rsidR="0AEB71EB" w:rsidRPr="00013BDC">
        <w:rPr>
          <w:rFonts w:ascii="Times New Roman" w:hAnsi="Times New Roman"/>
          <w:noProof/>
          <w:sz w:val="24"/>
          <w:szCs w:val="24"/>
          <w:lang w:val="en-IE"/>
        </w:rPr>
        <w:t>include textiles in their potential product coverage. Provisions</w:t>
      </w:r>
      <w:r w:rsidR="008560A9" w:rsidRPr="00013BDC">
        <w:rPr>
          <w:rFonts w:ascii="Times New Roman" w:hAnsi="Times New Roman"/>
          <w:noProof/>
          <w:sz w:val="24"/>
          <w:szCs w:val="24"/>
          <w:lang w:val="en-IE"/>
        </w:rPr>
        <w:t xml:space="preserve"> could </w:t>
      </w:r>
      <w:r w:rsidR="1AC9AD97" w:rsidRPr="00013BDC">
        <w:rPr>
          <w:rFonts w:ascii="Times New Roman" w:hAnsi="Times New Roman"/>
          <w:noProof/>
          <w:sz w:val="24"/>
          <w:szCs w:val="24"/>
          <w:lang w:val="en-IE"/>
        </w:rPr>
        <w:t>for</w:t>
      </w:r>
      <w:r w:rsidR="008560A9" w:rsidRPr="00013BDC">
        <w:rPr>
          <w:rFonts w:ascii="Times New Roman" w:hAnsi="Times New Roman"/>
          <w:noProof/>
          <w:sz w:val="24"/>
          <w:szCs w:val="24"/>
          <w:lang w:val="en-IE"/>
        </w:rPr>
        <w:t xml:space="preserve"> </w:t>
      </w:r>
      <w:r w:rsidR="0AEB71EB" w:rsidRPr="00013BDC">
        <w:rPr>
          <w:rFonts w:ascii="Times New Roman" w:hAnsi="Times New Roman"/>
          <w:noProof/>
          <w:sz w:val="24"/>
          <w:szCs w:val="24"/>
          <w:lang w:val="en-IE"/>
        </w:rPr>
        <w:t>instance relate</w:t>
      </w:r>
      <w:r w:rsidR="008560A9" w:rsidRPr="00013BDC">
        <w:rPr>
          <w:rFonts w:ascii="Times New Roman" w:hAnsi="Times New Roman"/>
          <w:noProof/>
          <w:sz w:val="24"/>
          <w:szCs w:val="24"/>
          <w:lang w:val="en-IE"/>
        </w:rPr>
        <w:t xml:space="preserve"> resistance to stresses or ageing mechanisms, the minimum durability of function, the introduction of a reparability scoring index/label, the availability of repair (+ upgrade) information and maintenance instructions to independent operators and/or end-users, spare part availability and delivery time, </w:t>
      </w:r>
      <w:r w:rsidR="00962F65" w:rsidRPr="00013BDC">
        <w:rPr>
          <w:rFonts w:ascii="Times New Roman" w:hAnsi="Times New Roman"/>
          <w:noProof/>
          <w:sz w:val="24"/>
          <w:szCs w:val="24"/>
          <w:lang w:val="en-IE"/>
        </w:rPr>
        <w:t>disassembly</w:t>
      </w:r>
      <w:r w:rsidR="008560A9" w:rsidRPr="00013BDC">
        <w:rPr>
          <w:rFonts w:ascii="Times New Roman" w:hAnsi="Times New Roman"/>
          <w:noProof/>
          <w:sz w:val="24"/>
          <w:szCs w:val="24"/>
          <w:lang w:val="en-IE"/>
        </w:rPr>
        <w:t xml:space="preserve"> generally or related to Tools, Fasteners, Working Environment and Skill Level, number of materials and components used and modularity, transformability, detachable elements, adjustable sizing.</w:t>
      </w:r>
      <w:r w:rsidR="000460BA" w:rsidRPr="00013BDC">
        <w:rPr>
          <w:rFonts w:ascii="Times New Roman" w:hAnsi="Times New Roman"/>
          <w:noProof/>
          <w:sz w:val="24"/>
          <w:szCs w:val="24"/>
          <w:lang w:val="en-IE"/>
        </w:rPr>
        <w:t xml:space="preserve"> </w:t>
      </w:r>
      <w:r w:rsidR="009A3B31" w:rsidRPr="00013BDC">
        <w:rPr>
          <w:rFonts w:ascii="Times New Roman" w:hAnsi="Times New Roman"/>
          <w:noProof/>
          <w:sz w:val="24"/>
          <w:szCs w:val="24"/>
          <w:lang w:val="en-IE"/>
        </w:rPr>
        <w:t>The potential horizontal provision relating to the “Recyclability” measure that could be applied to textiles is the ability to easily separate the product into different materials.</w:t>
      </w:r>
      <w:r w:rsidR="000460BA" w:rsidRPr="00013BDC">
        <w:rPr>
          <w:rFonts w:ascii="Times New Roman" w:hAnsi="Times New Roman"/>
          <w:noProof/>
          <w:sz w:val="24"/>
          <w:szCs w:val="24"/>
          <w:lang w:val="en-IE"/>
        </w:rPr>
        <w:t xml:space="preserve"> </w:t>
      </w:r>
      <w:r w:rsidR="009A3B31" w:rsidRPr="00013BDC">
        <w:rPr>
          <w:rFonts w:ascii="Times New Roman" w:hAnsi="Times New Roman"/>
          <w:noProof/>
          <w:sz w:val="24"/>
          <w:szCs w:val="24"/>
          <w:lang w:val="en-IE"/>
        </w:rPr>
        <w:t>Last, the potential horizontal provision relating to the “</w:t>
      </w:r>
      <w:r w:rsidR="00954015" w:rsidRPr="00013BDC">
        <w:rPr>
          <w:rFonts w:ascii="Times New Roman" w:hAnsi="Times New Roman"/>
          <w:noProof/>
          <w:sz w:val="24"/>
          <w:szCs w:val="24"/>
          <w:lang w:val="en-IE"/>
        </w:rPr>
        <w:t>p</w:t>
      </w:r>
      <w:r w:rsidR="009A3B31" w:rsidRPr="00013BDC">
        <w:rPr>
          <w:rFonts w:ascii="Times New Roman" w:hAnsi="Times New Roman"/>
          <w:noProof/>
          <w:sz w:val="24"/>
          <w:szCs w:val="24"/>
          <w:lang w:val="en-IE"/>
        </w:rPr>
        <w:t>ost-consumer recycled content” measure that could be applied to textiles is the provisions on minimum content of post-consumer recycled material expressed either as a fraction of the total material input (in %) or in absolute numbers.</w:t>
      </w:r>
    </w:p>
    <w:p w14:paraId="54C3C696" w14:textId="09655D78" w:rsidR="00B74F3E" w:rsidRPr="00013BDC" w:rsidRDefault="00B74F3E" w:rsidP="00875131">
      <w:pPr>
        <w:pStyle w:val="JRCText"/>
        <w:rPr>
          <w:rFonts w:ascii="Times New Roman" w:hAnsi="Times New Roman"/>
          <w:noProof/>
          <w:sz w:val="24"/>
          <w:szCs w:val="24"/>
          <w:lang w:val="en-IE"/>
        </w:rPr>
      </w:pPr>
      <w:r w:rsidRPr="00013BDC">
        <w:rPr>
          <w:rFonts w:ascii="Times New Roman" w:hAnsi="Times New Roman"/>
          <w:noProof/>
          <w:sz w:val="24"/>
          <w:szCs w:val="24"/>
          <w:lang w:val="en-IE"/>
        </w:rPr>
        <w:t>Article 16(1) of the ESPR proposal lists the criteria that should be taken into account by the Commission when prioritising the products to be covered by ecodesign requirements. These include the products’ potential contribution to achieving the European Union’s climate, environmental and energy efficiency objectives, the potential for improving products’ circularity and environmental impacts, the absence or insufficiency of EU law, and the volume of sales and trade.</w:t>
      </w:r>
      <w:r w:rsidR="00875131" w:rsidRPr="00013BDC">
        <w:rPr>
          <w:rFonts w:ascii="Times New Roman" w:hAnsi="Times New Roman"/>
          <w:noProof/>
          <w:sz w:val="24"/>
          <w:szCs w:val="24"/>
          <w:lang w:val="en-IE"/>
        </w:rPr>
        <w:t xml:space="preserve"> </w:t>
      </w:r>
      <w:bookmarkStart w:id="487" w:name="_Toc113029856"/>
      <w:bookmarkStart w:id="488" w:name="_Toc113031307"/>
      <w:r w:rsidRPr="00013BDC">
        <w:rPr>
          <w:rFonts w:ascii="Times New Roman" w:hAnsi="Times New Roman"/>
          <w:noProof/>
          <w:sz w:val="24"/>
          <w:szCs w:val="24"/>
          <w:lang w:val="en-IE"/>
        </w:rPr>
        <w:t xml:space="preserve"> </w:t>
      </w:r>
    </w:p>
    <w:bookmarkEnd w:id="487"/>
    <w:bookmarkEnd w:id="488"/>
    <w:p w14:paraId="098B38D0" w14:textId="19DBF72A" w:rsidR="009A5F55" w:rsidRPr="00013BDC" w:rsidRDefault="4A78C6B4" w:rsidP="00643BF7">
      <w:pPr>
        <w:pStyle w:val="JRCText"/>
        <w:spacing w:before="0"/>
        <w:rPr>
          <w:rFonts w:ascii="Times New Roman" w:hAnsi="Times New Roman"/>
          <w:noProof/>
          <w:color w:val="000000"/>
          <w:sz w:val="24"/>
          <w:szCs w:val="24"/>
          <w:shd w:val="clear" w:color="auto" w:fill="FFFFFF"/>
          <w:lang w:val="en-IE"/>
        </w:rPr>
      </w:pPr>
      <w:r w:rsidRPr="00013BDC">
        <w:rPr>
          <w:rStyle w:val="normaltextrun"/>
          <w:rFonts w:ascii="Times New Roman" w:hAnsi="Times New Roman"/>
          <w:noProof/>
          <w:color w:val="000000" w:themeColor="text1"/>
          <w:sz w:val="24"/>
          <w:szCs w:val="24"/>
          <w:lang w:val="en-IE"/>
        </w:rPr>
        <w:t>A</w:t>
      </w:r>
      <w:r w:rsidR="00B74F3E" w:rsidRPr="00013BDC">
        <w:rPr>
          <w:rStyle w:val="normaltextrun"/>
          <w:rFonts w:ascii="Times New Roman" w:hAnsi="Times New Roman"/>
          <w:noProof/>
          <w:color w:val="000000" w:themeColor="text1"/>
          <w:sz w:val="24"/>
          <w:szCs w:val="24"/>
          <w:lang w:val="en-IE"/>
        </w:rPr>
        <w:t xml:space="preserve"> public consultation and targeted thematic consultations </w:t>
      </w:r>
      <w:r w:rsidR="4A88D845" w:rsidRPr="00013BDC">
        <w:rPr>
          <w:rStyle w:val="normaltextrun"/>
          <w:rFonts w:ascii="Times New Roman" w:hAnsi="Times New Roman"/>
          <w:noProof/>
          <w:color w:val="000000" w:themeColor="text1"/>
          <w:sz w:val="24"/>
          <w:szCs w:val="24"/>
          <w:lang w:val="en-IE"/>
        </w:rPr>
        <w:t xml:space="preserve">are held to </w:t>
      </w:r>
      <w:r w:rsidR="00B74F3E" w:rsidRPr="00013BDC">
        <w:rPr>
          <w:rStyle w:val="normaltextrun"/>
          <w:rFonts w:ascii="Times New Roman" w:hAnsi="Times New Roman"/>
          <w:noProof/>
          <w:color w:val="000000" w:themeColor="text1"/>
          <w:sz w:val="24"/>
          <w:szCs w:val="24"/>
          <w:lang w:val="en-IE"/>
        </w:rPr>
        <w:t>involv</w:t>
      </w:r>
      <w:r w:rsidR="00F440AC" w:rsidRPr="00013BDC">
        <w:rPr>
          <w:rStyle w:val="normaltextrun"/>
          <w:rFonts w:ascii="Times New Roman" w:hAnsi="Times New Roman"/>
          <w:noProof/>
          <w:color w:val="000000" w:themeColor="text1"/>
          <w:sz w:val="24"/>
          <w:szCs w:val="24"/>
          <w:lang w:val="en-IE"/>
        </w:rPr>
        <w:t>e</w:t>
      </w:r>
      <w:r w:rsidR="00B74F3E" w:rsidRPr="00013BDC">
        <w:rPr>
          <w:rStyle w:val="normaltextrun"/>
          <w:rFonts w:ascii="Times New Roman" w:hAnsi="Times New Roman"/>
          <w:noProof/>
          <w:color w:val="000000" w:themeColor="text1"/>
          <w:sz w:val="24"/>
          <w:szCs w:val="24"/>
          <w:lang w:val="en-IE"/>
        </w:rPr>
        <w:t xml:space="preserve"> relevant stakeholders at European and international level. The objective of the ongoing consultations is to gather further information on the environmental and circularity characteristics of the proposed priorities, as well as to improve the understanding of how their value chains work and what the potential for improvements is.</w:t>
      </w:r>
      <w:r w:rsidR="00643BF7" w:rsidRPr="00013BDC">
        <w:rPr>
          <w:rStyle w:val="normaltextrun"/>
          <w:rFonts w:ascii="Times New Roman" w:hAnsi="Times New Roman"/>
          <w:noProof/>
          <w:color w:val="000000" w:themeColor="text1"/>
          <w:sz w:val="24"/>
          <w:szCs w:val="24"/>
          <w:lang w:val="en-IE"/>
        </w:rPr>
        <w:t xml:space="preserve"> </w:t>
      </w:r>
      <w:r w:rsidR="009A5F55" w:rsidRPr="00013BDC">
        <w:rPr>
          <w:rStyle w:val="normaltextrun"/>
          <w:rFonts w:ascii="Times New Roman" w:hAnsi="Times New Roman"/>
          <w:noProof/>
          <w:color w:val="000000" w:themeColor="text1"/>
          <w:sz w:val="24"/>
          <w:szCs w:val="24"/>
          <w:lang w:val="en-IE"/>
        </w:rPr>
        <w:t xml:space="preserve">Based on the feedback received from stakeholders, and building on further work and analyses, the Commission aims to adopt the first ESPR Working Plan after the final adoption of the ESPR by legislators. </w:t>
      </w:r>
    </w:p>
    <w:p w14:paraId="3F287097" w14:textId="48CD524C" w:rsidR="009A5F55" w:rsidRPr="00013BDC" w:rsidRDefault="216846F1" w:rsidP="1F760E78">
      <w:pPr>
        <w:pStyle w:val="JRCText"/>
        <w:spacing w:before="0"/>
        <w:rPr>
          <w:rFonts w:ascii="Times New Roman" w:hAnsi="Times New Roman"/>
          <w:noProof/>
          <w:sz w:val="24"/>
          <w:szCs w:val="24"/>
          <w:lang w:val="en-IE"/>
        </w:rPr>
      </w:pPr>
      <w:r w:rsidRPr="00013BDC">
        <w:rPr>
          <w:rFonts w:ascii="Times New Roman" w:hAnsi="Times New Roman"/>
          <w:noProof/>
          <w:sz w:val="24"/>
          <w:szCs w:val="24"/>
          <w:lang w:val="en-IE"/>
        </w:rPr>
        <w:t>The top scoring product group according to the assessment methodology used by the JRC</w:t>
      </w:r>
      <w:r w:rsidR="00CB40DF" w:rsidRPr="00013BDC">
        <w:rPr>
          <w:rFonts w:ascii="Times New Roman" w:hAnsi="Times New Roman"/>
          <w:noProof/>
          <w:sz w:val="24"/>
          <w:szCs w:val="24"/>
          <w:lang w:val="en-IE"/>
        </w:rPr>
        <w:t xml:space="preserve"> </w:t>
      </w:r>
      <w:r w:rsidR="009A5F55" w:rsidRPr="00013BDC">
        <w:rPr>
          <w:rFonts w:ascii="Times New Roman" w:hAnsi="Times New Roman"/>
          <w:noProof/>
          <w:sz w:val="24"/>
          <w:szCs w:val="24"/>
          <w:vertAlign w:val="superscript"/>
          <w:lang w:val="en-IE"/>
        </w:rPr>
        <w:footnoteReference w:id="93"/>
      </w:r>
      <w:r w:rsidRPr="00013BDC">
        <w:rPr>
          <w:rFonts w:ascii="Times New Roman" w:hAnsi="Times New Roman"/>
          <w:noProof/>
          <w:sz w:val="24"/>
          <w:szCs w:val="24"/>
          <w:lang w:val="en-IE"/>
        </w:rPr>
        <w:t xml:space="preserve"> for scoring was, by far, Textiles and footwear, which obtained a total environmental score of 4</w:t>
      </w:r>
      <w:r w:rsidR="084D08A2" w:rsidRPr="00013BDC">
        <w:rPr>
          <w:rFonts w:ascii="Times New Roman" w:hAnsi="Times New Roman"/>
          <w:noProof/>
          <w:sz w:val="24"/>
          <w:szCs w:val="24"/>
          <w:lang w:val="en-IE"/>
        </w:rPr>
        <w:t>3</w:t>
      </w:r>
      <w:r w:rsidRPr="00013BDC">
        <w:rPr>
          <w:rFonts w:ascii="Times New Roman" w:hAnsi="Times New Roman"/>
          <w:noProof/>
          <w:sz w:val="24"/>
          <w:szCs w:val="24"/>
          <w:lang w:val="en-IE"/>
        </w:rPr>
        <w:t xml:space="preserve"> points, </w:t>
      </w:r>
      <w:r w:rsidR="2FCD87CB" w:rsidRPr="00013BDC">
        <w:rPr>
          <w:rFonts w:ascii="Times New Roman" w:hAnsi="Times New Roman"/>
          <w:noProof/>
          <w:sz w:val="24"/>
          <w:szCs w:val="24"/>
          <w:lang w:val="en-IE"/>
        </w:rPr>
        <w:t>13</w:t>
      </w:r>
      <w:r w:rsidRPr="00013BDC">
        <w:rPr>
          <w:rFonts w:ascii="Times New Roman" w:hAnsi="Times New Roman"/>
          <w:noProof/>
          <w:sz w:val="24"/>
          <w:szCs w:val="24"/>
          <w:lang w:val="en-IE"/>
        </w:rPr>
        <w:t xml:space="preserve"> points higher than the second highest -scoring product group. Textiles obtained the highest score in water effects, waste generation, climate change, energy consumption, material efficiency and lifetime extension, due to the large impacts caused by sourcing, producing, using and discarding materials, but also due to the large improvement potential in all these aspects, especially in terms of circularity, which is still largely untapped. Indeed, reuse and recycling of used textiles could bring significant savings in terms of water use and pollution, biodiversity, climate change and energy use, in addition to reducing waste generation of course. This represents a significant improvement potential since textiles’ current value chain include little or no reuse and recycling</w:t>
      </w:r>
      <w:r w:rsidR="00BE6062" w:rsidRPr="00013BDC">
        <w:rPr>
          <w:rStyle w:val="FootnoteReference"/>
          <w:rFonts w:ascii="Times New Roman" w:hAnsi="Times New Roman"/>
          <w:noProof/>
          <w:sz w:val="24"/>
          <w:szCs w:val="24"/>
          <w:lang w:val="en-IE"/>
        </w:rPr>
        <w:footnoteReference w:id="94"/>
      </w:r>
      <w:r w:rsidR="00BE6062" w:rsidRPr="00013BDC">
        <w:rPr>
          <w:rFonts w:ascii="Times New Roman" w:hAnsi="Times New Roman"/>
          <w:noProof/>
          <w:sz w:val="24"/>
          <w:szCs w:val="24"/>
          <w:lang w:val="en-IE"/>
        </w:rPr>
        <w:t xml:space="preserve">. </w:t>
      </w:r>
      <w:r w:rsidRPr="00013BDC">
        <w:rPr>
          <w:rFonts w:ascii="Times New Roman" w:hAnsi="Times New Roman"/>
          <w:noProof/>
          <w:sz w:val="24"/>
          <w:szCs w:val="24"/>
          <w:lang w:val="en-IE"/>
        </w:rPr>
        <w:t>Solutions towards increased recycling include reducing the complexity of materials used to produce textiles and textile products, adopting product passports and materials labelling at the design stage (Ellen MacArthur Foundation, 2017), and harmonised collection systems across the EU (EC, 2020; Palm et al., 2014). Also, measures that ensure and increase the durability of the items and the resistance to shrinkage/weather could double the average product life, which was estimated to save 44% of GHG emissions (Ellen MacArthur Foundation, 2017). Finally, large improvement potential could also be identified in substituting polluting compounds with biodegradable and less toxic alternatives, sustainable sourcing of primary materials (especially cotton), and energy efficiency measures.</w:t>
      </w:r>
    </w:p>
    <w:p w14:paraId="6419203E" w14:textId="21536CA6" w:rsidR="0003659A" w:rsidRPr="00013BDC" w:rsidRDefault="009A5F55" w:rsidP="000460BA">
      <w:pPr>
        <w:pStyle w:val="JRCText"/>
        <w:rPr>
          <w:rFonts w:ascii="Times New Roman" w:hAnsi="Times New Roman"/>
          <w:noProof/>
          <w:sz w:val="24"/>
          <w:szCs w:val="24"/>
          <w:lang w:val="en-IE"/>
        </w:rPr>
      </w:pPr>
      <w:r w:rsidRPr="00013BDC">
        <w:rPr>
          <w:rFonts w:ascii="Times New Roman" w:hAnsi="Times New Roman"/>
          <w:noProof/>
          <w:sz w:val="24"/>
          <w:szCs w:val="24"/>
          <w:lang w:val="en-IE"/>
        </w:rPr>
        <w:t xml:space="preserve">While it can be expected that an ESPR Delegated Acts cannot address, for example, all textiles, and while the impacts and improvement potential of a cotton </w:t>
      </w:r>
      <w:r w:rsidR="007D3759" w:rsidRPr="00013BDC">
        <w:rPr>
          <w:rFonts w:ascii="Times New Roman" w:hAnsi="Times New Roman"/>
          <w:noProof/>
          <w:sz w:val="24"/>
          <w:szCs w:val="24"/>
          <w:lang w:val="en-IE"/>
        </w:rPr>
        <w:t>t</w:t>
      </w:r>
      <w:r w:rsidRPr="00013BDC">
        <w:rPr>
          <w:rFonts w:ascii="Times New Roman" w:hAnsi="Times New Roman"/>
          <w:noProof/>
          <w:sz w:val="24"/>
          <w:szCs w:val="24"/>
          <w:lang w:val="en-IE"/>
        </w:rPr>
        <w:t>-shirt are different to those of a wool sweater, the scoring results can still be considered representative of the whole product group. Further work on prioritised products will establish the adequate granularity for each prioritised product group.</w:t>
      </w:r>
      <w:r w:rsidR="000460BA" w:rsidRPr="00013BDC">
        <w:rPr>
          <w:rFonts w:ascii="Times New Roman" w:hAnsi="Times New Roman"/>
          <w:noProof/>
          <w:sz w:val="24"/>
          <w:szCs w:val="24"/>
          <w:lang w:val="en-IE"/>
        </w:rPr>
        <w:t xml:space="preserve"> </w:t>
      </w:r>
      <w:r w:rsidR="5C712566" w:rsidRPr="00013BDC">
        <w:rPr>
          <w:rFonts w:ascii="Times New Roman" w:hAnsi="Times New Roman"/>
          <w:noProof/>
          <w:sz w:val="24"/>
          <w:szCs w:val="24"/>
          <w:lang w:val="en-IE"/>
        </w:rPr>
        <w:t xml:space="preserve">The regulated aspects of textiles are emissions during production, fibre names and labelling, separate collection of textiles waste, EU Ecolabel criteria (voluntary) and GPP criteria (voluntary), while some improvement potential aspects not currently regulated in the EU are improved reuse, recyclability and recycled content, </w:t>
      </w:r>
      <w:r w:rsidR="2CE23802" w:rsidRPr="00013BDC">
        <w:rPr>
          <w:rFonts w:ascii="Times New Roman" w:hAnsi="Times New Roman"/>
          <w:noProof/>
          <w:sz w:val="24"/>
          <w:szCs w:val="24"/>
          <w:lang w:val="en-IE"/>
        </w:rPr>
        <w:t>on demand production, lending, renting, repair, use of alternative materials, energy efficiency measures, less frequent and low temp</w:t>
      </w:r>
      <w:r w:rsidR="59E92232" w:rsidRPr="00013BDC">
        <w:rPr>
          <w:rFonts w:ascii="Times New Roman" w:hAnsi="Times New Roman"/>
          <w:noProof/>
          <w:sz w:val="24"/>
          <w:szCs w:val="24"/>
          <w:lang w:val="en-IE"/>
        </w:rPr>
        <w:t>e</w:t>
      </w:r>
      <w:r w:rsidR="2CE23802" w:rsidRPr="00013BDC">
        <w:rPr>
          <w:rFonts w:ascii="Times New Roman" w:hAnsi="Times New Roman"/>
          <w:noProof/>
          <w:sz w:val="24"/>
          <w:szCs w:val="24"/>
          <w:lang w:val="en-IE"/>
        </w:rPr>
        <w:t>rature washing and drying, durability measures, substituting toxic compounds with biodegradable and less toxic alternatives, sustainable sourcing of materials, water conservation programs during production and switching to renewable energy.</w:t>
      </w:r>
      <w:r w:rsidR="797FDFE3" w:rsidRPr="00013BDC">
        <w:rPr>
          <w:rFonts w:ascii="Times New Roman" w:hAnsi="Times New Roman"/>
          <w:noProof/>
          <w:sz w:val="24"/>
          <w:szCs w:val="24"/>
          <w:lang w:val="en-IE"/>
        </w:rPr>
        <w:t xml:space="preserve"> </w:t>
      </w:r>
    </w:p>
    <w:p w14:paraId="41A78FF9" w14:textId="60789439" w:rsidR="0003659A" w:rsidRPr="00013BDC" w:rsidRDefault="797FDFE3" w:rsidP="00643BF7">
      <w:pPr>
        <w:spacing w:after="120"/>
        <w:rPr>
          <w:noProof/>
          <w:lang w:val="en-IE"/>
        </w:rPr>
      </w:pPr>
      <w:r w:rsidRPr="00013BDC">
        <w:rPr>
          <w:noProof/>
          <w:lang w:val="en-IE"/>
        </w:rPr>
        <w:t>The production of textiles, clothing, and footwear has one of the most complex global value chains, with most products on the internal EU market manufactured outside the EU, often in countries with lower labour and environmental standards</w:t>
      </w:r>
      <w:r w:rsidR="0003659A" w:rsidRPr="00013BDC">
        <w:rPr>
          <w:rStyle w:val="FootnoteReference"/>
          <w:noProof/>
          <w:lang w:val="en-IE"/>
        </w:rPr>
        <w:footnoteReference w:id="95"/>
      </w:r>
      <w:r w:rsidRPr="00013BDC">
        <w:rPr>
          <w:noProof/>
          <w:lang w:val="en-IE"/>
        </w:rPr>
        <w:t xml:space="preserve">. In the EU, the level of emissions from the textile industry is regulated via the Industrial Emission Directive (IED), which is however only addressing EU installations. Non-EU production, which is expected to cover </w:t>
      </w:r>
      <w:r w:rsidR="000D52AA" w:rsidRPr="00013BDC">
        <w:rPr>
          <w:noProof/>
          <w:lang w:val="en-IE"/>
        </w:rPr>
        <w:t>most</w:t>
      </w:r>
      <w:r w:rsidRPr="00013BDC">
        <w:rPr>
          <w:noProof/>
          <w:lang w:val="en-IE"/>
        </w:rPr>
        <w:t xml:space="preserve"> textile products, is not covered by the IED. The EU also lays down European standards relating to textiles and clothing, relating to performance for certain types of textile products and to self-declared environmental claims</w:t>
      </w:r>
      <w:r w:rsidR="007D3759" w:rsidRPr="00013BDC">
        <w:rPr>
          <w:noProof/>
          <w:lang w:val="en-IE"/>
        </w:rPr>
        <w:t xml:space="preserve"> </w:t>
      </w:r>
      <w:r w:rsidR="0003659A" w:rsidRPr="00013BDC">
        <w:rPr>
          <w:noProof/>
          <w:vertAlign w:val="superscript"/>
          <w:lang w:val="en-IE"/>
        </w:rPr>
        <w:footnoteReference w:id="96"/>
      </w:r>
      <w:r w:rsidRPr="00013BDC">
        <w:rPr>
          <w:noProof/>
          <w:lang w:val="en-IE"/>
        </w:rPr>
        <w:t xml:space="preserve">. </w:t>
      </w:r>
      <w:r w:rsidR="0022212E" w:rsidRPr="00013BDC">
        <w:rPr>
          <w:noProof/>
          <w:lang w:val="en-IE"/>
        </w:rPr>
        <w:t>Currently, there are n</w:t>
      </w:r>
      <w:r w:rsidRPr="00013BDC">
        <w:rPr>
          <w:noProof/>
          <w:lang w:val="en-IE"/>
        </w:rPr>
        <w:t>o recycling targets for textile waste. The EU has also a voluntary EU ecolabel for textiles, establishing criteria such as limited use of substances harmful to health and environment, reduction in water and air pollution, extension of the lifetime of clothes (e.g.</w:t>
      </w:r>
      <w:r w:rsidR="00234489" w:rsidRPr="00013BDC">
        <w:rPr>
          <w:noProof/>
          <w:lang w:val="en-IE"/>
        </w:rPr>
        <w:t>,</w:t>
      </w:r>
      <w:r w:rsidRPr="00013BDC">
        <w:rPr>
          <w:noProof/>
          <w:lang w:val="en-IE"/>
        </w:rPr>
        <w:t xml:space="preserve"> resistance to shrinking during washing and drying and colour resistance to perspiration, washing, wet and dry rubbing and light exposure)</w:t>
      </w:r>
      <w:r w:rsidR="0003659A" w:rsidRPr="00013BDC">
        <w:rPr>
          <w:rStyle w:val="FootnoteReference"/>
          <w:noProof/>
          <w:lang w:val="en-IE"/>
        </w:rPr>
        <w:footnoteReference w:id="97"/>
      </w:r>
      <w:r w:rsidRPr="00013BDC">
        <w:rPr>
          <w:noProof/>
          <w:lang w:val="en-IE"/>
        </w:rPr>
        <w:t>. Finally, the EU GPP criteria for textiles facilitate the inclusion of green requirements in public tender documents that MS and public authorities can implement to the extent to which they themselves wish</w:t>
      </w:r>
      <w:r w:rsidR="0003659A" w:rsidRPr="00013BDC">
        <w:rPr>
          <w:rStyle w:val="FootnoteReference"/>
          <w:noProof/>
          <w:lang w:val="en-IE"/>
        </w:rPr>
        <w:footnoteReference w:id="98"/>
      </w:r>
      <w:r w:rsidRPr="00013BDC">
        <w:rPr>
          <w:noProof/>
          <w:lang w:val="en-IE"/>
        </w:rPr>
        <w:t xml:space="preserve">. </w:t>
      </w:r>
    </w:p>
    <w:p w14:paraId="09262003" w14:textId="77DDB449" w:rsidR="0003659A" w:rsidRPr="00013BDC" w:rsidRDefault="797FDFE3" w:rsidP="007372E3">
      <w:pPr>
        <w:spacing w:after="120"/>
        <w:rPr>
          <w:noProof/>
          <w:lang w:val="en-IE"/>
        </w:rPr>
      </w:pPr>
      <w:r w:rsidRPr="00013BDC">
        <w:rPr>
          <w:noProof/>
          <w:lang w:val="en-IE"/>
        </w:rPr>
        <w:t>Water conservation and reuse programs can have large benefits through decreased costs of purchased water and reduced costs for treatment of wastewaters, leading to short pay-back periods</w:t>
      </w:r>
      <w:r w:rsidR="0003659A" w:rsidRPr="00013BDC">
        <w:rPr>
          <w:rStyle w:val="FootnoteReference"/>
          <w:noProof/>
          <w:lang w:val="en-IE"/>
        </w:rPr>
        <w:footnoteReference w:id="99"/>
      </w:r>
      <w:r w:rsidRPr="00013BDC">
        <w:rPr>
          <w:noProof/>
          <w:lang w:val="en-IE"/>
        </w:rPr>
        <w:t>. Measures to reduce the usage of water and chemicals during dyeing have been found to have a pay-back period of about 2-3.5 years</w:t>
      </w:r>
      <w:r w:rsidR="0003659A" w:rsidRPr="00013BDC">
        <w:rPr>
          <w:rStyle w:val="FootnoteReference"/>
          <w:noProof/>
          <w:lang w:val="en-IE"/>
        </w:rPr>
        <w:footnoteReference w:id="100"/>
      </w:r>
      <w:r w:rsidRPr="00013BDC">
        <w:rPr>
          <w:noProof/>
          <w:lang w:val="en-IE"/>
        </w:rPr>
        <w:t xml:space="preserve"> and estimated cost savings of nearly 500</w:t>
      </w:r>
      <w:r w:rsidR="002261AC" w:rsidRPr="00013BDC">
        <w:rPr>
          <w:noProof/>
          <w:lang w:val="en-IE"/>
        </w:rPr>
        <w:t xml:space="preserve"> </w:t>
      </w:r>
      <w:r w:rsidRPr="00013BDC">
        <w:rPr>
          <w:noProof/>
          <w:lang w:val="en-IE"/>
        </w:rPr>
        <w:t>000</w:t>
      </w:r>
      <w:r w:rsidR="007D3759" w:rsidRPr="00013BDC">
        <w:rPr>
          <w:noProof/>
          <w:lang w:val="en-IE"/>
        </w:rPr>
        <w:t xml:space="preserve"> USD</w:t>
      </w:r>
      <w:r w:rsidR="0003659A" w:rsidRPr="00013BDC">
        <w:rPr>
          <w:rStyle w:val="FootnoteReference"/>
          <w:noProof/>
          <w:lang w:val="en-IE"/>
        </w:rPr>
        <w:footnoteReference w:id="101"/>
      </w:r>
      <w:r w:rsidRPr="00013BDC">
        <w:rPr>
          <w:noProof/>
          <w:lang w:val="en-IE"/>
        </w:rPr>
        <w:t>. A case study on 33 factories found that with an up-front investment of 17.3 million USD, resulted on average in 9% of water saved and 6% of energy saved, with a payback time for the whole program of only 14 months</w:t>
      </w:r>
      <w:r w:rsidR="0003659A" w:rsidRPr="00013BDC">
        <w:rPr>
          <w:rStyle w:val="FootnoteReference"/>
          <w:noProof/>
          <w:lang w:val="en-IE"/>
        </w:rPr>
        <w:footnoteReference w:id="102"/>
      </w:r>
      <w:r w:rsidRPr="00013BDC">
        <w:rPr>
          <w:noProof/>
          <w:lang w:val="en-IE"/>
        </w:rPr>
        <w:t>. On the other hand, certification and monitoring of organic crop cultivation is a costly procedure, which may ultimately offset the economic benefits due to less use of chemicals and higher returns from organic crop sales</w:t>
      </w:r>
      <w:r w:rsidR="0003659A" w:rsidRPr="00013BDC">
        <w:rPr>
          <w:rStyle w:val="FootnoteReference"/>
          <w:noProof/>
          <w:lang w:val="en-IE"/>
        </w:rPr>
        <w:footnoteReference w:id="103"/>
      </w:r>
      <w:r w:rsidRPr="00013BDC">
        <w:rPr>
          <w:noProof/>
          <w:lang w:val="en-IE"/>
        </w:rPr>
        <w:t>. Estimations identified that a circular economy for fashion can address the 500 000 million USD of value lost annually due to clothing underutilisation and the lack of recycling, while supporting the creation of safe, healthy conditions for textile workers and users</w:t>
      </w:r>
      <w:r w:rsidR="0003659A" w:rsidRPr="00013BDC">
        <w:rPr>
          <w:rStyle w:val="FootnoteReference"/>
          <w:noProof/>
          <w:lang w:val="en-IE"/>
        </w:rPr>
        <w:footnoteReference w:id="104"/>
      </w:r>
      <w:r w:rsidRPr="00013BDC">
        <w:rPr>
          <w:noProof/>
          <w:lang w:val="en-IE"/>
        </w:rPr>
        <w:t>. Finally, textile-to-textile recycling can be worth more than 100 000 million USD</w:t>
      </w:r>
      <w:r w:rsidR="0003659A" w:rsidRPr="00013BDC">
        <w:rPr>
          <w:rStyle w:val="FootnoteReference"/>
          <w:noProof/>
          <w:lang w:val="en-IE"/>
        </w:rPr>
        <w:footnoteReference w:id="105"/>
      </w:r>
      <w:r w:rsidRPr="00013BDC">
        <w:rPr>
          <w:noProof/>
          <w:lang w:val="en-IE"/>
        </w:rPr>
        <w:t>.</w:t>
      </w:r>
    </w:p>
    <w:p w14:paraId="5C4E8225" w14:textId="3329EBAC" w:rsidR="00643BF7" w:rsidRPr="00013BDC" w:rsidRDefault="00643BF7" w:rsidP="00643BF7">
      <w:pPr>
        <w:rPr>
          <w:rFonts w:eastAsia="Times New Roman"/>
          <w:noProof/>
          <w:color w:val="000000" w:themeColor="text1"/>
          <w:lang w:val="en-IE"/>
        </w:rPr>
      </w:pPr>
      <w:r w:rsidRPr="00013BDC">
        <w:rPr>
          <w:rFonts w:eastAsia="Times New Roman"/>
          <w:noProof/>
          <w:color w:val="000000" w:themeColor="text1"/>
          <w:lang w:val="en-IE"/>
        </w:rPr>
        <w:t>Both the Council</w:t>
      </w:r>
      <w:r w:rsidR="007D3759" w:rsidRPr="00013BDC">
        <w:rPr>
          <w:rFonts w:eastAsia="Times New Roman"/>
          <w:noProof/>
          <w:color w:val="000000" w:themeColor="text1"/>
          <w:lang w:val="en-IE"/>
        </w:rPr>
        <w:t xml:space="preserve"> </w:t>
      </w:r>
      <w:r w:rsidRPr="00013BDC">
        <w:rPr>
          <w:rFonts w:eastAsia="Times New Roman"/>
          <w:noProof/>
          <w:color w:val="000000" w:themeColor="text1"/>
          <w:vertAlign w:val="superscript"/>
          <w:lang w:val="en-IE"/>
        </w:rPr>
        <w:footnoteReference w:id="106"/>
      </w:r>
      <w:r w:rsidRPr="00013BDC">
        <w:rPr>
          <w:rFonts w:eastAsia="Times New Roman"/>
          <w:noProof/>
          <w:color w:val="000000" w:themeColor="text1"/>
          <w:vertAlign w:val="superscript"/>
          <w:lang w:val="en-IE"/>
        </w:rPr>
        <w:t>,</w:t>
      </w:r>
      <w:r w:rsidRPr="00013BDC">
        <w:rPr>
          <w:rFonts w:eastAsia="Times New Roman"/>
          <w:noProof/>
          <w:color w:val="000000" w:themeColor="text1"/>
          <w:vertAlign w:val="superscript"/>
          <w:lang w:val="en-IE"/>
        </w:rPr>
        <w:footnoteReference w:id="107"/>
      </w:r>
      <w:r w:rsidRPr="00013BDC">
        <w:rPr>
          <w:rFonts w:eastAsia="Times New Roman"/>
          <w:noProof/>
          <w:color w:val="000000" w:themeColor="text1"/>
          <w:lang w:val="en-IE"/>
        </w:rPr>
        <w:t xml:space="preserve"> and European Parliament</w:t>
      </w:r>
      <w:r w:rsidR="007D3759" w:rsidRPr="00013BDC">
        <w:rPr>
          <w:rFonts w:eastAsia="Times New Roman"/>
          <w:noProof/>
          <w:color w:val="000000" w:themeColor="text1"/>
          <w:lang w:val="en-IE"/>
        </w:rPr>
        <w:t xml:space="preserve"> </w:t>
      </w:r>
      <w:r w:rsidRPr="00013BDC">
        <w:rPr>
          <w:rFonts w:eastAsia="Times New Roman"/>
          <w:noProof/>
          <w:color w:val="000000" w:themeColor="text1"/>
          <w:vertAlign w:val="superscript"/>
          <w:lang w:val="en-IE"/>
        </w:rPr>
        <w:footnoteReference w:id="108"/>
      </w:r>
      <w:r w:rsidRPr="00013BDC">
        <w:rPr>
          <w:rFonts w:eastAsia="Times New Roman"/>
          <w:noProof/>
          <w:color w:val="000000" w:themeColor="text1"/>
          <w:vertAlign w:val="superscript"/>
          <w:lang w:val="en-IE"/>
        </w:rPr>
        <w:t>,</w:t>
      </w:r>
      <w:r w:rsidRPr="00013BDC">
        <w:rPr>
          <w:rFonts w:eastAsia="Times New Roman"/>
          <w:noProof/>
          <w:color w:val="000000" w:themeColor="text1"/>
          <w:vertAlign w:val="superscript"/>
          <w:lang w:val="en-IE"/>
        </w:rPr>
        <w:footnoteReference w:id="109"/>
      </w:r>
      <w:r w:rsidRPr="00013BDC">
        <w:rPr>
          <w:rFonts w:eastAsia="Times New Roman"/>
          <w:noProof/>
          <w:color w:val="000000" w:themeColor="text1"/>
          <w:lang w:val="en-IE"/>
        </w:rPr>
        <w:t xml:space="preserve"> called for and welcomed the Commission’s comprehensive approach to improve the sustainability and the circularity of the textiles sector, in particular, expressing their expectations in relation to a strong sustainable product policy, prioritising waste prevention, introduction of EPR, stimulating recycling and high-quality recycling technologies and capacities in the EU and demand for recycled textiles, adopting EU end-of-waste criteria for textiles and increasing the resilience and socially just value chain, including calling on the Commission to consider sector-specific legislation. The European Parliament </w:t>
      </w:r>
      <w:r w:rsidR="7528F6AF" w:rsidRPr="00013BDC">
        <w:rPr>
          <w:rFonts w:eastAsia="Times New Roman"/>
          <w:noProof/>
          <w:color w:val="000000" w:themeColor="text1"/>
          <w:lang w:val="en-IE"/>
        </w:rPr>
        <w:t>is</w:t>
      </w:r>
      <w:r w:rsidR="4346AB1E" w:rsidRPr="00013BDC">
        <w:rPr>
          <w:rFonts w:eastAsia="Times New Roman"/>
          <w:noProof/>
          <w:color w:val="000000" w:themeColor="text1"/>
          <w:lang w:val="en-IE"/>
        </w:rPr>
        <w:t xml:space="preserve"> preparing</w:t>
      </w:r>
      <w:r w:rsidRPr="00013BDC">
        <w:rPr>
          <w:rFonts w:eastAsia="Times New Roman"/>
          <w:noProof/>
          <w:color w:val="000000" w:themeColor="text1"/>
          <w:lang w:val="en-IE"/>
        </w:rPr>
        <w:t xml:space="preserve"> an own initiative report on EU Strategy for Sustainable and Circular Textiles due in Spring 2023</w:t>
      </w:r>
      <w:r w:rsidR="0A57BD5C" w:rsidRPr="00013BDC">
        <w:rPr>
          <w:rFonts w:eastAsia="Times New Roman"/>
          <w:noProof/>
          <w:color w:val="000000" w:themeColor="text1"/>
          <w:lang w:val="en-IE"/>
        </w:rPr>
        <w:t xml:space="preserve"> (May)</w:t>
      </w:r>
      <w:r w:rsidR="04D39E0B" w:rsidRPr="00013BDC">
        <w:rPr>
          <w:rFonts w:eastAsia="Times New Roman"/>
          <w:noProof/>
          <w:color w:val="000000" w:themeColor="text1"/>
          <w:lang w:val="en-IE"/>
        </w:rPr>
        <w:t>.</w:t>
      </w:r>
      <w:r w:rsidRPr="00013BDC">
        <w:rPr>
          <w:rFonts w:eastAsia="Times New Roman"/>
          <w:noProof/>
          <w:color w:val="000000" w:themeColor="text1"/>
          <w:lang w:val="en-IE"/>
        </w:rPr>
        <w:t xml:space="preserve"> </w:t>
      </w:r>
      <w:r w:rsidR="00CC3EC0" w:rsidRPr="00013BDC">
        <w:rPr>
          <w:rFonts w:eastAsia="Times New Roman"/>
          <w:noProof/>
          <w:color w:val="000000" w:themeColor="text1"/>
          <w:lang w:val="en-IE"/>
        </w:rPr>
        <w:t>T</w:t>
      </w:r>
      <w:r w:rsidR="1184F2DE" w:rsidRPr="00013BDC">
        <w:rPr>
          <w:rFonts w:eastAsia="Times New Roman"/>
          <w:noProof/>
          <w:color w:val="000000" w:themeColor="text1"/>
          <w:lang w:val="en-IE"/>
        </w:rPr>
        <w:t xml:space="preserve">he Report </w:t>
      </w:r>
      <w:r w:rsidR="65FC93D7" w:rsidRPr="00013BDC">
        <w:rPr>
          <w:rFonts w:eastAsia="Times New Roman"/>
          <w:noProof/>
          <w:color w:val="000000" w:themeColor="text1"/>
          <w:lang w:val="en-IE"/>
        </w:rPr>
        <w:t>endorses the vision</w:t>
      </w:r>
      <w:r w:rsidR="008F227C" w:rsidRPr="00013BDC">
        <w:rPr>
          <w:rFonts w:eastAsia="Times New Roman"/>
          <w:noProof/>
          <w:color w:val="000000" w:themeColor="text1"/>
          <w:lang w:val="en-IE"/>
        </w:rPr>
        <w:t xml:space="preserve"> of the Textiles Strategy</w:t>
      </w:r>
      <w:r w:rsidR="65FC93D7" w:rsidRPr="00013BDC">
        <w:rPr>
          <w:rFonts w:eastAsia="Times New Roman"/>
          <w:noProof/>
          <w:color w:val="000000" w:themeColor="text1"/>
          <w:lang w:val="en-IE"/>
        </w:rPr>
        <w:t xml:space="preserve"> for </w:t>
      </w:r>
      <w:r w:rsidR="008F227C" w:rsidRPr="00013BDC">
        <w:rPr>
          <w:rFonts w:eastAsia="Times New Roman"/>
          <w:noProof/>
          <w:color w:val="000000" w:themeColor="text1"/>
          <w:lang w:val="en-IE"/>
        </w:rPr>
        <w:t>the</w:t>
      </w:r>
      <w:r w:rsidR="65FC93D7" w:rsidRPr="00013BDC">
        <w:rPr>
          <w:rFonts w:eastAsia="Times New Roman"/>
          <w:noProof/>
          <w:color w:val="000000" w:themeColor="text1"/>
          <w:lang w:val="en-IE"/>
        </w:rPr>
        <w:t xml:space="preserve"> sector and </w:t>
      </w:r>
      <w:r w:rsidR="1184F2DE" w:rsidRPr="00013BDC">
        <w:rPr>
          <w:rFonts w:eastAsia="Times New Roman"/>
          <w:noProof/>
          <w:color w:val="000000" w:themeColor="text1"/>
          <w:lang w:val="en-IE"/>
        </w:rPr>
        <w:t xml:space="preserve">calls for swift implementation of </w:t>
      </w:r>
      <w:r w:rsidR="53EF865C" w:rsidRPr="00013BDC">
        <w:rPr>
          <w:rFonts w:eastAsia="Times New Roman"/>
          <w:noProof/>
          <w:color w:val="000000" w:themeColor="text1"/>
          <w:lang w:val="en-IE"/>
        </w:rPr>
        <w:t xml:space="preserve">its </w:t>
      </w:r>
      <w:r w:rsidR="1184F2DE" w:rsidRPr="00013BDC">
        <w:rPr>
          <w:rFonts w:eastAsia="Times New Roman"/>
          <w:noProof/>
          <w:color w:val="000000" w:themeColor="text1"/>
          <w:lang w:val="en-IE"/>
        </w:rPr>
        <w:t>actions</w:t>
      </w:r>
      <w:r w:rsidR="1165CCA9" w:rsidRPr="00013BDC">
        <w:rPr>
          <w:rFonts w:eastAsia="Times New Roman"/>
          <w:noProof/>
          <w:color w:val="000000" w:themeColor="text1"/>
          <w:lang w:val="en-IE"/>
        </w:rPr>
        <w:t>,</w:t>
      </w:r>
      <w:r w:rsidR="1184F2DE" w:rsidRPr="00013BDC">
        <w:rPr>
          <w:rFonts w:eastAsia="Times New Roman"/>
          <w:noProof/>
          <w:color w:val="000000" w:themeColor="text1"/>
          <w:lang w:val="en-IE"/>
        </w:rPr>
        <w:t xml:space="preserve"> among those </w:t>
      </w:r>
      <w:r w:rsidR="75AE7232" w:rsidRPr="00013BDC">
        <w:rPr>
          <w:rFonts w:eastAsia="Times New Roman"/>
          <w:noProof/>
          <w:color w:val="000000" w:themeColor="text1"/>
          <w:lang w:val="en-IE"/>
        </w:rPr>
        <w:t xml:space="preserve">the possibility of setting harmonised EPR schemes for textiles. </w:t>
      </w:r>
    </w:p>
    <w:p w14:paraId="56B5569F" w14:textId="36A50A04" w:rsidR="00620C9B" w:rsidRPr="00013BDC" w:rsidRDefault="00F64258" w:rsidP="00F64258">
      <w:pPr>
        <w:pStyle w:val="Heading2"/>
        <w:rPr>
          <w:noProof/>
          <w:lang w:val="en-IE"/>
        </w:rPr>
      </w:pPr>
      <w:bookmarkStart w:id="489" w:name="_Toc120782545"/>
      <w:bookmarkStart w:id="490" w:name="_Toc124777289"/>
      <w:bookmarkStart w:id="491" w:name="_Toc563658434"/>
      <w:bookmarkStart w:id="492" w:name="_Toc1183082396"/>
      <w:bookmarkStart w:id="493" w:name="_Toc1870205472"/>
      <w:bookmarkStart w:id="494" w:name="_Toc1809479084"/>
      <w:bookmarkStart w:id="495" w:name="_Toc1168565390"/>
      <w:bookmarkStart w:id="496" w:name="_Toc358670402"/>
      <w:bookmarkStart w:id="497" w:name="_Toc1936540015"/>
      <w:bookmarkStart w:id="498" w:name="_Toc139032975"/>
      <w:r w:rsidRPr="00F64258">
        <w:t>2-</w:t>
      </w:r>
      <w:r w:rsidRPr="00F64258">
        <w:tab/>
      </w:r>
      <w:r w:rsidR="00620C9B" w:rsidRPr="00013BDC">
        <w:rPr>
          <w:noProof/>
          <w:lang w:val="en-IE"/>
        </w:rPr>
        <w:t>Food Waste</w:t>
      </w:r>
      <w:bookmarkEnd w:id="489"/>
      <w:bookmarkEnd w:id="490"/>
      <w:bookmarkEnd w:id="491"/>
      <w:bookmarkEnd w:id="492"/>
      <w:bookmarkEnd w:id="493"/>
      <w:bookmarkEnd w:id="494"/>
      <w:bookmarkEnd w:id="495"/>
      <w:bookmarkEnd w:id="496"/>
      <w:bookmarkEnd w:id="497"/>
      <w:bookmarkEnd w:id="498"/>
    </w:p>
    <w:p w14:paraId="6B4FA669" w14:textId="7BE86E32" w:rsidR="00794505" w:rsidRPr="00013BDC" w:rsidRDefault="00794505" w:rsidP="0B9E2EEF">
      <w:pPr>
        <w:pStyle w:val="Heading3"/>
        <w:rPr>
          <w:b/>
          <w:noProof/>
          <w:lang w:val="en-IE"/>
        </w:rPr>
      </w:pPr>
      <w:bookmarkStart w:id="499" w:name="_Toc1043315973"/>
      <w:bookmarkStart w:id="500" w:name="_Toc220211510"/>
      <w:bookmarkStart w:id="501" w:name="_Toc957636832"/>
      <w:bookmarkStart w:id="502" w:name="_Toc1639632921"/>
      <w:bookmarkStart w:id="503" w:name="_Toc139032976"/>
      <w:r w:rsidRPr="00013BDC">
        <w:rPr>
          <w:noProof/>
          <w:lang w:val="en-IE"/>
        </w:rPr>
        <w:t>Political context</w:t>
      </w:r>
      <w:bookmarkEnd w:id="499"/>
      <w:bookmarkEnd w:id="500"/>
      <w:bookmarkEnd w:id="501"/>
      <w:bookmarkEnd w:id="502"/>
      <w:bookmarkEnd w:id="503"/>
    </w:p>
    <w:p w14:paraId="69AFEF12" w14:textId="77777777" w:rsidR="00794505" w:rsidRPr="00013BDC" w:rsidRDefault="00794505" w:rsidP="00CC1D33">
      <w:pPr>
        <w:spacing w:after="120"/>
        <w:rPr>
          <w:noProof/>
          <w:lang w:val="en-IE"/>
        </w:rPr>
      </w:pPr>
      <w:r w:rsidRPr="00013BDC">
        <w:rPr>
          <w:noProof/>
          <w:lang w:val="en-IE"/>
        </w:rPr>
        <w:t xml:space="preserve">Before 2015, food waste was not a dedicated subject of EU legislation but was addressed as a part of biodegradable municipal waste or, since 2008, as a part of bio-waste. </w:t>
      </w:r>
    </w:p>
    <w:p w14:paraId="1D737928" w14:textId="0F1B7493" w:rsidR="00794505" w:rsidRPr="00013BDC" w:rsidRDefault="00794505" w:rsidP="00CC1D33">
      <w:pPr>
        <w:spacing w:after="120"/>
        <w:rPr>
          <w:noProof/>
          <w:lang w:val="en-IE"/>
        </w:rPr>
      </w:pPr>
      <w:r w:rsidRPr="00013BDC">
        <w:rPr>
          <w:noProof/>
          <w:lang w:val="en-IE"/>
        </w:rPr>
        <w:t xml:space="preserve">In 2011 in the Communication on Roadmap to a Resource Efficient Europe (COM(2011) 571 final) the Commission proposed several actions to reduce environmental impacts of food production and consumption as well as of treatment of food waste. </w:t>
      </w:r>
      <w:r w:rsidR="001964D9" w:rsidRPr="00013BDC">
        <w:rPr>
          <w:noProof/>
          <w:lang w:val="en-IE"/>
        </w:rPr>
        <w:t xml:space="preserve">The </w:t>
      </w:r>
      <w:r w:rsidRPr="00013BDC">
        <w:rPr>
          <w:noProof/>
          <w:lang w:val="en-IE"/>
        </w:rPr>
        <w:t xml:space="preserve">Communication included </w:t>
      </w:r>
      <w:r w:rsidR="001964D9" w:rsidRPr="00013BDC">
        <w:rPr>
          <w:noProof/>
          <w:lang w:val="en-IE"/>
        </w:rPr>
        <w:t xml:space="preserve">a </w:t>
      </w:r>
      <w:r w:rsidRPr="00013BDC">
        <w:rPr>
          <w:noProof/>
          <w:lang w:val="en-IE"/>
        </w:rPr>
        <w:t>milestone that</w:t>
      </w:r>
      <w:r w:rsidR="001964D9" w:rsidRPr="00013BDC">
        <w:rPr>
          <w:noProof/>
          <w:lang w:val="en-IE"/>
        </w:rPr>
        <w:t>,</w:t>
      </w:r>
      <w:r w:rsidRPr="00013BDC">
        <w:rPr>
          <w:noProof/>
          <w:lang w:val="en-IE"/>
        </w:rPr>
        <w:t xml:space="preserve"> by 2020</w:t>
      </w:r>
      <w:r w:rsidR="001964D9" w:rsidRPr="00013BDC">
        <w:rPr>
          <w:noProof/>
          <w:lang w:val="en-IE"/>
        </w:rPr>
        <w:t>,</w:t>
      </w:r>
      <w:r w:rsidRPr="00013BDC">
        <w:rPr>
          <w:noProof/>
          <w:lang w:val="en-IE"/>
        </w:rPr>
        <w:t xml:space="preserve"> disposal of edible food waste should have been halved in the EU. Further assessment on how best to limit waste throughout the food supply chain and consider ways to lower the environmental impact of food production and consumption patterns was to be done in </w:t>
      </w:r>
      <w:r w:rsidR="001964D9" w:rsidRPr="00013BDC">
        <w:rPr>
          <w:noProof/>
          <w:lang w:val="en-IE"/>
        </w:rPr>
        <w:t>a</w:t>
      </w:r>
      <w:r w:rsidRPr="00013BDC">
        <w:rPr>
          <w:noProof/>
          <w:lang w:val="en-IE"/>
        </w:rPr>
        <w:t xml:space="preserve"> Communication on sustainable food</w:t>
      </w:r>
      <w:r w:rsidR="00622BC7" w:rsidRPr="00013BDC">
        <w:rPr>
          <w:noProof/>
          <w:lang w:val="en-IE"/>
        </w:rPr>
        <w:t xml:space="preserve"> foreseen</w:t>
      </w:r>
      <w:r w:rsidRPr="00013BDC">
        <w:rPr>
          <w:noProof/>
          <w:lang w:val="en-IE"/>
        </w:rPr>
        <w:t xml:space="preserve"> in 2013. The Communication was cancelled</w:t>
      </w:r>
      <w:r w:rsidR="00622BC7" w:rsidRPr="00013BDC">
        <w:rPr>
          <w:noProof/>
          <w:lang w:val="en-IE"/>
        </w:rPr>
        <w:t xml:space="preserve"> and</w:t>
      </w:r>
      <w:r w:rsidRPr="00013BDC">
        <w:rPr>
          <w:noProof/>
          <w:lang w:val="en-IE"/>
        </w:rPr>
        <w:t xml:space="preserve">, instead, </w:t>
      </w:r>
      <w:r w:rsidR="00622BC7" w:rsidRPr="00013BDC">
        <w:rPr>
          <w:noProof/>
          <w:lang w:val="en-IE"/>
        </w:rPr>
        <w:t xml:space="preserve">a </w:t>
      </w:r>
      <w:r w:rsidRPr="00013BDC">
        <w:rPr>
          <w:noProof/>
          <w:lang w:val="en-IE"/>
        </w:rPr>
        <w:t>voluntary target on prevention of food waste was proposed</w:t>
      </w:r>
      <w:r w:rsidR="00622BC7" w:rsidRPr="00013BDC">
        <w:rPr>
          <w:noProof/>
          <w:lang w:val="en-IE"/>
        </w:rPr>
        <w:t>,</w:t>
      </w:r>
      <w:r w:rsidRPr="00013BDC">
        <w:rPr>
          <w:noProof/>
          <w:lang w:val="en-IE"/>
        </w:rPr>
        <w:t xml:space="preserve"> in 2014</w:t>
      </w:r>
      <w:r w:rsidR="00622BC7" w:rsidRPr="00013BDC">
        <w:rPr>
          <w:noProof/>
          <w:lang w:val="en-IE"/>
        </w:rPr>
        <w:t>, as part of a</w:t>
      </w:r>
      <w:r w:rsidRPr="00013BDC">
        <w:rPr>
          <w:noProof/>
          <w:lang w:val="en-IE"/>
        </w:rPr>
        <w:t xml:space="preserve"> proposal to revise </w:t>
      </w:r>
      <w:r w:rsidR="00622BC7" w:rsidRPr="00013BDC">
        <w:rPr>
          <w:noProof/>
          <w:lang w:val="en-IE"/>
        </w:rPr>
        <w:t xml:space="preserve">the </w:t>
      </w:r>
      <w:r w:rsidRPr="00013BDC">
        <w:rPr>
          <w:noProof/>
          <w:lang w:val="en-IE"/>
        </w:rPr>
        <w:t>Waste Framework Directive (COM/2014/0397 final). </w:t>
      </w:r>
    </w:p>
    <w:p w14:paraId="71FBB16B" w14:textId="74284616" w:rsidR="00794505" w:rsidRPr="00013BDC" w:rsidRDefault="00794505" w:rsidP="00CC1D33">
      <w:pPr>
        <w:spacing w:after="120"/>
        <w:rPr>
          <w:noProof/>
          <w:lang w:val="en-IE"/>
        </w:rPr>
      </w:pPr>
      <w:r w:rsidRPr="00013BDC">
        <w:rPr>
          <w:noProof/>
          <w:lang w:val="en-IE"/>
        </w:rPr>
        <w:t xml:space="preserve">The 2014 proposal aimed to establish the framework for Member States to collect and report levels of food waste across all sectors in a comparable way, and request developing national food waste prevention plans aimed at meeting an aspirational objective </w:t>
      </w:r>
      <w:r w:rsidR="00622BC7" w:rsidRPr="00013BDC">
        <w:rPr>
          <w:noProof/>
          <w:lang w:val="en-IE"/>
        </w:rPr>
        <w:t>of</w:t>
      </w:r>
      <w:r w:rsidRPr="00013BDC">
        <w:rPr>
          <w:noProof/>
          <w:lang w:val="en-IE"/>
        </w:rPr>
        <w:t xml:space="preserve"> reduc</w:t>
      </w:r>
      <w:r w:rsidR="00622BC7" w:rsidRPr="00013BDC">
        <w:rPr>
          <w:noProof/>
          <w:lang w:val="en-IE"/>
        </w:rPr>
        <w:t>ing</w:t>
      </w:r>
      <w:r w:rsidRPr="00013BDC">
        <w:rPr>
          <w:noProof/>
          <w:lang w:val="en-IE"/>
        </w:rPr>
        <w:t xml:space="preserve"> food waste by 30 % by 2025. </w:t>
      </w:r>
    </w:p>
    <w:p w14:paraId="5FD2576C" w14:textId="225AED59" w:rsidR="00794505" w:rsidRPr="00013BDC" w:rsidRDefault="00794505" w:rsidP="00794505">
      <w:pPr>
        <w:rPr>
          <w:noProof/>
          <w:lang w:val="en-IE"/>
        </w:rPr>
      </w:pPr>
      <w:r w:rsidRPr="00013BDC">
        <w:rPr>
          <w:noProof/>
          <w:lang w:val="en-IE"/>
        </w:rPr>
        <w:t>The 2014 proposal ha</w:t>
      </w:r>
      <w:r w:rsidR="00622BC7" w:rsidRPr="00013BDC">
        <w:rPr>
          <w:noProof/>
          <w:lang w:val="en-IE"/>
        </w:rPr>
        <w:t>s</w:t>
      </w:r>
      <w:r w:rsidRPr="00013BDC">
        <w:rPr>
          <w:noProof/>
          <w:lang w:val="en-IE"/>
        </w:rPr>
        <w:t xml:space="preserve"> been further withdrawn in March 2015 </w:t>
      </w:r>
      <w:r w:rsidR="00622BC7" w:rsidRPr="00013BDC">
        <w:rPr>
          <w:noProof/>
          <w:lang w:val="en-IE"/>
        </w:rPr>
        <w:t>as part of a</w:t>
      </w:r>
      <w:r w:rsidRPr="00013BDC">
        <w:rPr>
          <w:noProof/>
          <w:lang w:val="en-IE"/>
        </w:rPr>
        <w:t xml:space="preserve"> package of 73 proposals. The Commission declared </w:t>
      </w:r>
      <w:r w:rsidR="00622BC7" w:rsidRPr="00013BDC">
        <w:rPr>
          <w:noProof/>
          <w:lang w:val="en-IE"/>
        </w:rPr>
        <w:t xml:space="preserve">that </w:t>
      </w:r>
      <w:r w:rsidRPr="00013BDC">
        <w:rPr>
          <w:noProof/>
          <w:lang w:val="en-IE"/>
        </w:rPr>
        <w:t xml:space="preserve">it will continue work to prepare more </w:t>
      </w:r>
      <w:r w:rsidR="00F63D52" w:rsidRPr="00013BDC">
        <w:rPr>
          <w:noProof/>
          <w:lang w:val="en-IE"/>
        </w:rPr>
        <w:t xml:space="preserve">a </w:t>
      </w:r>
      <w:r w:rsidRPr="00013BDC">
        <w:rPr>
          <w:noProof/>
          <w:lang w:val="en-IE"/>
        </w:rPr>
        <w:t xml:space="preserve">ambitious proposal </w:t>
      </w:r>
      <w:r w:rsidR="00F63D52" w:rsidRPr="00013BDC">
        <w:rPr>
          <w:noProof/>
          <w:lang w:val="en-IE"/>
        </w:rPr>
        <w:t>concerning</w:t>
      </w:r>
      <w:r w:rsidRPr="00013BDC">
        <w:rPr>
          <w:noProof/>
          <w:lang w:val="en-IE"/>
        </w:rPr>
        <w:t xml:space="preserve"> the Waste Package</w:t>
      </w:r>
      <w:r w:rsidR="00F63D52" w:rsidRPr="00013BDC">
        <w:rPr>
          <w:noProof/>
          <w:lang w:val="en-IE"/>
        </w:rPr>
        <w:t>,</w:t>
      </w:r>
      <w:r w:rsidRPr="00013BDC">
        <w:rPr>
          <w:noProof/>
          <w:lang w:val="en-IE"/>
        </w:rPr>
        <w:t xml:space="preserve"> by the end of 2015</w:t>
      </w:r>
      <w:r w:rsidR="00F63D52" w:rsidRPr="00013BDC">
        <w:rPr>
          <w:noProof/>
          <w:lang w:val="en-IE"/>
        </w:rPr>
        <w:t>,</w:t>
      </w:r>
      <w:r w:rsidRPr="00013BDC">
        <w:rPr>
          <w:noProof/>
          <w:lang w:val="en-IE"/>
        </w:rPr>
        <w:t xml:space="preserve"> to promote Circular Economy. The proposal was published</w:t>
      </w:r>
      <w:r w:rsidR="00F63D52" w:rsidRPr="00013BDC">
        <w:rPr>
          <w:noProof/>
          <w:lang w:val="en-IE"/>
        </w:rPr>
        <w:t>,</w:t>
      </w:r>
      <w:r w:rsidRPr="00013BDC">
        <w:rPr>
          <w:noProof/>
          <w:lang w:val="en-IE"/>
        </w:rPr>
        <w:t xml:space="preserve"> together with </w:t>
      </w:r>
      <w:r w:rsidR="004C3C57" w:rsidRPr="00013BDC">
        <w:rPr>
          <w:noProof/>
          <w:lang w:val="en-IE"/>
        </w:rPr>
        <w:t xml:space="preserve">the </w:t>
      </w:r>
      <w:r w:rsidR="00F63D52" w:rsidRPr="00013BDC">
        <w:rPr>
          <w:noProof/>
          <w:lang w:val="en-IE"/>
        </w:rPr>
        <w:t>Circular Economy Action Plan (</w:t>
      </w:r>
      <w:r w:rsidR="004C3C57" w:rsidRPr="00013BDC">
        <w:rPr>
          <w:noProof/>
          <w:lang w:val="en-IE"/>
        </w:rPr>
        <w:t>CEAP</w:t>
      </w:r>
      <w:r w:rsidR="00F63D52" w:rsidRPr="00013BDC">
        <w:rPr>
          <w:noProof/>
          <w:lang w:val="en-IE"/>
        </w:rPr>
        <w:t>),</w:t>
      </w:r>
      <w:r w:rsidRPr="00013BDC">
        <w:rPr>
          <w:noProof/>
          <w:lang w:val="en-IE"/>
        </w:rPr>
        <w:t xml:space="preserve"> in December 2015</w:t>
      </w:r>
      <w:r w:rsidR="00F63D52" w:rsidRPr="00013BDC">
        <w:rPr>
          <w:noProof/>
          <w:lang w:val="en-IE"/>
        </w:rPr>
        <w:t>,</w:t>
      </w:r>
      <w:r w:rsidRPr="00013BDC">
        <w:rPr>
          <w:noProof/>
          <w:lang w:val="en-IE"/>
        </w:rPr>
        <w:t xml:space="preserve"> and was adopted in May 2018. </w:t>
      </w:r>
    </w:p>
    <w:p w14:paraId="2370A653" w14:textId="0D44A02C" w:rsidR="00794505" w:rsidRPr="00013BDC" w:rsidRDefault="001964D9" w:rsidP="00794505">
      <w:pPr>
        <w:rPr>
          <w:noProof/>
          <w:lang w:val="en-IE"/>
        </w:rPr>
      </w:pPr>
      <w:r w:rsidRPr="00013BDC">
        <w:rPr>
          <w:noProof/>
          <w:lang w:val="en-IE"/>
        </w:rPr>
        <w:t xml:space="preserve">The </w:t>
      </w:r>
      <w:r w:rsidR="00794505" w:rsidRPr="00013BDC">
        <w:rPr>
          <w:noProof/>
          <w:lang w:val="en-IE"/>
        </w:rPr>
        <w:t>Commission</w:t>
      </w:r>
      <w:r w:rsidRPr="00013BDC">
        <w:rPr>
          <w:noProof/>
          <w:lang w:val="en-IE"/>
        </w:rPr>
        <w:t>’s</w:t>
      </w:r>
      <w:r w:rsidR="00794505" w:rsidRPr="00013BDC">
        <w:rPr>
          <w:noProof/>
          <w:lang w:val="en-IE"/>
        </w:rPr>
        <w:t xml:space="preserve"> approach was reinforced by global efforts. In September 2015, as part of the 2030 Sustainable Development Goals, the United Nations General Assembly adopted a target of halving per capita food waste at the retail and consumer level and reducing food losses along production and supply chains (SDG Target 12.3). The EU and its Member States have committed to meeting this target.</w:t>
      </w:r>
    </w:p>
    <w:p w14:paraId="33A97AB2" w14:textId="7BE86E32" w:rsidR="00794505" w:rsidRPr="00013BDC" w:rsidRDefault="00794505" w:rsidP="0B9E2EEF">
      <w:pPr>
        <w:pStyle w:val="Heading3"/>
        <w:rPr>
          <w:b/>
          <w:noProof/>
          <w:lang w:val="en-IE"/>
        </w:rPr>
      </w:pPr>
      <w:bookmarkStart w:id="504" w:name="_Toc1761425300"/>
      <w:bookmarkStart w:id="505" w:name="_Toc1933232302"/>
      <w:bookmarkStart w:id="506" w:name="_Toc2007579860"/>
      <w:bookmarkStart w:id="507" w:name="_Toc1001237220"/>
      <w:bookmarkStart w:id="508" w:name="_Toc139032977"/>
      <w:r w:rsidRPr="00013BDC">
        <w:rPr>
          <w:noProof/>
          <w:lang w:val="en-IE"/>
        </w:rPr>
        <w:t>Food waste prevention measures in CEAP 2015</w:t>
      </w:r>
      <w:bookmarkEnd w:id="504"/>
      <w:bookmarkEnd w:id="505"/>
      <w:bookmarkEnd w:id="506"/>
      <w:bookmarkEnd w:id="507"/>
      <w:bookmarkEnd w:id="508"/>
    </w:p>
    <w:p w14:paraId="07D4CF84" w14:textId="76F3B38B" w:rsidR="00794505" w:rsidRPr="00013BDC" w:rsidRDefault="004C3C57" w:rsidP="001D6945">
      <w:pPr>
        <w:spacing w:after="120"/>
        <w:rPr>
          <w:noProof/>
          <w:lang w:val="en-IE"/>
        </w:rPr>
      </w:pPr>
      <w:r w:rsidRPr="00013BDC">
        <w:rPr>
          <w:noProof/>
          <w:lang w:val="en-IE"/>
        </w:rPr>
        <w:t>The CEAP</w:t>
      </w:r>
      <w:r w:rsidR="00794505" w:rsidRPr="00013BDC">
        <w:rPr>
          <w:noProof/>
          <w:lang w:val="en-IE"/>
        </w:rPr>
        <w:t xml:space="preserve"> named food waste as one of four priority areas for action and, in parallel to development of </w:t>
      </w:r>
      <w:r w:rsidR="00627648" w:rsidRPr="00013BDC">
        <w:rPr>
          <w:noProof/>
          <w:lang w:val="en-IE"/>
        </w:rPr>
        <w:t xml:space="preserve">the </w:t>
      </w:r>
      <w:r w:rsidR="00794505" w:rsidRPr="00013BDC">
        <w:rPr>
          <w:noProof/>
          <w:lang w:val="en-IE"/>
        </w:rPr>
        <w:t xml:space="preserve">WFD, envisaged series of non-legislative actions </w:t>
      </w:r>
      <w:r w:rsidR="00627648" w:rsidRPr="00013BDC">
        <w:rPr>
          <w:noProof/>
          <w:lang w:val="en-IE"/>
        </w:rPr>
        <w:t>at</w:t>
      </w:r>
      <w:r w:rsidR="00794505" w:rsidRPr="00013BDC">
        <w:rPr>
          <w:noProof/>
          <w:lang w:val="en-IE"/>
        </w:rPr>
        <w:t xml:space="preserve"> EU level aimed </w:t>
      </w:r>
      <w:r w:rsidR="00627648" w:rsidRPr="00013BDC">
        <w:rPr>
          <w:noProof/>
          <w:lang w:val="en-IE"/>
        </w:rPr>
        <w:t xml:space="preserve">at </w:t>
      </w:r>
      <w:r w:rsidR="00794505" w:rsidRPr="00013BDC">
        <w:rPr>
          <w:noProof/>
          <w:lang w:val="en-IE"/>
        </w:rPr>
        <w:t>support</w:t>
      </w:r>
      <w:r w:rsidR="00627648" w:rsidRPr="00013BDC">
        <w:rPr>
          <w:noProof/>
          <w:lang w:val="en-IE"/>
        </w:rPr>
        <w:t>ing</w:t>
      </w:r>
      <w:r w:rsidR="00794505" w:rsidRPr="00013BDC">
        <w:rPr>
          <w:noProof/>
          <w:lang w:val="en-IE"/>
        </w:rPr>
        <w:t xml:space="preserve"> the achievement of SDG Target 12.3 on food waste and to maximise the contribution of actors in the food supply chain. The actions were as follows: </w:t>
      </w:r>
    </w:p>
    <w:p w14:paraId="7C072447" w14:textId="3A43BBD6" w:rsidR="00794505" w:rsidRPr="00013BDC" w:rsidRDefault="00794505" w:rsidP="00CF0DFB">
      <w:pPr>
        <w:pStyle w:val="ListParagraph"/>
        <w:numPr>
          <w:ilvl w:val="0"/>
          <w:numId w:val="77"/>
        </w:numPr>
        <w:spacing w:after="160" w:line="259" w:lineRule="auto"/>
        <w:rPr>
          <w:noProof/>
          <w:lang w:val="en-IE"/>
        </w:rPr>
      </w:pPr>
      <w:r w:rsidRPr="00013BDC">
        <w:rPr>
          <w:noProof/>
          <w:lang w:val="en-IE"/>
        </w:rPr>
        <w:t>Establishment of the EU Platform on Food Losses and Food Waste, involving Member States and stakeholders in order to support the achievement of the SDG Target 12.3 through the sharing of best practice and the evaluation of progress made over time. The Platform has a status of informal Commission’s expert group</w:t>
      </w:r>
      <w:r w:rsidR="00381861" w:rsidRPr="00013BDC">
        <w:rPr>
          <w:rStyle w:val="FootnoteReference"/>
          <w:noProof/>
          <w:lang w:val="en-IE"/>
        </w:rPr>
        <w:footnoteReference w:id="110"/>
      </w:r>
      <w:r w:rsidRPr="00013BDC">
        <w:rPr>
          <w:noProof/>
          <w:lang w:val="en-IE"/>
        </w:rPr>
        <w:t xml:space="preserve">. </w:t>
      </w:r>
      <w:r w:rsidR="007719B0" w:rsidRPr="00013BDC">
        <w:rPr>
          <w:noProof/>
          <w:lang w:val="en-IE"/>
        </w:rPr>
        <w:t>The f</w:t>
      </w:r>
      <w:r w:rsidRPr="00013BDC">
        <w:rPr>
          <w:noProof/>
          <w:lang w:val="en-IE"/>
        </w:rPr>
        <w:t xml:space="preserve">irst meeting of the Platform </w:t>
      </w:r>
      <w:r w:rsidR="007719B0" w:rsidRPr="00013BDC">
        <w:rPr>
          <w:noProof/>
          <w:lang w:val="en-IE"/>
        </w:rPr>
        <w:t>took</w:t>
      </w:r>
      <w:r w:rsidRPr="00013BDC">
        <w:rPr>
          <w:noProof/>
          <w:lang w:val="en-IE"/>
        </w:rPr>
        <w:t xml:space="preserve"> place in November 2016 and</w:t>
      </w:r>
      <w:r w:rsidR="007719B0" w:rsidRPr="00013BDC">
        <w:rPr>
          <w:noProof/>
          <w:lang w:val="en-IE"/>
        </w:rPr>
        <w:t>,</w:t>
      </w:r>
      <w:r w:rsidRPr="00013BDC">
        <w:rPr>
          <w:noProof/>
          <w:lang w:val="en-IE"/>
        </w:rPr>
        <w:t xml:space="preserve"> in 2021</w:t>
      </w:r>
      <w:r w:rsidR="007719B0" w:rsidRPr="00013BDC">
        <w:rPr>
          <w:noProof/>
          <w:lang w:val="en-IE"/>
        </w:rPr>
        <w:t>,</w:t>
      </w:r>
      <w:r w:rsidRPr="00013BDC">
        <w:rPr>
          <w:noProof/>
          <w:lang w:val="en-IE"/>
        </w:rPr>
        <w:t xml:space="preserve"> its mandate has been extended until </w:t>
      </w:r>
      <w:r w:rsidR="007719B0" w:rsidRPr="00013BDC">
        <w:rPr>
          <w:noProof/>
          <w:lang w:val="en-IE"/>
        </w:rPr>
        <w:t xml:space="preserve">end </w:t>
      </w:r>
      <w:r w:rsidRPr="00013BDC">
        <w:rPr>
          <w:noProof/>
          <w:lang w:val="en-IE"/>
        </w:rPr>
        <w:t>2026</w:t>
      </w:r>
      <w:r w:rsidR="00A54214" w:rsidRPr="00013BDC">
        <w:rPr>
          <w:noProof/>
          <w:lang w:val="en-IE"/>
        </w:rPr>
        <w:t>;</w:t>
      </w:r>
      <w:r w:rsidRPr="00013BDC">
        <w:rPr>
          <w:noProof/>
          <w:lang w:val="en-IE"/>
        </w:rPr>
        <w:t> </w:t>
      </w:r>
    </w:p>
    <w:p w14:paraId="3907A5CA" w14:textId="12E03423" w:rsidR="00794505" w:rsidRPr="00013BDC" w:rsidRDefault="00794505" w:rsidP="00CF0DFB">
      <w:pPr>
        <w:pStyle w:val="ListParagraph"/>
        <w:numPr>
          <w:ilvl w:val="0"/>
          <w:numId w:val="77"/>
        </w:numPr>
        <w:spacing w:after="160" w:line="259" w:lineRule="auto"/>
        <w:rPr>
          <w:noProof/>
          <w:lang w:val="en-IE"/>
        </w:rPr>
      </w:pPr>
      <w:r w:rsidRPr="00013BDC">
        <w:rPr>
          <w:noProof/>
          <w:lang w:val="en-IE"/>
        </w:rPr>
        <w:t xml:space="preserve">Adoption of </w:t>
      </w:r>
      <w:r w:rsidR="00510139" w:rsidRPr="00013BDC">
        <w:rPr>
          <w:noProof/>
          <w:lang w:val="en-IE"/>
        </w:rPr>
        <w:t xml:space="preserve">a </w:t>
      </w:r>
      <w:r w:rsidRPr="00013BDC">
        <w:rPr>
          <w:noProof/>
          <w:lang w:val="en-IE"/>
        </w:rPr>
        <w:t xml:space="preserve">guidance document </w:t>
      </w:r>
      <w:r w:rsidR="007719B0" w:rsidRPr="00013BDC">
        <w:rPr>
          <w:noProof/>
          <w:lang w:val="en-IE"/>
        </w:rPr>
        <w:t xml:space="preserve">clarifying how relevant </w:t>
      </w:r>
      <w:r w:rsidR="00510139" w:rsidRPr="00013BDC">
        <w:rPr>
          <w:noProof/>
          <w:lang w:val="en-IE"/>
        </w:rPr>
        <w:t xml:space="preserve">provisions in EU </w:t>
      </w:r>
      <w:r w:rsidRPr="00013BDC">
        <w:rPr>
          <w:noProof/>
          <w:lang w:val="en-IE"/>
        </w:rPr>
        <w:t xml:space="preserve">legislation </w:t>
      </w:r>
      <w:r w:rsidR="00510139" w:rsidRPr="00013BDC">
        <w:rPr>
          <w:noProof/>
          <w:lang w:val="en-IE"/>
        </w:rPr>
        <w:t>(e.g., food hygiene, food information to consumers)</w:t>
      </w:r>
      <w:r w:rsidRPr="00013BDC">
        <w:rPr>
          <w:noProof/>
          <w:lang w:val="en-IE"/>
        </w:rPr>
        <w:t xml:space="preserve"> </w:t>
      </w:r>
      <w:r w:rsidR="00510139" w:rsidRPr="00013BDC">
        <w:rPr>
          <w:noProof/>
          <w:lang w:val="en-IE"/>
        </w:rPr>
        <w:t>apply to</w:t>
      </w:r>
      <w:r w:rsidRPr="00013BDC">
        <w:rPr>
          <w:noProof/>
          <w:lang w:val="en-IE"/>
        </w:rPr>
        <w:t xml:space="preserve"> food donation </w:t>
      </w:r>
      <w:r w:rsidR="00CC3EC0" w:rsidRPr="00013BDC">
        <w:rPr>
          <w:noProof/>
          <w:lang w:val="en-IE"/>
        </w:rPr>
        <w:t>–</w:t>
      </w:r>
      <w:r w:rsidRPr="00013BDC">
        <w:rPr>
          <w:noProof/>
          <w:lang w:val="en-IE"/>
        </w:rPr>
        <w:t xml:space="preserve"> EU guidelines on food donation (2017/C 361/01)</w:t>
      </w:r>
      <w:r w:rsidR="00A54214" w:rsidRPr="00013BDC">
        <w:rPr>
          <w:noProof/>
          <w:lang w:val="en-IE"/>
        </w:rPr>
        <w:t>;</w:t>
      </w:r>
      <w:r w:rsidRPr="00013BDC">
        <w:rPr>
          <w:noProof/>
          <w:lang w:val="en-IE"/>
        </w:rPr>
        <w:t xml:space="preserve"> </w:t>
      </w:r>
    </w:p>
    <w:p w14:paraId="757002BB" w14:textId="3E3CE9E6" w:rsidR="00794505" w:rsidRPr="00013BDC" w:rsidRDefault="00794505" w:rsidP="00CF0DFB">
      <w:pPr>
        <w:pStyle w:val="ListParagraph"/>
        <w:numPr>
          <w:ilvl w:val="0"/>
          <w:numId w:val="77"/>
        </w:numPr>
        <w:spacing w:after="160" w:line="259" w:lineRule="auto"/>
        <w:rPr>
          <w:noProof/>
          <w:lang w:val="en-IE"/>
        </w:rPr>
      </w:pPr>
      <w:r w:rsidRPr="00013BDC">
        <w:rPr>
          <w:noProof/>
          <w:lang w:val="en-IE"/>
        </w:rPr>
        <w:t xml:space="preserve">Adoption of </w:t>
      </w:r>
      <w:r w:rsidR="00510139" w:rsidRPr="00013BDC">
        <w:rPr>
          <w:noProof/>
          <w:lang w:val="en-IE"/>
        </w:rPr>
        <w:t xml:space="preserve">a </w:t>
      </w:r>
      <w:r w:rsidRPr="00013BDC">
        <w:rPr>
          <w:noProof/>
          <w:lang w:val="en-IE"/>
        </w:rPr>
        <w:t xml:space="preserve">guidance document on </w:t>
      </w:r>
      <w:r w:rsidR="00510139" w:rsidRPr="00013BDC">
        <w:rPr>
          <w:noProof/>
          <w:lang w:val="en-IE"/>
        </w:rPr>
        <w:t xml:space="preserve">the </w:t>
      </w:r>
      <w:r w:rsidRPr="00013BDC">
        <w:rPr>
          <w:noProof/>
          <w:lang w:val="en-IE"/>
        </w:rPr>
        <w:t>use of former food</w:t>
      </w:r>
      <w:r w:rsidR="005B234B" w:rsidRPr="00013BDC">
        <w:rPr>
          <w:noProof/>
          <w:lang w:val="en-IE"/>
        </w:rPr>
        <w:t>stuffs</w:t>
      </w:r>
      <w:r w:rsidRPr="00013BDC">
        <w:rPr>
          <w:noProof/>
          <w:lang w:val="en-IE"/>
        </w:rPr>
        <w:t xml:space="preserve"> to feed animals </w:t>
      </w:r>
      <w:r w:rsidR="00CC3EC0" w:rsidRPr="00013BDC">
        <w:rPr>
          <w:noProof/>
          <w:lang w:val="en-IE"/>
        </w:rPr>
        <w:t>–</w:t>
      </w:r>
      <w:r w:rsidRPr="00013BDC">
        <w:rPr>
          <w:noProof/>
          <w:lang w:val="en-IE"/>
        </w:rPr>
        <w:t xml:space="preserve"> EU guidelines </w:t>
      </w:r>
      <w:r w:rsidR="00A54214" w:rsidRPr="00013BDC">
        <w:rPr>
          <w:noProof/>
          <w:lang w:val="en-IE"/>
        </w:rPr>
        <w:t>on</w:t>
      </w:r>
      <w:r w:rsidRPr="00013BDC">
        <w:rPr>
          <w:noProof/>
          <w:lang w:val="en-IE"/>
        </w:rPr>
        <w:t xml:space="preserve"> the feed use of food no longer intended for human consumption (2018/C 133/02)</w:t>
      </w:r>
      <w:r w:rsidR="00A54214" w:rsidRPr="00013BDC">
        <w:rPr>
          <w:noProof/>
          <w:lang w:val="en-IE"/>
        </w:rPr>
        <w:t>;</w:t>
      </w:r>
      <w:r w:rsidRPr="00013BDC">
        <w:rPr>
          <w:noProof/>
          <w:lang w:val="en-IE"/>
        </w:rPr>
        <w:t>  </w:t>
      </w:r>
    </w:p>
    <w:p w14:paraId="6525C3A8" w14:textId="70C40CD1" w:rsidR="00794505" w:rsidRPr="00013BDC" w:rsidRDefault="00794505" w:rsidP="00CF0DFB">
      <w:pPr>
        <w:pStyle w:val="ListParagraph"/>
        <w:numPr>
          <w:ilvl w:val="0"/>
          <w:numId w:val="77"/>
        </w:numPr>
        <w:spacing w:after="160" w:line="259" w:lineRule="auto"/>
        <w:rPr>
          <w:noProof/>
          <w:lang w:val="en-IE"/>
        </w:rPr>
      </w:pPr>
      <w:r w:rsidRPr="00013BDC">
        <w:rPr>
          <w:noProof/>
          <w:lang w:val="en-IE"/>
        </w:rPr>
        <w:t xml:space="preserve">Examination of ways </w:t>
      </w:r>
      <w:r w:rsidR="00A54214" w:rsidRPr="00013BDC">
        <w:rPr>
          <w:noProof/>
          <w:lang w:val="en-IE"/>
        </w:rPr>
        <w:t>of improving</w:t>
      </w:r>
      <w:r w:rsidRPr="00013BDC">
        <w:rPr>
          <w:noProof/>
          <w:lang w:val="en-IE"/>
        </w:rPr>
        <w:t xml:space="preserve"> the use of date marking by actors in the food chain and its understanding by consumers, in particular the </w:t>
      </w:r>
      <w:r w:rsidR="00CC3EC0" w:rsidRPr="00013BDC">
        <w:rPr>
          <w:noProof/>
          <w:lang w:val="en-IE"/>
        </w:rPr>
        <w:t>“</w:t>
      </w:r>
      <w:r w:rsidRPr="00013BDC">
        <w:rPr>
          <w:noProof/>
          <w:lang w:val="en-IE"/>
        </w:rPr>
        <w:t>best before</w:t>
      </w:r>
      <w:r w:rsidR="00CC3EC0" w:rsidRPr="00013BDC">
        <w:rPr>
          <w:noProof/>
          <w:lang w:val="en-IE"/>
        </w:rPr>
        <w:t>”</w:t>
      </w:r>
      <w:r w:rsidRPr="00013BDC">
        <w:rPr>
          <w:noProof/>
          <w:lang w:val="en-IE"/>
        </w:rPr>
        <w:t xml:space="preserve"> label. </w:t>
      </w:r>
      <w:r w:rsidR="00F3645C" w:rsidRPr="00013BDC">
        <w:rPr>
          <w:noProof/>
          <w:lang w:val="en-IE"/>
        </w:rPr>
        <w:t>The Commission is currently considering the most efficient ways to facilitate the understanding and use of date marking (i.e., ‘best before’ and ‘use by’ dates) aiming to prevent food waste without jeopardising food safety;</w:t>
      </w:r>
    </w:p>
    <w:p w14:paraId="74CFEA75" w14:textId="14B8455E" w:rsidR="00794505" w:rsidRPr="00013BDC" w:rsidRDefault="00001B3A" w:rsidP="00CF0DFB">
      <w:pPr>
        <w:pStyle w:val="ListParagraph"/>
        <w:numPr>
          <w:ilvl w:val="0"/>
          <w:numId w:val="77"/>
        </w:numPr>
        <w:spacing w:line="259" w:lineRule="auto"/>
        <w:rPr>
          <w:noProof/>
          <w:lang w:val="en-IE"/>
        </w:rPr>
      </w:pPr>
      <w:r w:rsidRPr="00013BDC">
        <w:rPr>
          <w:noProof/>
          <w:lang w:val="en-IE"/>
        </w:rPr>
        <w:t>An i</w:t>
      </w:r>
      <w:r w:rsidR="00794505" w:rsidRPr="00013BDC">
        <w:rPr>
          <w:noProof/>
          <w:lang w:val="en-IE"/>
        </w:rPr>
        <w:t xml:space="preserve">ndicator on </w:t>
      </w:r>
      <w:r w:rsidRPr="00013BDC">
        <w:rPr>
          <w:noProof/>
          <w:lang w:val="en-IE"/>
        </w:rPr>
        <w:t>the</w:t>
      </w:r>
      <w:r w:rsidR="00794505" w:rsidRPr="00013BDC">
        <w:rPr>
          <w:noProof/>
          <w:lang w:val="en-IE"/>
        </w:rPr>
        <w:t xml:space="preserve"> amount of food waste generated has been included in the Circular Economy Monitoring Framework. </w:t>
      </w:r>
    </w:p>
    <w:p w14:paraId="67626FF4" w14:textId="77777777" w:rsidR="00794505" w:rsidRPr="00013BDC" w:rsidRDefault="00794505" w:rsidP="00794505">
      <w:pPr>
        <w:pStyle w:val="ListParagraph"/>
        <w:ind w:left="780"/>
        <w:rPr>
          <w:noProof/>
          <w:lang w:val="en-IE"/>
        </w:rPr>
      </w:pPr>
    </w:p>
    <w:p w14:paraId="466DE1BF" w14:textId="66F6EBBF" w:rsidR="00794505" w:rsidRPr="00013BDC" w:rsidRDefault="00794505" w:rsidP="0B9E2EEF">
      <w:pPr>
        <w:pStyle w:val="Heading3"/>
        <w:rPr>
          <w:b/>
          <w:noProof/>
          <w:lang w:val="en-IE"/>
        </w:rPr>
      </w:pPr>
      <w:bookmarkStart w:id="509" w:name="_Toc1123375770"/>
      <w:bookmarkStart w:id="510" w:name="_Toc1600887622"/>
      <w:bookmarkStart w:id="511" w:name="_Toc1608752257"/>
      <w:bookmarkStart w:id="512" w:name="_Toc319082980"/>
      <w:bookmarkStart w:id="513" w:name="_Toc139032978"/>
      <w:r w:rsidRPr="00013BDC">
        <w:rPr>
          <w:noProof/>
          <w:lang w:val="en-IE"/>
        </w:rPr>
        <w:t xml:space="preserve">Food waste in </w:t>
      </w:r>
      <w:r w:rsidR="0010187C" w:rsidRPr="00013BDC">
        <w:rPr>
          <w:noProof/>
          <w:lang w:val="en-IE"/>
        </w:rPr>
        <w:t xml:space="preserve">the </w:t>
      </w:r>
      <w:r w:rsidRPr="00013BDC">
        <w:rPr>
          <w:noProof/>
          <w:lang w:val="en-IE"/>
        </w:rPr>
        <w:t>WFD</w:t>
      </w:r>
      <w:bookmarkEnd w:id="509"/>
      <w:bookmarkEnd w:id="510"/>
      <w:bookmarkEnd w:id="511"/>
      <w:bookmarkEnd w:id="512"/>
      <w:bookmarkEnd w:id="513"/>
    </w:p>
    <w:p w14:paraId="007A2AC4" w14:textId="17EABD6E" w:rsidR="00794505" w:rsidRPr="00013BDC" w:rsidRDefault="00001B3A" w:rsidP="007F14D4">
      <w:pPr>
        <w:spacing w:after="120"/>
        <w:rPr>
          <w:noProof/>
          <w:lang w:val="en-IE"/>
        </w:rPr>
      </w:pPr>
      <w:r w:rsidRPr="00013BDC">
        <w:rPr>
          <w:noProof/>
          <w:lang w:val="en-IE"/>
        </w:rPr>
        <w:t xml:space="preserve">The </w:t>
      </w:r>
      <w:r w:rsidR="00794505" w:rsidRPr="00013BDC">
        <w:rPr>
          <w:noProof/>
          <w:lang w:val="en-IE"/>
        </w:rPr>
        <w:t xml:space="preserve">WFD includes </w:t>
      </w:r>
      <w:r w:rsidRPr="00013BDC">
        <w:rPr>
          <w:noProof/>
          <w:lang w:val="en-IE"/>
        </w:rPr>
        <w:t xml:space="preserve">the </w:t>
      </w:r>
      <w:r w:rsidR="00794505" w:rsidRPr="00013BDC">
        <w:rPr>
          <w:noProof/>
          <w:lang w:val="en-IE"/>
        </w:rPr>
        <w:t>following regulatory measures:</w:t>
      </w:r>
    </w:p>
    <w:p w14:paraId="69C75487" w14:textId="77777777" w:rsidR="00794505" w:rsidRPr="00013BDC" w:rsidRDefault="00794505" w:rsidP="00CF0DFB">
      <w:pPr>
        <w:pStyle w:val="ListParagraph"/>
        <w:numPr>
          <w:ilvl w:val="0"/>
          <w:numId w:val="78"/>
        </w:numPr>
        <w:spacing w:after="160" w:line="259" w:lineRule="auto"/>
        <w:rPr>
          <w:noProof/>
          <w:lang w:val="en-IE"/>
        </w:rPr>
      </w:pPr>
      <w:r w:rsidRPr="00013BDC">
        <w:rPr>
          <w:noProof/>
          <w:lang w:val="en-IE"/>
        </w:rPr>
        <w:t>Definition (Art 4)</w:t>
      </w:r>
    </w:p>
    <w:p w14:paraId="1F02A925" w14:textId="77777777" w:rsidR="00794505" w:rsidRPr="00013BDC" w:rsidRDefault="00794505" w:rsidP="00794505">
      <w:pPr>
        <w:pStyle w:val="ListParagraph"/>
        <w:rPr>
          <w:i/>
          <w:noProof/>
          <w:lang w:val="en-IE"/>
        </w:rPr>
      </w:pPr>
      <w:r w:rsidRPr="00013BDC">
        <w:rPr>
          <w:i/>
          <w:noProof/>
          <w:lang w:val="en-IE"/>
        </w:rPr>
        <w:t>‘food waste’ means all food as defined in Article 2 of Regulation (EC) No 178/2002 of the European Parliament and of the Council ( 3 ) that has become waste;</w:t>
      </w:r>
    </w:p>
    <w:p w14:paraId="3731CB5D" w14:textId="33816D08" w:rsidR="00794505" w:rsidRPr="00013BDC" w:rsidRDefault="00794505" w:rsidP="00CF0DFB">
      <w:pPr>
        <w:pStyle w:val="ListParagraph"/>
        <w:numPr>
          <w:ilvl w:val="0"/>
          <w:numId w:val="78"/>
        </w:numPr>
        <w:spacing w:after="160" w:line="259" w:lineRule="auto"/>
        <w:rPr>
          <w:noProof/>
          <w:lang w:val="en-IE"/>
        </w:rPr>
      </w:pPr>
      <w:r w:rsidRPr="00013BDC">
        <w:rPr>
          <w:noProof/>
          <w:lang w:val="en-IE"/>
        </w:rPr>
        <w:t xml:space="preserve">general provisions on prevention including </w:t>
      </w:r>
      <w:r w:rsidR="00324BBF" w:rsidRPr="00013BDC">
        <w:rPr>
          <w:noProof/>
          <w:lang w:val="en-IE"/>
        </w:rPr>
        <w:t xml:space="preserve">the </w:t>
      </w:r>
      <w:r w:rsidRPr="00013BDC">
        <w:rPr>
          <w:noProof/>
          <w:lang w:val="en-IE"/>
        </w:rPr>
        <w:t>food use hierarchy (Art 9)</w:t>
      </w:r>
    </w:p>
    <w:p w14:paraId="46B60D49" w14:textId="77777777" w:rsidR="00794505" w:rsidRPr="00013BDC" w:rsidRDefault="00794505" w:rsidP="00794505">
      <w:pPr>
        <w:pStyle w:val="ListParagraph"/>
        <w:rPr>
          <w:i/>
          <w:noProof/>
          <w:lang w:val="en-IE"/>
        </w:rPr>
      </w:pPr>
      <w:r w:rsidRPr="00013BDC">
        <w:rPr>
          <w:i/>
          <w:noProof/>
          <w:lang w:val="en-IE"/>
        </w:rPr>
        <w:t xml:space="preserve">Member States shall take measures to prevent waste generation. Those measures shall, at least </w:t>
      </w:r>
    </w:p>
    <w:p w14:paraId="51288B4D" w14:textId="77777777" w:rsidR="00794505" w:rsidRPr="00013BDC" w:rsidRDefault="00794505" w:rsidP="00794505">
      <w:pPr>
        <w:pStyle w:val="ListParagraph"/>
        <w:rPr>
          <w:i/>
          <w:noProof/>
          <w:lang w:val="en-IE"/>
        </w:rPr>
      </w:pPr>
      <w:r w:rsidRPr="00013BDC">
        <w:rPr>
          <w:i/>
          <w:noProof/>
          <w:lang w:val="en-IE"/>
        </w:rPr>
        <w:t>(g) reduce the generation of food waste in primary production, in processing and manufacturing, in retail and other distribution of food, in restaurants and food services as well as in households as a contribution to the United Nations Sustainable Development Goal to reduce by 50 % the per capita global food waste at the retail and consumer levels and to reduce food losses along production and supply chains by 2030;</w:t>
      </w:r>
    </w:p>
    <w:p w14:paraId="1B74E463" w14:textId="77777777" w:rsidR="00794505" w:rsidRPr="00013BDC" w:rsidRDefault="00794505" w:rsidP="00794505">
      <w:pPr>
        <w:pStyle w:val="ListParagraph"/>
        <w:rPr>
          <w:i/>
          <w:iCs/>
          <w:noProof/>
          <w:lang w:val="en-IE"/>
        </w:rPr>
      </w:pPr>
      <w:r w:rsidRPr="00013BDC">
        <w:rPr>
          <w:i/>
          <w:noProof/>
          <w:lang w:val="en-IE"/>
        </w:rPr>
        <w:t>(h) encourage food donation and other redistribution for human consumption, prioritising human use over animal feed and the reprocessing into non-food products;</w:t>
      </w:r>
    </w:p>
    <w:p w14:paraId="0C5389C0" w14:textId="77777777" w:rsidR="00794505" w:rsidRPr="00013BDC" w:rsidRDefault="00794505" w:rsidP="00CF0DFB">
      <w:pPr>
        <w:pStyle w:val="ListParagraph"/>
        <w:numPr>
          <w:ilvl w:val="0"/>
          <w:numId w:val="78"/>
        </w:numPr>
        <w:spacing w:after="0" w:line="259" w:lineRule="auto"/>
        <w:rPr>
          <w:noProof/>
          <w:lang w:val="en-IE"/>
        </w:rPr>
      </w:pPr>
      <w:r w:rsidRPr="00013BDC">
        <w:rPr>
          <w:noProof/>
          <w:lang w:val="en-IE"/>
        </w:rPr>
        <w:t>planning (Art 29)</w:t>
      </w:r>
    </w:p>
    <w:p w14:paraId="275ABE13" w14:textId="77777777" w:rsidR="00794505" w:rsidRPr="00013BDC" w:rsidRDefault="00794505" w:rsidP="007F14D4">
      <w:pPr>
        <w:spacing w:after="0"/>
        <w:ind w:left="720"/>
        <w:rPr>
          <w:i/>
          <w:noProof/>
          <w:lang w:val="en-IE"/>
        </w:rPr>
      </w:pPr>
      <w:r w:rsidRPr="00013BDC">
        <w:rPr>
          <w:i/>
          <w:noProof/>
          <w:lang w:val="en-IE"/>
        </w:rPr>
        <w:t>2a.  Member States shall adopt specific food waste prevention programmes within their waste prevention programmes.</w:t>
      </w:r>
    </w:p>
    <w:p w14:paraId="7BD851DB" w14:textId="77777777" w:rsidR="00794505" w:rsidRPr="00013BDC" w:rsidRDefault="00794505" w:rsidP="00CF0DFB">
      <w:pPr>
        <w:pStyle w:val="ListParagraph"/>
        <w:numPr>
          <w:ilvl w:val="0"/>
          <w:numId w:val="78"/>
        </w:numPr>
        <w:spacing w:after="0" w:line="259" w:lineRule="auto"/>
        <w:rPr>
          <w:noProof/>
          <w:lang w:val="en-IE"/>
        </w:rPr>
      </w:pPr>
      <w:r w:rsidRPr="00013BDC">
        <w:rPr>
          <w:noProof/>
          <w:lang w:val="en-IE"/>
        </w:rPr>
        <w:t>setting up monitoring framework (art 9)</w:t>
      </w:r>
    </w:p>
    <w:p w14:paraId="07E29236" w14:textId="6090409C" w:rsidR="00794505" w:rsidRPr="00013BDC" w:rsidRDefault="00794505" w:rsidP="007F14D4">
      <w:pPr>
        <w:spacing w:after="0"/>
        <w:ind w:left="720"/>
        <w:rPr>
          <w:i/>
          <w:noProof/>
          <w:lang w:val="en-IE"/>
        </w:rPr>
      </w:pPr>
      <w:r w:rsidRPr="00013BDC">
        <w:rPr>
          <w:i/>
          <w:noProof/>
          <w:lang w:val="en-IE"/>
        </w:rPr>
        <w:t>Member States shall monitor and assess the implementation of their food waste prevention measures by measuring the levels of food waste on the basis of the methodology established by the delegated act (…).</w:t>
      </w:r>
    </w:p>
    <w:p w14:paraId="1A0FD698" w14:textId="08571B49" w:rsidR="00794505" w:rsidRPr="00013BDC" w:rsidRDefault="00794505" w:rsidP="007F14D4">
      <w:pPr>
        <w:spacing w:after="0"/>
        <w:ind w:left="720"/>
        <w:rPr>
          <w:noProof/>
          <w:lang w:val="en-IE"/>
        </w:rPr>
      </w:pPr>
      <w:r w:rsidRPr="00013BDC">
        <w:rPr>
          <w:noProof/>
          <w:lang w:val="en-IE"/>
        </w:rPr>
        <w:t xml:space="preserve">The data are to be reported every year. The detailed provisions are included in the </w:t>
      </w:r>
      <w:r w:rsidR="002A7E20" w:rsidRPr="00013BDC">
        <w:rPr>
          <w:noProof/>
          <w:lang w:val="en-IE"/>
        </w:rPr>
        <w:t xml:space="preserve">related </w:t>
      </w:r>
      <w:r w:rsidRPr="00013BDC">
        <w:rPr>
          <w:noProof/>
          <w:lang w:val="en-IE"/>
        </w:rPr>
        <w:t>secondary legislation:</w:t>
      </w:r>
    </w:p>
    <w:p w14:paraId="6CA848CD" w14:textId="339C34C4" w:rsidR="00794505" w:rsidRPr="00013BDC" w:rsidRDefault="00794505" w:rsidP="00CF0DFB">
      <w:pPr>
        <w:pStyle w:val="ListParagraph"/>
        <w:numPr>
          <w:ilvl w:val="0"/>
          <w:numId w:val="79"/>
        </w:numPr>
        <w:spacing w:after="160" w:line="259" w:lineRule="auto"/>
        <w:rPr>
          <w:noProof/>
          <w:lang w:val="en-IE"/>
        </w:rPr>
      </w:pPr>
      <w:r w:rsidRPr="00013BDC">
        <w:rPr>
          <w:noProof/>
          <w:lang w:val="en-IE"/>
        </w:rPr>
        <w:t xml:space="preserve">The Delegated Decision establishing a common EU methodology to measure food waste – EU(2019)1957 </w:t>
      </w:r>
    </w:p>
    <w:p w14:paraId="0EFDDA89" w14:textId="270FC89C" w:rsidR="00794505" w:rsidRPr="00013BDC" w:rsidRDefault="00794505" w:rsidP="00CF0DFB">
      <w:pPr>
        <w:pStyle w:val="ListParagraph"/>
        <w:numPr>
          <w:ilvl w:val="0"/>
          <w:numId w:val="79"/>
        </w:numPr>
        <w:spacing w:line="259" w:lineRule="auto"/>
        <w:rPr>
          <w:noProof/>
          <w:lang w:val="en-IE"/>
        </w:rPr>
      </w:pPr>
      <w:r w:rsidRPr="00013BDC">
        <w:rPr>
          <w:noProof/>
          <w:lang w:val="en-IE"/>
        </w:rPr>
        <w:t>Implementing Decision laying down a format and quality check report for reporting the data on the levels of food waste generated in Member States – EU(2019)2000.</w:t>
      </w:r>
    </w:p>
    <w:p w14:paraId="0AE5AAE3" w14:textId="66F6EBBF" w:rsidR="00794505" w:rsidRPr="00013BDC" w:rsidRDefault="00794505" w:rsidP="0B9E2EEF">
      <w:pPr>
        <w:pStyle w:val="Heading3"/>
        <w:rPr>
          <w:b/>
          <w:noProof/>
          <w:lang w:val="en-IE"/>
        </w:rPr>
      </w:pPr>
      <w:bookmarkStart w:id="514" w:name="_Toc511071313"/>
      <w:bookmarkStart w:id="515" w:name="_Toc2036080353"/>
      <w:bookmarkStart w:id="516" w:name="_Toc319947217"/>
      <w:bookmarkStart w:id="517" w:name="_Toc2072787243"/>
      <w:bookmarkStart w:id="518" w:name="_Toc139032979"/>
      <w:r w:rsidRPr="00013BDC">
        <w:rPr>
          <w:noProof/>
          <w:lang w:val="en-IE"/>
        </w:rPr>
        <w:t>Downstream management of food waste</w:t>
      </w:r>
      <w:bookmarkEnd w:id="514"/>
      <w:bookmarkEnd w:id="515"/>
      <w:bookmarkEnd w:id="516"/>
      <w:bookmarkEnd w:id="517"/>
      <w:bookmarkEnd w:id="518"/>
    </w:p>
    <w:p w14:paraId="27D96A35" w14:textId="77777777" w:rsidR="00794505" w:rsidRPr="00013BDC" w:rsidRDefault="00794505" w:rsidP="005F78B5">
      <w:pPr>
        <w:spacing w:after="120"/>
        <w:rPr>
          <w:noProof/>
          <w:lang w:val="en-IE"/>
        </w:rPr>
      </w:pPr>
      <w:r w:rsidRPr="00013BDC">
        <w:rPr>
          <w:noProof/>
          <w:lang w:val="en-IE"/>
        </w:rPr>
        <w:t>The collection and treatment of food waste is already well regulated on EU level.</w:t>
      </w:r>
    </w:p>
    <w:p w14:paraId="5ACC3F61" w14:textId="6375B29B" w:rsidR="00794505" w:rsidRPr="00013BDC" w:rsidRDefault="00794505" w:rsidP="005F78B5">
      <w:pPr>
        <w:spacing w:after="120"/>
        <w:rPr>
          <w:noProof/>
          <w:lang w:val="en-IE"/>
        </w:rPr>
      </w:pPr>
      <w:r w:rsidRPr="00013BDC">
        <w:rPr>
          <w:noProof/>
          <w:lang w:val="en-IE"/>
        </w:rPr>
        <w:t xml:space="preserve">If food waste cannot be prevented, treatment of food waste should be subject to further steps in </w:t>
      </w:r>
      <w:r w:rsidR="002A7E20" w:rsidRPr="00013BDC">
        <w:rPr>
          <w:noProof/>
          <w:lang w:val="en-IE"/>
        </w:rPr>
        <w:t xml:space="preserve">the </w:t>
      </w:r>
      <w:r w:rsidRPr="00013BDC">
        <w:rPr>
          <w:noProof/>
          <w:lang w:val="en-IE"/>
        </w:rPr>
        <w:t>waste hierarchy: recycling (e.g. composting, anaerobic digestion with use of digestate) and</w:t>
      </w:r>
      <w:r w:rsidR="002A7E20" w:rsidRPr="00013BDC">
        <w:rPr>
          <w:noProof/>
          <w:lang w:val="en-IE"/>
        </w:rPr>
        <w:t>,</w:t>
      </w:r>
      <w:r w:rsidRPr="00013BDC">
        <w:rPr>
          <w:noProof/>
          <w:lang w:val="en-IE"/>
        </w:rPr>
        <w:t xml:space="preserve"> to </w:t>
      </w:r>
      <w:r w:rsidR="002A7E20" w:rsidRPr="00013BDC">
        <w:rPr>
          <w:noProof/>
          <w:lang w:val="en-IE"/>
        </w:rPr>
        <w:t xml:space="preserve">a </w:t>
      </w:r>
      <w:r w:rsidRPr="00013BDC">
        <w:rPr>
          <w:noProof/>
          <w:lang w:val="en-IE"/>
        </w:rPr>
        <w:t>less exten</w:t>
      </w:r>
      <w:r w:rsidR="002A7E20" w:rsidRPr="00013BDC">
        <w:rPr>
          <w:noProof/>
          <w:lang w:val="en-IE"/>
        </w:rPr>
        <w:t>t,</w:t>
      </w:r>
      <w:r w:rsidRPr="00013BDC">
        <w:rPr>
          <w:noProof/>
          <w:lang w:val="en-IE"/>
        </w:rPr>
        <w:t xml:space="preserve"> energy recovery and disposal (landfilling).</w:t>
      </w:r>
    </w:p>
    <w:p w14:paraId="68A85B0E" w14:textId="39C3031E" w:rsidR="00794505" w:rsidRPr="00013BDC" w:rsidRDefault="00794505" w:rsidP="005F78B5">
      <w:pPr>
        <w:spacing w:after="120"/>
        <w:rPr>
          <w:noProof/>
          <w:lang w:val="en-IE"/>
        </w:rPr>
      </w:pPr>
      <w:r w:rsidRPr="00013BDC">
        <w:rPr>
          <w:noProof/>
          <w:lang w:val="en-IE"/>
        </w:rPr>
        <w:t xml:space="preserve">The landfilling of food waste (as part of biodegradable municipal waste) is discouraged since 1999 by virtue of </w:t>
      </w:r>
      <w:r w:rsidR="002A7E20" w:rsidRPr="00013BDC">
        <w:rPr>
          <w:noProof/>
          <w:lang w:val="en-IE"/>
        </w:rPr>
        <w:t>the L</w:t>
      </w:r>
      <w:r w:rsidRPr="00013BDC">
        <w:rPr>
          <w:noProof/>
          <w:lang w:val="en-IE"/>
        </w:rPr>
        <w:t xml:space="preserve">andfill </w:t>
      </w:r>
      <w:r w:rsidR="002A7E20" w:rsidRPr="00013BDC">
        <w:rPr>
          <w:noProof/>
          <w:lang w:val="en-IE"/>
        </w:rPr>
        <w:t>D</w:t>
      </w:r>
      <w:r w:rsidRPr="00013BDC">
        <w:rPr>
          <w:noProof/>
          <w:lang w:val="en-IE"/>
        </w:rPr>
        <w:t>irective. Due to high water content</w:t>
      </w:r>
      <w:r w:rsidR="00571606" w:rsidRPr="00013BDC">
        <w:rPr>
          <w:noProof/>
          <w:lang w:val="en-IE"/>
        </w:rPr>
        <w:t>,</w:t>
      </w:r>
      <w:r w:rsidRPr="00013BDC">
        <w:rPr>
          <w:noProof/>
          <w:lang w:val="en-IE"/>
        </w:rPr>
        <w:t xml:space="preserve"> food waste </w:t>
      </w:r>
      <w:r w:rsidR="00571606" w:rsidRPr="00013BDC">
        <w:rPr>
          <w:noProof/>
          <w:lang w:val="en-IE"/>
        </w:rPr>
        <w:t>is</w:t>
      </w:r>
      <w:r w:rsidRPr="00013BDC">
        <w:rPr>
          <w:noProof/>
          <w:lang w:val="en-IE"/>
        </w:rPr>
        <w:t xml:space="preserve"> not </w:t>
      </w:r>
      <w:r w:rsidR="00571606" w:rsidRPr="00013BDC">
        <w:rPr>
          <w:noProof/>
          <w:lang w:val="en-IE"/>
        </w:rPr>
        <w:t>a</w:t>
      </w:r>
      <w:r w:rsidRPr="00013BDC">
        <w:rPr>
          <w:noProof/>
          <w:lang w:val="en-IE"/>
        </w:rPr>
        <w:t xml:space="preserve"> particularly efficient source of energy during incineration with energy recovery, hence </w:t>
      </w:r>
      <w:r w:rsidR="00571606" w:rsidRPr="00013BDC">
        <w:rPr>
          <w:noProof/>
          <w:lang w:val="en-IE"/>
        </w:rPr>
        <w:t>it is</w:t>
      </w:r>
      <w:r w:rsidRPr="00013BDC">
        <w:rPr>
          <w:noProof/>
          <w:lang w:val="en-IE"/>
        </w:rPr>
        <w:t xml:space="preserve"> only treated th</w:t>
      </w:r>
      <w:r w:rsidR="00571606" w:rsidRPr="00013BDC">
        <w:rPr>
          <w:noProof/>
          <w:lang w:val="en-IE"/>
        </w:rPr>
        <w:t>is</w:t>
      </w:r>
      <w:r w:rsidRPr="00013BDC">
        <w:rPr>
          <w:noProof/>
          <w:lang w:val="en-IE"/>
        </w:rPr>
        <w:t xml:space="preserve"> way as part of mixed waste.</w:t>
      </w:r>
    </w:p>
    <w:p w14:paraId="1DBA1ABB" w14:textId="7B072C8F" w:rsidR="00794505" w:rsidRPr="00013BDC" w:rsidRDefault="00794505" w:rsidP="007F14D4">
      <w:pPr>
        <w:spacing w:after="120"/>
        <w:rPr>
          <w:noProof/>
          <w:lang w:val="en-IE"/>
        </w:rPr>
      </w:pPr>
      <w:r w:rsidRPr="00013BDC">
        <w:rPr>
          <w:noProof/>
          <w:lang w:val="en-IE"/>
        </w:rPr>
        <w:t xml:space="preserve">Biological treatment is </w:t>
      </w:r>
      <w:r w:rsidR="00571606" w:rsidRPr="00013BDC">
        <w:rPr>
          <w:noProof/>
          <w:lang w:val="en-IE"/>
        </w:rPr>
        <w:t xml:space="preserve">the </w:t>
      </w:r>
      <w:r w:rsidRPr="00013BDC">
        <w:rPr>
          <w:noProof/>
          <w:lang w:val="en-IE"/>
        </w:rPr>
        <w:t xml:space="preserve">most effective way </w:t>
      </w:r>
      <w:r w:rsidR="00571606" w:rsidRPr="00013BDC">
        <w:rPr>
          <w:noProof/>
          <w:lang w:val="en-IE"/>
        </w:rPr>
        <w:t>of dealing</w:t>
      </w:r>
      <w:r w:rsidRPr="00013BDC">
        <w:rPr>
          <w:noProof/>
          <w:lang w:val="en-IE"/>
        </w:rPr>
        <w:t xml:space="preserve"> with food waste</w:t>
      </w:r>
      <w:r w:rsidR="00D9274B" w:rsidRPr="00013BDC">
        <w:rPr>
          <w:noProof/>
          <w:lang w:val="en-IE"/>
        </w:rPr>
        <w:t>, allowing the</w:t>
      </w:r>
      <w:r w:rsidRPr="00013BDC">
        <w:rPr>
          <w:noProof/>
          <w:lang w:val="en-IE"/>
        </w:rPr>
        <w:t xml:space="preserve"> return organic matter and nutrients back to soil. Food waste can be composted directly but can also be subject to anaerobic digestion </w:t>
      </w:r>
      <w:r w:rsidR="00D9274B" w:rsidRPr="00013BDC">
        <w:rPr>
          <w:noProof/>
          <w:lang w:val="en-IE"/>
        </w:rPr>
        <w:t xml:space="preserve">in order </w:t>
      </w:r>
      <w:r w:rsidRPr="00013BDC">
        <w:rPr>
          <w:noProof/>
          <w:lang w:val="en-IE"/>
        </w:rPr>
        <w:t>to produce biogas and still use digestate for fertilizing purposes.</w:t>
      </w:r>
    </w:p>
    <w:p w14:paraId="07A027F7" w14:textId="0DD207C1" w:rsidR="00794505" w:rsidRPr="00013BDC" w:rsidRDefault="00794505" w:rsidP="005F78B5">
      <w:pPr>
        <w:spacing w:after="120"/>
        <w:rPr>
          <w:noProof/>
          <w:lang w:val="en-IE"/>
        </w:rPr>
      </w:pPr>
      <w:r w:rsidRPr="00013BDC">
        <w:rPr>
          <w:noProof/>
          <w:lang w:val="en-IE"/>
        </w:rPr>
        <w:t xml:space="preserve">In order not to contaminate soil, efforts are made to ensure that recycled food waste </w:t>
      </w:r>
      <w:r w:rsidR="002C2830" w:rsidRPr="00013BDC">
        <w:rPr>
          <w:noProof/>
          <w:lang w:val="en-IE"/>
        </w:rPr>
        <w:t>is</w:t>
      </w:r>
      <w:r w:rsidRPr="00013BDC">
        <w:rPr>
          <w:noProof/>
          <w:lang w:val="en-IE"/>
        </w:rPr>
        <w:t xml:space="preserve"> free from contaminants both hazardous (e.g. heavy metals) and non-hazardous (e.g. pieces of plastics or glass). To this end</w:t>
      </w:r>
      <w:r w:rsidR="002C2830" w:rsidRPr="00013BDC">
        <w:rPr>
          <w:noProof/>
          <w:lang w:val="en-IE"/>
        </w:rPr>
        <w:t>, the</w:t>
      </w:r>
      <w:r w:rsidRPr="00013BDC">
        <w:rPr>
          <w:noProof/>
          <w:lang w:val="en-IE"/>
        </w:rPr>
        <w:t xml:space="preserve"> WFD introduced </w:t>
      </w:r>
      <w:r w:rsidR="002C2830" w:rsidRPr="00013BDC">
        <w:rPr>
          <w:noProof/>
          <w:lang w:val="en-IE"/>
        </w:rPr>
        <w:t xml:space="preserve">the </w:t>
      </w:r>
      <w:r w:rsidRPr="00013BDC">
        <w:rPr>
          <w:noProof/>
          <w:lang w:val="en-IE"/>
        </w:rPr>
        <w:t xml:space="preserve">obligation for Member States to introduce separate collection of bio-waste from 31 December 2023 (see Art 22). The compost/digestate which meet quality requirements (so called </w:t>
      </w:r>
      <w:r w:rsidRPr="00013BDC">
        <w:rPr>
          <w:i/>
          <w:noProof/>
          <w:lang w:val="en-IE"/>
        </w:rPr>
        <w:t>end-of-waste criteria</w:t>
      </w:r>
      <w:r w:rsidRPr="00013BDC">
        <w:rPr>
          <w:noProof/>
          <w:lang w:val="en-IE"/>
        </w:rPr>
        <w:t>) are regarded as new products and can be freely traded.</w:t>
      </w:r>
    </w:p>
    <w:p w14:paraId="2629F2C4" w14:textId="0ACB3604" w:rsidR="00794505" w:rsidRPr="00013BDC" w:rsidRDefault="00794505" w:rsidP="00794505">
      <w:pPr>
        <w:rPr>
          <w:noProof/>
          <w:vertAlign w:val="superscript"/>
          <w:lang w:val="en-IE"/>
        </w:rPr>
      </w:pPr>
      <w:r w:rsidRPr="00013BDC">
        <w:rPr>
          <w:noProof/>
          <w:lang w:val="en-IE"/>
        </w:rPr>
        <w:t xml:space="preserve">The technical criteria of </w:t>
      </w:r>
      <w:r w:rsidR="00125BFC" w:rsidRPr="00013BDC">
        <w:rPr>
          <w:noProof/>
          <w:lang w:val="en-IE"/>
        </w:rPr>
        <w:t xml:space="preserve">food waste treatment </w:t>
      </w:r>
      <w:r w:rsidRPr="00013BDC">
        <w:rPr>
          <w:noProof/>
          <w:lang w:val="en-IE"/>
        </w:rPr>
        <w:t xml:space="preserve">operations are set in the Industrial Emissions Directive (2010/75/EU, to be modified by COM/2022/156 final/3). This </w:t>
      </w:r>
      <w:r w:rsidR="00125BFC" w:rsidRPr="00013BDC">
        <w:rPr>
          <w:noProof/>
          <w:lang w:val="en-IE"/>
        </w:rPr>
        <w:t>D</w:t>
      </w:r>
      <w:r w:rsidRPr="00013BDC">
        <w:rPr>
          <w:noProof/>
          <w:lang w:val="en-IE"/>
        </w:rPr>
        <w:t>irective also includes best available techniques references documents (BREFs) which set up the conditions for operating of industrial plants, including methods to reduce arising waste. The latest Best Available Techniques (BAT) Reference Document for the Food, Drink and Milk Industries was published in 2019.</w:t>
      </w:r>
      <w:r w:rsidRPr="00013BDC">
        <w:rPr>
          <w:noProof/>
          <w:vertAlign w:val="superscript"/>
          <w:lang w:val="en-IE"/>
        </w:rPr>
        <w:t xml:space="preserve"> </w:t>
      </w:r>
      <w:r w:rsidRPr="00013BDC">
        <w:rPr>
          <w:noProof/>
          <w:vertAlign w:val="superscript"/>
          <w:lang w:val="en-IE"/>
        </w:rPr>
        <w:footnoteReference w:id="111"/>
      </w:r>
    </w:p>
    <w:p w14:paraId="4D12EAEC" w14:textId="39A9B90A" w:rsidR="00DF4CCF" w:rsidRPr="00013BDC" w:rsidRDefault="00DF4CCF" w:rsidP="00DF4CCF">
      <w:pPr>
        <w:spacing w:after="120"/>
        <w:rPr>
          <w:noProof/>
          <w:color w:val="000000" w:themeColor="text1"/>
          <w:lang w:val="en-IE"/>
        </w:rPr>
      </w:pPr>
      <w:r w:rsidRPr="00013BDC">
        <w:rPr>
          <w:noProof/>
          <w:color w:val="000000" w:themeColor="text1"/>
          <w:lang w:val="en-IE"/>
        </w:rPr>
        <w:t>The European Parliament has called for the reduction of food waste</w:t>
      </w:r>
      <w:r w:rsidRPr="00013BDC" w:rsidDel="00DA266B">
        <w:rPr>
          <w:noProof/>
          <w:color w:val="000000" w:themeColor="text1"/>
          <w:lang w:val="en-IE"/>
        </w:rPr>
        <w:t xml:space="preserve"> </w:t>
      </w:r>
      <w:r w:rsidRPr="00013BDC">
        <w:rPr>
          <w:noProof/>
          <w:color w:val="000000" w:themeColor="text1"/>
          <w:lang w:val="en-IE"/>
        </w:rPr>
        <w:t>and advocated setting specific food waste prevention targets:</w:t>
      </w:r>
      <w:r w:rsidRPr="00013BDC" w:rsidDel="007528DA">
        <w:rPr>
          <w:noProof/>
          <w:color w:val="000000" w:themeColor="text1"/>
          <w:lang w:val="en-IE"/>
        </w:rPr>
        <w:t xml:space="preserve"> </w:t>
      </w:r>
      <w:r w:rsidRPr="00013BDC">
        <w:rPr>
          <w:noProof/>
          <w:color w:val="000000" w:themeColor="text1"/>
          <w:lang w:val="en-IE"/>
        </w:rPr>
        <w:t>at least</w:t>
      </w:r>
      <w:r w:rsidRPr="00013BDC" w:rsidDel="007528DA">
        <w:rPr>
          <w:noProof/>
          <w:color w:val="000000" w:themeColor="text1"/>
          <w:lang w:val="en-IE"/>
        </w:rPr>
        <w:t xml:space="preserve"> </w:t>
      </w:r>
      <w:r w:rsidRPr="00013BDC">
        <w:rPr>
          <w:noProof/>
          <w:color w:val="000000" w:themeColor="text1"/>
          <w:lang w:val="en-IE"/>
        </w:rPr>
        <w:t xml:space="preserve">30 % and 50% reductions by 2025 and 2030 respectively. </w:t>
      </w:r>
      <w:r w:rsidRPr="00013BDC">
        <w:rPr>
          <w:noProof/>
          <w:color w:val="000000" w:themeColor="text1"/>
          <w:vertAlign w:val="superscript"/>
          <w:lang w:val="en-IE"/>
        </w:rPr>
        <w:footnoteReference w:id="112"/>
      </w:r>
      <w:r w:rsidRPr="00013BDC">
        <w:rPr>
          <w:noProof/>
          <w:color w:val="000000" w:themeColor="text1"/>
          <w:vertAlign w:val="superscript"/>
          <w:lang w:val="en-IE"/>
        </w:rPr>
        <w:t xml:space="preserve">, </w:t>
      </w:r>
      <w:r w:rsidRPr="00013BDC">
        <w:rPr>
          <w:noProof/>
          <w:color w:val="000000" w:themeColor="text1"/>
          <w:vertAlign w:val="superscript"/>
          <w:lang w:val="en-IE"/>
        </w:rPr>
        <w:footnoteReference w:id="113"/>
      </w:r>
      <w:r w:rsidRPr="00013BDC">
        <w:rPr>
          <w:noProof/>
          <w:color w:val="000000" w:themeColor="text1"/>
          <w:vertAlign w:val="superscript"/>
          <w:lang w:val="en-IE"/>
        </w:rPr>
        <w:t xml:space="preserve">, </w:t>
      </w:r>
      <w:r w:rsidRPr="00013BDC">
        <w:rPr>
          <w:noProof/>
          <w:color w:val="000000" w:themeColor="text1"/>
          <w:vertAlign w:val="superscript"/>
          <w:lang w:val="en-IE"/>
        </w:rPr>
        <w:footnoteReference w:id="114"/>
      </w:r>
      <w:r w:rsidRPr="00013BDC">
        <w:rPr>
          <w:noProof/>
          <w:color w:val="000000" w:themeColor="text1"/>
          <w:vertAlign w:val="superscript"/>
          <w:lang w:val="en-IE"/>
        </w:rPr>
        <w:t xml:space="preserve">, </w:t>
      </w:r>
      <w:r w:rsidRPr="00013BDC">
        <w:rPr>
          <w:noProof/>
          <w:color w:val="000000" w:themeColor="text1"/>
          <w:vertAlign w:val="superscript"/>
          <w:lang w:val="en-IE"/>
        </w:rPr>
        <w:footnoteReference w:id="115"/>
      </w:r>
      <w:r w:rsidRPr="00013BDC">
        <w:rPr>
          <w:noProof/>
          <w:color w:val="000000" w:themeColor="text1"/>
          <w:lang w:val="en-IE"/>
        </w:rPr>
        <w:t xml:space="preserve"> In 2016</w:t>
      </w:r>
      <w:r w:rsidRPr="00013BDC">
        <w:rPr>
          <w:noProof/>
          <w:color w:val="000000" w:themeColor="text1"/>
          <w:vertAlign w:val="superscript"/>
          <w:lang w:val="en-IE"/>
        </w:rPr>
        <w:footnoteReference w:id="116"/>
      </w:r>
      <w:r w:rsidRPr="00013BDC">
        <w:rPr>
          <w:noProof/>
          <w:color w:val="000000" w:themeColor="text1"/>
          <w:lang w:val="en-IE"/>
        </w:rPr>
        <w:t>, the Council called on Member States to confirm their commitment to the achievement of SDG 12.3 through a range of initiatives, supported by the European Commission in key areas such as food waste monitoring. Subsequent updates on progress made in Member States were adopted through Council Conclusions in 2018 and 2020</w:t>
      </w:r>
      <w:r w:rsidRPr="00013BDC">
        <w:rPr>
          <w:noProof/>
          <w:color w:val="000000" w:themeColor="text1"/>
          <w:vertAlign w:val="superscript"/>
          <w:lang w:val="en-IE"/>
        </w:rPr>
        <w:footnoteReference w:id="117"/>
      </w:r>
      <w:r w:rsidRPr="00013BDC">
        <w:rPr>
          <w:noProof/>
          <w:color w:val="000000" w:themeColor="text1"/>
          <w:lang w:val="en-IE"/>
        </w:rPr>
        <w:t xml:space="preserve">. </w:t>
      </w:r>
    </w:p>
    <w:p w14:paraId="3AE6DB65" w14:textId="55A56F27" w:rsidR="00902EC2" w:rsidRPr="00013BDC" w:rsidRDefault="00902EC2" w:rsidP="005B3ABE">
      <w:pPr>
        <w:rPr>
          <w:noProof/>
          <w:lang w:val="en-IE"/>
        </w:rPr>
      </w:pPr>
      <w:r w:rsidRPr="00013BDC">
        <w:rPr>
          <w:noProof/>
          <w:lang w:val="en-IE"/>
        </w:rPr>
        <w:br w:type="page"/>
      </w:r>
    </w:p>
    <w:p w14:paraId="0938AAC0" w14:textId="66F6EBBF" w:rsidR="00902EC2" w:rsidRPr="00013BDC" w:rsidRDefault="00902EC2" w:rsidP="004A0ACC">
      <w:pPr>
        <w:pStyle w:val="AnnexTitle"/>
        <w:rPr>
          <w:noProof/>
          <w:lang w:val="en-IE"/>
        </w:rPr>
      </w:pPr>
      <w:bookmarkStart w:id="519" w:name="_Toc120782546"/>
      <w:bookmarkStart w:id="520" w:name="_Toc124777290"/>
      <w:bookmarkStart w:id="521" w:name="_Toc132761284"/>
      <w:bookmarkStart w:id="522" w:name="_Toc40734220"/>
      <w:bookmarkStart w:id="523" w:name="_Toc964251088"/>
      <w:bookmarkStart w:id="524" w:name="_Toc1466103526"/>
      <w:bookmarkStart w:id="525" w:name="_Toc852178117"/>
      <w:bookmarkStart w:id="526" w:name="_Toc2028807165"/>
      <w:bookmarkStart w:id="527" w:name="_Toc2010514419"/>
      <w:bookmarkStart w:id="528" w:name="_Toc936348880"/>
      <w:bookmarkStart w:id="529" w:name="_Toc139032980"/>
      <w:bookmarkStart w:id="530" w:name="_Toc117004515"/>
      <w:bookmarkStart w:id="531" w:name="_Toc118014799"/>
      <w:r w:rsidRPr="00013BDC">
        <w:rPr>
          <w:noProof/>
          <w:lang w:val="en-IE"/>
        </w:rPr>
        <w:t xml:space="preserve">Annex 6: </w:t>
      </w:r>
      <w:r w:rsidR="5724CE1A" w:rsidRPr="00013BDC">
        <w:rPr>
          <w:noProof/>
          <w:lang w:val="en-IE"/>
        </w:rPr>
        <w:t>Facts and Figures</w:t>
      </w:r>
      <w:bookmarkEnd w:id="519"/>
      <w:bookmarkEnd w:id="520"/>
      <w:bookmarkEnd w:id="521"/>
      <w:bookmarkEnd w:id="522"/>
      <w:bookmarkEnd w:id="523"/>
      <w:bookmarkEnd w:id="524"/>
      <w:bookmarkEnd w:id="525"/>
      <w:bookmarkEnd w:id="526"/>
      <w:bookmarkEnd w:id="527"/>
      <w:bookmarkEnd w:id="528"/>
      <w:bookmarkEnd w:id="529"/>
    </w:p>
    <w:p w14:paraId="65302E99" w14:textId="1C95B748" w:rsidR="00C62666" w:rsidRPr="00013BDC" w:rsidRDefault="00F64258" w:rsidP="00F64258">
      <w:pPr>
        <w:pStyle w:val="Heading2"/>
        <w:rPr>
          <w:noProof/>
          <w:lang w:val="en-IE"/>
        </w:rPr>
      </w:pPr>
      <w:bookmarkStart w:id="532" w:name="_Toc1225099183"/>
      <w:bookmarkStart w:id="533" w:name="_Toc359619141"/>
      <w:bookmarkStart w:id="534" w:name="_Toc842432352"/>
      <w:bookmarkStart w:id="535" w:name="_Toc1785196104"/>
      <w:bookmarkStart w:id="536" w:name="_Toc1606551374"/>
      <w:bookmarkStart w:id="537" w:name="_Toc331630615"/>
      <w:bookmarkStart w:id="538" w:name="_Toc983391089"/>
      <w:bookmarkStart w:id="539" w:name="_Toc1147798362"/>
      <w:bookmarkStart w:id="540" w:name="_Toc139032981"/>
      <w:r w:rsidRPr="00F64258">
        <w:t>1-</w:t>
      </w:r>
      <w:r w:rsidRPr="00F64258">
        <w:tab/>
      </w:r>
      <w:r w:rsidR="00C62666" w:rsidRPr="00013BDC">
        <w:rPr>
          <w:noProof/>
          <w:lang w:val="en-IE"/>
        </w:rPr>
        <w:t>Textiles</w:t>
      </w:r>
      <w:bookmarkEnd w:id="532"/>
      <w:bookmarkEnd w:id="533"/>
      <w:bookmarkEnd w:id="534"/>
      <w:bookmarkEnd w:id="535"/>
      <w:bookmarkEnd w:id="536"/>
      <w:bookmarkEnd w:id="537"/>
      <w:bookmarkEnd w:id="538"/>
      <w:bookmarkEnd w:id="539"/>
      <w:bookmarkEnd w:id="540"/>
      <w:r w:rsidR="00C62666" w:rsidRPr="00013BDC">
        <w:rPr>
          <w:noProof/>
          <w:lang w:val="en-IE"/>
        </w:rPr>
        <w:t xml:space="preserve"> </w:t>
      </w:r>
    </w:p>
    <w:p w14:paraId="7F206CBA" w14:textId="66F6EBBF" w:rsidR="43FA895E" w:rsidRPr="00013BDC" w:rsidRDefault="43FA895E" w:rsidP="00C7186B">
      <w:pPr>
        <w:pStyle w:val="Heading3"/>
        <w:spacing w:after="120"/>
        <w:rPr>
          <w:noProof/>
          <w:lang w:val="en-IE"/>
        </w:rPr>
      </w:pPr>
      <w:bookmarkStart w:id="541" w:name="_Toc1887374568"/>
      <w:bookmarkStart w:id="542" w:name="_Toc995368214"/>
      <w:bookmarkStart w:id="543" w:name="_Toc2068705576"/>
      <w:bookmarkStart w:id="544" w:name="_Toc629748220"/>
      <w:bookmarkStart w:id="545" w:name="_Toc481720307"/>
      <w:bookmarkStart w:id="546" w:name="_Toc1851160175"/>
      <w:bookmarkStart w:id="547" w:name="_Toc2141930840"/>
      <w:bookmarkStart w:id="548" w:name="_Toc866286627"/>
      <w:bookmarkStart w:id="549" w:name="_Toc139032982"/>
      <w:r w:rsidRPr="00013BDC">
        <w:rPr>
          <w:noProof/>
          <w:lang w:val="en-IE"/>
        </w:rPr>
        <w:t>Terminology</w:t>
      </w:r>
      <w:bookmarkEnd w:id="541"/>
      <w:bookmarkEnd w:id="542"/>
      <w:bookmarkEnd w:id="543"/>
      <w:bookmarkEnd w:id="544"/>
      <w:bookmarkEnd w:id="545"/>
      <w:bookmarkEnd w:id="546"/>
      <w:bookmarkEnd w:id="547"/>
      <w:bookmarkEnd w:id="548"/>
      <w:bookmarkEnd w:id="549"/>
    </w:p>
    <w:p w14:paraId="7E713D6C" w14:textId="375AE457" w:rsidR="7C56AADD" w:rsidRPr="00013BDC" w:rsidRDefault="7C56AADD" w:rsidP="00A55580">
      <w:pPr>
        <w:spacing w:after="120"/>
        <w:rPr>
          <w:rFonts w:eastAsia="Times New Roman"/>
          <w:noProof/>
          <w:lang w:val="en-IE"/>
        </w:rPr>
      </w:pPr>
      <w:r w:rsidRPr="00013BDC">
        <w:rPr>
          <w:rFonts w:eastAsia="Times New Roman"/>
          <w:noProof/>
          <w:lang w:val="en-IE"/>
        </w:rPr>
        <w:t xml:space="preserve">As per </w:t>
      </w:r>
      <w:r w:rsidR="000971F0" w:rsidRPr="00013BDC">
        <w:rPr>
          <w:rFonts w:eastAsia="Times New Roman"/>
          <w:noProof/>
          <w:lang w:val="en-IE"/>
        </w:rPr>
        <w:t xml:space="preserve">the </w:t>
      </w:r>
      <w:r w:rsidR="000971F0" w:rsidRPr="00013BDC">
        <w:rPr>
          <w:rStyle w:val="normaltextrun"/>
          <w:noProof/>
          <w:color w:val="000000" w:themeColor="text1"/>
          <w:shd w:val="clear" w:color="auto" w:fill="FFFFFF"/>
          <w:lang w:val="en-IE"/>
        </w:rPr>
        <w:t>Textiles Labelling Regulation</w:t>
      </w:r>
      <w:r w:rsidRPr="00013BDC">
        <w:rPr>
          <w:rFonts w:eastAsia="Times New Roman"/>
          <w:noProof/>
          <w:lang w:val="en-IE"/>
        </w:rPr>
        <w:t xml:space="preserve">, ‘textile product’ means any raw, semi-worked, worked, semi-manufactured, manufactured, semi-made-up or made-up product which is composed at for least 80% of textile fibres, regardless of the mixing or assembly process employed. Three main categories of textile </w:t>
      </w:r>
      <w:r w:rsidR="2B9EC2E6" w:rsidRPr="00013BDC">
        <w:rPr>
          <w:rFonts w:eastAsia="Times New Roman"/>
          <w:noProof/>
          <w:lang w:val="en-IE"/>
        </w:rPr>
        <w:t>a</w:t>
      </w:r>
      <w:r w:rsidR="1F173A21" w:rsidRPr="00013BDC">
        <w:rPr>
          <w:rFonts w:eastAsia="Times New Roman"/>
          <w:noProof/>
          <w:lang w:val="en-IE"/>
        </w:rPr>
        <w:t>pplications</w:t>
      </w:r>
      <w:r w:rsidRPr="00013BDC">
        <w:rPr>
          <w:rFonts w:eastAsia="Times New Roman"/>
          <w:noProof/>
          <w:lang w:val="en-IE"/>
        </w:rPr>
        <w:t xml:space="preserve"> can be discerned:</w:t>
      </w:r>
    </w:p>
    <w:p w14:paraId="5D56C5D3" w14:textId="34F6A889" w:rsidR="7C56AADD" w:rsidRPr="00013BDC" w:rsidRDefault="7C56AADD" w:rsidP="00CF0DFB">
      <w:pPr>
        <w:pStyle w:val="ListParagraph"/>
        <w:numPr>
          <w:ilvl w:val="0"/>
          <w:numId w:val="115"/>
        </w:numPr>
        <w:rPr>
          <w:rFonts w:eastAsia="Times New Roman"/>
          <w:noProof/>
          <w:lang w:val="en-IE"/>
        </w:rPr>
      </w:pPr>
      <w:r w:rsidRPr="00013BDC">
        <w:rPr>
          <w:rFonts w:eastAsia="Times New Roman"/>
          <w:noProof/>
          <w:lang w:val="en-IE"/>
        </w:rPr>
        <w:t>Clothing and footwear (trousers, t-shirts, sweaters, coats, footwear, dresses, apparel accessories such as scarves, handkerchiefs, etc.)</w:t>
      </w:r>
      <w:r w:rsidR="000A73F3" w:rsidRPr="00013BDC">
        <w:rPr>
          <w:rFonts w:eastAsia="Times New Roman"/>
          <w:noProof/>
          <w:lang w:val="en-IE"/>
        </w:rPr>
        <w:t>.</w:t>
      </w:r>
    </w:p>
    <w:p w14:paraId="65125494" w14:textId="75AC5BD2" w:rsidR="7C56AADD" w:rsidRPr="00013BDC" w:rsidRDefault="7C56AADD" w:rsidP="00CF0DFB">
      <w:pPr>
        <w:pStyle w:val="ListParagraph"/>
        <w:numPr>
          <w:ilvl w:val="0"/>
          <w:numId w:val="115"/>
        </w:numPr>
        <w:rPr>
          <w:rFonts w:eastAsia="Times New Roman"/>
          <w:noProof/>
          <w:lang w:val="en-IE"/>
        </w:rPr>
      </w:pPr>
      <w:r w:rsidRPr="00013BDC">
        <w:rPr>
          <w:rFonts w:eastAsia="Times New Roman"/>
          <w:noProof/>
          <w:lang w:val="en-IE"/>
        </w:rPr>
        <w:t>Household textiles (other textiles used in households, curtains, bed linen, carpets, etc.)</w:t>
      </w:r>
      <w:r w:rsidR="000A73F3" w:rsidRPr="00013BDC">
        <w:rPr>
          <w:rFonts w:eastAsia="Times New Roman"/>
          <w:noProof/>
          <w:lang w:val="en-IE"/>
        </w:rPr>
        <w:t>.</w:t>
      </w:r>
    </w:p>
    <w:p w14:paraId="5626BA33" w14:textId="18F388A1" w:rsidR="7C56AADD" w:rsidRPr="00013BDC" w:rsidRDefault="7C56AADD" w:rsidP="00CF0DFB">
      <w:pPr>
        <w:pStyle w:val="ListParagraph"/>
        <w:numPr>
          <w:ilvl w:val="0"/>
          <w:numId w:val="115"/>
        </w:numPr>
        <w:rPr>
          <w:rFonts w:eastAsia="Times New Roman"/>
          <w:noProof/>
          <w:lang w:val="en-IE"/>
        </w:rPr>
      </w:pPr>
      <w:r w:rsidRPr="00013BDC">
        <w:rPr>
          <w:rFonts w:eastAsia="Times New Roman"/>
          <w:noProof/>
          <w:lang w:val="en-IE"/>
        </w:rPr>
        <w:t>Technical textiles, any textile product manufactured for non-aesthetic purpose, where function is the primary design criterion for industrial applications (automotive applications, medical textile</w:t>
      </w:r>
      <w:r w:rsidR="000A73F3" w:rsidRPr="00013BDC">
        <w:rPr>
          <w:rFonts w:eastAsia="Times New Roman"/>
          <w:noProof/>
          <w:lang w:val="en-IE"/>
        </w:rPr>
        <w:t>s</w:t>
      </w:r>
      <w:r w:rsidRPr="00013BDC">
        <w:rPr>
          <w:rFonts w:eastAsia="Times New Roman"/>
          <w:noProof/>
          <w:lang w:val="en-IE"/>
        </w:rPr>
        <w:t>, agr</w:t>
      </w:r>
      <w:r w:rsidR="000A73F3" w:rsidRPr="00013BDC">
        <w:rPr>
          <w:rFonts w:eastAsia="Times New Roman"/>
          <w:noProof/>
          <w:lang w:val="en-IE"/>
        </w:rPr>
        <w:t>icultural</w:t>
      </w:r>
      <w:r w:rsidRPr="00013BDC">
        <w:rPr>
          <w:rFonts w:eastAsia="Times New Roman"/>
          <w:noProof/>
          <w:lang w:val="en-IE"/>
        </w:rPr>
        <w:t xml:space="preserve"> textile</w:t>
      </w:r>
      <w:r w:rsidR="000A73F3" w:rsidRPr="00013BDC">
        <w:rPr>
          <w:rFonts w:eastAsia="Times New Roman"/>
          <w:noProof/>
          <w:lang w:val="en-IE"/>
        </w:rPr>
        <w:t>s</w:t>
      </w:r>
      <w:r w:rsidRPr="00013BDC">
        <w:rPr>
          <w:rFonts w:eastAsia="Times New Roman"/>
          <w:noProof/>
          <w:lang w:val="en-IE"/>
        </w:rPr>
        <w:t>, protective equipment, etc.).</w:t>
      </w:r>
    </w:p>
    <w:p w14:paraId="12CF305A" w14:textId="23D50E89" w:rsidR="7C56AADD" w:rsidRPr="00013BDC" w:rsidRDefault="00CD6693" w:rsidP="00A55580">
      <w:pPr>
        <w:spacing w:after="120"/>
        <w:rPr>
          <w:noProof/>
          <w:lang w:val="en-IE"/>
        </w:rPr>
      </w:pPr>
      <w:r w:rsidRPr="00013BDC">
        <w:rPr>
          <w:rFonts w:eastAsia="Times New Roman"/>
          <w:noProof/>
          <w:lang w:val="en-IE"/>
        </w:rPr>
        <w:t>S</w:t>
      </w:r>
      <w:r w:rsidR="7C56AADD" w:rsidRPr="00013BDC">
        <w:rPr>
          <w:rFonts w:eastAsia="Times New Roman"/>
          <w:noProof/>
          <w:lang w:val="en-IE"/>
        </w:rPr>
        <w:t>ome textiles are used for household</w:t>
      </w:r>
      <w:r w:rsidRPr="00013BDC">
        <w:rPr>
          <w:rFonts w:eastAsia="Times New Roman"/>
          <w:noProof/>
          <w:lang w:val="en-IE"/>
        </w:rPr>
        <w:t>, commercial</w:t>
      </w:r>
      <w:r w:rsidR="7C56AADD" w:rsidRPr="00013BDC">
        <w:rPr>
          <w:rFonts w:eastAsia="Times New Roman"/>
          <w:noProof/>
          <w:lang w:val="en-IE"/>
        </w:rPr>
        <w:t xml:space="preserve"> and industrial applications (e.g.</w:t>
      </w:r>
      <w:r w:rsidR="00145970" w:rsidRPr="00013BDC">
        <w:rPr>
          <w:rFonts w:eastAsia="Times New Roman"/>
          <w:noProof/>
          <w:lang w:val="en-IE"/>
        </w:rPr>
        <w:t>,</w:t>
      </w:r>
      <w:r w:rsidR="7C56AADD" w:rsidRPr="00013BDC">
        <w:rPr>
          <w:rFonts w:eastAsia="Times New Roman"/>
          <w:noProof/>
          <w:lang w:val="en-IE"/>
        </w:rPr>
        <w:t xml:space="preserve"> cleaning articles), and available data </w:t>
      </w:r>
      <w:r w:rsidR="00D053E1" w:rsidRPr="00013BDC">
        <w:rPr>
          <w:rFonts w:eastAsia="Times New Roman"/>
          <w:noProof/>
          <w:lang w:val="en-IE"/>
        </w:rPr>
        <w:t xml:space="preserve">often </w:t>
      </w:r>
      <w:r w:rsidR="7C56AADD" w:rsidRPr="00013BDC">
        <w:rPr>
          <w:rFonts w:eastAsia="Times New Roman"/>
          <w:noProof/>
          <w:lang w:val="en-IE"/>
        </w:rPr>
        <w:t>do</w:t>
      </w:r>
      <w:r w:rsidR="00D053E1" w:rsidRPr="00013BDC">
        <w:rPr>
          <w:rFonts w:eastAsia="Times New Roman"/>
          <w:noProof/>
          <w:lang w:val="en-IE"/>
        </w:rPr>
        <w:t>es</w:t>
      </w:r>
      <w:r w:rsidR="7C56AADD" w:rsidRPr="00013BDC">
        <w:rPr>
          <w:rFonts w:eastAsia="Times New Roman"/>
          <w:noProof/>
          <w:lang w:val="en-IE"/>
        </w:rPr>
        <w:t xml:space="preserve"> not enable to clearly differentiate between final consumers.</w:t>
      </w:r>
    </w:p>
    <w:p w14:paraId="41CF267A" w14:textId="47EFA85F" w:rsidR="7C56AADD" w:rsidRPr="00013BDC" w:rsidRDefault="7C56AADD" w:rsidP="00A55580">
      <w:pPr>
        <w:spacing w:after="120"/>
        <w:rPr>
          <w:noProof/>
          <w:lang w:val="en-IE"/>
        </w:rPr>
      </w:pPr>
      <w:r w:rsidRPr="00013BDC">
        <w:rPr>
          <w:rFonts w:eastAsia="Times New Roman"/>
          <w:noProof/>
          <w:lang w:val="en-IE"/>
        </w:rPr>
        <w:t xml:space="preserve">Waste is generated at different stages in the life cycle of textiles, and </w:t>
      </w:r>
      <w:r w:rsidR="00D053E1" w:rsidRPr="00013BDC">
        <w:rPr>
          <w:rFonts w:eastAsia="Times New Roman"/>
          <w:noProof/>
          <w:lang w:val="en-IE"/>
        </w:rPr>
        <w:t>is</w:t>
      </w:r>
      <w:r w:rsidRPr="00013BDC">
        <w:rPr>
          <w:rFonts w:eastAsia="Times New Roman"/>
          <w:noProof/>
          <w:lang w:val="en-IE"/>
        </w:rPr>
        <w:t xml:space="preserve"> defined as:</w:t>
      </w:r>
    </w:p>
    <w:p w14:paraId="3CC625D0" w14:textId="501B2F35" w:rsidR="7C56AADD" w:rsidRPr="00013BDC" w:rsidRDefault="7C56AADD" w:rsidP="00CF0DFB">
      <w:pPr>
        <w:pStyle w:val="ListParagraph"/>
        <w:numPr>
          <w:ilvl w:val="0"/>
          <w:numId w:val="116"/>
        </w:numPr>
        <w:rPr>
          <w:rFonts w:eastAsia="Times New Roman"/>
          <w:noProof/>
          <w:lang w:val="en-IE"/>
        </w:rPr>
      </w:pPr>
      <w:r w:rsidRPr="00013BDC">
        <w:rPr>
          <w:rFonts w:eastAsia="Times New Roman"/>
          <w:noProof/>
          <w:lang w:val="en-IE"/>
        </w:rPr>
        <w:t>Post-industrial waste: Waste generated during the manufacturing of textile products and their precursors</w:t>
      </w:r>
      <w:r w:rsidR="000A73F3" w:rsidRPr="00013BDC">
        <w:rPr>
          <w:rFonts w:eastAsia="Times New Roman"/>
          <w:noProof/>
          <w:lang w:val="en-IE"/>
        </w:rPr>
        <w:t>.</w:t>
      </w:r>
    </w:p>
    <w:p w14:paraId="5345A9E6" w14:textId="1390E4F1" w:rsidR="7C56AADD" w:rsidRPr="00013BDC" w:rsidRDefault="7C56AADD" w:rsidP="00CF0DFB">
      <w:pPr>
        <w:pStyle w:val="ListParagraph"/>
        <w:numPr>
          <w:ilvl w:val="0"/>
          <w:numId w:val="116"/>
        </w:numPr>
        <w:rPr>
          <w:rFonts w:eastAsia="Times New Roman"/>
          <w:noProof/>
          <w:lang w:val="en-IE"/>
        </w:rPr>
      </w:pPr>
      <w:r w:rsidRPr="00013BDC">
        <w:rPr>
          <w:rFonts w:eastAsia="Times New Roman"/>
          <w:noProof/>
          <w:lang w:val="en-IE"/>
        </w:rPr>
        <w:t>Pre-consumer waste: Waste generated at retail stages (e.g.</w:t>
      </w:r>
      <w:r w:rsidR="000A73F3" w:rsidRPr="00013BDC">
        <w:rPr>
          <w:rFonts w:eastAsia="Times New Roman"/>
          <w:noProof/>
          <w:lang w:val="en-IE"/>
        </w:rPr>
        <w:t>,</w:t>
      </w:r>
      <w:r w:rsidRPr="00013BDC">
        <w:rPr>
          <w:rFonts w:eastAsia="Times New Roman"/>
          <w:noProof/>
          <w:lang w:val="en-IE"/>
        </w:rPr>
        <w:t xml:space="preserve"> unsold textiles).</w:t>
      </w:r>
    </w:p>
    <w:p w14:paraId="52D425A6" w14:textId="312005E6" w:rsidR="7C56AADD" w:rsidRPr="00013BDC" w:rsidRDefault="7C56AADD" w:rsidP="00CF0DFB">
      <w:pPr>
        <w:pStyle w:val="ListParagraph"/>
        <w:numPr>
          <w:ilvl w:val="0"/>
          <w:numId w:val="116"/>
        </w:numPr>
        <w:spacing w:after="120"/>
        <w:rPr>
          <w:rFonts w:eastAsia="Times New Roman"/>
          <w:noProof/>
          <w:lang w:val="en-IE"/>
        </w:rPr>
      </w:pPr>
      <w:r w:rsidRPr="00013BDC">
        <w:rPr>
          <w:rFonts w:eastAsia="Times New Roman"/>
          <w:noProof/>
          <w:lang w:val="en-IE"/>
        </w:rPr>
        <w:t xml:space="preserve">Post-consumer waste: Textiles that have been disposed of after consumption and use by the citizen or end-users of commercial and industrial activities (hotel, </w:t>
      </w:r>
      <w:r w:rsidR="00696EB6" w:rsidRPr="00013BDC">
        <w:rPr>
          <w:rFonts w:eastAsia="Times New Roman"/>
          <w:noProof/>
          <w:lang w:val="en-IE"/>
        </w:rPr>
        <w:t>hospitals, schools</w:t>
      </w:r>
      <w:r w:rsidRPr="00013BDC">
        <w:rPr>
          <w:rFonts w:eastAsia="Times New Roman"/>
          <w:noProof/>
          <w:lang w:val="en-IE"/>
        </w:rPr>
        <w:t>, etc.), commonly referred to household and commercial post-consumer textile waste.</w:t>
      </w:r>
    </w:p>
    <w:p w14:paraId="18112E5F" w14:textId="467B9F06" w:rsidR="000864EE" w:rsidRPr="00013BDC" w:rsidRDefault="000864EE" w:rsidP="00C032FC">
      <w:pPr>
        <w:rPr>
          <w:rFonts w:eastAsia="Times New Roman"/>
          <w:noProof/>
          <w:lang w:val="en-IE"/>
        </w:rPr>
      </w:pPr>
      <w:r w:rsidRPr="00013BDC">
        <w:rPr>
          <w:rFonts w:eastAsia="Times New Roman"/>
          <w:noProof/>
          <w:lang w:val="en-IE"/>
        </w:rPr>
        <w:t>Post-industrial, pre-consumer, and post-consumer (household and commercial) waste, representing an estimated 11%, 3% and 87% respectively</w:t>
      </w:r>
      <w:r w:rsidR="001B4D5A" w:rsidRPr="00013BDC">
        <w:rPr>
          <w:rStyle w:val="FootnoteReference"/>
          <w:rFonts w:eastAsia="Times New Roman"/>
          <w:noProof/>
          <w:lang w:val="en-IE"/>
        </w:rPr>
        <w:footnoteReference w:id="118"/>
      </w:r>
      <w:r w:rsidR="00CA5674" w:rsidRPr="00013BDC">
        <w:rPr>
          <w:rFonts w:eastAsia="Times New Roman"/>
          <w:noProof/>
          <w:lang w:val="en-IE"/>
        </w:rPr>
        <w:t>.</w:t>
      </w:r>
    </w:p>
    <w:p w14:paraId="1CCC5763" w14:textId="66F6EBBF" w:rsidR="0044444E" w:rsidRPr="00013BDC" w:rsidRDefault="0044444E" w:rsidP="00643F9A">
      <w:pPr>
        <w:pStyle w:val="Heading3"/>
        <w:spacing w:after="120"/>
        <w:rPr>
          <w:noProof/>
          <w:lang w:val="en-IE"/>
        </w:rPr>
      </w:pPr>
      <w:bookmarkStart w:id="550" w:name="_Toc124777291"/>
      <w:bookmarkStart w:id="551" w:name="_Toc1165256289"/>
      <w:bookmarkStart w:id="552" w:name="_Toc398360480"/>
      <w:bookmarkStart w:id="553" w:name="_Toc1996906713"/>
      <w:bookmarkStart w:id="554" w:name="_Toc992456427"/>
      <w:bookmarkStart w:id="555" w:name="_Toc1741272705"/>
      <w:bookmarkStart w:id="556" w:name="_Toc1665354356"/>
      <w:bookmarkStart w:id="557" w:name="_Toc1464268695"/>
      <w:bookmarkStart w:id="558" w:name="_Toc139032983"/>
      <w:bookmarkEnd w:id="530"/>
      <w:bookmarkEnd w:id="531"/>
      <w:r w:rsidRPr="00013BDC">
        <w:rPr>
          <w:noProof/>
          <w:lang w:val="en-IE"/>
        </w:rPr>
        <w:t>T</w:t>
      </w:r>
      <w:r w:rsidR="2FED6D8C" w:rsidRPr="00013BDC">
        <w:rPr>
          <w:noProof/>
          <w:lang w:val="en-IE"/>
        </w:rPr>
        <w:t>he</w:t>
      </w:r>
      <w:r w:rsidR="6A9E9470" w:rsidRPr="00013BDC">
        <w:rPr>
          <w:noProof/>
          <w:lang w:val="en-IE"/>
        </w:rPr>
        <w:t xml:space="preserve"> </w:t>
      </w:r>
      <w:r w:rsidR="2FED6D8C" w:rsidRPr="00013BDC">
        <w:rPr>
          <w:noProof/>
          <w:lang w:val="en-IE"/>
        </w:rPr>
        <w:t>t</w:t>
      </w:r>
      <w:r w:rsidRPr="00013BDC">
        <w:rPr>
          <w:noProof/>
          <w:lang w:val="en-IE"/>
        </w:rPr>
        <w:t>extile</w:t>
      </w:r>
      <w:r w:rsidR="14C1A957" w:rsidRPr="00013BDC">
        <w:rPr>
          <w:noProof/>
          <w:lang w:val="en-IE"/>
        </w:rPr>
        <w:t xml:space="preserve"> market</w:t>
      </w:r>
      <w:bookmarkEnd w:id="550"/>
      <w:bookmarkEnd w:id="551"/>
      <w:bookmarkEnd w:id="552"/>
      <w:bookmarkEnd w:id="553"/>
      <w:bookmarkEnd w:id="554"/>
      <w:bookmarkEnd w:id="555"/>
      <w:bookmarkEnd w:id="556"/>
      <w:bookmarkEnd w:id="557"/>
      <w:bookmarkEnd w:id="558"/>
    </w:p>
    <w:p w14:paraId="28B85845" w14:textId="3BC7701B" w:rsidR="00DE2D66" w:rsidRPr="00013BDC" w:rsidRDefault="4825A26B" w:rsidP="00DA016A">
      <w:pPr>
        <w:spacing w:after="120"/>
        <w:rPr>
          <w:noProof/>
          <w:lang w:val="en-IE"/>
        </w:rPr>
      </w:pPr>
      <w:r w:rsidRPr="00013BDC">
        <w:rPr>
          <w:noProof/>
          <w:lang w:val="en-IE"/>
        </w:rPr>
        <w:t xml:space="preserve">The textile market is highly globalised and involves millions of producers and billions of consumers across the world. </w:t>
      </w:r>
      <w:r w:rsidR="029EB707" w:rsidRPr="00013BDC">
        <w:rPr>
          <w:noProof/>
          <w:lang w:val="en-IE"/>
        </w:rPr>
        <w:t xml:space="preserve">The global textile </w:t>
      </w:r>
      <w:r w:rsidR="4FABABF9" w:rsidRPr="00013BDC">
        <w:rPr>
          <w:noProof/>
          <w:lang w:val="en-IE"/>
        </w:rPr>
        <w:t xml:space="preserve">market </w:t>
      </w:r>
      <w:r w:rsidR="029EB707" w:rsidRPr="00013BDC">
        <w:rPr>
          <w:noProof/>
          <w:lang w:val="en-IE"/>
        </w:rPr>
        <w:t>is worth US</w:t>
      </w:r>
      <w:r w:rsidR="007F14D4" w:rsidRPr="00013BDC">
        <w:rPr>
          <w:noProof/>
          <w:lang w:val="en-IE"/>
        </w:rPr>
        <w:t>D</w:t>
      </w:r>
      <w:r w:rsidR="029EB707" w:rsidRPr="00013BDC">
        <w:rPr>
          <w:noProof/>
          <w:lang w:val="en-IE"/>
        </w:rPr>
        <w:t xml:space="preserve"> 3 trillion, accounts for about 2 % of the world’s GDP and </w:t>
      </w:r>
      <w:r w:rsidR="069D18AC" w:rsidRPr="00013BDC">
        <w:rPr>
          <w:noProof/>
          <w:lang w:val="en-IE"/>
        </w:rPr>
        <w:t>employs more than 75 million people, primarily in developing nations</w:t>
      </w:r>
      <w:r w:rsidR="6A72D71B" w:rsidRPr="00013BDC">
        <w:rPr>
          <w:noProof/>
          <w:vertAlign w:val="superscript"/>
          <w:lang w:val="en-IE"/>
        </w:rPr>
        <w:footnoteReference w:id="119"/>
      </w:r>
      <w:r w:rsidR="029EB707" w:rsidRPr="00013BDC">
        <w:rPr>
          <w:noProof/>
          <w:lang w:val="en-IE"/>
        </w:rPr>
        <w:t xml:space="preserve"> </w:t>
      </w:r>
      <w:r w:rsidR="0005176E" w:rsidRPr="00013BDC">
        <w:rPr>
          <w:rStyle w:val="FootnoteReference"/>
          <w:noProof/>
          <w:lang w:val="en-IE"/>
        </w:rPr>
        <w:footnoteReference w:id="120"/>
      </w:r>
      <w:r w:rsidR="4F370F9B" w:rsidRPr="00013BDC">
        <w:rPr>
          <w:noProof/>
          <w:lang w:val="en-IE"/>
        </w:rPr>
        <w:t xml:space="preserve">. It relies </w:t>
      </w:r>
      <w:r w:rsidRPr="00013BDC">
        <w:rPr>
          <w:noProof/>
          <w:lang w:val="en-IE"/>
        </w:rPr>
        <w:t>on agriculture for raw materials</w:t>
      </w:r>
      <w:r w:rsidR="54C24550" w:rsidRPr="00013BDC">
        <w:rPr>
          <w:noProof/>
          <w:lang w:val="en-IE"/>
        </w:rPr>
        <w:t>.</w:t>
      </w:r>
      <w:r w:rsidR="45EC6302" w:rsidRPr="00013BDC">
        <w:rPr>
          <w:rFonts w:eastAsia="Times New Roman"/>
          <w:noProof/>
          <w:lang w:val="en-IE"/>
        </w:rPr>
        <w:t xml:space="preserve"> </w:t>
      </w:r>
      <w:r w:rsidR="6894DEA2" w:rsidRPr="00013BDC">
        <w:rPr>
          <w:rFonts w:eastAsia="Times New Roman"/>
          <w:noProof/>
          <w:lang w:val="en-IE"/>
        </w:rPr>
        <w:t>The global production of textile fibre</w:t>
      </w:r>
      <w:r w:rsidR="5667B0A2" w:rsidRPr="00013BDC">
        <w:rPr>
          <w:rFonts w:eastAsia="Times New Roman"/>
          <w:noProof/>
          <w:lang w:val="en-IE"/>
        </w:rPr>
        <w:t>s (most</w:t>
      </w:r>
      <w:r w:rsidR="4F370F9B" w:rsidRPr="00013BDC">
        <w:rPr>
          <w:rFonts w:eastAsia="Times New Roman"/>
          <w:noProof/>
          <w:lang w:val="en-IE"/>
        </w:rPr>
        <w:t>ly</w:t>
      </w:r>
      <w:r w:rsidR="5667B0A2" w:rsidRPr="00013BDC">
        <w:rPr>
          <w:noProof/>
          <w:lang w:val="en-IE"/>
        </w:rPr>
        <w:t xml:space="preserve"> </w:t>
      </w:r>
      <w:r w:rsidR="48EDC739" w:rsidRPr="00013BDC">
        <w:rPr>
          <w:noProof/>
          <w:lang w:val="en-IE"/>
        </w:rPr>
        <w:t xml:space="preserve">virgin and </w:t>
      </w:r>
      <w:r w:rsidR="5667B0A2" w:rsidRPr="00013BDC">
        <w:rPr>
          <w:noProof/>
          <w:lang w:val="en-IE"/>
        </w:rPr>
        <w:t>synthetic</w:t>
      </w:r>
      <w:r w:rsidR="00AC5E03" w:rsidRPr="00013BDC">
        <w:rPr>
          <w:rFonts w:eastAsia="Times New Roman"/>
          <w:noProof/>
          <w:vertAlign w:val="superscript"/>
          <w:lang w:val="en-IE"/>
        </w:rPr>
        <w:footnoteReference w:id="121"/>
      </w:r>
      <w:r w:rsidR="5667B0A2" w:rsidRPr="00013BDC">
        <w:rPr>
          <w:rFonts w:eastAsia="Times New Roman"/>
          <w:noProof/>
          <w:lang w:val="en-IE"/>
        </w:rPr>
        <w:t>)</w:t>
      </w:r>
      <w:r w:rsidR="6894DEA2" w:rsidRPr="00013BDC">
        <w:rPr>
          <w:rFonts w:eastAsia="Times New Roman"/>
          <w:noProof/>
          <w:lang w:val="en-IE"/>
        </w:rPr>
        <w:t xml:space="preserve"> has almost tripled since 1975</w:t>
      </w:r>
      <w:r w:rsidR="38E90E87" w:rsidRPr="00013BDC">
        <w:rPr>
          <w:rStyle w:val="FootnoteReference"/>
          <w:noProof/>
          <w:lang w:val="en-IE"/>
        </w:rPr>
        <w:footnoteReference w:id="122"/>
      </w:r>
      <w:r w:rsidR="6894DEA2" w:rsidRPr="00013BDC">
        <w:rPr>
          <w:rFonts w:eastAsia="Times New Roman"/>
          <w:noProof/>
          <w:lang w:val="en-IE"/>
        </w:rPr>
        <w:t xml:space="preserve"> and doubled from 2000 to 2015. </w:t>
      </w:r>
      <w:r w:rsidR="6894DEA2" w:rsidRPr="00013BDC">
        <w:rPr>
          <w:noProof/>
          <w:lang w:val="en-IE"/>
        </w:rPr>
        <w:t xml:space="preserve">The </w:t>
      </w:r>
      <w:r w:rsidR="63A526FD" w:rsidRPr="00013BDC">
        <w:rPr>
          <w:noProof/>
          <w:lang w:val="en-IE"/>
        </w:rPr>
        <w:t xml:space="preserve">market </w:t>
      </w:r>
      <w:r w:rsidR="6894DEA2" w:rsidRPr="00013BDC">
        <w:rPr>
          <w:noProof/>
          <w:lang w:val="en-IE"/>
        </w:rPr>
        <w:t xml:space="preserve">contracted during the COVID-19 crisis </w:t>
      </w:r>
      <w:r w:rsidR="2FEADD60" w:rsidRPr="00013BDC">
        <w:rPr>
          <w:noProof/>
          <w:lang w:val="en-IE"/>
        </w:rPr>
        <w:t xml:space="preserve">with </w:t>
      </w:r>
      <w:r w:rsidR="6894DEA2" w:rsidRPr="00013BDC">
        <w:rPr>
          <w:noProof/>
          <w:lang w:val="en-IE"/>
        </w:rPr>
        <w:t xml:space="preserve">the shutdown of retail outlets and disruptions in the logistics sector. </w:t>
      </w:r>
      <w:r w:rsidR="0CEE6A78" w:rsidRPr="00013BDC">
        <w:rPr>
          <w:noProof/>
          <w:lang w:val="en-IE"/>
        </w:rPr>
        <w:t>However</w:t>
      </w:r>
      <w:r w:rsidR="6894DEA2" w:rsidRPr="00013BDC">
        <w:rPr>
          <w:noProof/>
          <w:lang w:val="en-IE"/>
        </w:rPr>
        <w:t>, it made a fundamental contribution to its management</w:t>
      </w:r>
      <w:r w:rsidR="3A3D4AE5" w:rsidRPr="00013BDC">
        <w:rPr>
          <w:noProof/>
          <w:lang w:val="en-IE"/>
        </w:rPr>
        <w:t xml:space="preserve"> by</w:t>
      </w:r>
      <w:r w:rsidR="6894DEA2" w:rsidRPr="00013BDC">
        <w:rPr>
          <w:noProof/>
          <w:lang w:val="en-IE"/>
        </w:rPr>
        <w:t xml:space="preserve"> supplying protective and medical equipment (face masks, gowns and nonwoven raw materials for medical use).</w:t>
      </w:r>
      <w:r w:rsidR="29775662" w:rsidRPr="00013BDC">
        <w:rPr>
          <w:noProof/>
          <w:lang w:val="en-IE"/>
        </w:rPr>
        <w:t xml:space="preserve"> </w:t>
      </w:r>
      <w:r w:rsidR="002F2AAD" w:rsidRPr="00013BDC">
        <w:rPr>
          <w:rStyle w:val="FootnoteReference"/>
          <w:noProof/>
          <w:lang w:val="en-IE"/>
        </w:rPr>
        <w:footnoteReference w:id="123"/>
      </w:r>
      <w:r w:rsidR="48EDC739" w:rsidRPr="00013BDC">
        <w:rPr>
          <w:rFonts w:eastAsia="Times New Roman"/>
          <w:noProof/>
          <w:lang w:val="en-IE"/>
        </w:rPr>
        <w:t xml:space="preserve"> </w:t>
      </w:r>
    </w:p>
    <w:p w14:paraId="1E497B90" w14:textId="0EBF3BBE" w:rsidR="00096212" w:rsidRPr="00013BDC" w:rsidRDefault="25B58329" w:rsidP="008B4F07">
      <w:pPr>
        <w:spacing w:after="120"/>
        <w:rPr>
          <w:noProof/>
          <w:lang w:val="en-IE"/>
        </w:rPr>
      </w:pPr>
      <w:r w:rsidRPr="00013BDC">
        <w:rPr>
          <w:noProof/>
          <w:lang w:val="en-IE"/>
        </w:rPr>
        <w:t xml:space="preserve">The largest producer by value of textiles and clothing exports is China, followed by the European Union. </w:t>
      </w:r>
      <w:r w:rsidR="53E4CBEB" w:rsidRPr="00013BDC">
        <w:rPr>
          <w:noProof/>
          <w:lang w:val="en-IE"/>
        </w:rPr>
        <w:t>In 2020, m</w:t>
      </w:r>
      <w:r w:rsidR="25BFD925" w:rsidRPr="00013BDC">
        <w:rPr>
          <w:noProof/>
          <w:lang w:val="en-IE"/>
        </w:rPr>
        <w:t>anufacturers in Asia-Pacific account</w:t>
      </w:r>
      <w:r w:rsidR="3E931D46" w:rsidRPr="00013BDC">
        <w:rPr>
          <w:noProof/>
          <w:lang w:val="en-IE"/>
        </w:rPr>
        <w:t>ed</w:t>
      </w:r>
      <w:r w:rsidR="25BFD925" w:rsidRPr="00013BDC">
        <w:rPr>
          <w:noProof/>
          <w:lang w:val="en-IE"/>
        </w:rPr>
        <w:t xml:space="preserve"> for almost 50% of the global textile and apparel exports</w:t>
      </w:r>
      <w:r w:rsidR="1F363DC5" w:rsidRPr="00013BDC">
        <w:rPr>
          <w:noProof/>
          <w:lang w:val="en-IE"/>
        </w:rPr>
        <w:t xml:space="preserve"> value</w:t>
      </w:r>
      <w:r w:rsidR="25BFD925" w:rsidRPr="00013BDC">
        <w:rPr>
          <w:noProof/>
          <w:lang w:val="en-IE"/>
        </w:rPr>
        <w:t xml:space="preserve">. </w:t>
      </w:r>
      <w:r w:rsidR="7D7309F3" w:rsidRPr="00013BDC">
        <w:rPr>
          <w:noProof/>
          <w:lang w:val="en-IE"/>
        </w:rPr>
        <w:t xml:space="preserve">The </w:t>
      </w:r>
      <w:r w:rsidRPr="00013BDC">
        <w:rPr>
          <w:noProof/>
          <w:lang w:val="en-IE"/>
        </w:rPr>
        <w:t xml:space="preserve">value of Chinese textile exports increased drastically through the </w:t>
      </w:r>
      <w:r w:rsidR="7D7309F3" w:rsidRPr="00013BDC">
        <w:rPr>
          <w:noProof/>
          <w:lang w:val="en-IE"/>
        </w:rPr>
        <w:t xml:space="preserve">COVID-19 </w:t>
      </w:r>
      <w:r w:rsidRPr="00013BDC">
        <w:rPr>
          <w:noProof/>
          <w:lang w:val="en-IE"/>
        </w:rPr>
        <w:t xml:space="preserve">pandemic as medical masks and other medical textile products were in high demand worldwide. </w:t>
      </w:r>
      <w:r w:rsidR="00096212" w:rsidRPr="00013BDC">
        <w:rPr>
          <w:rStyle w:val="FootnoteReference"/>
          <w:noProof/>
          <w:lang w:val="en-IE"/>
        </w:rPr>
        <w:footnoteReference w:id="124"/>
      </w:r>
      <w:r w:rsidR="7D7309F3" w:rsidRPr="00013BDC">
        <w:rPr>
          <w:noProof/>
          <w:lang w:val="en-IE"/>
        </w:rPr>
        <w:t xml:space="preserve"> </w:t>
      </w:r>
      <w:r w:rsidR="6CF7CD2A" w:rsidRPr="00013BDC">
        <w:rPr>
          <w:noProof/>
          <w:lang w:val="en-IE"/>
        </w:rPr>
        <w:t>The labour-intensive clothing and textile industry is highly dependent on the wide availability of cheap labour as the market is highly competitive</w:t>
      </w:r>
      <w:r w:rsidR="00096212" w:rsidRPr="00013BDC">
        <w:rPr>
          <w:rStyle w:val="FootnoteReference"/>
          <w:noProof/>
          <w:lang w:val="en-IE"/>
        </w:rPr>
        <w:footnoteReference w:id="125"/>
      </w:r>
      <w:r w:rsidR="6CF7CD2A" w:rsidRPr="00013BDC">
        <w:rPr>
          <w:noProof/>
          <w:lang w:val="en-IE"/>
        </w:rPr>
        <w:t xml:space="preserve">. </w:t>
      </w:r>
    </w:p>
    <w:p w14:paraId="2638CADD" w14:textId="3BB7209C" w:rsidR="00634400" w:rsidRPr="00013BDC" w:rsidRDefault="4825A26B" w:rsidP="009655FF">
      <w:pPr>
        <w:pStyle w:val="NormalWeb"/>
        <w:spacing w:before="0" w:beforeAutospacing="0" w:after="120" w:afterAutospacing="0"/>
        <w:jc w:val="both"/>
        <w:rPr>
          <w:rFonts w:eastAsiaTheme="minorEastAsia"/>
          <w:noProof/>
          <w:lang w:val="en-IE"/>
        </w:rPr>
      </w:pPr>
      <w:r w:rsidRPr="00013BDC">
        <w:rPr>
          <w:rFonts w:eastAsiaTheme="minorEastAsia"/>
          <w:noProof/>
          <w:lang w:val="en-IE"/>
        </w:rPr>
        <w:t xml:space="preserve">The </w:t>
      </w:r>
      <w:r w:rsidR="5689A940" w:rsidRPr="00013BDC">
        <w:rPr>
          <w:rFonts w:eastAsiaTheme="minorEastAsia"/>
          <w:noProof/>
          <w:lang w:val="en-IE"/>
        </w:rPr>
        <w:t xml:space="preserve">EU </w:t>
      </w:r>
      <w:r w:rsidR="2160C1B4" w:rsidRPr="00013BDC">
        <w:rPr>
          <w:noProof/>
          <w:lang w:val="en-IE"/>
        </w:rPr>
        <w:t>textiles</w:t>
      </w:r>
      <w:r w:rsidR="00672652" w:rsidRPr="00013BDC">
        <w:rPr>
          <w:noProof/>
          <w:lang w:val="en-IE"/>
        </w:rPr>
        <w:t>, wearing apparel and leather</w:t>
      </w:r>
      <w:r w:rsidR="2160C1B4" w:rsidRPr="00013BDC">
        <w:rPr>
          <w:rFonts w:eastAsiaTheme="minorEastAsia"/>
          <w:noProof/>
          <w:lang w:val="en-IE"/>
        </w:rPr>
        <w:t xml:space="preserve"> </w:t>
      </w:r>
      <w:r w:rsidR="5E8A4578" w:rsidRPr="00013BDC">
        <w:rPr>
          <w:rFonts w:eastAsiaTheme="minorEastAsia"/>
          <w:noProof/>
          <w:lang w:val="en-IE"/>
        </w:rPr>
        <w:t xml:space="preserve">manufacturing </w:t>
      </w:r>
      <w:r w:rsidRPr="00013BDC">
        <w:rPr>
          <w:rFonts w:eastAsiaTheme="minorEastAsia"/>
          <w:noProof/>
          <w:lang w:val="en-IE"/>
        </w:rPr>
        <w:t xml:space="preserve">market consists of around </w:t>
      </w:r>
      <w:r w:rsidR="00672652" w:rsidRPr="00013BDC">
        <w:rPr>
          <w:rFonts w:eastAsiaTheme="minorEastAsia"/>
          <w:noProof/>
          <w:lang w:val="en-IE"/>
        </w:rPr>
        <w:t xml:space="preserve">226 </w:t>
      </w:r>
      <w:r w:rsidR="00413CDE" w:rsidRPr="00013BDC">
        <w:rPr>
          <w:rFonts w:eastAsiaTheme="minorEastAsia"/>
          <w:noProof/>
          <w:lang w:val="en-IE"/>
        </w:rPr>
        <w:t>6</w:t>
      </w:r>
      <w:r w:rsidRPr="00013BDC">
        <w:rPr>
          <w:rFonts w:eastAsiaTheme="minorEastAsia"/>
          <w:noProof/>
          <w:lang w:val="en-IE"/>
        </w:rPr>
        <w:t xml:space="preserve">00 </w:t>
      </w:r>
      <w:r w:rsidR="7426B670" w:rsidRPr="00013BDC">
        <w:rPr>
          <w:rFonts w:eastAsiaTheme="minorEastAsia"/>
          <w:noProof/>
          <w:lang w:val="en-IE"/>
        </w:rPr>
        <w:t>companies</w:t>
      </w:r>
      <w:r w:rsidR="00672652" w:rsidRPr="00013BDC">
        <w:rPr>
          <w:rFonts w:eastAsiaTheme="minorEastAsia"/>
          <w:noProof/>
          <w:lang w:val="en-IE"/>
        </w:rPr>
        <w:t xml:space="preserve"> in 2021</w:t>
      </w:r>
      <w:r w:rsidR="248A42D1" w:rsidRPr="00013BDC">
        <w:rPr>
          <w:rFonts w:eastAsiaTheme="minorEastAsia"/>
          <w:noProof/>
          <w:lang w:val="en-IE"/>
        </w:rPr>
        <w:t>,</w:t>
      </w:r>
      <w:r w:rsidRPr="00013BDC">
        <w:rPr>
          <w:rFonts w:eastAsiaTheme="minorEastAsia"/>
          <w:noProof/>
          <w:lang w:val="en-IE"/>
        </w:rPr>
        <w:t xml:space="preserve"> </w:t>
      </w:r>
      <w:r w:rsidR="77F9987D" w:rsidRPr="00013BDC">
        <w:rPr>
          <w:rFonts w:eastAsiaTheme="minorEastAsia"/>
          <w:noProof/>
          <w:lang w:val="en-IE"/>
        </w:rPr>
        <w:t>over 9</w:t>
      </w:r>
      <w:r w:rsidR="00413CDE" w:rsidRPr="00013BDC">
        <w:rPr>
          <w:rFonts w:eastAsiaTheme="minorEastAsia"/>
          <w:noProof/>
          <w:lang w:val="en-IE"/>
        </w:rPr>
        <w:t>9</w:t>
      </w:r>
      <w:r w:rsidR="77F9987D" w:rsidRPr="00013BDC">
        <w:rPr>
          <w:rFonts w:eastAsiaTheme="minorEastAsia"/>
          <w:noProof/>
          <w:lang w:val="en-IE"/>
        </w:rPr>
        <w:t xml:space="preserve">% of which are </w:t>
      </w:r>
      <w:r w:rsidRPr="00013BDC">
        <w:rPr>
          <w:rFonts w:eastAsiaTheme="minorEastAsia"/>
          <w:noProof/>
          <w:lang w:val="en-IE"/>
        </w:rPr>
        <w:t>SMEs</w:t>
      </w:r>
      <w:r w:rsidR="007A6747" w:rsidRPr="00013BDC">
        <w:rPr>
          <w:rStyle w:val="FootnoteReference"/>
          <w:rFonts w:eastAsiaTheme="minorEastAsia"/>
          <w:noProof/>
          <w:lang w:val="en-IE"/>
        </w:rPr>
        <w:footnoteReference w:id="126"/>
      </w:r>
      <w:r w:rsidR="00672652" w:rsidRPr="00013BDC">
        <w:rPr>
          <w:rFonts w:eastAsiaTheme="minorEastAsia"/>
          <w:noProof/>
          <w:lang w:val="en-IE"/>
        </w:rPr>
        <w:t xml:space="preserve">, and employed </w:t>
      </w:r>
      <w:r w:rsidR="00413CDE" w:rsidRPr="00013BDC">
        <w:rPr>
          <w:rFonts w:eastAsiaTheme="minorEastAsia"/>
          <w:noProof/>
          <w:lang w:val="en-IE"/>
        </w:rPr>
        <w:t>around</w:t>
      </w:r>
      <w:r w:rsidR="00672652" w:rsidRPr="00013BDC">
        <w:rPr>
          <w:rFonts w:eastAsiaTheme="minorEastAsia"/>
          <w:noProof/>
          <w:lang w:val="en-IE"/>
        </w:rPr>
        <w:t xml:space="preserve"> 1.7 million people</w:t>
      </w:r>
      <w:r w:rsidR="00672652" w:rsidRPr="00013BDC">
        <w:rPr>
          <w:rStyle w:val="FootnoteReference"/>
          <w:rFonts w:eastAsiaTheme="minorEastAsia"/>
          <w:noProof/>
          <w:lang w:val="en-IE"/>
        </w:rPr>
        <w:footnoteReference w:id="127"/>
      </w:r>
      <w:r w:rsidR="248A42D1" w:rsidRPr="00013BDC">
        <w:rPr>
          <w:rFonts w:eastAsiaTheme="minorEastAsia"/>
          <w:noProof/>
          <w:lang w:val="en-IE"/>
        </w:rPr>
        <w:t>.</w:t>
      </w:r>
      <w:r w:rsidRPr="00013BDC">
        <w:rPr>
          <w:rFonts w:eastAsiaTheme="minorEastAsia"/>
          <w:noProof/>
          <w:lang w:val="en-IE"/>
        </w:rPr>
        <w:t xml:space="preserve"> </w:t>
      </w:r>
      <w:r w:rsidR="0072343A" w:rsidRPr="00013BDC">
        <w:rPr>
          <w:rFonts w:eastAsiaTheme="minorEastAsia"/>
          <w:noProof/>
          <w:lang w:val="en-IE"/>
        </w:rPr>
        <w:t>In 20</w:t>
      </w:r>
      <w:r w:rsidR="009711AB" w:rsidRPr="00013BDC">
        <w:rPr>
          <w:rFonts w:eastAsiaTheme="minorEastAsia"/>
          <w:noProof/>
          <w:lang w:val="en-IE"/>
        </w:rPr>
        <w:t>21</w:t>
      </w:r>
      <w:r w:rsidR="0072343A" w:rsidRPr="00013BDC">
        <w:rPr>
          <w:rFonts w:eastAsiaTheme="minorEastAsia"/>
          <w:noProof/>
          <w:lang w:val="en-IE"/>
        </w:rPr>
        <w:t xml:space="preserve">, the EU textile and clothing sector had a turnover of </w:t>
      </w:r>
      <w:r w:rsidR="00FA76F1" w:rsidRPr="00013BDC">
        <w:rPr>
          <w:rFonts w:eastAsiaTheme="minorEastAsia"/>
          <w:noProof/>
          <w:lang w:val="en-IE"/>
        </w:rPr>
        <w:t>191</w:t>
      </w:r>
      <w:r w:rsidR="0072343A" w:rsidRPr="00013BDC">
        <w:rPr>
          <w:rFonts w:eastAsiaTheme="minorEastAsia"/>
          <w:noProof/>
          <w:lang w:val="en-IE"/>
        </w:rPr>
        <w:t xml:space="preserve"> billion EUR</w:t>
      </w:r>
      <w:r w:rsidR="00A66118" w:rsidRPr="00013BDC">
        <w:rPr>
          <w:rStyle w:val="FootnoteReference"/>
          <w:rFonts w:eastAsiaTheme="minorEastAsia"/>
          <w:noProof/>
          <w:lang w:val="en-IE"/>
        </w:rPr>
        <w:footnoteReference w:id="128"/>
      </w:r>
      <w:r w:rsidR="0072343A" w:rsidRPr="00013BDC">
        <w:rPr>
          <w:rFonts w:eastAsiaTheme="minorEastAsia"/>
          <w:noProof/>
          <w:lang w:val="en-IE"/>
        </w:rPr>
        <w:t>.</w:t>
      </w:r>
      <w:r w:rsidRPr="00013BDC">
        <w:rPr>
          <w:rFonts w:eastAsiaTheme="minorEastAsia"/>
          <w:noProof/>
          <w:lang w:val="en-IE"/>
        </w:rPr>
        <w:t xml:space="preserve">While the industry is an essential part of </w:t>
      </w:r>
      <w:r w:rsidR="1B0F7B78" w:rsidRPr="00013BDC">
        <w:rPr>
          <w:rFonts w:eastAsiaTheme="minorEastAsia"/>
          <w:noProof/>
          <w:lang w:val="en-IE"/>
        </w:rPr>
        <w:t>EU</w:t>
      </w:r>
      <w:r w:rsidRPr="00013BDC">
        <w:rPr>
          <w:rFonts w:eastAsiaTheme="minorEastAsia"/>
          <w:noProof/>
          <w:lang w:val="en-IE"/>
        </w:rPr>
        <w:t xml:space="preserve"> manufacturing</w:t>
      </w:r>
      <w:r w:rsidR="335B5A69" w:rsidRPr="00013BDC">
        <w:rPr>
          <w:rFonts w:eastAsiaTheme="minorEastAsia"/>
          <w:noProof/>
          <w:lang w:val="en-IE"/>
        </w:rPr>
        <w:t>,</w:t>
      </w:r>
      <w:r w:rsidRPr="00013BDC">
        <w:rPr>
          <w:rFonts w:eastAsiaTheme="minorEastAsia"/>
          <w:noProof/>
          <w:lang w:val="en-IE"/>
        </w:rPr>
        <w:t xml:space="preserve"> its share </w:t>
      </w:r>
      <w:r w:rsidR="7722AA17" w:rsidRPr="00013BDC">
        <w:rPr>
          <w:rFonts w:eastAsiaTheme="minorEastAsia"/>
          <w:noProof/>
          <w:lang w:val="en-IE"/>
        </w:rPr>
        <w:t>of value (in US</w:t>
      </w:r>
      <w:r w:rsidR="00233C47" w:rsidRPr="00013BDC">
        <w:rPr>
          <w:rFonts w:eastAsiaTheme="minorEastAsia"/>
          <w:noProof/>
          <w:lang w:val="en-IE"/>
        </w:rPr>
        <w:t>D</w:t>
      </w:r>
      <w:r w:rsidR="7722AA17" w:rsidRPr="00013BDC">
        <w:rPr>
          <w:rFonts w:eastAsiaTheme="minorEastAsia"/>
          <w:noProof/>
          <w:lang w:val="en-IE"/>
        </w:rPr>
        <w:t xml:space="preserve">) of </w:t>
      </w:r>
      <w:r w:rsidRPr="00013BDC">
        <w:rPr>
          <w:rFonts w:eastAsiaTheme="minorEastAsia"/>
          <w:noProof/>
          <w:lang w:val="en-IE"/>
        </w:rPr>
        <w:t xml:space="preserve">the global market has been decreasing </w:t>
      </w:r>
      <w:r w:rsidR="6610B80C" w:rsidRPr="00013BDC">
        <w:rPr>
          <w:rFonts w:eastAsiaTheme="minorEastAsia"/>
          <w:noProof/>
          <w:lang w:val="en-IE"/>
        </w:rPr>
        <w:t xml:space="preserve">with </w:t>
      </w:r>
      <w:r w:rsidR="7722AA17" w:rsidRPr="00013BDC">
        <w:rPr>
          <w:rFonts w:eastAsiaTheme="minorEastAsia"/>
          <w:noProof/>
          <w:lang w:val="en-IE"/>
        </w:rPr>
        <w:t xml:space="preserve">the EU </w:t>
      </w:r>
      <w:r w:rsidR="6610B80C" w:rsidRPr="00013BDC">
        <w:rPr>
          <w:rFonts w:eastAsiaTheme="minorEastAsia"/>
          <w:noProof/>
          <w:lang w:val="en-IE"/>
        </w:rPr>
        <w:t>e</w:t>
      </w:r>
      <w:r w:rsidRPr="00013BDC">
        <w:rPr>
          <w:rFonts w:eastAsiaTheme="minorEastAsia"/>
          <w:noProof/>
          <w:lang w:val="en-IE"/>
        </w:rPr>
        <w:t>xports</w:t>
      </w:r>
      <w:r w:rsidR="7722AA17" w:rsidRPr="00013BDC">
        <w:rPr>
          <w:rFonts w:eastAsiaTheme="minorEastAsia"/>
          <w:noProof/>
          <w:lang w:val="en-IE"/>
        </w:rPr>
        <w:t>’ share</w:t>
      </w:r>
      <w:r w:rsidRPr="00013BDC">
        <w:rPr>
          <w:rFonts w:eastAsiaTheme="minorEastAsia"/>
          <w:noProof/>
          <w:lang w:val="en-IE"/>
        </w:rPr>
        <w:t xml:space="preserve"> </w:t>
      </w:r>
      <w:r w:rsidR="720BAD29" w:rsidRPr="00013BDC">
        <w:rPr>
          <w:rFonts w:eastAsiaTheme="minorEastAsia"/>
          <w:noProof/>
          <w:lang w:val="en-IE"/>
        </w:rPr>
        <w:t xml:space="preserve">going </w:t>
      </w:r>
      <w:r w:rsidRPr="00013BDC">
        <w:rPr>
          <w:rFonts w:eastAsiaTheme="minorEastAsia"/>
          <w:noProof/>
          <w:lang w:val="en-IE"/>
        </w:rPr>
        <w:t xml:space="preserve">from </w:t>
      </w:r>
      <w:r w:rsidR="6787AF93" w:rsidRPr="00013BDC">
        <w:rPr>
          <w:rFonts w:eastAsiaTheme="minorEastAsia"/>
          <w:noProof/>
          <w:lang w:val="en-IE"/>
        </w:rPr>
        <w:t xml:space="preserve">33% in 2000 to </w:t>
      </w:r>
      <w:r w:rsidR="304FDB98" w:rsidRPr="00013BDC">
        <w:rPr>
          <w:rFonts w:eastAsiaTheme="minorEastAsia"/>
          <w:noProof/>
          <w:lang w:val="en-IE"/>
        </w:rPr>
        <w:t>18% in 2020</w:t>
      </w:r>
      <w:r w:rsidR="007A6747" w:rsidRPr="00013BDC">
        <w:rPr>
          <w:rStyle w:val="FootnoteReference"/>
          <w:rFonts w:eastAsiaTheme="minorEastAsia"/>
          <w:noProof/>
          <w:lang w:val="en-IE"/>
        </w:rPr>
        <w:footnoteReference w:id="129"/>
      </w:r>
      <w:r w:rsidR="304FDB98" w:rsidRPr="00013BDC">
        <w:rPr>
          <w:rFonts w:eastAsiaTheme="minorEastAsia"/>
          <w:noProof/>
          <w:lang w:val="en-IE"/>
        </w:rPr>
        <w:t xml:space="preserve">. </w:t>
      </w:r>
      <w:r w:rsidR="248A42D1" w:rsidRPr="00013BDC">
        <w:rPr>
          <w:rFonts w:eastAsiaTheme="minorEastAsia"/>
          <w:noProof/>
          <w:lang w:val="en-IE"/>
        </w:rPr>
        <w:t>The</w:t>
      </w:r>
      <w:r w:rsidR="720BAD29" w:rsidRPr="00013BDC">
        <w:rPr>
          <w:rFonts w:eastAsiaTheme="minorEastAsia"/>
          <w:noProof/>
          <w:lang w:val="en-IE"/>
        </w:rPr>
        <w:t>se</w:t>
      </w:r>
      <w:r w:rsidR="248A42D1" w:rsidRPr="00013BDC">
        <w:rPr>
          <w:rFonts w:eastAsiaTheme="minorEastAsia"/>
          <w:noProof/>
          <w:lang w:val="en-IE"/>
        </w:rPr>
        <w:t xml:space="preserve"> </w:t>
      </w:r>
      <w:r w:rsidRPr="00013BDC">
        <w:rPr>
          <w:rFonts w:eastAsiaTheme="minorEastAsia"/>
          <w:noProof/>
          <w:lang w:val="en-IE"/>
        </w:rPr>
        <w:t>are primarily comprised of intermediate textile products, such as technical fibres and high-quality fabrics. This</w:t>
      </w:r>
      <w:r w:rsidR="135A02F0" w:rsidRPr="00013BDC">
        <w:rPr>
          <w:rFonts w:eastAsiaTheme="minorEastAsia"/>
          <w:noProof/>
          <w:lang w:val="en-IE"/>
        </w:rPr>
        <w:t xml:space="preserve"> decrease</w:t>
      </w:r>
      <w:r w:rsidRPr="00013BDC">
        <w:rPr>
          <w:rFonts w:eastAsiaTheme="minorEastAsia"/>
          <w:noProof/>
          <w:lang w:val="en-IE"/>
        </w:rPr>
        <w:t xml:space="preserve"> is mainly </w:t>
      </w:r>
      <w:r w:rsidR="4141307C" w:rsidRPr="00013BDC">
        <w:rPr>
          <w:rFonts w:eastAsiaTheme="minorEastAsia"/>
          <w:noProof/>
          <w:lang w:val="en-IE"/>
        </w:rPr>
        <w:t>driven by increasing</w:t>
      </w:r>
      <w:r w:rsidRPr="00013BDC">
        <w:rPr>
          <w:rFonts w:eastAsiaTheme="minorEastAsia"/>
          <w:noProof/>
          <w:lang w:val="en-IE"/>
        </w:rPr>
        <w:t xml:space="preserve"> demand in emerging economies </w:t>
      </w:r>
      <w:r w:rsidR="4141307C" w:rsidRPr="00013BDC">
        <w:rPr>
          <w:rFonts w:eastAsiaTheme="minorEastAsia"/>
          <w:noProof/>
          <w:lang w:val="en-IE"/>
        </w:rPr>
        <w:t xml:space="preserve">that </w:t>
      </w:r>
      <w:r w:rsidR="7B9594A9" w:rsidRPr="00013BDC">
        <w:rPr>
          <w:rFonts w:eastAsiaTheme="minorEastAsia"/>
          <w:noProof/>
          <w:lang w:val="en-IE"/>
        </w:rPr>
        <w:t xml:space="preserve">due to the </w:t>
      </w:r>
      <w:r w:rsidRPr="00013BDC">
        <w:rPr>
          <w:rFonts w:eastAsiaTheme="minorEastAsia"/>
          <w:noProof/>
          <w:lang w:val="en-IE"/>
        </w:rPr>
        <w:t xml:space="preserve">cost advantages of production </w:t>
      </w:r>
      <w:r w:rsidR="7B9594A9" w:rsidRPr="00013BDC">
        <w:rPr>
          <w:rFonts w:eastAsiaTheme="minorEastAsia"/>
          <w:noProof/>
          <w:lang w:val="en-IE"/>
        </w:rPr>
        <w:t>is mainly satisfied</w:t>
      </w:r>
      <w:r w:rsidRPr="00013BDC">
        <w:rPr>
          <w:rFonts w:eastAsiaTheme="minorEastAsia"/>
          <w:noProof/>
          <w:lang w:val="en-IE"/>
        </w:rPr>
        <w:t xml:space="preserve"> regional</w:t>
      </w:r>
      <w:r w:rsidR="7B9594A9" w:rsidRPr="00013BDC">
        <w:rPr>
          <w:rFonts w:eastAsiaTheme="minorEastAsia"/>
          <w:noProof/>
          <w:lang w:val="en-IE"/>
        </w:rPr>
        <w:t>ly</w:t>
      </w:r>
      <w:r w:rsidR="007A6747" w:rsidRPr="00013BDC">
        <w:rPr>
          <w:rStyle w:val="FootnoteReference"/>
          <w:noProof/>
          <w:lang w:val="en-IE"/>
        </w:rPr>
        <w:footnoteReference w:id="130"/>
      </w:r>
      <w:r w:rsidRPr="00013BDC">
        <w:rPr>
          <w:rFonts w:eastAsiaTheme="minorEastAsia"/>
          <w:noProof/>
          <w:lang w:val="en-IE"/>
        </w:rPr>
        <w:t>.</w:t>
      </w:r>
      <w:r w:rsidRPr="00013BDC">
        <w:rPr>
          <w:rStyle w:val="FootnoteReference"/>
          <w:rFonts w:eastAsiaTheme="minorEastAsia"/>
          <w:noProof/>
          <w:lang w:val="en-IE"/>
        </w:rPr>
        <w:t xml:space="preserve"> </w:t>
      </w:r>
      <w:r w:rsidR="4349CDDD" w:rsidRPr="00013BDC">
        <w:rPr>
          <w:rFonts w:eastAsiaTheme="minorEastAsia"/>
          <w:noProof/>
          <w:lang w:val="en-IE"/>
        </w:rPr>
        <w:t>The import</w:t>
      </w:r>
      <w:r w:rsidR="1B0F7B78" w:rsidRPr="00013BDC">
        <w:rPr>
          <w:rFonts w:eastAsiaTheme="minorEastAsia"/>
          <w:noProof/>
          <w:lang w:val="en-IE"/>
        </w:rPr>
        <w:t xml:space="preserve">s into the EU have also </w:t>
      </w:r>
      <w:r w:rsidR="6D7C0F45" w:rsidRPr="00013BDC">
        <w:rPr>
          <w:rFonts w:eastAsiaTheme="minorEastAsia"/>
          <w:noProof/>
          <w:lang w:val="en-IE"/>
        </w:rPr>
        <w:t>decreased</w:t>
      </w:r>
      <w:r w:rsidR="42ADED31" w:rsidRPr="00013BDC">
        <w:rPr>
          <w:rFonts w:eastAsiaTheme="minorEastAsia"/>
          <w:noProof/>
          <w:lang w:val="en-IE"/>
        </w:rPr>
        <w:t xml:space="preserve"> in terms of their share of global value (in US</w:t>
      </w:r>
      <w:r w:rsidR="00233C47" w:rsidRPr="00013BDC">
        <w:rPr>
          <w:rFonts w:eastAsiaTheme="minorEastAsia"/>
          <w:noProof/>
          <w:lang w:val="en-IE"/>
        </w:rPr>
        <w:t>D</w:t>
      </w:r>
      <w:r w:rsidR="42ADED31" w:rsidRPr="00013BDC">
        <w:rPr>
          <w:rFonts w:eastAsiaTheme="minorEastAsia"/>
          <w:noProof/>
          <w:lang w:val="en-IE"/>
        </w:rPr>
        <w:t xml:space="preserve">) </w:t>
      </w:r>
      <w:r w:rsidR="6D7C0F45" w:rsidRPr="00013BDC">
        <w:rPr>
          <w:rFonts w:eastAsiaTheme="minorEastAsia"/>
          <w:noProof/>
          <w:lang w:val="en-IE"/>
        </w:rPr>
        <w:t xml:space="preserve">from 30% in 2000 to </w:t>
      </w:r>
      <w:r w:rsidR="2265C946" w:rsidRPr="00013BDC">
        <w:rPr>
          <w:rFonts w:eastAsiaTheme="minorEastAsia"/>
          <w:noProof/>
          <w:lang w:val="en-IE"/>
        </w:rPr>
        <w:t>24</w:t>
      </w:r>
      <w:r w:rsidR="6D7C0F45" w:rsidRPr="00013BDC">
        <w:rPr>
          <w:rFonts w:eastAsiaTheme="minorEastAsia"/>
          <w:noProof/>
          <w:lang w:val="en-IE"/>
        </w:rPr>
        <w:t>% in 2020</w:t>
      </w:r>
      <w:r w:rsidR="007A6747" w:rsidRPr="00013BDC">
        <w:rPr>
          <w:rStyle w:val="FootnoteReference"/>
          <w:rFonts w:eastAsiaTheme="minorEastAsia"/>
          <w:noProof/>
          <w:lang w:val="en-IE"/>
        </w:rPr>
        <w:footnoteReference w:id="131"/>
      </w:r>
      <w:r w:rsidR="6D7C0F45" w:rsidRPr="00013BDC">
        <w:rPr>
          <w:rFonts w:eastAsiaTheme="minorEastAsia"/>
          <w:noProof/>
          <w:lang w:val="en-IE"/>
        </w:rPr>
        <w:t xml:space="preserve">. </w:t>
      </w:r>
    </w:p>
    <w:p w14:paraId="1A5C8230" w14:textId="2DD832B1" w:rsidR="00096212" w:rsidRPr="00013BDC" w:rsidRDefault="440B99C0" w:rsidP="0BC9ED0D">
      <w:pPr>
        <w:pStyle w:val="NormalWeb"/>
        <w:spacing w:before="0" w:beforeAutospacing="0" w:after="120" w:afterAutospacing="0"/>
        <w:jc w:val="both"/>
        <w:rPr>
          <w:noProof/>
          <w:lang w:val="en-IE"/>
        </w:rPr>
      </w:pPr>
      <w:r w:rsidRPr="00013BDC">
        <w:rPr>
          <w:noProof/>
          <w:lang w:val="en-IE"/>
        </w:rPr>
        <w:t>T</w:t>
      </w:r>
      <w:r w:rsidR="4825A26B" w:rsidRPr="00013BDC">
        <w:rPr>
          <w:noProof/>
          <w:lang w:val="en-IE"/>
        </w:rPr>
        <w:t>he European textile sector has undergone a profound transformation</w:t>
      </w:r>
      <w:r w:rsidRPr="00013BDC">
        <w:rPr>
          <w:noProof/>
          <w:lang w:val="en-IE"/>
        </w:rPr>
        <w:t xml:space="preserve"> over the past two decades</w:t>
      </w:r>
      <w:r w:rsidR="4825A26B" w:rsidRPr="00013BDC">
        <w:rPr>
          <w:noProof/>
          <w:lang w:val="en-IE"/>
        </w:rPr>
        <w:t xml:space="preserve">. Since 2004, the EU textile </w:t>
      </w:r>
      <w:r w:rsidRPr="00013BDC">
        <w:rPr>
          <w:noProof/>
          <w:lang w:val="en-IE"/>
        </w:rPr>
        <w:t xml:space="preserve">sector </w:t>
      </w:r>
      <w:r w:rsidR="4825A26B" w:rsidRPr="00013BDC">
        <w:rPr>
          <w:noProof/>
          <w:lang w:val="en-IE"/>
        </w:rPr>
        <w:t xml:space="preserve">has increased its productivity by 36%. </w:t>
      </w:r>
      <w:r w:rsidR="30756E34" w:rsidRPr="00013BDC">
        <w:rPr>
          <w:noProof/>
          <w:lang w:val="en-IE"/>
        </w:rPr>
        <w:t>M</w:t>
      </w:r>
      <w:r w:rsidR="4825A26B" w:rsidRPr="00013BDC">
        <w:rPr>
          <w:noProof/>
          <w:lang w:val="en-IE"/>
        </w:rPr>
        <w:t>ass low value-added production, standard fibres, textiles, and clothing are no longer being produced in Europe, which has resulted in a reduction in total turnover and employment on the one hand and a</w:t>
      </w:r>
      <w:r w:rsidR="092A0EB8" w:rsidRPr="00013BDC">
        <w:rPr>
          <w:noProof/>
          <w:lang w:val="en-IE"/>
        </w:rPr>
        <w:t>n</w:t>
      </w:r>
      <w:r w:rsidR="4825A26B" w:rsidRPr="00013BDC">
        <w:rPr>
          <w:noProof/>
          <w:lang w:val="en-IE"/>
        </w:rPr>
        <w:t xml:space="preserve"> improvement in the competitiveness of the industry on the other</w:t>
      </w:r>
      <w:r w:rsidR="00096212" w:rsidRPr="00013BDC">
        <w:rPr>
          <w:rStyle w:val="FootnoteReference"/>
          <w:noProof/>
          <w:lang w:val="en-IE"/>
        </w:rPr>
        <w:footnoteReference w:id="132"/>
      </w:r>
      <w:r w:rsidR="4825A26B" w:rsidRPr="00013BDC">
        <w:rPr>
          <w:noProof/>
          <w:lang w:val="en-IE"/>
        </w:rPr>
        <w:t>.</w:t>
      </w:r>
      <w:r w:rsidR="154310D7" w:rsidRPr="00013BDC">
        <w:rPr>
          <w:noProof/>
          <w:lang w:val="en-IE"/>
        </w:rPr>
        <w:t xml:space="preserve"> </w:t>
      </w:r>
    </w:p>
    <w:p w14:paraId="1D1E5C6C" w14:textId="17E7850F" w:rsidR="0094687E" w:rsidRPr="00013BDC" w:rsidRDefault="13D25410" w:rsidP="0BC9ED0D">
      <w:pPr>
        <w:rPr>
          <w:noProof/>
          <w:lang w:val="en-IE"/>
        </w:rPr>
      </w:pPr>
      <w:r w:rsidRPr="00013BDC">
        <w:rPr>
          <w:noProof/>
          <w:lang w:val="en-IE"/>
        </w:rPr>
        <w:t xml:space="preserve">The EU textile </w:t>
      </w:r>
      <w:r w:rsidR="4544D4BE" w:rsidRPr="00013BDC">
        <w:rPr>
          <w:noProof/>
          <w:lang w:val="en-IE"/>
        </w:rPr>
        <w:t>ecosystem</w:t>
      </w:r>
      <w:r w:rsidRPr="00013BDC">
        <w:rPr>
          <w:noProof/>
          <w:lang w:val="en-IE"/>
        </w:rPr>
        <w:t xml:space="preserve"> has seen a recovery during the second quarter of 2021, with a rebound in exports, turnover and retail sales. The textiles turnover increased by 3.3% in Q2 2021. Similarly, the business activity in the clothing sector expanded by 7%. Compared to the pre-pandemic levels, EU turnover is up 3.6% in textiles, whilst it is down 11.5% in clothing</w:t>
      </w:r>
      <w:r w:rsidR="7C6643B2" w:rsidRPr="00013BDC">
        <w:rPr>
          <w:rStyle w:val="FootnoteReference"/>
          <w:noProof/>
          <w:lang w:val="en-IE"/>
        </w:rPr>
        <w:footnoteReference w:id="133"/>
      </w:r>
      <w:r w:rsidRPr="00013BDC">
        <w:rPr>
          <w:noProof/>
          <w:lang w:val="en-IE"/>
        </w:rPr>
        <w:t>.</w:t>
      </w:r>
      <w:r w:rsidR="00A78E44" w:rsidRPr="00013BDC">
        <w:rPr>
          <w:noProof/>
          <w:lang w:val="en-IE"/>
        </w:rPr>
        <w:t xml:space="preserve"> </w:t>
      </w:r>
    </w:p>
    <w:p w14:paraId="570AB2D7" w14:textId="3F2A7301" w:rsidR="0026244E" w:rsidRPr="00013BDC" w:rsidRDefault="0026244E" w:rsidP="0BC9ED0D">
      <w:pPr>
        <w:rPr>
          <w:noProof/>
          <w:lang w:val="en-IE"/>
        </w:rPr>
      </w:pPr>
      <w:r w:rsidRPr="00013BDC">
        <w:rPr>
          <w:noProof/>
          <w:lang w:val="en-IE"/>
        </w:rPr>
        <w:t>Most production of the textiles consumed in the EU-27 takes place in third countries, mainly in Asia</w:t>
      </w:r>
      <w:r w:rsidR="007B58A5" w:rsidRPr="00013BDC">
        <w:rPr>
          <w:rStyle w:val="FootnoteReference"/>
          <w:noProof/>
          <w:lang w:val="en-IE"/>
        </w:rPr>
        <w:footnoteReference w:id="134"/>
      </w:r>
      <w:r w:rsidRPr="00013BDC">
        <w:rPr>
          <w:noProof/>
          <w:lang w:val="en-IE"/>
        </w:rPr>
        <w:t xml:space="preserve">. Consequently, most of the environmental pressures of the European consumption of textiles occur in third countries (see Annex </w:t>
      </w:r>
      <w:r w:rsidR="003F49A0" w:rsidRPr="00013BDC">
        <w:rPr>
          <w:noProof/>
          <w:lang w:val="en-IE"/>
        </w:rPr>
        <w:t xml:space="preserve">7. </w:t>
      </w:r>
      <w:r w:rsidR="003F49A0" w:rsidRPr="00013BDC">
        <w:rPr>
          <w:i/>
          <w:noProof/>
          <w:lang w:val="en-IE"/>
        </w:rPr>
        <w:fldChar w:fldCharType="begin"/>
      </w:r>
      <w:r w:rsidR="003F49A0" w:rsidRPr="00013BDC">
        <w:rPr>
          <w:i/>
          <w:noProof/>
          <w:lang w:val="en-IE"/>
        </w:rPr>
        <w:instrText xml:space="preserve"> REF _Ref132728753 \h </w:instrText>
      </w:r>
      <w:r w:rsidR="00B03947" w:rsidRPr="00013BDC">
        <w:rPr>
          <w:i/>
          <w:noProof/>
          <w:lang w:val="en-IE"/>
        </w:rPr>
        <w:instrText xml:space="preserve"> \* MERGEFORMAT </w:instrText>
      </w:r>
      <w:r w:rsidR="003F49A0" w:rsidRPr="00013BDC">
        <w:rPr>
          <w:i/>
          <w:noProof/>
          <w:lang w:val="en-IE"/>
        </w:rPr>
      </w:r>
      <w:r w:rsidR="003F49A0" w:rsidRPr="00013BDC">
        <w:rPr>
          <w:i/>
          <w:noProof/>
          <w:lang w:val="en-IE"/>
        </w:rPr>
        <w:fldChar w:fldCharType="separate"/>
      </w:r>
      <w:r w:rsidR="004C5576">
        <w:rPr>
          <w:b/>
          <w:bCs/>
          <w:i/>
          <w:noProof/>
          <w:lang w:val="en-US"/>
        </w:rPr>
        <w:t>Error! Reference source not found.</w:t>
      </w:r>
      <w:r w:rsidR="003F49A0" w:rsidRPr="00013BDC">
        <w:rPr>
          <w:i/>
          <w:noProof/>
          <w:lang w:val="en-IE"/>
        </w:rPr>
        <w:fldChar w:fldCharType="end"/>
      </w:r>
      <w:r w:rsidRPr="00013BDC">
        <w:rPr>
          <w:i/>
          <w:noProof/>
          <w:lang w:val="en-IE"/>
        </w:rPr>
        <w:t>)</w:t>
      </w:r>
      <w:r w:rsidR="003F49A0" w:rsidRPr="00013BDC">
        <w:rPr>
          <w:noProof/>
          <w:lang w:val="en-IE"/>
        </w:rPr>
        <w:t>.</w:t>
      </w:r>
    </w:p>
    <w:p w14:paraId="54232A36" w14:textId="77777777" w:rsidR="00271DED" w:rsidRPr="00013BDC" w:rsidRDefault="00271DED" w:rsidP="00271DED">
      <w:pPr>
        <w:spacing w:after="60"/>
        <w:rPr>
          <w:rFonts w:eastAsia="Segoe UI"/>
          <w:noProof/>
          <w:color w:val="000000" w:themeColor="text1"/>
          <w:lang w:val="en-IE"/>
        </w:rPr>
      </w:pPr>
      <w:r w:rsidRPr="00013BDC">
        <w:rPr>
          <w:rFonts w:eastAsia="Segoe UI"/>
          <w:noProof/>
          <w:color w:val="000000" w:themeColor="text1"/>
          <w:lang w:val="en-IE"/>
        </w:rPr>
        <w:t xml:space="preserve">Textiles are highly globalised, with Europe being a significant importer and exporter. </w:t>
      </w:r>
    </w:p>
    <w:p w14:paraId="64172E36" w14:textId="09A69A11" w:rsidR="00271DED" w:rsidRPr="00013BDC" w:rsidRDefault="00271DED" w:rsidP="00271DED">
      <w:pPr>
        <w:spacing w:after="60"/>
        <w:rPr>
          <w:rFonts w:eastAsia="Segoe UI"/>
          <w:noProof/>
          <w:color w:val="000000" w:themeColor="text1"/>
          <w:lang w:val="en-IE"/>
        </w:rPr>
      </w:pPr>
      <w:r w:rsidRPr="00013BDC">
        <w:rPr>
          <w:rFonts w:eastAsia="Segoe UI"/>
          <w:noProof/>
          <w:color w:val="000000" w:themeColor="text1"/>
          <w:lang w:val="en-IE"/>
        </w:rPr>
        <w:t xml:space="preserve">It has been estimated that in 2019 </w:t>
      </w:r>
      <w:r w:rsidR="002A10AF" w:rsidRPr="00013BDC">
        <w:rPr>
          <w:rFonts w:eastAsia="Segoe UI"/>
          <w:noProof/>
          <w:color w:val="000000" w:themeColor="text1"/>
          <w:lang w:val="en-IE"/>
        </w:rPr>
        <w:t xml:space="preserve">EU </w:t>
      </w:r>
      <w:r w:rsidRPr="00013BDC">
        <w:rPr>
          <w:rFonts w:eastAsia="Segoe UI"/>
          <w:noProof/>
          <w:color w:val="000000" w:themeColor="text1"/>
          <w:lang w:val="en-IE"/>
        </w:rPr>
        <w:t>import</w:t>
      </w:r>
      <w:r w:rsidR="002A10AF" w:rsidRPr="00013BDC">
        <w:rPr>
          <w:rFonts w:eastAsia="Segoe UI"/>
          <w:noProof/>
          <w:color w:val="000000" w:themeColor="text1"/>
          <w:lang w:val="en-IE"/>
        </w:rPr>
        <w:t>ed</w:t>
      </w:r>
      <w:r w:rsidRPr="00013BDC">
        <w:rPr>
          <w:rFonts w:eastAsia="Segoe UI"/>
          <w:noProof/>
          <w:color w:val="000000" w:themeColor="text1"/>
          <w:lang w:val="en-IE"/>
        </w:rPr>
        <w:t xml:space="preserve"> </w:t>
      </w:r>
      <w:r w:rsidR="002A10AF" w:rsidRPr="00013BDC">
        <w:rPr>
          <w:rFonts w:eastAsia="Segoe UI"/>
          <w:noProof/>
          <w:color w:val="000000" w:themeColor="text1"/>
          <w:lang w:val="en-IE"/>
        </w:rPr>
        <w:t xml:space="preserve">13.5 Mt </w:t>
      </w:r>
      <w:r w:rsidRPr="00013BDC">
        <w:rPr>
          <w:rFonts w:eastAsia="Segoe UI"/>
          <w:noProof/>
          <w:color w:val="000000" w:themeColor="text1"/>
          <w:lang w:val="en-IE"/>
        </w:rPr>
        <w:t xml:space="preserve">of fibres, yarns, fabrics and particularly finished products </w:t>
      </w:r>
      <w:r w:rsidR="002A10AF" w:rsidRPr="00013BDC">
        <w:rPr>
          <w:rFonts w:eastAsia="Segoe UI"/>
          <w:noProof/>
          <w:color w:val="000000" w:themeColor="text1"/>
          <w:lang w:val="en-IE"/>
        </w:rPr>
        <w:t>from third countries</w:t>
      </w:r>
      <w:r w:rsidRPr="00013BDC">
        <w:rPr>
          <w:rStyle w:val="FootnoteReference"/>
          <w:rFonts w:eastAsia="Segoe UI"/>
          <w:noProof/>
          <w:color w:val="000000" w:themeColor="text1"/>
          <w:lang w:val="en-IE"/>
        </w:rPr>
        <w:footnoteReference w:id="135"/>
      </w:r>
      <w:r w:rsidRPr="00013BDC">
        <w:rPr>
          <w:rFonts w:eastAsia="Segoe UI"/>
          <w:noProof/>
          <w:color w:val="000000" w:themeColor="text1"/>
          <w:lang w:val="en-IE"/>
        </w:rPr>
        <w:t>.</w:t>
      </w:r>
    </w:p>
    <w:p w14:paraId="43613417" w14:textId="7DA3BDA8" w:rsidR="00AD1954" w:rsidRPr="00013BDC" w:rsidRDefault="00DC201C" w:rsidP="0BC9ED0D">
      <w:pPr>
        <w:rPr>
          <w:noProof/>
          <w:lang w:val="en-IE"/>
        </w:rPr>
      </w:pPr>
      <w:r w:rsidRPr="00013BDC">
        <w:rPr>
          <w:noProof/>
          <w:lang w:val="en-IE"/>
        </w:rPr>
        <w:t>According to Euratex, w</w:t>
      </w:r>
      <w:r w:rsidR="00563FD2" w:rsidRPr="00013BDC">
        <w:rPr>
          <w:noProof/>
          <w:lang w:val="en-IE"/>
        </w:rPr>
        <w:t>omen’s clothing and other knitted and woven garments are the main exported textile products from the EU to third countries, accounting for 24% and 23% of total exports from the EU in 2021</w:t>
      </w:r>
      <w:r w:rsidR="00563FD2" w:rsidRPr="00013BDC">
        <w:rPr>
          <w:rStyle w:val="FootnoteReference"/>
          <w:noProof/>
          <w:lang w:val="en-IE"/>
        </w:rPr>
        <w:footnoteReference w:id="136"/>
      </w:r>
      <w:r w:rsidR="00563FD2" w:rsidRPr="00013BDC">
        <w:rPr>
          <w:noProof/>
          <w:lang w:val="en-IE"/>
        </w:rPr>
        <w:t xml:space="preserve">. </w:t>
      </w:r>
      <w:r w:rsidR="008C19C3" w:rsidRPr="00013BDC">
        <w:rPr>
          <w:noProof/>
          <w:lang w:val="en-IE"/>
        </w:rPr>
        <w:t>The values for all exports by product family presented by Euratex are shown below.</w:t>
      </w:r>
    </w:p>
    <w:p w14:paraId="79547CA9" w14:textId="393F5974" w:rsidR="00C8143B" w:rsidRPr="00013BDC" w:rsidRDefault="00C8143B" w:rsidP="0BC9ED0D">
      <w:pPr>
        <w:rPr>
          <w:noProof/>
          <w:lang w:val="en-IE"/>
        </w:rPr>
      </w:pPr>
      <w:r w:rsidRPr="00013BDC">
        <w:rPr>
          <w:noProof/>
          <w:lang w:eastAsia="en-GB"/>
        </w:rPr>
        <w:drawing>
          <wp:inline distT="0" distB="0" distL="0" distR="0" wp14:anchorId="4E578CEF" wp14:editId="3F8D58DF">
            <wp:extent cx="5731510" cy="3221990"/>
            <wp:effectExtent l="0" t="0" r="2540" b="0"/>
            <wp:docPr id="1200524342" name="Picture 120052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5E550822" w14:textId="77777777" w:rsidR="008A6EAD" w:rsidRPr="00013BDC" w:rsidRDefault="008A6EAD" w:rsidP="008A6EAD">
      <w:pPr>
        <w:rPr>
          <w:noProof/>
          <w:lang w:val="en-IE"/>
        </w:rPr>
      </w:pPr>
      <w:r w:rsidRPr="00013BDC">
        <w:rPr>
          <w:noProof/>
          <w:lang w:val="en-IE"/>
        </w:rPr>
        <w:t>Source:  Euratex, 2022</w:t>
      </w:r>
    </w:p>
    <w:p w14:paraId="7F25FBFB" w14:textId="43C88194" w:rsidR="00563FD2" w:rsidRPr="00013BDC" w:rsidRDefault="00563FD2" w:rsidP="0BC9ED0D">
      <w:pPr>
        <w:rPr>
          <w:b/>
          <w:noProof/>
          <w:lang w:val="en-IE"/>
        </w:rPr>
      </w:pPr>
      <w:r w:rsidRPr="00013BDC">
        <w:rPr>
          <w:noProof/>
          <w:lang w:val="en-IE"/>
        </w:rPr>
        <w:t>Euratex considers that European clothing (i.e. trousers, overcoats, pullovers, skirts and dresses) is the most attractive product category for customers worldwide.  Switzerland, the UK, USA and to a lesser extent China are the main destinations of EU textile exports accounting for 46% of total EU textile exports. This is an important consideration in relation to the impacts of possible measures on the costs of EU textile products with the destination markets unlikely to be affected by small increases in product costs due to the high quality products, especially in high-end fashion and technical textiles, that are key facets of the EU textile sector</w:t>
      </w:r>
      <w:r w:rsidRPr="00013BDC">
        <w:rPr>
          <w:rStyle w:val="FootnoteReference"/>
          <w:noProof/>
          <w:lang w:val="en-IE"/>
        </w:rPr>
        <w:footnoteReference w:id="137"/>
      </w:r>
      <w:r w:rsidRPr="00013BDC">
        <w:rPr>
          <w:noProof/>
          <w:lang w:val="en-IE"/>
        </w:rPr>
        <w:t xml:space="preserve"> for which consumers in third countries are willing to pay higher prices.</w:t>
      </w:r>
    </w:p>
    <w:p w14:paraId="655EA054" w14:textId="75FD4D33" w:rsidR="0094687E" w:rsidRPr="00013BDC" w:rsidRDefault="00096212" w:rsidP="1F760E78">
      <w:pPr>
        <w:spacing w:after="120"/>
        <w:rPr>
          <w:b/>
          <w:bCs/>
          <w:noProof/>
          <w:lang w:val="en-IE"/>
        </w:rPr>
      </w:pPr>
      <w:bookmarkStart w:id="559" w:name="_Toc117861382"/>
      <w:r w:rsidRPr="00013BDC">
        <w:rPr>
          <w:b/>
          <w:bCs/>
          <w:noProof/>
          <w:u w:val="single"/>
          <w:lang w:val="en-IE"/>
        </w:rPr>
        <w:t>Manufacturing Hubs</w:t>
      </w:r>
      <w:bookmarkEnd w:id="559"/>
    </w:p>
    <w:p w14:paraId="19268E0D" w14:textId="38B7CE4F" w:rsidR="00096212" w:rsidRPr="00013BDC" w:rsidRDefault="003C4209" w:rsidP="00643F9A">
      <w:pPr>
        <w:rPr>
          <w:noProof/>
          <w:lang w:val="en-IE"/>
        </w:rPr>
      </w:pPr>
      <w:r w:rsidRPr="00013BDC">
        <w:rPr>
          <w:noProof/>
          <w:lang w:val="en-IE"/>
        </w:rPr>
        <w:t xml:space="preserve">The highly competitive and cost-oriented market structure of the EU textiles market plays an essential part in the creation of local jobs and business opportunities </w:t>
      </w:r>
      <w:r w:rsidR="001B68C7" w:rsidRPr="00013BDC">
        <w:rPr>
          <w:noProof/>
          <w:lang w:val="en-IE"/>
        </w:rPr>
        <w:t>with Italy, Germany, France, Spain, Portugal, Poland, Romania, Netherlands, Austria and Belgium representing the most important Member States in terms of textile and apparel production in the EU. Further, textile production is frequently clustered in manufacturing hubs that are concentrated in</w:t>
      </w:r>
      <w:r w:rsidR="00670775" w:rsidRPr="00013BDC">
        <w:rPr>
          <w:noProof/>
          <w:lang w:val="en-IE"/>
        </w:rPr>
        <w:t xml:space="preserve"> </w:t>
      </w:r>
      <w:r w:rsidR="001B68C7" w:rsidRPr="00013BDC">
        <w:rPr>
          <w:noProof/>
          <w:lang w:val="en-IE"/>
        </w:rPr>
        <w:t xml:space="preserve">Italy, Poland, France, Germany, Romania, Sweden and Spain. The industries that compose this ecosystem have a strong territorial component, being organised around clusters and industrial districts and contributing to regional development. The clusters are found in </w:t>
      </w:r>
      <w:r w:rsidR="0024758A" w:rsidRPr="00013BDC">
        <w:rPr>
          <w:noProof/>
          <w:lang w:val="en-IE"/>
        </w:rPr>
        <w:t xml:space="preserve">Milano, </w:t>
      </w:r>
      <w:r w:rsidR="00AC6AB8" w:rsidRPr="00013BDC">
        <w:rPr>
          <w:noProof/>
          <w:lang w:val="en-IE"/>
        </w:rPr>
        <w:t xml:space="preserve">Biella and </w:t>
      </w:r>
      <w:r w:rsidR="00670775" w:rsidRPr="00013BDC">
        <w:rPr>
          <w:noProof/>
          <w:lang w:val="en-IE"/>
        </w:rPr>
        <w:t>Prato (IT), Terrassa,</w:t>
      </w:r>
      <w:r w:rsidR="0024758A" w:rsidRPr="00013BDC">
        <w:rPr>
          <w:noProof/>
          <w:lang w:val="en-IE"/>
        </w:rPr>
        <w:t xml:space="preserve"> Arnedo and Ontinyent (ES), </w:t>
      </w:r>
      <w:r w:rsidR="00AC6AB8" w:rsidRPr="00013BDC">
        <w:rPr>
          <w:noProof/>
          <w:lang w:val="en-IE"/>
        </w:rPr>
        <w:t xml:space="preserve">Zileonki/Krakow (PL), Chemnitz and Frankfurt am Main (DE), </w:t>
      </w:r>
      <w:r w:rsidR="00747956" w:rsidRPr="00013BDC">
        <w:rPr>
          <w:noProof/>
          <w:lang w:val="en-IE"/>
        </w:rPr>
        <w:t xml:space="preserve">Boras (SE), Savinesti (RO), </w:t>
      </w:r>
      <w:r w:rsidR="00BA49C7" w:rsidRPr="00013BDC">
        <w:rPr>
          <w:noProof/>
          <w:lang w:val="en-IE"/>
        </w:rPr>
        <w:t>Ecully and Aix-en-Provence (FR)</w:t>
      </w:r>
      <w:r w:rsidR="00610726" w:rsidRPr="00013BDC">
        <w:rPr>
          <w:rStyle w:val="FootnoteReference"/>
          <w:noProof/>
          <w:lang w:val="en-IE"/>
        </w:rPr>
        <w:footnoteReference w:id="138"/>
      </w:r>
      <w:r w:rsidR="00096212" w:rsidRPr="00013BDC">
        <w:rPr>
          <w:noProof/>
          <w:lang w:val="en-IE"/>
        </w:rPr>
        <w:t xml:space="preserve">. </w:t>
      </w:r>
      <w:r w:rsidR="007524C2" w:rsidRPr="00013BDC">
        <w:rPr>
          <w:noProof/>
          <w:lang w:val="en-IE"/>
        </w:rPr>
        <w:t>S</w:t>
      </w:r>
      <w:r w:rsidR="00096212" w:rsidRPr="00013BDC">
        <w:rPr>
          <w:noProof/>
          <w:lang w:val="en-IE"/>
        </w:rPr>
        <w:t xml:space="preserve">outhern European States tend to focus on </w:t>
      </w:r>
      <w:r w:rsidR="00FF5B43" w:rsidRPr="00013BDC">
        <w:rPr>
          <w:noProof/>
          <w:lang w:val="en-IE"/>
        </w:rPr>
        <w:t>clothing</w:t>
      </w:r>
      <w:r w:rsidR="00096212" w:rsidRPr="00013BDC">
        <w:rPr>
          <w:noProof/>
          <w:lang w:val="en-IE"/>
        </w:rPr>
        <w:t xml:space="preserve">, </w:t>
      </w:r>
      <w:r w:rsidR="002441BF" w:rsidRPr="00013BDC">
        <w:rPr>
          <w:noProof/>
          <w:lang w:val="en-IE"/>
        </w:rPr>
        <w:t>and</w:t>
      </w:r>
      <w:r w:rsidR="00096212" w:rsidRPr="00013BDC">
        <w:rPr>
          <w:noProof/>
          <w:lang w:val="en-IE"/>
        </w:rPr>
        <w:t xml:space="preserve"> technological intensive textile industries are mainly located in Germany, Italy and Austria.</w:t>
      </w:r>
      <w:r w:rsidR="00981FAA" w:rsidRPr="00013BDC">
        <w:rPr>
          <w:noProof/>
          <w:lang w:val="en-IE"/>
        </w:rPr>
        <w:t xml:space="preserve"> </w:t>
      </w:r>
      <w:r w:rsidR="004D21AE" w:rsidRPr="00013BDC">
        <w:rPr>
          <w:noProof/>
          <w:lang w:val="en-IE"/>
        </w:rPr>
        <w:t xml:space="preserve">The </w:t>
      </w:r>
      <w:r w:rsidR="0C1932B8" w:rsidRPr="00013BDC">
        <w:rPr>
          <w:noProof/>
          <w:lang w:val="en-IE"/>
        </w:rPr>
        <w:t xml:space="preserve">turnover is concentrated in Italy and Germany as their manufacturers are focused on high-end and luxury goods. Italy is specialised on the production of luxury textiles and clothing sold with price premiums resulting in high </w:t>
      </w:r>
      <w:r w:rsidR="00712995" w:rsidRPr="00013BDC">
        <w:rPr>
          <w:noProof/>
          <w:lang w:val="en-IE"/>
        </w:rPr>
        <w:t>production values</w:t>
      </w:r>
      <w:r w:rsidR="0C1932B8" w:rsidRPr="00013BDC">
        <w:rPr>
          <w:noProof/>
          <w:lang w:val="en-IE"/>
        </w:rPr>
        <w:t xml:space="preserve"> (</w:t>
      </w:r>
      <w:r w:rsidR="008B2D42" w:rsidRPr="00013BDC">
        <w:rPr>
          <w:noProof/>
          <w:lang w:val="en-IE"/>
        </w:rPr>
        <w:t xml:space="preserve">Figure </w:t>
      </w:r>
      <w:r w:rsidR="00CC7036" w:rsidRPr="00013BDC">
        <w:rPr>
          <w:noProof/>
          <w:lang w:val="en-IE"/>
        </w:rPr>
        <w:t>9</w:t>
      </w:r>
      <w:r w:rsidR="0C1932B8" w:rsidRPr="00013BDC">
        <w:rPr>
          <w:noProof/>
          <w:lang w:val="en-IE"/>
        </w:rPr>
        <w:t xml:space="preserve">). </w:t>
      </w:r>
    </w:p>
    <w:p w14:paraId="28A5DF51" w14:textId="6FED1FA2" w:rsidR="008B2D42" w:rsidRPr="00013BDC" w:rsidRDefault="008B2D42" w:rsidP="008B2D42">
      <w:pPr>
        <w:pStyle w:val="Caption"/>
        <w:spacing w:after="120"/>
        <w:rPr>
          <w:noProof/>
          <w:color w:val="auto"/>
          <w:sz w:val="24"/>
          <w:szCs w:val="24"/>
          <w:lang w:val="en-IE"/>
        </w:rPr>
      </w:pPr>
      <w:bookmarkStart w:id="560" w:name="_Toc133229280"/>
      <w:bookmarkStart w:id="561" w:name="_Toc139033007"/>
      <w:r w:rsidRPr="00013BDC">
        <w:rPr>
          <w:noProof/>
          <w:color w:val="auto"/>
          <w:sz w:val="24"/>
          <w:szCs w:val="24"/>
          <w:lang w:val="en-IE"/>
        </w:rPr>
        <w:t xml:space="preserve">Figure </w:t>
      </w:r>
      <w:r w:rsidR="004C5576">
        <w:rPr>
          <w:noProof/>
          <w:color w:val="auto"/>
          <w:sz w:val="24"/>
          <w:szCs w:val="24"/>
          <w:lang w:val="en-IE"/>
        </w:rPr>
        <w:t>10</w:t>
      </w:r>
      <w:r w:rsidRPr="00013BDC">
        <w:rPr>
          <w:noProof/>
          <w:color w:val="auto"/>
          <w:sz w:val="24"/>
          <w:szCs w:val="24"/>
          <w:lang w:val="en-IE"/>
        </w:rPr>
        <w:t xml:space="preserve"> – Production value of textile and apparel, 2019 in EUR million</w:t>
      </w:r>
      <w:bookmarkEnd w:id="560"/>
      <w:bookmarkEnd w:id="561"/>
    </w:p>
    <w:p w14:paraId="53FD2BA0" w14:textId="1D1A2C30" w:rsidR="00096212" w:rsidRPr="00013BDC" w:rsidRDefault="00096212" w:rsidP="002441BF">
      <w:pPr>
        <w:spacing w:after="120"/>
        <w:jc w:val="center"/>
        <w:rPr>
          <w:noProof/>
          <w:lang w:val="en-IE"/>
        </w:rPr>
      </w:pPr>
      <w:r w:rsidRPr="00013BDC">
        <w:rPr>
          <w:noProof/>
          <w:color w:val="2B579A"/>
          <w:shd w:val="clear" w:color="auto" w:fill="E6E6E6"/>
          <w:lang w:eastAsia="en-GB"/>
        </w:rPr>
        <w:drawing>
          <wp:inline distT="0" distB="0" distL="0" distR="0" wp14:anchorId="163B4816" wp14:editId="7B4929B6">
            <wp:extent cx="5400000" cy="2412000"/>
            <wp:effectExtent l="0" t="0" r="10795" b="762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27F70A4" w14:textId="69098C67" w:rsidR="00096212" w:rsidRPr="00013BDC" w:rsidRDefault="55F45939" w:rsidP="001B1E6E">
      <w:pPr>
        <w:jc w:val="center"/>
        <w:rPr>
          <w:noProof/>
          <w:sz w:val="22"/>
          <w:szCs w:val="22"/>
          <w:lang w:val="en-IE"/>
        </w:rPr>
      </w:pPr>
      <w:r w:rsidRPr="00013BDC">
        <w:rPr>
          <w:noProof/>
          <w:sz w:val="22"/>
          <w:szCs w:val="22"/>
          <w:lang w:val="en-IE"/>
        </w:rPr>
        <w:t>Source: Eurostat. Calculations by the author.</w:t>
      </w:r>
    </w:p>
    <w:p w14:paraId="5E112369" w14:textId="75A68CC0" w:rsidR="00096212" w:rsidRPr="00013BDC" w:rsidRDefault="00096212" w:rsidP="001B1E6E">
      <w:pPr>
        <w:rPr>
          <w:noProof/>
          <w:lang w:val="en-IE"/>
        </w:rPr>
      </w:pPr>
      <w:r w:rsidRPr="00013BDC">
        <w:rPr>
          <w:noProof/>
          <w:lang w:val="en-IE"/>
        </w:rPr>
        <w:t>The high income stemming from the value of the produced goods also correlates with the gross investments in the textile sector, which is again focused on Germany and Italy (</w:t>
      </w:r>
      <w:r w:rsidR="00CC7036" w:rsidRPr="00013BDC">
        <w:rPr>
          <w:noProof/>
          <w:color w:val="2B579A"/>
          <w:shd w:val="clear" w:color="auto" w:fill="E6E6E6"/>
          <w:lang w:val="en-IE"/>
        </w:rPr>
        <w:t>10</w:t>
      </w:r>
      <w:r w:rsidRPr="00013BDC">
        <w:rPr>
          <w:noProof/>
          <w:lang w:val="en-IE"/>
        </w:rPr>
        <w:t>). As both countries are specialised on producing high-tech fibres and materials high investments are necessary to ensure competitiveness.</w:t>
      </w:r>
    </w:p>
    <w:p w14:paraId="11050A57" w14:textId="103A2399" w:rsidR="008B2D42" w:rsidRPr="00013BDC" w:rsidRDefault="008B2D42" w:rsidP="008B2D42">
      <w:pPr>
        <w:pStyle w:val="Caption"/>
        <w:spacing w:after="120"/>
        <w:rPr>
          <w:noProof/>
          <w:color w:val="auto"/>
          <w:sz w:val="24"/>
          <w:szCs w:val="24"/>
          <w:lang w:val="en-IE"/>
        </w:rPr>
      </w:pPr>
      <w:bookmarkStart w:id="562" w:name="_Toc133229281"/>
      <w:bookmarkStart w:id="563" w:name="_Toc139033008"/>
      <w:bookmarkStart w:id="564" w:name="_Ref126056177"/>
      <w:r w:rsidRPr="00013BDC">
        <w:rPr>
          <w:noProof/>
          <w:color w:val="auto"/>
          <w:sz w:val="24"/>
          <w:szCs w:val="24"/>
          <w:lang w:val="en-IE"/>
        </w:rPr>
        <w:t xml:space="preserve">Figure </w:t>
      </w:r>
      <w:r w:rsidR="004C5576">
        <w:rPr>
          <w:noProof/>
          <w:color w:val="auto"/>
          <w:sz w:val="24"/>
          <w:szCs w:val="24"/>
          <w:lang w:val="en-IE"/>
        </w:rPr>
        <w:t>11</w:t>
      </w:r>
      <w:r w:rsidRPr="00013BDC">
        <w:rPr>
          <w:noProof/>
          <w:color w:val="auto"/>
          <w:sz w:val="24"/>
          <w:szCs w:val="24"/>
          <w:lang w:val="en-IE"/>
        </w:rPr>
        <w:t xml:space="preserve"> – Gross investment of textile manufacturers, 2019 in EUR million</w:t>
      </w:r>
      <w:bookmarkEnd w:id="562"/>
      <w:bookmarkEnd w:id="563"/>
    </w:p>
    <w:bookmarkEnd w:id="564"/>
    <w:p w14:paraId="53D2BC23" w14:textId="05EE5890" w:rsidR="00096212" w:rsidRPr="00013BDC" w:rsidRDefault="00096212" w:rsidP="002441BF">
      <w:pPr>
        <w:spacing w:after="120"/>
        <w:jc w:val="center"/>
        <w:rPr>
          <w:noProof/>
          <w:lang w:val="en-IE"/>
        </w:rPr>
      </w:pPr>
      <w:r w:rsidRPr="00013BDC">
        <w:rPr>
          <w:noProof/>
          <w:color w:val="2B579A"/>
          <w:shd w:val="clear" w:color="auto" w:fill="E6E6E6"/>
          <w:lang w:eastAsia="en-GB"/>
        </w:rPr>
        <w:drawing>
          <wp:inline distT="0" distB="0" distL="0" distR="0" wp14:anchorId="40D23463" wp14:editId="5B308AD0">
            <wp:extent cx="5400000" cy="2412000"/>
            <wp:effectExtent l="0" t="0" r="10795" b="762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3C83035" w14:textId="3392E608" w:rsidR="009B5E59" w:rsidRPr="00013BDC" w:rsidRDefault="55F45939" w:rsidP="001B1E6E">
      <w:pPr>
        <w:jc w:val="center"/>
        <w:rPr>
          <w:noProof/>
          <w:sz w:val="22"/>
          <w:szCs w:val="22"/>
          <w:lang w:val="en-IE"/>
        </w:rPr>
      </w:pPr>
      <w:r w:rsidRPr="00013BDC">
        <w:rPr>
          <w:noProof/>
          <w:sz w:val="22"/>
          <w:szCs w:val="22"/>
          <w:lang w:val="en-IE"/>
        </w:rPr>
        <w:t>Source: Eurostat. Calculations by the author.</w:t>
      </w:r>
    </w:p>
    <w:p w14:paraId="478F0086" w14:textId="3915CAEF" w:rsidR="00126733" w:rsidRPr="00013BDC" w:rsidRDefault="00126733" w:rsidP="001B1E6E">
      <w:pPr>
        <w:rPr>
          <w:noProof/>
          <w:lang w:val="en-IE"/>
        </w:rPr>
      </w:pPr>
      <w:r w:rsidRPr="00013BDC">
        <w:rPr>
          <w:noProof/>
          <w:lang w:val="en-IE"/>
        </w:rPr>
        <w:t xml:space="preserve">The textiles manufacturing </w:t>
      </w:r>
      <w:r w:rsidR="00E43115" w:rsidRPr="00013BDC">
        <w:rPr>
          <w:noProof/>
          <w:lang w:val="en-IE"/>
        </w:rPr>
        <w:t>employees are</w:t>
      </w:r>
      <w:r w:rsidRPr="00013BDC">
        <w:rPr>
          <w:noProof/>
          <w:lang w:val="en-IE"/>
        </w:rPr>
        <w:t xml:space="preserve"> concentrated in Italy, Poland, Romania, Portugal and Germany. Italy employs the </w:t>
      </w:r>
      <w:r w:rsidR="001959B2" w:rsidRPr="00013BDC">
        <w:rPr>
          <w:noProof/>
          <w:lang w:val="en-IE"/>
        </w:rPr>
        <w:t>largest</w:t>
      </w:r>
      <w:r w:rsidRPr="00013BDC">
        <w:rPr>
          <w:noProof/>
          <w:lang w:val="en-IE"/>
        </w:rPr>
        <w:t xml:space="preserve"> absolute </w:t>
      </w:r>
      <w:r w:rsidR="001959B2" w:rsidRPr="00013BDC">
        <w:rPr>
          <w:noProof/>
          <w:lang w:val="en-IE"/>
        </w:rPr>
        <w:t>workforce</w:t>
      </w:r>
      <w:r w:rsidRPr="00013BDC">
        <w:rPr>
          <w:noProof/>
          <w:lang w:val="en-IE"/>
        </w:rPr>
        <w:t xml:space="preserve"> </w:t>
      </w:r>
      <w:r w:rsidR="00DB702E" w:rsidRPr="00013BDC">
        <w:rPr>
          <w:noProof/>
          <w:lang w:val="en-IE"/>
        </w:rPr>
        <w:t>(</w:t>
      </w:r>
      <w:r w:rsidRPr="00013BDC">
        <w:rPr>
          <w:noProof/>
          <w:lang w:val="en-IE"/>
        </w:rPr>
        <w:t>320</w:t>
      </w:r>
      <w:r w:rsidR="00CB5F9A" w:rsidRPr="00013BDC">
        <w:rPr>
          <w:noProof/>
          <w:lang w:val="en-IE"/>
        </w:rPr>
        <w:t xml:space="preserve"> </w:t>
      </w:r>
      <w:r w:rsidRPr="00013BDC">
        <w:rPr>
          <w:noProof/>
          <w:lang w:val="en-IE"/>
        </w:rPr>
        <w:t xml:space="preserve">000 </w:t>
      </w:r>
      <w:r w:rsidR="001959B2" w:rsidRPr="00013BDC">
        <w:rPr>
          <w:noProof/>
          <w:lang w:val="en-IE"/>
        </w:rPr>
        <w:t>FTEs</w:t>
      </w:r>
      <w:r w:rsidR="00DB702E" w:rsidRPr="00013BDC">
        <w:rPr>
          <w:noProof/>
          <w:lang w:val="en-IE"/>
        </w:rPr>
        <w:t>)</w:t>
      </w:r>
      <w:r w:rsidRPr="00013BDC">
        <w:rPr>
          <w:noProof/>
          <w:lang w:val="en-IE"/>
        </w:rPr>
        <w:t xml:space="preserve"> while the percentage working in textiles compared to overall </w:t>
      </w:r>
      <w:r w:rsidR="001959B2" w:rsidRPr="00013BDC">
        <w:rPr>
          <w:noProof/>
          <w:lang w:val="en-IE"/>
        </w:rPr>
        <w:t>FTEs</w:t>
      </w:r>
      <w:r w:rsidRPr="00013BDC">
        <w:rPr>
          <w:noProof/>
          <w:lang w:val="en-IE"/>
        </w:rPr>
        <w:t xml:space="preserve"> is especially high in Bulgaria (3%), Portugal (2.9%), Lithuania (2%), </w:t>
      </w:r>
      <w:r w:rsidR="009D7ABA" w:rsidRPr="00013BDC">
        <w:rPr>
          <w:noProof/>
          <w:lang w:val="en-IE"/>
        </w:rPr>
        <w:t xml:space="preserve">and </w:t>
      </w:r>
      <w:r w:rsidRPr="00013BDC">
        <w:rPr>
          <w:noProof/>
          <w:lang w:val="en-IE"/>
        </w:rPr>
        <w:t>Romania (1.9%), predominantly because of cheaper labour and production costs.</w:t>
      </w:r>
    </w:p>
    <w:p w14:paraId="4E7DAD94" w14:textId="0143495D" w:rsidR="00096212" w:rsidRPr="00013BDC" w:rsidRDefault="00096212" w:rsidP="0094687E">
      <w:pPr>
        <w:spacing w:after="120"/>
        <w:rPr>
          <w:noProof/>
          <w:lang w:val="en-IE"/>
        </w:rPr>
      </w:pPr>
      <w:bookmarkStart w:id="565" w:name="_Toc117861383"/>
      <w:r w:rsidRPr="00013BDC">
        <w:rPr>
          <w:b/>
          <w:noProof/>
          <w:u w:val="single"/>
          <w:lang w:val="en-IE"/>
        </w:rPr>
        <w:t>The Role of SMEs</w:t>
      </w:r>
      <w:bookmarkEnd w:id="565"/>
    </w:p>
    <w:p w14:paraId="2E881EFB" w14:textId="4802D9ED" w:rsidR="00FD481C" w:rsidRPr="00013BDC" w:rsidRDefault="00096212" w:rsidP="009D7ABA">
      <w:pPr>
        <w:spacing w:after="120"/>
        <w:rPr>
          <w:noProof/>
          <w:lang w:val="en-IE"/>
        </w:rPr>
      </w:pPr>
      <w:r w:rsidRPr="00013BDC">
        <w:rPr>
          <w:noProof/>
          <w:lang w:val="en-IE"/>
        </w:rPr>
        <w:t xml:space="preserve">SMEs are at the core of the EU industry, representing </w:t>
      </w:r>
      <w:r w:rsidR="00DA3B21" w:rsidRPr="00013BDC">
        <w:rPr>
          <w:noProof/>
          <w:lang w:val="en-IE"/>
        </w:rPr>
        <w:t>9</w:t>
      </w:r>
      <w:r w:rsidR="006F4E69" w:rsidRPr="00013BDC">
        <w:rPr>
          <w:noProof/>
          <w:lang w:val="en-IE"/>
        </w:rPr>
        <w:t>9.7</w:t>
      </w:r>
      <w:r w:rsidR="00DA3B21" w:rsidRPr="00013BDC">
        <w:rPr>
          <w:noProof/>
          <w:lang w:val="en-IE"/>
        </w:rPr>
        <w:t xml:space="preserve">% </w:t>
      </w:r>
      <w:r w:rsidRPr="00013BDC">
        <w:rPr>
          <w:noProof/>
          <w:lang w:val="en-IE"/>
        </w:rPr>
        <w:t xml:space="preserve">of the </w:t>
      </w:r>
      <w:r w:rsidR="006F4E69" w:rsidRPr="00013BDC">
        <w:rPr>
          <w:noProof/>
          <w:lang w:val="en-IE"/>
        </w:rPr>
        <w:t>226 6</w:t>
      </w:r>
      <w:r w:rsidRPr="00013BDC">
        <w:rPr>
          <w:noProof/>
          <w:lang w:val="en-IE"/>
        </w:rPr>
        <w:t>00 enterprises</w:t>
      </w:r>
      <w:r w:rsidR="00DA3B21" w:rsidRPr="00013BDC">
        <w:rPr>
          <w:noProof/>
          <w:lang w:val="en-IE"/>
        </w:rPr>
        <w:t xml:space="preserve"> </w:t>
      </w:r>
      <w:r w:rsidR="00700CEC" w:rsidRPr="00013BDC">
        <w:rPr>
          <w:noProof/>
          <w:lang w:val="en-IE"/>
        </w:rPr>
        <w:t>as shown in Table 2</w:t>
      </w:r>
      <w:r w:rsidR="00B50F2D" w:rsidRPr="00013BDC">
        <w:rPr>
          <w:noProof/>
          <w:lang w:val="en-IE"/>
        </w:rPr>
        <w:t>4</w:t>
      </w:r>
      <w:r w:rsidR="00756E8E" w:rsidRPr="00013BDC">
        <w:rPr>
          <w:rStyle w:val="FootnoteReference"/>
          <w:noProof/>
          <w:lang w:val="en-IE"/>
        </w:rPr>
        <w:footnoteReference w:id="139"/>
      </w:r>
      <w:r w:rsidRPr="00013BDC">
        <w:rPr>
          <w:noProof/>
          <w:lang w:val="en-IE"/>
        </w:rPr>
        <w:t>.</w:t>
      </w:r>
      <w:r w:rsidR="00FD481C" w:rsidRPr="00013BDC">
        <w:rPr>
          <w:noProof/>
          <w:lang w:val="en-IE"/>
        </w:rPr>
        <w:t xml:space="preserve"> The large number of SMEs in the sector has benefits and disadvantages. On one hand, high numbers of enterprises ensure a competitive market, create jobs, especially for women and are essential for local economies. On the other hand, SMEs often lack the necessary investment capacity to ensure competitiveness and have low bargaining power </w:t>
      </w:r>
      <w:r w:rsidR="00F76F38" w:rsidRPr="00013BDC">
        <w:rPr>
          <w:noProof/>
          <w:lang w:val="en-IE"/>
        </w:rPr>
        <w:t>regarding</w:t>
      </w:r>
      <w:r w:rsidR="00FD481C" w:rsidRPr="00013BDC">
        <w:rPr>
          <w:noProof/>
          <w:lang w:val="en-IE"/>
        </w:rPr>
        <w:t xml:space="preserve"> materials. </w:t>
      </w:r>
      <w:r w:rsidR="00102DCF" w:rsidRPr="00013BDC">
        <w:rPr>
          <w:noProof/>
          <w:lang w:val="en-IE"/>
        </w:rPr>
        <w:t xml:space="preserve">EURATEX representing the European apparel and textile </w:t>
      </w:r>
      <w:r w:rsidR="0096519E" w:rsidRPr="00013BDC">
        <w:rPr>
          <w:noProof/>
          <w:lang w:val="en-IE"/>
        </w:rPr>
        <w:t>industry, has confirmed that their members’ composition is similar to the market’s with over 98% SMEs.</w:t>
      </w:r>
    </w:p>
    <w:p w14:paraId="3B0D48A3" w14:textId="07D603F4" w:rsidR="0004002A" w:rsidRPr="00013BDC" w:rsidRDefault="006C6B42" w:rsidP="006C6B42">
      <w:pPr>
        <w:pStyle w:val="Caption"/>
        <w:rPr>
          <w:rFonts w:eastAsia="Times New Roman"/>
          <w:noProof/>
          <w:color w:val="auto"/>
          <w:sz w:val="24"/>
          <w:szCs w:val="24"/>
          <w:lang w:val="en-IE"/>
        </w:rPr>
      </w:pPr>
      <w:bookmarkStart w:id="566" w:name="_Toc133229432"/>
      <w:bookmarkStart w:id="567" w:name="_Toc139033054"/>
      <w:r w:rsidRPr="00013BDC">
        <w:rPr>
          <w:noProof/>
          <w:color w:val="auto"/>
          <w:sz w:val="24"/>
          <w:szCs w:val="24"/>
          <w:lang w:val="en-IE"/>
        </w:rPr>
        <w:t xml:space="preserve">Table </w:t>
      </w:r>
      <w:r w:rsidR="004C5576">
        <w:rPr>
          <w:noProof/>
          <w:color w:val="auto"/>
          <w:sz w:val="24"/>
          <w:szCs w:val="24"/>
        </w:rPr>
        <w:t>24</w:t>
      </w:r>
      <w:r w:rsidRPr="00013BDC">
        <w:rPr>
          <w:noProof/>
          <w:color w:val="auto"/>
          <w:sz w:val="24"/>
          <w:szCs w:val="24"/>
          <w:lang w:val="en-IE"/>
        </w:rPr>
        <w:t xml:space="preserve"> –</w:t>
      </w:r>
      <w:r w:rsidRPr="00013BDC">
        <w:rPr>
          <w:noProof/>
          <w:color w:val="000000" w:themeColor="text1"/>
          <w:lang w:val="en-IE"/>
        </w:rPr>
        <w:t xml:space="preserve"> </w:t>
      </w:r>
      <w:r w:rsidRPr="00013BDC">
        <w:rPr>
          <w:noProof/>
          <w:color w:val="auto"/>
          <w:sz w:val="24"/>
          <w:szCs w:val="24"/>
          <w:lang w:val="en-IE"/>
        </w:rPr>
        <w:t>Company sizes in the EU textile sector, 2021</w:t>
      </w:r>
      <w:bookmarkEnd w:id="566"/>
      <w:bookmarkEnd w:id="567"/>
    </w:p>
    <w:tbl>
      <w:tblPr>
        <w:tblStyle w:val="GridTable4-Accent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1686"/>
      </w:tblGrid>
      <w:tr w:rsidR="00586A5A" w:rsidRPr="00013BDC" w14:paraId="66EFBE32" w14:textId="77777777" w:rsidTr="00FA266C">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935" w:type="dxa"/>
            <w:tcBorders>
              <w:bottom w:val="single" w:sz="4" w:space="0" w:color="auto"/>
            </w:tcBorders>
            <w:vAlign w:val="center"/>
          </w:tcPr>
          <w:p w14:paraId="217A1FF5" w14:textId="77777777" w:rsidR="00096212" w:rsidRPr="00013BDC" w:rsidRDefault="00096212" w:rsidP="001B1E6E">
            <w:pPr>
              <w:rPr>
                <w:noProof/>
                <w:lang w:val="en-IE"/>
              </w:rPr>
            </w:pPr>
            <w:r w:rsidRPr="00013BDC">
              <w:rPr>
                <w:noProof/>
                <w:lang w:val="en-IE"/>
              </w:rPr>
              <w:t>Size of Companies (number of employees)</w:t>
            </w:r>
          </w:p>
        </w:tc>
        <w:tc>
          <w:tcPr>
            <w:tcW w:w="1686" w:type="dxa"/>
            <w:tcBorders>
              <w:bottom w:val="single" w:sz="4" w:space="0" w:color="auto"/>
            </w:tcBorders>
            <w:vAlign w:val="center"/>
          </w:tcPr>
          <w:p w14:paraId="6528BD36" w14:textId="77777777" w:rsidR="00096212" w:rsidRPr="00013BDC" w:rsidRDefault="00096212" w:rsidP="001B1E6E">
            <w:pPr>
              <w:cnfStyle w:val="100000000000" w:firstRow="1" w:lastRow="0" w:firstColumn="0" w:lastColumn="0" w:oddVBand="0" w:evenVBand="0" w:oddHBand="0" w:evenHBand="0" w:firstRowFirstColumn="0" w:firstRowLastColumn="0" w:lastRowFirstColumn="0" w:lastRowLastColumn="0"/>
              <w:rPr>
                <w:noProof/>
                <w:lang w:val="en-IE"/>
              </w:rPr>
            </w:pPr>
            <w:r w:rsidRPr="00013BDC">
              <w:rPr>
                <w:noProof/>
                <w:lang w:val="en-IE"/>
              </w:rPr>
              <w:t>Share (%)</w:t>
            </w:r>
          </w:p>
        </w:tc>
      </w:tr>
      <w:tr w:rsidR="00586A5A" w:rsidRPr="00013BDC" w14:paraId="7927189A" w14:textId="77777777" w:rsidTr="00FA266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935" w:type="dxa"/>
            <w:tcBorders>
              <w:right w:val="single" w:sz="4" w:space="0" w:color="auto"/>
            </w:tcBorders>
            <w:vAlign w:val="center"/>
          </w:tcPr>
          <w:p w14:paraId="16606E7D" w14:textId="306F3077" w:rsidR="00096212" w:rsidRPr="00013BDC" w:rsidRDefault="00096212" w:rsidP="001B1E6E">
            <w:pPr>
              <w:rPr>
                <w:b w:val="0"/>
                <w:noProof/>
                <w:lang w:val="en-IE"/>
              </w:rPr>
            </w:pPr>
            <w:r w:rsidRPr="00013BDC">
              <w:rPr>
                <w:b w:val="0"/>
                <w:noProof/>
                <w:lang w:val="en-IE"/>
              </w:rPr>
              <w:t>Small and Medium sized Enterprises [</w:t>
            </w:r>
            <w:r w:rsidR="00223F20" w:rsidRPr="00013BDC">
              <w:rPr>
                <w:b w:val="0"/>
                <w:noProof/>
                <w:lang w:val="en-IE"/>
              </w:rPr>
              <w:t>0</w:t>
            </w:r>
            <w:r w:rsidRPr="00013BDC">
              <w:rPr>
                <w:b w:val="0"/>
                <w:noProof/>
                <w:lang w:val="en-IE"/>
              </w:rPr>
              <w:t xml:space="preserve"> </w:t>
            </w:r>
            <w:r w:rsidR="00CC3EC0" w:rsidRPr="00013BDC">
              <w:rPr>
                <w:b w:val="0"/>
                <w:noProof/>
                <w:lang w:val="en-IE"/>
              </w:rPr>
              <w:t>–</w:t>
            </w:r>
            <w:r w:rsidRPr="00013BDC">
              <w:rPr>
                <w:b w:val="0"/>
                <w:noProof/>
                <w:lang w:val="en-IE"/>
              </w:rPr>
              <w:t xml:space="preserve"> 249]</w:t>
            </w:r>
          </w:p>
        </w:tc>
        <w:tc>
          <w:tcPr>
            <w:tcW w:w="1686" w:type="dxa"/>
            <w:tcBorders>
              <w:left w:val="single" w:sz="4" w:space="0" w:color="auto"/>
            </w:tcBorders>
            <w:vAlign w:val="center"/>
          </w:tcPr>
          <w:p w14:paraId="0C7B8196" w14:textId="6FBB14EB" w:rsidR="00096212" w:rsidRPr="00013BDC" w:rsidRDefault="00096212" w:rsidP="001B1E6E">
            <w:pPr>
              <w:cnfStyle w:val="000000100000" w:firstRow="0" w:lastRow="0" w:firstColumn="0" w:lastColumn="0" w:oddVBand="0" w:evenVBand="0" w:oddHBand="1" w:evenHBand="0" w:firstRowFirstColumn="0" w:firstRowLastColumn="0" w:lastRowFirstColumn="0" w:lastRowLastColumn="0"/>
              <w:rPr>
                <w:noProof/>
                <w:lang w:val="en-IE"/>
              </w:rPr>
            </w:pPr>
            <w:r w:rsidRPr="00013BDC">
              <w:rPr>
                <w:noProof/>
                <w:lang w:val="en-IE"/>
              </w:rPr>
              <w:t>9</w:t>
            </w:r>
            <w:r w:rsidR="00223F20" w:rsidRPr="00013BDC">
              <w:rPr>
                <w:noProof/>
                <w:lang w:val="en-IE"/>
              </w:rPr>
              <w:t>9.</w:t>
            </w:r>
            <w:r w:rsidR="00D0166F" w:rsidRPr="00013BDC">
              <w:rPr>
                <w:noProof/>
                <w:lang w:val="en-IE"/>
              </w:rPr>
              <w:t>7</w:t>
            </w:r>
            <w:r w:rsidRPr="00013BDC">
              <w:rPr>
                <w:noProof/>
                <w:lang w:val="en-IE"/>
              </w:rPr>
              <w:t>%</w:t>
            </w:r>
          </w:p>
        </w:tc>
      </w:tr>
      <w:tr w:rsidR="00522ACF" w:rsidRPr="00013BDC" w14:paraId="372B376C" w14:textId="77777777" w:rsidTr="00FA266C">
        <w:trPr>
          <w:trHeight w:val="454"/>
          <w:jc w:val="center"/>
        </w:trPr>
        <w:tc>
          <w:tcPr>
            <w:cnfStyle w:val="001000000000" w:firstRow="0" w:lastRow="0" w:firstColumn="1" w:lastColumn="0" w:oddVBand="0" w:evenVBand="0" w:oddHBand="0" w:evenHBand="0" w:firstRowFirstColumn="0" w:firstRowLastColumn="0" w:lastRowFirstColumn="0" w:lastRowLastColumn="0"/>
            <w:tcW w:w="5935" w:type="dxa"/>
            <w:tcBorders>
              <w:right w:val="single" w:sz="4" w:space="0" w:color="auto"/>
            </w:tcBorders>
            <w:vAlign w:val="center"/>
          </w:tcPr>
          <w:p w14:paraId="6BE7C63A" w14:textId="77777777" w:rsidR="00096212" w:rsidRPr="00013BDC" w:rsidRDefault="00096212" w:rsidP="001B1E6E">
            <w:pPr>
              <w:rPr>
                <w:b w:val="0"/>
                <w:noProof/>
                <w:lang w:val="en-IE"/>
              </w:rPr>
            </w:pPr>
            <w:r w:rsidRPr="00013BDC">
              <w:rPr>
                <w:b w:val="0"/>
                <w:noProof/>
                <w:lang w:val="en-IE"/>
              </w:rPr>
              <w:t>Large &gt; 250</w:t>
            </w:r>
          </w:p>
        </w:tc>
        <w:tc>
          <w:tcPr>
            <w:tcW w:w="1686" w:type="dxa"/>
            <w:tcBorders>
              <w:left w:val="single" w:sz="4" w:space="0" w:color="auto"/>
            </w:tcBorders>
            <w:vAlign w:val="center"/>
          </w:tcPr>
          <w:p w14:paraId="35AC89B2" w14:textId="771E6398" w:rsidR="00096212" w:rsidRPr="00013BDC" w:rsidRDefault="00096212" w:rsidP="001B1E6E">
            <w:pPr>
              <w:cnfStyle w:val="000000000000" w:firstRow="0" w:lastRow="0" w:firstColumn="0" w:lastColumn="0" w:oddVBand="0" w:evenVBand="0" w:oddHBand="0" w:evenHBand="0" w:firstRowFirstColumn="0" w:firstRowLastColumn="0" w:lastRowFirstColumn="0" w:lastRowLastColumn="0"/>
              <w:rPr>
                <w:noProof/>
                <w:lang w:val="en-IE"/>
              </w:rPr>
            </w:pPr>
            <w:r w:rsidRPr="00013BDC">
              <w:rPr>
                <w:noProof/>
                <w:lang w:val="en-IE"/>
              </w:rPr>
              <w:t>0</w:t>
            </w:r>
            <w:r w:rsidR="002165C4" w:rsidRPr="00013BDC">
              <w:rPr>
                <w:noProof/>
                <w:lang w:val="en-IE"/>
              </w:rPr>
              <w:t>.3</w:t>
            </w:r>
            <w:r w:rsidRPr="00013BDC">
              <w:rPr>
                <w:noProof/>
                <w:lang w:val="en-IE"/>
              </w:rPr>
              <w:t>%</w:t>
            </w:r>
          </w:p>
        </w:tc>
      </w:tr>
    </w:tbl>
    <w:p w14:paraId="0FFA0833" w14:textId="78D354BE" w:rsidR="00096212" w:rsidRPr="00013BDC" w:rsidRDefault="55F45939" w:rsidP="00DA3B21">
      <w:pPr>
        <w:jc w:val="center"/>
        <w:rPr>
          <w:noProof/>
          <w:sz w:val="22"/>
          <w:szCs w:val="22"/>
          <w:lang w:val="en-IE"/>
        </w:rPr>
      </w:pPr>
      <w:r w:rsidRPr="00013BDC">
        <w:rPr>
          <w:noProof/>
          <w:sz w:val="22"/>
          <w:szCs w:val="22"/>
          <w:lang w:val="en-IE"/>
        </w:rPr>
        <w:t xml:space="preserve">Source: Eurostat. Calculations by the </w:t>
      </w:r>
      <w:r w:rsidR="00FE107C" w:rsidRPr="00013BDC">
        <w:rPr>
          <w:noProof/>
          <w:sz w:val="22"/>
          <w:szCs w:val="22"/>
          <w:lang w:val="en-IE"/>
        </w:rPr>
        <w:t>Commission services</w:t>
      </w:r>
      <w:r w:rsidRPr="00013BDC">
        <w:rPr>
          <w:noProof/>
          <w:sz w:val="22"/>
          <w:szCs w:val="22"/>
          <w:lang w:val="en-IE"/>
        </w:rPr>
        <w:t>.</w:t>
      </w:r>
    </w:p>
    <w:p w14:paraId="107186C8" w14:textId="77777777" w:rsidR="00096212" w:rsidRPr="00013BDC" w:rsidRDefault="00096212" w:rsidP="009D7ABA">
      <w:pPr>
        <w:pStyle w:val="WDBody"/>
        <w:spacing w:after="120" w:line="240" w:lineRule="auto"/>
        <w:rPr>
          <w:rFonts w:ascii="Times New Roman" w:hAnsi="Times New Roman" w:cs="Times New Roman"/>
          <w:b/>
          <w:noProof/>
          <w:sz w:val="24"/>
          <w:szCs w:val="24"/>
          <w:u w:val="single"/>
          <w:lang w:val="en-IE"/>
        </w:rPr>
      </w:pPr>
      <w:bookmarkStart w:id="568" w:name="_Toc117861384"/>
      <w:r w:rsidRPr="00013BDC">
        <w:rPr>
          <w:rFonts w:ascii="Times New Roman" w:hAnsi="Times New Roman" w:cs="Times New Roman"/>
          <w:b/>
          <w:noProof/>
          <w:sz w:val="24"/>
          <w:szCs w:val="24"/>
          <w:u w:val="single"/>
          <w:lang w:val="en-IE"/>
        </w:rPr>
        <w:t>E-commerce</w:t>
      </w:r>
      <w:bookmarkEnd w:id="568"/>
    </w:p>
    <w:p w14:paraId="6E4C631F" w14:textId="36629D0B" w:rsidR="00096212" w:rsidRPr="00013BDC" w:rsidRDefault="008B455F" w:rsidP="001B1E6E">
      <w:pPr>
        <w:rPr>
          <w:noProof/>
          <w:lang w:val="en-IE"/>
        </w:rPr>
      </w:pPr>
      <w:r w:rsidRPr="00013BDC">
        <w:rPr>
          <w:noProof/>
          <w:lang w:val="en-IE"/>
        </w:rPr>
        <w:t xml:space="preserve">Given the shift in consumer behaviour towards increased digital shopping, the effects of e-commerce on the textiles sector have become increasingly important. </w:t>
      </w:r>
      <w:r w:rsidR="00096212" w:rsidRPr="00013BDC">
        <w:rPr>
          <w:noProof/>
          <w:lang w:val="en-IE"/>
        </w:rPr>
        <w:t>Turnover generated by e-sales has more than doubled since 2009</w:t>
      </w:r>
      <w:r w:rsidR="00FF1F6A" w:rsidRPr="00013BDC">
        <w:rPr>
          <w:noProof/>
          <w:lang w:val="en-IE"/>
        </w:rPr>
        <w:t xml:space="preserve"> driven mainly by a</w:t>
      </w:r>
      <w:r w:rsidR="00096212" w:rsidRPr="00013BDC">
        <w:rPr>
          <w:noProof/>
          <w:lang w:val="en-IE"/>
        </w:rPr>
        <w:t>pparel and clothing</w:t>
      </w:r>
      <w:r w:rsidR="00FF1F6A" w:rsidRPr="00013BDC">
        <w:rPr>
          <w:noProof/>
          <w:lang w:val="en-IE"/>
        </w:rPr>
        <w:t>. O</w:t>
      </w:r>
      <w:r w:rsidR="00096212" w:rsidRPr="00013BDC">
        <w:rPr>
          <w:noProof/>
          <w:lang w:val="en-IE"/>
        </w:rPr>
        <w:t>ver 70% of young e-buyers bought clothes online, making it the most popular purchase of online good</w:t>
      </w:r>
      <w:r w:rsidR="00913470" w:rsidRPr="00013BDC">
        <w:rPr>
          <w:noProof/>
          <w:lang w:val="en-IE"/>
        </w:rPr>
        <w:t>s in the EU in 2021 (Figure 1</w:t>
      </w:r>
      <w:r w:rsidR="0008575C" w:rsidRPr="00013BDC">
        <w:rPr>
          <w:noProof/>
          <w:lang w:val="en-IE"/>
        </w:rPr>
        <w:t>2</w:t>
      </w:r>
      <w:r w:rsidR="00096212" w:rsidRPr="00013BDC">
        <w:rPr>
          <w:noProof/>
          <w:lang w:val="en-IE"/>
        </w:rPr>
        <w:t xml:space="preserve">). </w:t>
      </w:r>
    </w:p>
    <w:p w14:paraId="5F9DEF0B" w14:textId="2E883401" w:rsidR="00A411E0" w:rsidRPr="00013BDC" w:rsidRDefault="00535678" w:rsidP="00A411E0">
      <w:pPr>
        <w:spacing w:after="0"/>
        <w:rPr>
          <w:rFonts w:eastAsia="Times New Roman"/>
          <w:i/>
          <w:noProof/>
          <w:lang w:val="en-IE"/>
        </w:rPr>
      </w:pPr>
      <w:bookmarkStart w:id="569" w:name="_Ref126056318"/>
      <w:bookmarkStart w:id="570" w:name="_Toc133229282"/>
      <w:bookmarkStart w:id="571" w:name="_Toc139033009"/>
      <w:r w:rsidRPr="00013BDC">
        <w:rPr>
          <w:rFonts w:eastAsia="Times New Roman"/>
          <w:i/>
          <w:noProof/>
          <w:lang w:val="en-IE"/>
        </w:rPr>
        <w:t xml:space="preserve">Figure </w:t>
      </w:r>
      <w:r w:rsidR="004C5576">
        <w:rPr>
          <w:rFonts w:eastAsia="Times New Roman"/>
          <w:noProof/>
          <w:lang w:val="en-IE"/>
        </w:rPr>
        <w:t>12</w:t>
      </w:r>
      <w:bookmarkEnd w:id="569"/>
      <w:r w:rsidRPr="00013BDC">
        <w:rPr>
          <w:i/>
          <w:noProof/>
          <w:lang w:val="en-IE"/>
        </w:rPr>
        <w:t xml:space="preserve"> </w:t>
      </w:r>
      <w:r w:rsidRPr="00013BDC">
        <w:rPr>
          <w:rFonts w:eastAsia="Times New Roman"/>
          <w:i/>
          <w:noProof/>
          <w:lang w:val="en-IE"/>
        </w:rPr>
        <w:t>–</w:t>
      </w:r>
      <w:r w:rsidRPr="00013BDC">
        <w:rPr>
          <w:i/>
          <w:noProof/>
          <w:color w:val="000000" w:themeColor="text1"/>
          <w:lang w:val="en-IE"/>
        </w:rPr>
        <w:t xml:space="preserve"> </w:t>
      </w:r>
      <w:r w:rsidR="00A411E0" w:rsidRPr="00013BDC">
        <w:rPr>
          <w:rFonts w:eastAsia="Times New Roman"/>
          <w:i/>
          <w:noProof/>
          <w:lang w:val="en-IE"/>
        </w:rPr>
        <w:t>Online purchases of goods in the EU, 2021</w:t>
      </w:r>
      <w:bookmarkEnd w:id="570"/>
      <w:bookmarkEnd w:id="571"/>
    </w:p>
    <w:p w14:paraId="7BF543C0" w14:textId="77777777" w:rsidR="00634400" w:rsidRPr="00013BDC" w:rsidRDefault="00096212" w:rsidP="00A411E0">
      <w:pPr>
        <w:pStyle w:val="Caption"/>
        <w:spacing w:after="120"/>
        <w:jc w:val="left"/>
        <w:rPr>
          <w:noProof/>
          <w:color w:val="000000" w:themeColor="text1"/>
          <w:sz w:val="22"/>
          <w:szCs w:val="22"/>
          <w:lang w:val="en-IE"/>
        </w:rPr>
      </w:pPr>
      <w:bookmarkStart w:id="572" w:name="_Toc117865373"/>
      <w:r w:rsidRPr="00013BDC">
        <w:rPr>
          <w:noProof/>
          <w:color w:val="000000" w:themeColor="text1"/>
          <w:sz w:val="22"/>
          <w:szCs w:val="22"/>
          <w:lang w:val="en-IE"/>
        </w:rPr>
        <w:t>(% of individuals who bought or ordered goods or services for private use in the previous 3 months)</w:t>
      </w:r>
      <w:bookmarkEnd w:id="572"/>
    </w:p>
    <w:p w14:paraId="11E6E657" w14:textId="566F03E5" w:rsidR="00096212" w:rsidRPr="00013BDC" w:rsidRDefault="00096212" w:rsidP="00AF0776">
      <w:pPr>
        <w:pStyle w:val="Caption"/>
        <w:spacing w:after="120"/>
        <w:jc w:val="center"/>
        <w:rPr>
          <w:i w:val="0"/>
          <w:noProof/>
          <w:color w:val="000000" w:themeColor="text1"/>
          <w:sz w:val="22"/>
          <w:szCs w:val="22"/>
          <w:lang w:val="en-IE"/>
        </w:rPr>
      </w:pPr>
      <w:r w:rsidRPr="00013BDC">
        <w:rPr>
          <w:noProof/>
          <w:color w:val="2B579A"/>
          <w:shd w:val="clear" w:color="auto" w:fill="E6E6E6"/>
          <w:lang w:eastAsia="en-GB"/>
        </w:rPr>
        <w:drawing>
          <wp:inline distT="0" distB="0" distL="0" distR="0" wp14:anchorId="704A2706" wp14:editId="498DCF9A">
            <wp:extent cx="4419600" cy="2670460"/>
            <wp:effectExtent l="0" t="0" r="0" b="0"/>
            <wp:docPr id="55" name="Picture 55" descr="https://ec.europa.eu/eurostat/statistics-explained/images/9/90/Online_purchases_of_goods%2C_EU%281%29%2C_2021_%28%25_of_individuals_who_bought_or_ordered_goods_or_services_over_the_internet_for_private_use_in_the_previous_3_month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eurostat/statistics-explained/images/9/90/Online_purchases_of_goods%2C_EU%281%29%2C_2021_%28%25_of_individuals_who_bought_or_ordered_goods_or_services_over_the_internet_for_private_use_in_the_previous_3_months%29.pn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0592"/>
                    <a:stretch/>
                  </pic:blipFill>
                  <pic:spPr bwMode="auto">
                    <a:xfrm>
                      <a:off x="0" y="0"/>
                      <a:ext cx="4484129" cy="2709450"/>
                    </a:xfrm>
                    <a:prstGeom prst="rect">
                      <a:avLst/>
                    </a:prstGeom>
                    <a:noFill/>
                    <a:ln>
                      <a:noFill/>
                    </a:ln>
                    <a:extLst>
                      <a:ext uri="{53640926-AAD7-44D8-BBD7-CCE9431645EC}">
                        <a14:shadowObscured xmlns:a14="http://schemas.microsoft.com/office/drawing/2010/main"/>
                      </a:ext>
                    </a:extLst>
                  </pic:spPr>
                </pic:pic>
              </a:graphicData>
            </a:graphic>
          </wp:inline>
        </w:drawing>
      </w:r>
    </w:p>
    <w:p w14:paraId="621F5A84" w14:textId="0FDB0E69" w:rsidR="00096212" w:rsidRPr="00013BDC" w:rsidRDefault="1779486F" w:rsidP="001B1E6E">
      <w:pPr>
        <w:jc w:val="center"/>
        <w:rPr>
          <w:noProof/>
          <w:sz w:val="22"/>
          <w:szCs w:val="22"/>
          <w:lang w:val="en-IE"/>
        </w:rPr>
      </w:pPr>
      <w:r w:rsidRPr="00013BDC">
        <w:rPr>
          <w:noProof/>
          <w:sz w:val="22"/>
          <w:szCs w:val="22"/>
          <w:lang w:val="en-IE"/>
        </w:rPr>
        <w:t>Source: Eurostat. URL: E-commerce statistics for individuals (europa.eu)</w:t>
      </w:r>
      <w:r w:rsidR="00336D51" w:rsidRPr="00013BDC">
        <w:rPr>
          <w:rStyle w:val="FootnoteReference"/>
          <w:noProof/>
          <w:sz w:val="22"/>
          <w:szCs w:val="22"/>
          <w:lang w:val="en-IE"/>
        </w:rPr>
        <w:footnoteReference w:id="140"/>
      </w:r>
      <w:r w:rsidRPr="00013BDC">
        <w:rPr>
          <w:noProof/>
          <w:sz w:val="22"/>
          <w:szCs w:val="22"/>
          <w:lang w:val="en-IE"/>
        </w:rPr>
        <w:t>.</w:t>
      </w:r>
    </w:p>
    <w:p w14:paraId="67E05BA8" w14:textId="36920417" w:rsidR="00096212" w:rsidRPr="00013BDC" w:rsidRDefault="4825A26B" w:rsidP="001B1E6E">
      <w:pPr>
        <w:rPr>
          <w:noProof/>
          <w:lang w:val="en-IE"/>
        </w:rPr>
      </w:pPr>
      <w:r w:rsidRPr="00013BDC">
        <w:rPr>
          <w:noProof/>
          <w:lang w:val="en-IE"/>
        </w:rPr>
        <w:t>This is also reflected in the increase of e-commerce sales in t</w:t>
      </w:r>
      <w:r w:rsidR="00D90A5B" w:rsidRPr="00013BDC">
        <w:rPr>
          <w:noProof/>
          <w:lang w:val="en-IE"/>
        </w:rPr>
        <w:t>he EU, as shown in Figure 1</w:t>
      </w:r>
      <w:r w:rsidR="00CC7036" w:rsidRPr="00013BDC">
        <w:rPr>
          <w:noProof/>
          <w:lang w:val="en-IE"/>
        </w:rPr>
        <w:t>2</w:t>
      </w:r>
      <w:r w:rsidR="00D90A5B" w:rsidRPr="00013BDC">
        <w:rPr>
          <w:noProof/>
          <w:lang w:val="en-IE"/>
        </w:rPr>
        <w:t>.</w:t>
      </w:r>
      <w:r w:rsidRPr="00013BDC">
        <w:rPr>
          <w:noProof/>
          <w:lang w:val="en-IE"/>
        </w:rPr>
        <w:t xml:space="preserve"> This increased demand is primarily driven by young internet users and consumer groups and in parts of the </w:t>
      </w:r>
      <w:r w:rsidR="5AD9C8D4" w:rsidRPr="00013BDC">
        <w:rPr>
          <w:noProof/>
          <w:lang w:val="en-IE"/>
        </w:rPr>
        <w:t>COVID</w:t>
      </w:r>
      <w:r w:rsidRPr="00013BDC">
        <w:rPr>
          <w:noProof/>
          <w:lang w:val="en-IE"/>
        </w:rPr>
        <w:t>-19 pandemic and the restrictions of in-person shopping</w:t>
      </w:r>
      <w:r w:rsidR="00372812" w:rsidRPr="00013BDC">
        <w:rPr>
          <w:rStyle w:val="FootnoteReference"/>
          <w:noProof/>
          <w:lang w:val="en-IE"/>
        </w:rPr>
        <w:footnoteReference w:id="141"/>
      </w:r>
      <w:r w:rsidRPr="00013BDC">
        <w:rPr>
          <w:noProof/>
          <w:lang w:val="en-IE"/>
        </w:rPr>
        <w:t>.</w:t>
      </w:r>
      <w:r w:rsidRPr="00013BDC">
        <w:rPr>
          <w:rStyle w:val="FootnoteReference"/>
          <w:noProof/>
          <w:lang w:val="en-IE"/>
        </w:rPr>
        <w:t xml:space="preserve"> </w:t>
      </w:r>
      <w:r w:rsidRPr="00013BDC">
        <w:rPr>
          <w:noProof/>
          <w:lang w:val="en-IE"/>
        </w:rPr>
        <w:t xml:space="preserve">The additional rise of pay-per-use or subscription models will accelerate the shift of the T&amp;A sector to new digital business and consumption models that brings both challenges and opportunities for the industry and policymakers. </w:t>
      </w:r>
    </w:p>
    <w:p w14:paraId="57AEF8B3" w14:textId="3FE8F326" w:rsidR="00E944AB" w:rsidRPr="00013BDC" w:rsidRDefault="00E944AB" w:rsidP="00643F9A">
      <w:pPr>
        <w:rPr>
          <w:i/>
          <w:noProof/>
          <w:lang w:val="en-IE"/>
        </w:rPr>
      </w:pPr>
      <w:bookmarkStart w:id="573" w:name="_Ref119662100"/>
      <w:bookmarkStart w:id="574" w:name="_Toc117865374"/>
      <w:bookmarkStart w:id="575" w:name="_Toc133229283"/>
      <w:bookmarkStart w:id="576" w:name="_Toc139033010"/>
      <w:r w:rsidRPr="00013BDC">
        <w:rPr>
          <w:rFonts w:eastAsia="Times New Roman"/>
          <w:i/>
          <w:noProof/>
          <w:lang w:val="en-IE"/>
        </w:rPr>
        <w:t>Figure</w:t>
      </w:r>
      <w:r w:rsidRPr="00013BDC">
        <w:rPr>
          <w:i/>
          <w:noProof/>
          <w:lang w:val="en-IE"/>
        </w:rPr>
        <w:t xml:space="preserve"> </w:t>
      </w:r>
      <w:bookmarkEnd w:id="573"/>
      <w:r w:rsidR="004C5576">
        <w:rPr>
          <w:rFonts w:eastAsia="Times New Roman"/>
          <w:noProof/>
          <w:lang w:val="en-IE"/>
        </w:rPr>
        <w:t>13</w:t>
      </w:r>
      <w:r w:rsidRPr="00013BDC">
        <w:rPr>
          <w:rFonts w:eastAsia="Times New Roman"/>
          <w:i/>
          <w:noProof/>
          <w:lang w:val="en-IE"/>
        </w:rPr>
        <w:t xml:space="preserve"> –</w:t>
      </w:r>
      <w:r w:rsidRPr="00013BDC">
        <w:rPr>
          <w:i/>
          <w:noProof/>
          <w:color w:val="000000" w:themeColor="text1"/>
          <w:lang w:val="en-IE"/>
        </w:rPr>
        <w:t xml:space="preserve"> </w:t>
      </w:r>
      <w:r w:rsidRPr="00013BDC">
        <w:rPr>
          <w:i/>
          <w:noProof/>
          <w:lang w:val="en-IE"/>
        </w:rPr>
        <w:t>Enterprises in the EU with e-commerce sales in percentage</w:t>
      </w:r>
      <w:bookmarkEnd w:id="574"/>
      <w:bookmarkEnd w:id="575"/>
      <w:bookmarkEnd w:id="576"/>
    </w:p>
    <w:p w14:paraId="3929A4C8" w14:textId="15B508FD" w:rsidR="00096212" w:rsidRPr="00013BDC" w:rsidRDefault="00096212" w:rsidP="00AF0776">
      <w:pPr>
        <w:spacing w:after="120"/>
        <w:jc w:val="center"/>
        <w:rPr>
          <w:noProof/>
          <w:lang w:val="en-IE"/>
        </w:rPr>
      </w:pPr>
      <w:r w:rsidRPr="00013BDC">
        <w:rPr>
          <w:noProof/>
          <w:color w:val="2B579A"/>
          <w:shd w:val="clear" w:color="auto" w:fill="E6E6E6"/>
          <w:lang w:eastAsia="en-GB"/>
        </w:rPr>
        <w:drawing>
          <wp:inline distT="0" distB="0" distL="0" distR="0" wp14:anchorId="009D765F" wp14:editId="33D2C778">
            <wp:extent cx="3476676" cy="1691640"/>
            <wp:effectExtent l="0" t="0" r="0" b="381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D268CF4" w14:textId="10EF4896" w:rsidR="009B5E59" w:rsidRPr="00013BDC" w:rsidRDefault="55F45939" w:rsidP="001B1E6E">
      <w:pPr>
        <w:jc w:val="center"/>
        <w:rPr>
          <w:noProof/>
          <w:sz w:val="22"/>
          <w:szCs w:val="22"/>
          <w:lang w:val="en-IE"/>
        </w:rPr>
      </w:pPr>
      <w:r w:rsidRPr="00013BDC">
        <w:rPr>
          <w:noProof/>
          <w:sz w:val="22"/>
          <w:szCs w:val="22"/>
          <w:lang w:val="en-IE"/>
        </w:rPr>
        <w:t xml:space="preserve">Source: Eurostat. Calculations by the </w:t>
      </w:r>
      <w:r w:rsidR="00E25410" w:rsidRPr="00013BDC">
        <w:rPr>
          <w:noProof/>
          <w:sz w:val="22"/>
          <w:szCs w:val="22"/>
          <w:lang w:val="en-IE"/>
        </w:rPr>
        <w:t>Commission services</w:t>
      </w:r>
      <w:r w:rsidRPr="00013BDC">
        <w:rPr>
          <w:noProof/>
          <w:sz w:val="22"/>
          <w:szCs w:val="22"/>
          <w:lang w:val="en-IE"/>
        </w:rPr>
        <w:t>.</w:t>
      </w:r>
    </w:p>
    <w:p w14:paraId="0DA35BDC" w14:textId="77777777" w:rsidR="00096212" w:rsidRPr="00013BDC" w:rsidRDefault="00096212" w:rsidP="00456E72">
      <w:pPr>
        <w:pStyle w:val="WDBody"/>
        <w:spacing w:after="120" w:line="240" w:lineRule="auto"/>
        <w:rPr>
          <w:b/>
          <w:noProof/>
          <w:sz w:val="28"/>
          <w:lang w:val="en-IE"/>
        </w:rPr>
      </w:pPr>
      <w:bookmarkStart w:id="577" w:name="_Toc117861385"/>
      <w:r w:rsidRPr="00013BDC">
        <w:rPr>
          <w:rFonts w:ascii="Times New Roman" w:hAnsi="Times New Roman" w:cs="Times New Roman"/>
          <w:b/>
          <w:noProof/>
          <w:sz w:val="24"/>
          <w:szCs w:val="24"/>
          <w:u w:val="single"/>
          <w:lang w:val="en-IE"/>
        </w:rPr>
        <w:t>Dependency on raw materials</w:t>
      </w:r>
      <w:bookmarkEnd w:id="577"/>
    </w:p>
    <w:p w14:paraId="4F07BA2C" w14:textId="49A73408" w:rsidR="00096212" w:rsidRPr="00013BDC" w:rsidRDefault="0D1B7DBD" w:rsidP="00634400">
      <w:pPr>
        <w:pStyle w:val="Caption"/>
        <w:spacing w:after="120"/>
        <w:rPr>
          <w:i w:val="0"/>
          <w:iCs w:val="0"/>
          <w:noProof/>
          <w:color w:val="auto"/>
          <w:sz w:val="24"/>
          <w:szCs w:val="24"/>
          <w:lang w:val="en-IE"/>
        </w:rPr>
      </w:pPr>
      <w:r w:rsidRPr="00013BDC">
        <w:rPr>
          <w:i w:val="0"/>
          <w:iCs w:val="0"/>
          <w:noProof/>
          <w:color w:val="auto"/>
          <w:sz w:val="24"/>
          <w:szCs w:val="24"/>
          <w:lang w:val="en-IE"/>
        </w:rPr>
        <w:t>R</w:t>
      </w:r>
      <w:r w:rsidR="19C40139" w:rsidRPr="00013BDC">
        <w:rPr>
          <w:i w:val="0"/>
          <w:iCs w:val="0"/>
          <w:noProof/>
          <w:color w:val="auto"/>
          <w:sz w:val="24"/>
          <w:szCs w:val="24"/>
          <w:lang w:val="en-IE"/>
        </w:rPr>
        <w:t xml:space="preserve">aw materials are the major cost component in manufacturing process and make manufacturers dependent on </w:t>
      </w:r>
      <w:r w:rsidR="0E8A1BAC" w:rsidRPr="00013BDC">
        <w:rPr>
          <w:rFonts w:eastAsia="Times New Roman"/>
          <w:i w:val="0"/>
          <w:iCs w:val="0"/>
          <w:noProof/>
          <w:color w:val="auto"/>
          <w:sz w:val="24"/>
          <w:szCs w:val="24"/>
          <w:lang w:val="en-IE"/>
        </w:rPr>
        <w:t>imports of cotton, wool, raw silk and energy</w:t>
      </w:r>
      <w:r w:rsidR="0E8A1BAC" w:rsidRPr="00013BDC">
        <w:rPr>
          <w:i w:val="0"/>
          <w:iCs w:val="0"/>
          <w:noProof/>
          <w:color w:val="auto"/>
          <w:sz w:val="24"/>
          <w:szCs w:val="24"/>
          <w:lang w:val="en-IE"/>
        </w:rPr>
        <w:t>.</w:t>
      </w:r>
      <w:r w:rsidR="3B32DC41" w:rsidRPr="00013BDC">
        <w:rPr>
          <w:i w:val="0"/>
          <w:iCs w:val="0"/>
          <w:noProof/>
          <w:color w:val="auto"/>
          <w:sz w:val="24"/>
          <w:szCs w:val="24"/>
          <w:lang w:val="en-IE"/>
        </w:rPr>
        <w:t xml:space="preserve"> </w:t>
      </w:r>
      <w:r w:rsidR="000816AE" w:rsidRPr="00013BDC">
        <w:rPr>
          <w:rStyle w:val="FootnoteReference"/>
          <w:i w:val="0"/>
          <w:iCs w:val="0"/>
          <w:noProof/>
          <w:color w:val="auto"/>
          <w:sz w:val="24"/>
          <w:szCs w:val="24"/>
          <w:lang w:val="en-IE"/>
        </w:rPr>
        <w:footnoteReference w:id="142"/>
      </w:r>
      <w:r w:rsidR="19C40139" w:rsidRPr="00013BDC">
        <w:rPr>
          <w:i w:val="0"/>
          <w:iCs w:val="0"/>
          <w:noProof/>
          <w:color w:val="auto"/>
          <w:sz w:val="24"/>
          <w:szCs w:val="24"/>
          <w:lang w:val="en-IE"/>
        </w:rPr>
        <w:t xml:space="preserve"> As </w:t>
      </w:r>
      <w:r w:rsidR="00E75DFB" w:rsidRPr="00013BDC">
        <w:rPr>
          <w:i w:val="0"/>
          <w:noProof/>
          <w:color w:val="auto"/>
          <w:sz w:val="24"/>
          <w:szCs w:val="24"/>
          <w:lang w:val="en-IE"/>
        </w:rPr>
        <w:t>Figure</w:t>
      </w:r>
      <w:r w:rsidR="19C40139" w:rsidRPr="00013BDC">
        <w:rPr>
          <w:i w:val="0"/>
          <w:iCs w:val="0"/>
          <w:noProof/>
          <w:color w:val="auto"/>
          <w:sz w:val="24"/>
          <w:szCs w:val="24"/>
          <w:lang w:val="en-IE"/>
        </w:rPr>
        <w:t xml:space="preserve"> </w:t>
      </w:r>
      <w:r w:rsidR="00B656BE" w:rsidRPr="00013BDC">
        <w:rPr>
          <w:i w:val="0"/>
          <w:noProof/>
          <w:color w:val="auto"/>
          <w:sz w:val="24"/>
          <w:szCs w:val="24"/>
          <w:lang w:val="en-IE"/>
        </w:rPr>
        <w:t>1</w:t>
      </w:r>
      <w:r w:rsidR="00B17995" w:rsidRPr="00013BDC">
        <w:rPr>
          <w:i w:val="0"/>
          <w:noProof/>
          <w:color w:val="auto"/>
          <w:sz w:val="24"/>
          <w:szCs w:val="24"/>
          <w:lang w:val="en-IE"/>
        </w:rPr>
        <w:t>4</w:t>
      </w:r>
      <w:r w:rsidR="19C40139" w:rsidRPr="00013BDC">
        <w:rPr>
          <w:i w:val="0"/>
          <w:iCs w:val="0"/>
          <w:noProof/>
          <w:color w:val="auto"/>
          <w:sz w:val="24"/>
          <w:szCs w:val="24"/>
          <w:lang w:val="en-IE"/>
        </w:rPr>
        <w:t xml:space="preserve"> shows, the overall commodity prices are fluctuating, but overall </w:t>
      </w:r>
      <w:r w:rsidR="00CC3EC0" w:rsidRPr="00013BDC">
        <w:rPr>
          <w:i w:val="0"/>
          <w:iCs w:val="0"/>
          <w:noProof/>
          <w:color w:val="auto"/>
          <w:sz w:val="24"/>
          <w:szCs w:val="24"/>
          <w:lang w:val="en-IE"/>
        </w:rPr>
        <w:t>–</w:t>
      </w:r>
      <w:r w:rsidR="19C40139" w:rsidRPr="00013BDC">
        <w:rPr>
          <w:i w:val="0"/>
          <w:iCs w:val="0"/>
          <w:noProof/>
          <w:color w:val="auto"/>
          <w:sz w:val="24"/>
          <w:szCs w:val="24"/>
          <w:lang w:val="en-IE"/>
        </w:rPr>
        <w:t xml:space="preserve"> especially energy prices and prices of certain raw materials like wool</w:t>
      </w:r>
      <w:r w:rsidR="2E6424FF" w:rsidRPr="00013BDC">
        <w:rPr>
          <w:i w:val="0"/>
          <w:iCs w:val="0"/>
          <w:noProof/>
          <w:color w:val="auto"/>
          <w:sz w:val="24"/>
          <w:szCs w:val="24"/>
          <w:lang w:val="en-IE"/>
        </w:rPr>
        <w:t xml:space="preserve">, </w:t>
      </w:r>
      <w:r w:rsidR="19C40139" w:rsidRPr="00013BDC">
        <w:rPr>
          <w:i w:val="0"/>
          <w:iCs w:val="0"/>
          <w:noProof/>
          <w:color w:val="auto"/>
          <w:sz w:val="24"/>
          <w:szCs w:val="24"/>
          <w:lang w:val="en-IE"/>
        </w:rPr>
        <w:t xml:space="preserve">have seen price spikes. </w:t>
      </w:r>
    </w:p>
    <w:p w14:paraId="0F893380" w14:textId="289B0C90" w:rsidR="00E944AB" w:rsidRPr="00013BDC" w:rsidRDefault="00E944AB" w:rsidP="00643F9A">
      <w:pPr>
        <w:rPr>
          <w:i/>
          <w:noProof/>
          <w:lang w:val="en-IE"/>
        </w:rPr>
      </w:pPr>
      <w:bookmarkStart w:id="578" w:name="_Toc117865375"/>
      <w:bookmarkStart w:id="579" w:name="_Toc133229284"/>
      <w:bookmarkStart w:id="580" w:name="_Toc139033011"/>
      <w:r w:rsidRPr="00013BDC">
        <w:rPr>
          <w:rFonts w:eastAsia="Times New Roman"/>
          <w:i/>
          <w:noProof/>
          <w:lang w:val="en-IE"/>
        </w:rPr>
        <w:t>Figure</w:t>
      </w:r>
      <w:r w:rsidRPr="00013BDC">
        <w:rPr>
          <w:i/>
          <w:noProof/>
          <w:lang w:val="en-IE"/>
        </w:rPr>
        <w:t xml:space="preserve"> </w:t>
      </w:r>
      <w:r w:rsidR="004C5576">
        <w:rPr>
          <w:rFonts w:eastAsia="Times New Roman"/>
          <w:noProof/>
          <w:lang w:val="en-IE"/>
        </w:rPr>
        <w:t>14</w:t>
      </w:r>
      <w:r w:rsidRPr="00013BDC">
        <w:rPr>
          <w:rFonts w:eastAsia="Times New Roman"/>
          <w:i/>
          <w:noProof/>
          <w:lang w:val="en-IE"/>
        </w:rPr>
        <w:t xml:space="preserve"> –</w:t>
      </w:r>
      <w:r w:rsidRPr="00013BDC">
        <w:rPr>
          <w:i/>
          <w:noProof/>
          <w:lang w:val="en-IE"/>
        </w:rPr>
        <w:t xml:space="preserve"> Primary commodity prices (2016 = 100) </w:t>
      </w:r>
      <w:r w:rsidRPr="00013BDC">
        <w:rPr>
          <w:rStyle w:val="FootnoteReference"/>
          <w:i/>
          <w:noProof/>
          <w:color w:val="000000" w:themeColor="text1"/>
          <w:sz w:val="22"/>
          <w:lang w:val="en-IE"/>
        </w:rPr>
        <w:footnoteReference w:id="143"/>
      </w:r>
      <w:bookmarkEnd w:id="578"/>
      <w:bookmarkEnd w:id="579"/>
      <w:bookmarkEnd w:id="580"/>
    </w:p>
    <w:p w14:paraId="29D4498A" w14:textId="77777777" w:rsidR="00634400" w:rsidRPr="00013BDC" w:rsidRDefault="00096212" w:rsidP="00F51C18">
      <w:pPr>
        <w:spacing w:after="120"/>
        <w:jc w:val="center"/>
        <w:rPr>
          <w:noProof/>
          <w:sz w:val="22"/>
          <w:szCs w:val="22"/>
          <w:lang w:val="en-IE"/>
        </w:rPr>
      </w:pPr>
      <w:r w:rsidRPr="00013BDC">
        <w:rPr>
          <w:noProof/>
          <w:color w:val="2B579A"/>
          <w:shd w:val="clear" w:color="auto" w:fill="E6E6E6"/>
          <w:lang w:eastAsia="en-GB"/>
        </w:rPr>
        <w:drawing>
          <wp:inline distT="0" distB="0" distL="0" distR="0" wp14:anchorId="383B1FD6" wp14:editId="4F412088">
            <wp:extent cx="4610735" cy="2396021"/>
            <wp:effectExtent l="0" t="0" r="0" b="44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CC9F749" w14:textId="39211535" w:rsidR="00096212" w:rsidRPr="00013BDC" w:rsidRDefault="55F45939" w:rsidP="001B1E6E">
      <w:pPr>
        <w:jc w:val="center"/>
        <w:rPr>
          <w:noProof/>
          <w:sz w:val="22"/>
          <w:szCs w:val="22"/>
          <w:lang w:val="en-IE"/>
        </w:rPr>
      </w:pPr>
      <w:r w:rsidRPr="00013BDC">
        <w:rPr>
          <w:noProof/>
          <w:sz w:val="22"/>
          <w:szCs w:val="22"/>
          <w:lang w:val="en-IE"/>
        </w:rPr>
        <w:t xml:space="preserve">Source: IMF. URL: Source: Primary Commodity Price System </w:t>
      </w:r>
      <w:r w:rsidR="00CC3EC0" w:rsidRPr="00013BDC">
        <w:rPr>
          <w:noProof/>
          <w:sz w:val="22"/>
          <w:szCs w:val="22"/>
          <w:lang w:val="en-IE"/>
        </w:rPr>
        <w:t>–</w:t>
      </w:r>
      <w:r w:rsidRPr="00013BDC">
        <w:rPr>
          <w:noProof/>
          <w:sz w:val="22"/>
          <w:szCs w:val="22"/>
          <w:lang w:val="en-IE"/>
        </w:rPr>
        <w:t xml:space="preserve"> IMF Data.</w:t>
      </w:r>
    </w:p>
    <w:p w14:paraId="32BA1072" w14:textId="3BEA4AF5" w:rsidR="1FC4F0AB" w:rsidRPr="00013BDC" w:rsidRDefault="04ED1391" w:rsidP="007B62A2">
      <w:pPr>
        <w:pStyle w:val="Caption"/>
        <w:rPr>
          <w:i w:val="0"/>
          <w:noProof/>
          <w:color w:val="000000"/>
          <w:sz w:val="24"/>
          <w:szCs w:val="24"/>
          <w:vertAlign w:val="superscript"/>
          <w:lang w:val="en-IE"/>
        </w:rPr>
      </w:pPr>
      <w:r w:rsidRPr="00013BDC">
        <w:rPr>
          <w:i w:val="0"/>
          <w:iCs w:val="0"/>
          <w:noProof/>
          <w:color w:val="auto"/>
          <w:sz w:val="24"/>
          <w:szCs w:val="24"/>
          <w:lang w:val="en-IE"/>
        </w:rPr>
        <w:t>According to the EEA</w:t>
      </w:r>
      <w:r w:rsidR="43E1A786" w:rsidRPr="00013BDC">
        <w:rPr>
          <w:i w:val="0"/>
          <w:iCs w:val="0"/>
          <w:noProof/>
          <w:color w:val="auto"/>
          <w:sz w:val="24"/>
          <w:szCs w:val="24"/>
          <w:lang w:val="en-IE"/>
        </w:rPr>
        <w:t xml:space="preserve">, </w:t>
      </w:r>
      <w:r w:rsidR="08193FEB" w:rsidRPr="00013BDC">
        <w:rPr>
          <w:i w:val="0"/>
          <w:iCs w:val="0"/>
          <w:noProof/>
          <w:color w:val="auto"/>
          <w:sz w:val="24"/>
          <w:szCs w:val="24"/>
          <w:lang w:val="en-IE"/>
        </w:rPr>
        <w:t xml:space="preserve">most of the pressures and impacts related to the consumption of clothing, footwear and household textiles in Europe occur in other regions of the world. </w:t>
      </w:r>
    </w:p>
    <w:p w14:paraId="10F0AE66" w14:textId="6AA46C65" w:rsidR="005F1651" w:rsidRPr="00013BDC" w:rsidRDefault="00FC5B85" w:rsidP="007F6028">
      <w:pPr>
        <w:pStyle w:val="Caption"/>
        <w:rPr>
          <w:i w:val="0"/>
          <w:noProof/>
          <w:color w:val="000000"/>
          <w:sz w:val="24"/>
          <w:szCs w:val="24"/>
          <w:vertAlign w:val="superscript"/>
          <w:lang w:val="en-IE"/>
        </w:rPr>
      </w:pPr>
      <w:r w:rsidRPr="00013BDC">
        <w:rPr>
          <w:i w:val="0"/>
          <w:iCs w:val="0"/>
          <w:noProof/>
          <w:color w:val="auto"/>
          <w:sz w:val="24"/>
          <w:szCs w:val="24"/>
          <w:lang w:val="en-IE"/>
        </w:rPr>
        <w:t>This is the case for 80% of the primary raw materials use, 88% of the water use, 92 % of the land use and 73 % of the greenhouse gas emissions</w:t>
      </w:r>
      <w:r w:rsidR="001B34C1" w:rsidRPr="00013BDC">
        <w:rPr>
          <w:i w:val="0"/>
          <w:iCs w:val="0"/>
          <w:noProof/>
          <w:color w:val="auto"/>
          <w:sz w:val="24"/>
          <w:szCs w:val="24"/>
          <w:lang w:val="en-IE"/>
        </w:rPr>
        <w:t xml:space="preserve"> </w:t>
      </w:r>
      <w:r w:rsidR="00675F36" w:rsidRPr="00013BDC">
        <w:rPr>
          <w:i w:val="0"/>
          <w:iCs w:val="0"/>
          <w:noProof/>
          <w:color w:val="auto"/>
          <w:sz w:val="24"/>
          <w:szCs w:val="24"/>
          <w:lang w:val="en-IE"/>
        </w:rPr>
        <w:t>in the production of the textile</w:t>
      </w:r>
      <w:r w:rsidR="00D830F2" w:rsidRPr="00013BDC">
        <w:rPr>
          <w:i w:val="0"/>
          <w:iCs w:val="0"/>
          <w:noProof/>
          <w:color w:val="auto"/>
          <w:sz w:val="24"/>
          <w:szCs w:val="24"/>
          <w:lang w:val="en-IE"/>
        </w:rPr>
        <w:t>s and footwear consume</w:t>
      </w:r>
      <w:r w:rsidR="00767CF4" w:rsidRPr="00013BDC">
        <w:rPr>
          <w:i w:val="0"/>
          <w:iCs w:val="0"/>
          <w:noProof/>
          <w:color w:val="auto"/>
          <w:sz w:val="24"/>
          <w:szCs w:val="24"/>
          <w:lang w:val="en-IE"/>
        </w:rPr>
        <w:t>d in EU-27 in 2020</w:t>
      </w:r>
      <w:r w:rsidR="00E34FA9" w:rsidRPr="00013BDC">
        <w:rPr>
          <w:rStyle w:val="FootnoteReference"/>
          <w:i w:val="0"/>
          <w:iCs w:val="0"/>
          <w:noProof/>
          <w:color w:val="auto"/>
          <w:sz w:val="24"/>
          <w:szCs w:val="24"/>
          <w:lang w:val="en-IE"/>
        </w:rPr>
        <w:footnoteReference w:id="144"/>
      </w:r>
      <w:r w:rsidRPr="00013BDC">
        <w:rPr>
          <w:i w:val="0"/>
          <w:iCs w:val="0"/>
          <w:noProof/>
          <w:color w:val="auto"/>
          <w:sz w:val="24"/>
          <w:szCs w:val="24"/>
          <w:lang w:val="en-IE"/>
        </w:rPr>
        <w:t>. This highlights the importance of recycling and implementing circular business models that will reduce import dependencies and lower the use of new materials with its negative environmental consequences</w:t>
      </w:r>
      <w:r w:rsidR="00E34FA9" w:rsidRPr="00013BDC">
        <w:rPr>
          <w:i w:val="0"/>
          <w:iCs w:val="0"/>
          <w:noProof/>
          <w:color w:val="auto"/>
          <w:sz w:val="24"/>
          <w:szCs w:val="24"/>
          <w:lang w:val="en-IE"/>
        </w:rPr>
        <w:t>.</w:t>
      </w:r>
    </w:p>
    <w:p w14:paraId="6DB63601" w14:textId="66F6EBBF" w:rsidR="00A24716" w:rsidRPr="00013BDC" w:rsidRDefault="210C752D" w:rsidP="00D45084">
      <w:pPr>
        <w:pStyle w:val="Heading3"/>
        <w:spacing w:after="120"/>
        <w:rPr>
          <w:noProof/>
          <w:lang w:val="en-IE"/>
        </w:rPr>
      </w:pPr>
      <w:bookmarkStart w:id="581" w:name="_Toc359595410"/>
      <w:bookmarkStart w:id="582" w:name="_Toc2091015273"/>
      <w:bookmarkStart w:id="583" w:name="_Toc1281150709"/>
      <w:bookmarkStart w:id="584" w:name="_Toc1126221031"/>
      <w:bookmarkStart w:id="585" w:name="_Toc1302695035"/>
      <w:bookmarkStart w:id="586" w:name="_Toc1926070867"/>
      <w:bookmarkStart w:id="587" w:name="_Toc1708550093"/>
      <w:bookmarkStart w:id="588" w:name="_Toc1988317032"/>
      <w:bookmarkStart w:id="589" w:name="_Toc139032984"/>
      <w:r w:rsidRPr="00013BDC">
        <w:rPr>
          <w:noProof/>
          <w:lang w:val="en-IE"/>
        </w:rPr>
        <w:t>Textile</w:t>
      </w:r>
      <w:r w:rsidR="00A24716" w:rsidRPr="00013BDC">
        <w:rPr>
          <w:noProof/>
          <w:lang w:val="en-IE"/>
        </w:rPr>
        <w:t xml:space="preserve"> reporting</w:t>
      </w:r>
      <w:bookmarkEnd w:id="581"/>
      <w:bookmarkEnd w:id="582"/>
      <w:bookmarkEnd w:id="583"/>
      <w:bookmarkEnd w:id="584"/>
      <w:bookmarkEnd w:id="585"/>
      <w:bookmarkEnd w:id="586"/>
      <w:bookmarkEnd w:id="587"/>
      <w:bookmarkEnd w:id="588"/>
      <w:bookmarkEnd w:id="589"/>
    </w:p>
    <w:p w14:paraId="154D7FC4" w14:textId="77777777" w:rsidR="00A24716" w:rsidRPr="00013BDC" w:rsidRDefault="00A24716" w:rsidP="00A24716">
      <w:pPr>
        <w:spacing w:after="120"/>
        <w:rPr>
          <w:noProof/>
          <w:lang w:val="en-IE"/>
        </w:rPr>
      </w:pPr>
      <w:r w:rsidRPr="00013BDC">
        <w:rPr>
          <w:noProof/>
          <w:lang w:val="en-IE"/>
        </w:rPr>
        <w:t>There are a number of reporting obligations for Member States in relation to waste (or textile waste) as listed below.</w:t>
      </w:r>
    </w:p>
    <w:p w14:paraId="592B4916" w14:textId="029B2DA3" w:rsidR="00A24716" w:rsidRPr="00013BDC" w:rsidRDefault="00A24716" w:rsidP="00CF0DFB">
      <w:pPr>
        <w:pStyle w:val="ListParagraph"/>
        <w:numPr>
          <w:ilvl w:val="0"/>
          <w:numId w:val="68"/>
        </w:numPr>
        <w:rPr>
          <w:noProof/>
          <w:lang w:val="en-IE"/>
        </w:rPr>
      </w:pPr>
      <w:r w:rsidRPr="00013BDC">
        <w:rPr>
          <w:noProof/>
          <w:lang w:val="en-IE"/>
        </w:rPr>
        <w:t>Regulation (EC) No 2150/2002</w:t>
      </w:r>
      <w:r w:rsidRPr="00013BDC">
        <w:rPr>
          <w:rStyle w:val="FootnoteReference"/>
          <w:rFonts w:eastAsiaTheme="minorEastAsia"/>
          <w:noProof/>
          <w:lang w:val="en-IE"/>
        </w:rPr>
        <w:footnoteReference w:id="145"/>
      </w:r>
      <w:r w:rsidRPr="00013BDC">
        <w:rPr>
          <w:rFonts w:eastAsiaTheme="minorEastAsia"/>
          <w:noProof/>
          <w:lang w:val="en-IE"/>
        </w:rPr>
        <w:t xml:space="preserve"> </w:t>
      </w:r>
      <w:r w:rsidRPr="00013BDC">
        <w:rPr>
          <w:noProof/>
          <w:lang w:val="en-IE"/>
        </w:rPr>
        <w:t xml:space="preserve">on waste statistics that addresses the gathering of regular and comparable data on waste statistics that are transmitted to Eurostat </w:t>
      </w:r>
      <w:r w:rsidR="00155E1A" w:rsidRPr="00013BDC">
        <w:rPr>
          <w:noProof/>
          <w:lang w:val="en-IE"/>
        </w:rPr>
        <w:t>reporting on</w:t>
      </w:r>
      <w:r w:rsidRPr="00013BDC">
        <w:rPr>
          <w:noProof/>
          <w:lang w:val="en-IE"/>
        </w:rPr>
        <w:t xml:space="preserve"> waste generation as well as recovery and disposal by waste category, economic activity and waste management operation (</w:t>
      </w:r>
      <w:r w:rsidRPr="00013BDC">
        <w:rPr>
          <w:rFonts w:eastAsiaTheme="minorEastAsia"/>
          <w:noProof/>
          <w:lang w:val="en-IE"/>
        </w:rPr>
        <w:t>Waste Statistics Regulation)</w:t>
      </w:r>
      <w:r w:rsidRPr="00013BDC">
        <w:rPr>
          <w:noProof/>
          <w:lang w:val="en-IE"/>
        </w:rPr>
        <w:t>.</w:t>
      </w:r>
    </w:p>
    <w:p w14:paraId="6C9FA463" w14:textId="591EFC20" w:rsidR="00A24716" w:rsidRPr="00013BDC" w:rsidRDefault="00A24716" w:rsidP="00CF0DFB">
      <w:pPr>
        <w:pStyle w:val="ListParagraph"/>
        <w:numPr>
          <w:ilvl w:val="0"/>
          <w:numId w:val="68"/>
        </w:numPr>
        <w:rPr>
          <w:noProof/>
          <w:lang w:val="en-IE"/>
        </w:rPr>
      </w:pPr>
      <w:r w:rsidRPr="00013BDC">
        <w:rPr>
          <w:noProof/>
          <w:lang w:val="en-IE"/>
        </w:rPr>
        <w:t>The WFD requires reporting by Member States on prevention of waste</w:t>
      </w:r>
      <w:r w:rsidR="00803B04" w:rsidRPr="00013BDC">
        <w:rPr>
          <w:noProof/>
          <w:lang w:val="en-IE"/>
        </w:rPr>
        <w:t xml:space="preserve"> by monitoring </w:t>
      </w:r>
      <w:r w:rsidR="00753292" w:rsidRPr="00013BDC">
        <w:rPr>
          <w:noProof/>
          <w:lang w:val="en-IE"/>
        </w:rPr>
        <w:t>re</w:t>
      </w:r>
      <w:r w:rsidR="000B6C80" w:rsidRPr="00013BDC">
        <w:rPr>
          <w:noProof/>
          <w:lang w:val="en-IE"/>
        </w:rPr>
        <w:t>use</w:t>
      </w:r>
      <w:r w:rsidRPr="00013BDC">
        <w:rPr>
          <w:noProof/>
          <w:lang w:val="en-IE"/>
        </w:rPr>
        <w:t xml:space="preserve"> (Article 9</w:t>
      </w:r>
      <w:r w:rsidR="000B6C80" w:rsidRPr="00013BDC">
        <w:rPr>
          <w:noProof/>
          <w:lang w:val="en-IE"/>
        </w:rPr>
        <w:t xml:space="preserve"> (4)</w:t>
      </w:r>
      <w:r w:rsidRPr="00013BDC">
        <w:rPr>
          <w:noProof/>
          <w:lang w:val="en-IE"/>
        </w:rPr>
        <w:t xml:space="preserve">), </w:t>
      </w:r>
      <w:r w:rsidR="006702E4" w:rsidRPr="00013BDC">
        <w:rPr>
          <w:noProof/>
          <w:lang w:val="en-IE"/>
        </w:rPr>
        <w:t xml:space="preserve">and </w:t>
      </w:r>
      <w:r w:rsidR="000A5C7C" w:rsidRPr="00013BDC">
        <w:rPr>
          <w:noProof/>
          <w:lang w:val="en-IE"/>
        </w:rPr>
        <w:t xml:space="preserve">on </w:t>
      </w:r>
      <w:r w:rsidR="00DC3A4B" w:rsidRPr="00013BDC">
        <w:rPr>
          <w:noProof/>
          <w:lang w:val="en-IE"/>
        </w:rPr>
        <w:t>the</w:t>
      </w:r>
      <w:r w:rsidRPr="00013BDC">
        <w:rPr>
          <w:noProof/>
          <w:lang w:val="en-IE"/>
        </w:rPr>
        <w:t xml:space="preserve"> attainment of targets</w:t>
      </w:r>
      <w:r w:rsidR="00E36635" w:rsidRPr="00013BDC">
        <w:rPr>
          <w:noProof/>
          <w:lang w:val="en-IE"/>
        </w:rPr>
        <w:t xml:space="preserve"> of preparation for reuse and recycling</w:t>
      </w:r>
      <w:r w:rsidRPr="00013BDC">
        <w:rPr>
          <w:noProof/>
          <w:lang w:val="en-IE"/>
        </w:rPr>
        <w:t xml:space="preserve"> </w:t>
      </w:r>
      <w:r w:rsidR="003E11B6" w:rsidRPr="00013BDC">
        <w:rPr>
          <w:noProof/>
          <w:lang w:val="en-IE"/>
        </w:rPr>
        <w:t xml:space="preserve">for municipal wastes </w:t>
      </w:r>
      <w:r w:rsidRPr="00013BDC">
        <w:rPr>
          <w:noProof/>
          <w:lang w:val="en-IE"/>
        </w:rPr>
        <w:t>(Article</w:t>
      </w:r>
      <w:r w:rsidR="00E36635" w:rsidRPr="00013BDC">
        <w:rPr>
          <w:noProof/>
          <w:lang w:val="en-IE"/>
        </w:rPr>
        <w:t>s</w:t>
      </w:r>
      <w:r w:rsidRPr="00013BDC">
        <w:rPr>
          <w:noProof/>
          <w:lang w:val="en-IE"/>
        </w:rPr>
        <w:t xml:space="preserve"> 11</w:t>
      </w:r>
      <w:r w:rsidR="00DA78ED" w:rsidRPr="00013BDC">
        <w:rPr>
          <w:noProof/>
          <w:lang w:val="en-IE"/>
        </w:rPr>
        <w:t xml:space="preserve"> (2) (</w:t>
      </w:r>
      <w:r w:rsidRPr="00013BDC">
        <w:rPr>
          <w:noProof/>
          <w:lang w:val="en-IE"/>
        </w:rPr>
        <w:t>a</w:t>
      </w:r>
      <w:r w:rsidR="00DA78ED" w:rsidRPr="00013BDC">
        <w:rPr>
          <w:noProof/>
          <w:lang w:val="en-IE"/>
        </w:rPr>
        <w:t xml:space="preserve">), (c), </w:t>
      </w:r>
      <w:r w:rsidR="002B50A3" w:rsidRPr="00013BDC">
        <w:rPr>
          <w:noProof/>
          <w:lang w:val="en-IE"/>
        </w:rPr>
        <w:t>(</w:t>
      </w:r>
      <w:r w:rsidR="00DA78ED" w:rsidRPr="00013BDC">
        <w:rPr>
          <w:noProof/>
          <w:lang w:val="en-IE"/>
        </w:rPr>
        <w:t>d</w:t>
      </w:r>
      <w:r w:rsidRPr="00013BDC">
        <w:rPr>
          <w:noProof/>
          <w:lang w:val="en-IE"/>
        </w:rPr>
        <w:t>) and</w:t>
      </w:r>
      <w:r w:rsidR="002B50A3" w:rsidRPr="00013BDC">
        <w:rPr>
          <w:noProof/>
          <w:lang w:val="en-IE"/>
        </w:rPr>
        <w:t xml:space="preserve"> (e)</w:t>
      </w:r>
      <w:r w:rsidR="00DC16DF" w:rsidRPr="00013BDC">
        <w:rPr>
          <w:noProof/>
          <w:lang w:val="en-IE"/>
        </w:rPr>
        <w:t xml:space="preserve">, </w:t>
      </w:r>
      <w:r w:rsidR="00813D4F" w:rsidRPr="00013BDC">
        <w:rPr>
          <w:noProof/>
          <w:lang w:val="en-IE"/>
        </w:rPr>
        <w:t xml:space="preserve">and </w:t>
      </w:r>
      <w:r w:rsidR="003B0AD6" w:rsidRPr="00013BDC">
        <w:rPr>
          <w:noProof/>
          <w:lang w:val="en-IE"/>
        </w:rPr>
        <w:t>A</w:t>
      </w:r>
      <w:r w:rsidR="00813D4F" w:rsidRPr="00013BDC">
        <w:rPr>
          <w:noProof/>
          <w:lang w:val="en-IE"/>
        </w:rPr>
        <w:t>rticle 11 (3))</w:t>
      </w:r>
      <w:r w:rsidR="007A1DFE" w:rsidRPr="00013BDC">
        <w:rPr>
          <w:noProof/>
          <w:lang w:val="en-IE"/>
        </w:rPr>
        <w:t xml:space="preserve">, </w:t>
      </w:r>
      <w:r w:rsidRPr="00013BDC">
        <w:rPr>
          <w:noProof/>
          <w:lang w:val="en-IE"/>
        </w:rPr>
        <w:t>as specified under Article 37. The WFD has been supplemented by the following Commission Implementing Decisions:</w:t>
      </w:r>
    </w:p>
    <w:p w14:paraId="43724A2C" w14:textId="60BE1D2E" w:rsidR="00A24716" w:rsidRPr="00013BDC" w:rsidRDefault="00A24716" w:rsidP="00CF0DFB">
      <w:pPr>
        <w:pStyle w:val="ListParagraph"/>
        <w:numPr>
          <w:ilvl w:val="0"/>
          <w:numId w:val="69"/>
        </w:numPr>
        <w:rPr>
          <w:noProof/>
          <w:lang w:val="en-IE"/>
        </w:rPr>
      </w:pPr>
      <w:r w:rsidRPr="00013BDC">
        <w:rPr>
          <w:noProof/>
          <w:lang w:val="en-IE"/>
        </w:rPr>
        <w:t>Commission Implementing Decision 2019/1004 that specifies how to calculate municipal waste prepared for reuse, recycled municipal waste, recycled municipal bio-waste and recycled metals separated after incineration of municipal waste.</w:t>
      </w:r>
    </w:p>
    <w:p w14:paraId="12945C85" w14:textId="10D0EA81" w:rsidR="00A24716" w:rsidRPr="00013BDC" w:rsidRDefault="00A24716" w:rsidP="00CF0DFB">
      <w:pPr>
        <w:pStyle w:val="ListParagraph"/>
        <w:numPr>
          <w:ilvl w:val="0"/>
          <w:numId w:val="69"/>
        </w:numPr>
        <w:rPr>
          <w:noProof/>
          <w:lang w:val="en-IE"/>
        </w:rPr>
      </w:pPr>
      <w:r w:rsidRPr="00013BDC">
        <w:rPr>
          <w:noProof/>
          <w:lang w:val="en-IE"/>
        </w:rPr>
        <w:t>Commission Implementing Decision 2019/1885 that specifi</w:t>
      </w:r>
      <w:r w:rsidR="003E11B6" w:rsidRPr="00013BDC">
        <w:rPr>
          <w:noProof/>
          <w:lang w:val="en-IE"/>
        </w:rPr>
        <w:t>es</w:t>
      </w:r>
      <w:r w:rsidRPr="00013BDC">
        <w:rPr>
          <w:noProof/>
          <w:lang w:val="en-IE"/>
        </w:rPr>
        <w:t xml:space="preserve"> how to calculate municipal waste reported as landfilled.</w:t>
      </w:r>
    </w:p>
    <w:p w14:paraId="60AE0852" w14:textId="65B35F6F" w:rsidR="00A24716" w:rsidRPr="00013BDC" w:rsidRDefault="00A24716" w:rsidP="00CF0DFB">
      <w:pPr>
        <w:pStyle w:val="ListParagraph"/>
        <w:numPr>
          <w:ilvl w:val="0"/>
          <w:numId w:val="69"/>
        </w:numPr>
        <w:rPr>
          <w:noProof/>
          <w:lang w:val="en-IE"/>
        </w:rPr>
      </w:pPr>
      <w:r w:rsidRPr="00013BDC">
        <w:rPr>
          <w:noProof/>
          <w:lang w:val="en-IE"/>
        </w:rPr>
        <w:t xml:space="preserve">Commission Implementing Decision </w:t>
      </w:r>
      <w:r w:rsidRPr="00013BDC">
        <w:rPr>
          <w:rFonts w:eastAsia="Times New Roman"/>
          <w:noProof/>
          <w:lang w:val="en-IE"/>
        </w:rPr>
        <w:t>2021/19</w:t>
      </w:r>
      <w:r w:rsidRPr="00013BDC">
        <w:rPr>
          <w:noProof/>
          <w:vertAlign w:val="superscript"/>
          <w:lang w:val="en-IE"/>
        </w:rPr>
        <w:footnoteReference w:id="146"/>
      </w:r>
      <w:r w:rsidRPr="00013BDC">
        <w:rPr>
          <w:rFonts w:eastAsia="Times New Roman"/>
          <w:noProof/>
          <w:lang w:val="en-IE"/>
        </w:rPr>
        <w:t xml:space="preserve"> </w:t>
      </w:r>
      <w:r w:rsidRPr="00013BDC">
        <w:rPr>
          <w:noProof/>
          <w:lang w:val="en-IE"/>
        </w:rPr>
        <w:t>laying down a common methodology and a format for reporting on reuse.</w:t>
      </w:r>
    </w:p>
    <w:p w14:paraId="0F821FDD" w14:textId="77777777" w:rsidR="00A24716" w:rsidRPr="00013BDC" w:rsidRDefault="00A24716" w:rsidP="00CF0DFB">
      <w:pPr>
        <w:pStyle w:val="ListParagraph"/>
        <w:numPr>
          <w:ilvl w:val="0"/>
          <w:numId w:val="69"/>
        </w:numPr>
        <w:rPr>
          <w:noProof/>
          <w:lang w:val="en-IE"/>
        </w:rPr>
      </w:pPr>
      <w:r w:rsidRPr="00013BDC">
        <w:rPr>
          <w:noProof/>
          <w:lang w:val="en-IE"/>
        </w:rPr>
        <w:t>Commission Implementing Decision 2011/753/EU (until 2025) that specifies how to calculate municipal waste and construction and demolition waste.</w:t>
      </w:r>
    </w:p>
    <w:p w14:paraId="38DF87E5" w14:textId="33360A40" w:rsidR="2C508235" w:rsidRPr="00013BDC" w:rsidRDefault="00F4645A" w:rsidP="424E16CE">
      <w:pPr>
        <w:rPr>
          <w:rFonts w:eastAsia="Times New Roman"/>
          <w:noProof/>
          <w:lang w:val="en-IE"/>
        </w:rPr>
      </w:pPr>
      <w:r w:rsidRPr="00013BDC">
        <w:rPr>
          <w:rFonts w:eastAsia="Times New Roman"/>
          <w:noProof/>
          <w:lang w:val="en-IE"/>
        </w:rPr>
        <w:t>T</w:t>
      </w:r>
      <w:r w:rsidR="2C508235" w:rsidRPr="00013BDC">
        <w:rPr>
          <w:rFonts w:eastAsia="Times New Roman"/>
          <w:noProof/>
          <w:lang w:val="en-IE"/>
        </w:rPr>
        <w:t>wo problems arise with these reporting data: (i) there is no consistent and generally applicable definition of “textile waste” laid down in EU legislation, and (ii) Member States are free to decide on the data collection methods (e.g.</w:t>
      </w:r>
      <w:r w:rsidR="00AF723C" w:rsidRPr="00013BDC">
        <w:rPr>
          <w:rFonts w:eastAsia="Times New Roman"/>
          <w:noProof/>
          <w:lang w:val="en-IE"/>
        </w:rPr>
        <w:t>,</w:t>
      </w:r>
      <w:r w:rsidR="2C508235" w:rsidRPr="00013BDC">
        <w:rPr>
          <w:rFonts w:eastAsia="Times New Roman"/>
          <w:noProof/>
          <w:lang w:val="en-IE"/>
        </w:rPr>
        <w:t xml:space="preserve"> surveys, administrative sources, statistical estimations or some combination of methods). This leads to inconsistencies and incomplete datasets on textile waste.</w:t>
      </w:r>
      <w:r w:rsidR="00AF723C" w:rsidRPr="00013BDC">
        <w:rPr>
          <w:rFonts w:eastAsia="Times New Roman"/>
          <w:noProof/>
          <w:lang w:val="en-IE"/>
        </w:rPr>
        <w:t xml:space="preserve"> This is explained in more detail in Annex 7.</w:t>
      </w:r>
    </w:p>
    <w:p w14:paraId="54A9FAAA" w14:textId="6501B6F9" w:rsidR="44AF471C" w:rsidRPr="00013BDC" w:rsidRDefault="44AF471C" w:rsidP="00E5727E">
      <w:pPr>
        <w:pStyle w:val="WDBody"/>
        <w:spacing w:after="120" w:line="240" w:lineRule="auto"/>
        <w:rPr>
          <w:noProof/>
          <w:u w:val="single"/>
          <w:lang w:val="en-IE"/>
        </w:rPr>
      </w:pPr>
      <w:r w:rsidRPr="00013BDC">
        <w:rPr>
          <w:rFonts w:ascii="Times New Roman" w:hAnsi="Times New Roman"/>
          <w:b/>
          <w:noProof/>
          <w:sz w:val="24"/>
          <w:u w:val="single"/>
          <w:lang w:val="en-IE"/>
        </w:rPr>
        <w:t>Consumption trends</w:t>
      </w:r>
    </w:p>
    <w:p w14:paraId="1E38F89F" w14:textId="23C79774" w:rsidR="00626C1D" w:rsidRPr="00013BDC" w:rsidRDefault="00596DB9" w:rsidP="005F33DA">
      <w:pPr>
        <w:pStyle w:val="WDBody"/>
        <w:spacing w:after="120"/>
        <w:jc w:val="both"/>
        <w:rPr>
          <w:rFonts w:ascii="Times New Roman" w:eastAsia="Times New Roman" w:hAnsi="Times New Roman" w:cs="Times New Roman"/>
          <w:noProof/>
          <w:color w:val="000000" w:themeColor="text1"/>
          <w:sz w:val="24"/>
          <w:szCs w:val="24"/>
          <w:lang w:val="en-IE"/>
        </w:rPr>
      </w:pPr>
      <w:r w:rsidRPr="00013BDC">
        <w:rPr>
          <w:rFonts w:ascii="Times New Roman" w:eastAsia="Times New Roman" w:hAnsi="Times New Roman" w:cs="Times New Roman"/>
          <w:noProof/>
          <w:sz w:val="24"/>
          <w:szCs w:val="24"/>
          <w:lang w:val="en-IE"/>
        </w:rPr>
        <w:t xml:space="preserve">All the evidence shows that volumes of textile consumption and waste generation are increasing. </w:t>
      </w:r>
      <w:r w:rsidR="009453E3" w:rsidRPr="00013BDC">
        <w:rPr>
          <w:rFonts w:ascii="Times New Roman" w:eastAsia="Times New Roman" w:hAnsi="Times New Roman" w:cs="Times New Roman"/>
          <w:noProof/>
          <w:color w:val="000000" w:themeColor="text1"/>
          <w:sz w:val="24"/>
          <w:szCs w:val="24"/>
          <w:lang w:val="en-IE"/>
        </w:rPr>
        <w:t>Global textiles production almost doubled between 2000 and 2015, and the consumption of clothing and footwear is expected to increase by 63% by 2030 compared to 2019, from 62 million tonnes now to 102 million tonnes in 2030.</w:t>
      </w:r>
    </w:p>
    <w:p w14:paraId="0641C37C" w14:textId="69884ECD" w:rsidR="007F4D24" w:rsidRPr="00013BDC" w:rsidRDefault="392585B8" w:rsidP="005F33DA">
      <w:pPr>
        <w:pStyle w:val="WDBody"/>
        <w:spacing w:after="120"/>
        <w:jc w:val="both"/>
        <w:rPr>
          <w:rFonts w:ascii="Times New Roman" w:hAnsi="Times New Roman" w:cs="Times New Roman"/>
          <w:noProof/>
          <w:sz w:val="24"/>
          <w:szCs w:val="24"/>
          <w:lang w:val="en-IE"/>
        </w:rPr>
      </w:pPr>
      <w:r w:rsidRPr="00013BDC">
        <w:rPr>
          <w:rFonts w:ascii="Times New Roman" w:eastAsia="Times New Roman" w:hAnsi="Times New Roman" w:cs="Times New Roman"/>
          <w:b/>
          <w:noProof/>
          <w:sz w:val="24"/>
          <w:szCs w:val="24"/>
          <w:lang w:val="en-IE"/>
        </w:rPr>
        <w:t>‘Fast fashion’</w:t>
      </w:r>
      <w:r w:rsidRPr="00013BDC">
        <w:rPr>
          <w:rFonts w:ascii="Times New Roman" w:eastAsia="Times New Roman" w:hAnsi="Times New Roman" w:cs="Times New Roman"/>
          <w:noProof/>
          <w:sz w:val="24"/>
          <w:szCs w:val="24"/>
          <w:lang w:val="en-IE"/>
        </w:rPr>
        <w:t xml:space="preserve"> is characterised by increased number of collections per year and often replicates new higher end fashion trends. Where brands once had two fashion seasons a year, many now produce 52 micro-seasons, flooding the market with new styles</w:t>
      </w:r>
      <w:r w:rsidR="00677859" w:rsidRPr="00013BDC">
        <w:rPr>
          <w:rStyle w:val="FootnoteReference"/>
          <w:rFonts w:ascii="Times New Roman" w:eastAsia="Times New Roman" w:hAnsi="Times New Roman" w:cs="Times New Roman"/>
          <w:noProof/>
          <w:sz w:val="24"/>
          <w:szCs w:val="24"/>
          <w:lang w:val="en-IE"/>
        </w:rPr>
        <w:footnoteReference w:id="147"/>
      </w:r>
      <w:r w:rsidRPr="00013BDC">
        <w:rPr>
          <w:rFonts w:ascii="Times New Roman" w:eastAsia="Times New Roman" w:hAnsi="Times New Roman" w:cs="Times New Roman"/>
          <w:noProof/>
          <w:sz w:val="24"/>
          <w:szCs w:val="24"/>
          <w:lang w:val="en-IE"/>
        </w:rPr>
        <w:t xml:space="preserve">. </w:t>
      </w:r>
      <w:r w:rsidR="0B675CCA" w:rsidRPr="00013BDC">
        <w:rPr>
          <w:rFonts w:ascii="Times New Roman" w:eastAsia="Times New Roman" w:hAnsi="Times New Roman" w:cs="Times New Roman"/>
          <w:noProof/>
          <w:sz w:val="24"/>
          <w:szCs w:val="24"/>
          <w:lang w:val="en-IE"/>
        </w:rPr>
        <w:t xml:space="preserve">This </w:t>
      </w:r>
      <w:r w:rsidR="0B675CCA" w:rsidRPr="00013BDC">
        <w:rPr>
          <w:rFonts w:ascii="Times New Roman" w:eastAsia="Times New Roman" w:hAnsi="Times New Roman" w:cs="Times New Roman"/>
          <w:b/>
          <w:noProof/>
          <w:sz w:val="24"/>
          <w:szCs w:val="24"/>
          <w:lang w:val="en-IE"/>
        </w:rPr>
        <w:t xml:space="preserve">leads to </w:t>
      </w:r>
      <w:r w:rsidR="0B675CCA" w:rsidRPr="00013BDC">
        <w:rPr>
          <w:rFonts w:ascii="Times New Roman" w:eastAsia="Times New Roman" w:hAnsi="Times New Roman" w:cs="Times New Roman"/>
          <w:b/>
          <w:noProof/>
          <w:color w:val="000000" w:themeColor="text1"/>
          <w:sz w:val="24"/>
          <w:szCs w:val="24"/>
          <w:lang w:val="en-IE"/>
        </w:rPr>
        <w:t>making textiles and accessories with low labour costs to achieve low prices for new products</w:t>
      </w:r>
      <w:r w:rsidR="0B675CCA" w:rsidRPr="00013BDC">
        <w:rPr>
          <w:rFonts w:ascii="Times New Roman" w:eastAsia="Times New Roman" w:hAnsi="Times New Roman" w:cs="Times New Roman"/>
          <w:noProof/>
          <w:color w:val="000000" w:themeColor="text1"/>
          <w:sz w:val="24"/>
          <w:szCs w:val="24"/>
          <w:lang w:val="en-IE"/>
        </w:rPr>
        <w:t>. These low prices do not consider the environmental externalities of the textile ecosystem</w:t>
      </w:r>
      <w:r w:rsidR="00052D3E" w:rsidRPr="00013BDC">
        <w:rPr>
          <w:rFonts w:ascii="Times New Roman" w:eastAsia="Times New Roman" w:hAnsi="Times New Roman" w:cs="Times New Roman"/>
          <w:noProof/>
          <w:color w:val="000000" w:themeColor="text1"/>
          <w:sz w:val="24"/>
          <w:szCs w:val="24"/>
          <w:vertAlign w:val="superscript"/>
          <w:lang w:val="en-IE"/>
        </w:rPr>
        <w:footnoteReference w:id="148"/>
      </w:r>
      <w:r w:rsidR="0B675CCA" w:rsidRPr="00013BDC">
        <w:rPr>
          <w:rFonts w:ascii="Times New Roman" w:eastAsia="Times New Roman" w:hAnsi="Times New Roman" w:cs="Times New Roman"/>
          <w:noProof/>
          <w:color w:val="000000" w:themeColor="text1"/>
          <w:sz w:val="24"/>
          <w:szCs w:val="24"/>
          <w:lang w:val="en-IE"/>
        </w:rPr>
        <w:t>. The low prices are an incentive for customers to replace or increase the clothes they purchase</w:t>
      </w:r>
      <w:r w:rsidR="00052D3E" w:rsidRPr="00013BDC">
        <w:rPr>
          <w:rFonts w:ascii="Times New Roman" w:eastAsia="Times New Roman" w:hAnsi="Times New Roman" w:cs="Times New Roman"/>
          <w:noProof/>
          <w:color w:val="000000" w:themeColor="text1"/>
          <w:sz w:val="24"/>
          <w:szCs w:val="24"/>
          <w:vertAlign w:val="superscript"/>
          <w:lang w:val="en-IE"/>
        </w:rPr>
        <w:footnoteReference w:id="149"/>
      </w:r>
      <w:r w:rsidR="323C51A5" w:rsidRPr="00013BDC">
        <w:rPr>
          <w:rFonts w:ascii="Times New Roman" w:eastAsia="Times New Roman" w:hAnsi="Times New Roman" w:cs="Times New Roman"/>
          <w:noProof/>
          <w:color w:val="000000" w:themeColor="text1"/>
          <w:sz w:val="24"/>
          <w:szCs w:val="24"/>
          <w:lang w:val="en-IE"/>
        </w:rPr>
        <w:t xml:space="preserve">. </w:t>
      </w:r>
      <w:r w:rsidR="323C51A5" w:rsidRPr="00013BDC">
        <w:rPr>
          <w:rFonts w:ascii="Times New Roman" w:hAnsi="Times New Roman" w:cs="Times New Roman"/>
          <w:noProof/>
          <w:sz w:val="24"/>
          <w:szCs w:val="24"/>
          <w:lang w:val="en-IE"/>
        </w:rPr>
        <w:t>Consumers replace goods much more rapidly than in the past, not only for functional reasons but also for fashion and novelty. This</w:t>
      </w:r>
      <w:r w:rsidR="0B675CCA" w:rsidRPr="00013BDC">
        <w:rPr>
          <w:rFonts w:ascii="Times New Roman" w:eastAsia="Times New Roman" w:hAnsi="Times New Roman" w:cs="Times New Roman"/>
          <w:noProof/>
          <w:sz w:val="24"/>
          <w:szCs w:val="24"/>
          <w:lang w:val="en-IE"/>
        </w:rPr>
        <w:t xml:space="preserve"> results in more intensive disposal of textile products as their </w:t>
      </w:r>
      <w:r w:rsidR="00D96247" w:rsidRPr="00013BDC">
        <w:rPr>
          <w:rFonts w:ascii="Times New Roman" w:eastAsia="Times New Roman" w:hAnsi="Times New Roman" w:cs="Times New Roman"/>
          <w:noProof/>
          <w:sz w:val="24"/>
          <w:szCs w:val="24"/>
          <w:lang w:val="en-IE"/>
        </w:rPr>
        <w:t>reuse</w:t>
      </w:r>
      <w:r w:rsidR="0B675CCA" w:rsidRPr="00013BDC">
        <w:rPr>
          <w:rFonts w:ascii="Times New Roman" w:eastAsia="Times New Roman" w:hAnsi="Times New Roman" w:cs="Times New Roman"/>
          <w:noProof/>
          <w:sz w:val="24"/>
          <w:szCs w:val="24"/>
          <w:lang w:val="en-IE"/>
        </w:rPr>
        <w:t xml:space="preserve"> and recycling potential reduces due to their lower quality</w:t>
      </w:r>
      <w:r w:rsidR="00C62756" w:rsidRPr="00013BDC">
        <w:rPr>
          <w:rFonts w:ascii="Times New Roman" w:eastAsia="Times New Roman" w:hAnsi="Times New Roman" w:cs="Times New Roman"/>
          <w:noProof/>
          <w:sz w:val="24"/>
          <w:szCs w:val="24"/>
          <w:vertAlign w:val="superscript"/>
          <w:lang w:val="en-IE"/>
        </w:rPr>
        <w:footnoteReference w:id="150"/>
      </w:r>
      <w:r w:rsidR="0B675CCA" w:rsidRPr="00013BDC">
        <w:rPr>
          <w:rFonts w:ascii="Times New Roman" w:eastAsia="Times New Roman" w:hAnsi="Times New Roman" w:cs="Times New Roman"/>
          <w:noProof/>
          <w:sz w:val="24"/>
          <w:szCs w:val="24"/>
          <w:lang w:val="en-IE"/>
        </w:rPr>
        <w:t>.</w:t>
      </w:r>
      <w:r w:rsidR="0B675CCA" w:rsidRPr="00013BDC">
        <w:rPr>
          <w:rFonts w:ascii="Times New Roman" w:eastAsia="Times New Roman" w:hAnsi="Times New Roman" w:cs="Times New Roman"/>
          <w:noProof/>
          <w:sz w:val="24"/>
          <w:szCs w:val="24"/>
          <w:vertAlign w:val="superscript"/>
          <w:lang w:val="en-IE"/>
        </w:rPr>
        <w:t xml:space="preserve"> </w:t>
      </w:r>
    </w:p>
    <w:p w14:paraId="58DD8BDF" w14:textId="33EA0040" w:rsidR="00774680" w:rsidRPr="00013BDC" w:rsidRDefault="00302668" w:rsidP="00774680">
      <w:pPr>
        <w:rPr>
          <w:rFonts w:eastAsia="Times New Roman"/>
          <w:noProof/>
          <w:lang w:val="en-IE"/>
        </w:rPr>
      </w:pPr>
      <w:r w:rsidRPr="00013BDC">
        <w:rPr>
          <w:rFonts w:eastAsia="Times New Roman"/>
          <w:noProof/>
          <w:color w:val="000000" w:themeColor="text1"/>
          <w:lang w:val="en-IE"/>
        </w:rPr>
        <w:t>P</w:t>
      </w:r>
      <w:r w:rsidR="0B675CCA" w:rsidRPr="00013BDC">
        <w:rPr>
          <w:rFonts w:eastAsia="Times New Roman"/>
          <w:noProof/>
          <w:color w:val="000000" w:themeColor="text1"/>
          <w:lang w:val="en-IE"/>
        </w:rPr>
        <w:t xml:space="preserve">ractices by industry and retailers like instore collection with discount coupon in exchange of take-back, green/sustainable or recycled collections (ex. </w:t>
      </w:r>
      <w:r w:rsidR="00CC3EC0" w:rsidRPr="00013BDC">
        <w:rPr>
          <w:rFonts w:eastAsia="Times New Roman"/>
          <w:noProof/>
          <w:color w:val="000000" w:themeColor="text1"/>
          <w:lang w:val="en-IE"/>
        </w:rPr>
        <w:t>U</w:t>
      </w:r>
      <w:r w:rsidR="0B675CCA" w:rsidRPr="00013BDC">
        <w:rPr>
          <w:rFonts w:eastAsia="Times New Roman"/>
          <w:noProof/>
          <w:color w:val="000000" w:themeColor="text1"/>
          <w:lang w:val="en-IE"/>
        </w:rPr>
        <w:t>se of recycling fibre from pet bottles instead of recycled textiles) lead to even more consumption</w:t>
      </w:r>
      <w:r w:rsidR="00052D3E" w:rsidRPr="00013BDC">
        <w:rPr>
          <w:rFonts w:eastAsia="Times New Roman"/>
          <w:noProof/>
          <w:color w:val="000000" w:themeColor="text1"/>
          <w:vertAlign w:val="superscript"/>
          <w:lang w:val="en-IE"/>
        </w:rPr>
        <w:footnoteReference w:id="151"/>
      </w:r>
      <w:r w:rsidR="0B675CCA" w:rsidRPr="00013BDC">
        <w:rPr>
          <w:rFonts w:eastAsia="Times New Roman"/>
          <w:noProof/>
          <w:color w:val="000000" w:themeColor="text1"/>
          <w:lang w:val="en-IE"/>
        </w:rPr>
        <w:t xml:space="preserve">. </w:t>
      </w:r>
      <w:r w:rsidR="49AF4014" w:rsidRPr="00013BDC">
        <w:rPr>
          <w:noProof/>
          <w:lang w:val="en-IE"/>
        </w:rPr>
        <w:t xml:space="preserve">The Covid-19 pandemic has led to a decrease in the consumed textile goods, negatively affecting the sector. </w:t>
      </w:r>
      <w:r w:rsidR="7867A496" w:rsidRPr="00013BDC">
        <w:rPr>
          <w:rFonts w:eastAsia="Times New Roman"/>
          <w:noProof/>
          <w:color w:val="000000" w:themeColor="text1"/>
          <w:lang w:val="en-IE"/>
        </w:rPr>
        <w:t xml:space="preserve">Statista data on consumption of textiles and clothing in euro in Figure </w:t>
      </w:r>
      <w:r w:rsidR="00B656BE" w:rsidRPr="00013BDC">
        <w:rPr>
          <w:rFonts w:eastAsia="Times New Roman"/>
          <w:noProof/>
          <w:color w:val="000000" w:themeColor="text1"/>
          <w:lang w:val="en-IE"/>
        </w:rPr>
        <w:t>1</w:t>
      </w:r>
      <w:r w:rsidR="00CC7036" w:rsidRPr="00013BDC">
        <w:rPr>
          <w:rFonts w:eastAsia="Times New Roman"/>
          <w:noProof/>
          <w:color w:val="000000" w:themeColor="text1"/>
          <w:lang w:val="en-IE"/>
        </w:rPr>
        <w:t>4</w:t>
      </w:r>
      <w:r w:rsidR="7867A496" w:rsidRPr="00013BDC">
        <w:rPr>
          <w:rFonts w:eastAsia="Times New Roman"/>
          <w:noProof/>
          <w:color w:val="000000" w:themeColor="text1"/>
          <w:lang w:val="en-IE"/>
        </w:rPr>
        <w:t xml:space="preserve"> below shows that spending increased by about 15% from 2009 to 2018</w:t>
      </w:r>
      <w:r w:rsidR="00774680" w:rsidRPr="00013BDC">
        <w:rPr>
          <w:rStyle w:val="FootnoteReference"/>
          <w:rFonts w:eastAsia="Times New Roman"/>
          <w:noProof/>
          <w:color w:val="000000" w:themeColor="text1"/>
          <w:lang w:val="en-IE"/>
        </w:rPr>
        <w:footnoteReference w:id="152"/>
      </w:r>
      <w:r w:rsidR="7867A496" w:rsidRPr="00013BDC">
        <w:rPr>
          <w:rFonts w:eastAsia="Times New Roman"/>
          <w:noProof/>
          <w:color w:val="000000" w:themeColor="text1"/>
          <w:lang w:val="en-IE"/>
        </w:rPr>
        <w:t>. In combination with the fact that the price of clothes has fallen relative to inflation, this means that quantities consumed are increasing</w:t>
      </w:r>
      <w:r w:rsidR="00774680" w:rsidRPr="00013BDC">
        <w:rPr>
          <w:rStyle w:val="FootnoteReference"/>
          <w:rFonts w:eastAsia="Times New Roman"/>
          <w:noProof/>
          <w:color w:val="000000" w:themeColor="text1"/>
          <w:lang w:val="en-IE"/>
        </w:rPr>
        <w:footnoteReference w:id="153"/>
      </w:r>
      <w:r w:rsidR="7867A496" w:rsidRPr="00013BDC">
        <w:rPr>
          <w:rFonts w:eastAsia="Times New Roman"/>
          <w:noProof/>
          <w:color w:val="000000" w:themeColor="text1"/>
          <w:lang w:val="en-IE"/>
        </w:rPr>
        <w:t xml:space="preserve">. </w:t>
      </w:r>
    </w:p>
    <w:p w14:paraId="5666349B" w14:textId="5D732F04" w:rsidR="00E077E8" w:rsidRPr="00013BDC" w:rsidRDefault="00E077E8" w:rsidP="00E5727E">
      <w:pPr>
        <w:rPr>
          <w:i/>
          <w:noProof/>
          <w:lang w:val="en-IE"/>
        </w:rPr>
      </w:pPr>
      <w:bookmarkStart w:id="590" w:name="_Toc133229285"/>
      <w:bookmarkStart w:id="591" w:name="_Toc139033012"/>
      <w:r w:rsidRPr="00013BDC">
        <w:rPr>
          <w:rFonts w:eastAsia="Times New Roman"/>
          <w:i/>
          <w:noProof/>
          <w:lang w:val="en-IE"/>
        </w:rPr>
        <w:t xml:space="preserve">Figure </w:t>
      </w:r>
      <w:r w:rsidR="004C5576">
        <w:rPr>
          <w:rFonts w:eastAsia="Times New Roman"/>
          <w:noProof/>
          <w:lang w:val="en-IE"/>
        </w:rPr>
        <w:t>15</w:t>
      </w:r>
      <w:r w:rsidRPr="00013BDC">
        <w:rPr>
          <w:rFonts w:eastAsia="Times New Roman"/>
          <w:i/>
          <w:noProof/>
          <w:lang w:val="en-IE"/>
        </w:rPr>
        <w:t xml:space="preserve"> –</w:t>
      </w:r>
      <w:r w:rsidRPr="00013BDC">
        <w:rPr>
          <w:i/>
          <w:noProof/>
          <w:lang w:val="en-IE"/>
        </w:rPr>
        <w:t xml:space="preserve"> Household consumption of textiles and clothing, billion tonnes, 2009-2020</w:t>
      </w:r>
      <w:bookmarkEnd w:id="590"/>
      <w:bookmarkEnd w:id="591"/>
    </w:p>
    <w:p w14:paraId="64602B76" w14:textId="77777777" w:rsidR="00774680" w:rsidRPr="00013BDC" w:rsidRDefault="00774680" w:rsidP="00774680">
      <w:pPr>
        <w:rPr>
          <w:rFonts w:eastAsia="Times New Roman"/>
          <w:noProof/>
          <w:color w:val="000000" w:themeColor="text1"/>
          <w:lang w:val="en-IE"/>
        </w:rPr>
      </w:pPr>
      <w:r w:rsidRPr="00013BDC">
        <w:rPr>
          <w:noProof/>
          <w:color w:val="2B579A"/>
          <w:shd w:val="clear" w:color="auto" w:fill="E6E6E6"/>
          <w:lang w:eastAsia="en-GB"/>
        </w:rPr>
        <w:drawing>
          <wp:inline distT="0" distB="0" distL="0" distR="0" wp14:anchorId="587027EE" wp14:editId="1BCBE7F4">
            <wp:extent cx="4473822" cy="332232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4">
                      <a:extLst>
                        <a:ext uri="{28A0092B-C50C-407E-A947-70E740481C1C}">
                          <a14:useLocalDpi xmlns:a14="http://schemas.microsoft.com/office/drawing/2010/main" val="0"/>
                        </a:ext>
                      </a:extLst>
                    </a:blip>
                    <a:stretch>
                      <a:fillRect/>
                    </a:stretch>
                  </pic:blipFill>
                  <pic:spPr>
                    <a:xfrm>
                      <a:off x="0" y="0"/>
                      <a:ext cx="4473822" cy="3322320"/>
                    </a:xfrm>
                    <a:prstGeom prst="rect">
                      <a:avLst/>
                    </a:prstGeom>
                  </pic:spPr>
                </pic:pic>
              </a:graphicData>
            </a:graphic>
          </wp:inline>
        </w:drawing>
      </w:r>
    </w:p>
    <w:p w14:paraId="66352FE8" w14:textId="7FFCFD6E" w:rsidR="00F94493" w:rsidRPr="00013BDC" w:rsidRDefault="2614E9D1" w:rsidP="4A3B0923">
      <w:pPr>
        <w:spacing w:after="120"/>
        <w:rPr>
          <w:rFonts w:eastAsia="Times New Roman"/>
          <w:noProof/>
          <w:color w:val="000000" w:themeColor="text1"/>
          <w:lang w:val="en-IE"/>
        </w:rPr>
      </w:pPr>
      <w:r w:rsidRPr="00013BDC">
        <w:rPr>
          <w:rFonts w:eastAsia="Times New Roman"/>
          <w:noProof/>
          <w:color w:val="000000" w:themeColor="text1"/>
          <w:lang w:val="en-IE"/>
        </w:rPr>
        <w:t>The</w:t>
      </w:r>
      <w:r w:rsidR="6A594658" w:rsidRPr="00013BDC">
        <w:rPr>
          <w:rFonts w:eastAsia="Times New Roman"/>
          <w:noProof/>
          <w:color w:val="000000" w:themeColor="text1"/>
          <w:lang w:val="en-IE"/>
        </w:rPr>
        <w:t xml:space="preserve"> </w:t>
      </w:r>
      <w:r w:rsidRPr="00013BDC">
        <w:rPr>
          <w:rFonts w:eastAsia="Times New Roman"/>
          <w:b/>
          <w:noProof/>
          <w:color w:val="000000" w:themeColor="text1"/>
          <w:lang w:val="en-IE"/>
        </w:rPr>
        <w:t>increasing consumption of textile in the EU</w:t>
      </w:r>
      <w:r w:rsidR="2877E3EB" w:rsidRPr="00013BDC">
        <w:rPr>
          <w:rFonts w:eastAsia="Times New Roman"/>
          <w:b/>
          <w:noProof/>
          <w:color w:val="000000" w:themeColor="text1"/>
          <w:lang w:val="en-IE"/>
        </w:rPr>
        <w:t xml:space="preserve"> </w:t>
      </w:r>
      <w:r w:rsidRPr="00013BDC">
        <w:rPr>
          <w:rFonts w:eastAsia="Times New Roman"/>
          <w:b/>
          <w:noProof/>
          <w:color w:val="000000" w:themeColor="text1"/>
          <w:lang w:val="en-IE"/>
        </w:rPr>
        <w:t xml:space="preserve">leads to increasing volumes of textile waste. </w:t>
      </w:r>
      <w:r w:rsidR="3423DFFA" w:rsidRPr="00013BDC">
        <w:rPr>
          <w:rFonts w:eastAsia="Times New Roman"/>
          <w:noProof/>
          <w:lang w:val="en-IE"/>
        </w:rPr>
        <w:t xml:space="preserve">However, there </w:t>
      </w:r>
      <w:r w:rsidR="3423DFFA" w:rsidRPr="00013BDC">
        <w:rPr>
          <w:rFonts w:eastAsia="Times New Roman"/>
          <w:noProof/>
          <w:color w:val="000000" w:themeColor="text1"/>
          <w:lang w:val="en-IE"/>
        </w:rPr>
        <w:t>are highly variable quantitative estimates on textile consumption and textile waste generation between countries in the EU, depending on the data source and on what is included in the scope of textiles.</w:t>
      </w:r>
    </w:p>
    <w:p w14:paraId="0F53E8BC" w14:textId="66F6EBBF" w:rsidR="393E762F" w:rsidRPr="00013BDC" w:rsidRDefault="393E762F" w:rsidP="0073657C">
      <w:pPr>
        <w:pStyle w:val="Heading3"/>
        <w:spacing w:after="120"/>
        <w:rPr>
          <w:noProof/>
          <w:lang w:val="en-IE"/>
        </w:rPr>
      </w:pPr>
      <w:bookmarkStart w:id="592" w:name="_Toc523805562"/>
      <w:bookmarkStart w:id="593" w:name="_Toc1826178731"/>
      <w:bookmarkStart w:id="594" w:name="_Toc271743298"/>
      <w:bookmarkStart w:id="595" w:name="_Toc711534659"/>
      <w:bookmarkStart w:id="596" w:name="_Toc431215216"/>
      <w:bookmarkStart w:id="597" w:name="_Toc100372184"/>
      <w:bookmarkStart w:id="598" w:name="_Toc1963439741"/>
      <w:bookmarkStart w:id="599" w:name="_Toc139820697"/>
      <w:bookmarkStart w:id="600" w:name="_Toc139032985"/>
      <w:r w:rsidRPr="00013BDC">
        <w:rPr>
          <w:noProof/>
          <w:lang w:val="en-IE"/>
        </w:rPr>
        <w:t>Textile flows in the EU for the 2019 reference year (</w:t>
      </w:r>
      <w:r w:rsidR="0073657C" w:rsidRPr="00013BDC">
        <w:rPr>
          <w:noProof/>
          <w:lang w:val="en-IE"/>
        </w:rPr>
        <w:t>baseline</w:t>
      </w:r>
      <w:r w:rsidRPr="00013BDC">
        <w:rPr>
          <w:noProof/>
          <w:lang w:val="en-IE"/>
        </w:rPr>
        <w:t>)</w:t>
      </w:r>
      <w:bookmarkEnd w:id="592"/>
      <w:bookmarkEnd w:id="593"/>
      <w:bookmarkEnd w:id="594"/>
      <w:bookmarkEnd w:id="595"/>
      <w:bookmarkEnd w:id="596"/>
      <w:bookmarkEnd w:id="597"/>
      <w:bookmarkEnd w:id="598"/>
      <w:bookmarkEnd w:id="599"/>
      <w:bookmarkEnd w:id="600"/>
    </w:p>
    <w:p w14:paraId="245BE120" w14:textId="6B284C21" w:rsidR="00F94493" w:rsidRPr="00013BDC" w:rsidRDefault="181E3BB1" w:rsidP="00D45084">
      <w:pPr>
        <w:spacing w:after="120"/>
        <w:rPr>
          <w:rFonts w:eastAsia="Times New Roman"/>
          <w:noProof/>
          <w:lang w:val="en-IE"/>
        </w:rPr>
      </w:pPr>
      <w:r w:rsidRPr="00013BDC">
        <w:rPr>
          <w:rFonts w:eastAsia="Times New Roman"/>
          <w:noProof/>
          <w:lang w:val="en-IE"/>
        </w:rPr>
        <w:t>Since the publication of the 2019 EEA study and the emphasis of textiles as one of the key products associated to a high environmental footprint, different studies have further explored the textile mass flows in the EU. Due to differences in the scope of these studies in terms of textile products covered, reference years, data sources used, and geographical scope, reported study outcomes vary somewhat in their absolute numbers presented. This report presents the results of an ongoing JRC study</w:t>
      </w:r>
      <w:r w:rsidR="005A112E" w:rsidRPr="00013BDC">
        <w:rPr>
          <w:rStyle w:val="FootnoteReference"/>
          <w:rFonts w:eastAsia="Times New Roman"/>
          <w:noProof/>
          <w:lang w:val="en-IE"/>
        </w:rPr>
        <w:footnoteReference w:id="154"/>
      </w:r>
      <w:r w:rsidRPr="00013BDC">
        <w:rPr>
          <w:rFonts w:eastAsia="Times New Roman"/>
          <w:noProof/>
          <w:lang w:val="en-IE"/>
        </w:rPr>
        <w:t xml:space="preserve">. For </w:t>
      </w:r>
      <w:r w:rsidR="00D25E51" w:rsidRPr="00013BDC">
        <w:rPr>
          <w:rFonts w:eastAsia="Times New Roman"/>
          <w:noProof/>
          <w:lang w:val="en-IE"/>
        </w:rPr>
        <w:t xml:space="preserve">that further builds upon the previous studies and brings forward results and conclusions that are largely aligned to previous works, particularly in terms of relevant conclusions and take-away </w:t>
      </w:r>
      <w:r w:rsidR="001D2BAC" w:rsidRPr="00013BDC">
        <w:rPr>
          <w:rFonts w:eastAsia="Times New Roman"/>
          <w:noProof/>
          <w:lang w:val="en-IE"/>
        </w:rPr>
        <w:t>messages reasons</w:t>
      </w:r>
      <w:r w:rsidRPr="00013BDC">
        <w:rPr>
          <w:rFonts w:eastAsia="Times New Roman"/>
          <w:noProof/>
          <w:lang w:val="en-IE"/>
        </w:rPr>
        <w:t xml:space="preserve"> of simplifications, averages or reasonably small confidence ranges have been presented in the document, acknowledging uncertainties for </w:t>
      </w:r>
      <w:r w:rsidR="00C9224D" w:rsidRPr="00013BDC">
        <w:rPr>
          <w:rFonts w:eastAsia="Times New Roman"/>
          <w:noProof/>
          <w:lang w:val="en-IE"/>
        </w:rPr>
        <w:t>specific</w:t>
      </w:r>
      <w:r w:rsidRPr="00013BDC">
        <w:rPr>
          <w:rFonts w:eastAsia="Times New Roman"/>
          <w:noProof/>
          <w:lang w:val="en-IE"/>
        </w:rPr>
        <w:t xml:space="preserve"> flows.</w:t>
      </w:r>
    </w:p>
    <w:p w14:paraId="6D7E2465" w14:textId="3F5A19A0" w:rsidR="00716A9B" w:rsidRPr="00013BDC" w:rsidRDefault="00924FD8" w:rsidP="00716A9B">
      <w:pPr>
        <w:pStyle w:val="JRCText"/>
        <w:spacing w:before="0"/>
        <w:rPr>
          <w:rFonts w:ascii="Times New Roman" w:hAnsi="Times New Roman"/>
          <w:noProof/>
          <w:sz w:val="24"/>
          <w:szCs w:val="24"/>
          <w:lang w:val="en-IE"/>
        </w:rPr>
      </w:pPr>
      <w:r w:rsidRPr="00013BDC">
        <w:rPr>
          <w:rFonts w:ascii="Times New Roman" w:hAnsi="Times New Roman"/>
          <w:noProof/>
          <w:sz w:val="24"/>
          <w:szCs w:val="24"/>
          <w:lang w:val="en-IE"/>
        </w:rPr>
        <w:t>At t</w:t>
      </w:r>
      <w:r w:rsidR="000C4552" w:rsidRPr="00013BDC">
        <w:rPr>
          <w:rFonts w:ascii="Times New Roman" w:hAnsi="Times New Roman"/>
          <w:noProof/>
          <w:sz w:val="24"/>
          <w:szCs w:val="24"/>
          <w:lang w:val="en-IE"/>
        </w:rPr>
        <w:t xml:space="preserve">he </w:t>
      </w:r>
      <w:r w:rsidR="00716A9B" w:rsidRPr="00013BDC">
        <w:rPr>
          <w:rFonts w:ascii="Times New Roman" w:hAnsi="Times New Roman"/>
          <w:noProof/>
          <w:sz w:val="24"/>
          <w:szCs w:val="24"/>
          <w:lang w:val="en-IE"/>
        </w:rPr>
        <w:t>JRC analysis, ‘textiles’ is defined as apparel and home textiles (e.g. bedlinen, towels, tablecloths, curtains etc.) consumed by households, and similar products consumed by government and business (e.g. uniforms and workwear used by all public and private sectors, bedlinen and towels etc. consumed by hotels, restaurants, healthcare services etc.) as well as footwear and technical textiles (such as truck covers). It excludes products for which textiles are not the dominant component (e.g. upholstery textiles, carpets mainly made of plastics, duvets, pillows) and leather.</w:t>
      </w:r>
    </w:p>
    <w:p w14:paraId="35ECAA62" w14:textId="17134ADA" w:rsidR="00F94493" w:rsidRPr="00013BDC" w:rsidRDefault="7BF09FB7" w:rsidP="00954168">
      <w:pPr>
        <w:pStyle w:val="WDBody"/>
        <w:spacing w:after="120" w:line="240" w:lineRule="auto"/>
        <w:rPr>
          <w:noProof/>
          <w:u w:val="single"/>
          <w:lang w:val="en-IE"/>
        </w:rPr>
      </w:pPr>
      <w:r w:rsidRPr="00013BDC">
        <w:rPr>
          <w:rFonts w:ascii="Times New Roman" w:hAnsi="Times New Roman"/>
          <w:b/>
          <w:noProof/>
          <w:sz w:val="24"/>
          <w:u w:val="single"/>
          <w:lang w:val="en-IE"/>
        </w:rPr>
        <w:t>Textile production</w:t>
      </w:r>
    </w:p>
    <w:p w14:paraId="01FD9904" w14:textId="0F6AF2D9" w:rsidR="4F157807" w:rsidRPr="00013BDC" w:rsidRDefault="006E606C" w:rsidP="00F65FFB">
      <w:pPr>
        <w:spacing w:after="120"/>
        <w:rPr>
          <w:noProof/>
          <w:lang w:val="en-IE"/>
        </w:rPr>
      </w:pPr>
      <w:r w:rsidRPr="00013BDC">
        <w:rPr>
          <w:rFonts w:eastAsia="Times New Roman"/>
          <w:noProof/>
          <w:lang w:val="en-IE"/>
        </w:rPr>
        <w:t>The JRC estimates</w:t>
      </w:r>
      <w:r w:rsidR="00DD6683" w:rsidRPr="00013BDC">
        <w:rPr>
          <w:rStyle w:val="FootnoteReference"/>
          <w:rFonts w:eastAsia="Times New Roman"/>
          <w:noProof/>
          <w:lang w:val="en-IE"/>
        </w:rPr>
        <w:footnoteReference w:id="155"/>
      </w:r>
      <w:r w:rsidRPr="00013BDC">
        <w:rPr>
          <w:rFonts w:eastAsia="Times New Roman"/>
          <w:noProof/>
          <w:lang w:val="en-IE"/>
        </w:rPr>
        <w:t xml:space="preserve"> the apparent consumption of textiles</w:t>
      </w:r>
      <w:r w:rsidRPr="00013BDC">
        <w:rPr>
          <w:rFonts w:eastAsia="Times New Roman"/>
          <w:noProof/>
          <w:vertAlign w:val="superscript"/>
          <w:lang w:val="en-IE"/>
        </w:rPr>
        <w:footnoteReference w:id="156"/>
      </w:r>
      <w:r w:rsidRPr="00013BDC">
        <w:rPr>
          <w:rFonts w:eastAsia="Times New Roman"/>
          <w:noProof/>
          <w:lang w:val="en-IE"/>
        </w:rPr>
        <w:t xml:space="preserve"> for the reference year 2019 to be around 12 Mt</w:t>
      </w:r>
      <w:r w:rsidRPr="00013BDC">
        <w:rPr>
          <w:rStyle w:val="FootnoteReference"/>
          <w:rFonts w:eastAsia="Times New Roman"/>
          <w:noProof/>
          <w:lang w:val="en-IE"/>
        </w:rPr>
        <w:footnoteReference w:id="157"/>
      </w:r>
      <w:r w:rsidRPr="00013BDC">
        <w:rPr>
          <w:rFonts w:eastAsia="Times New Roman"/>
          <w:noProof/>
          <w:lang w:val="en-IE"/>
        </w:rPr>
        <w:t>, composed of the flow coming from the net production of finished textiles (3.</w:t>
      </w:r>
      <w:r w:rsidR="00B00C79" w:rsidRPr="00013BDC">
        <w:rPr>
          <w:rFonts w:eastAsia="Times New Roman"/>
          <w:noProof/>
          <w:lang w:val="en-IE"/>
        </w:rPr>
        <w:t>0</w:t>
      </w:r>
      <w:r w:rsidRPr="00013BDC">
        <w:rPr>
          <w:rFonts w:eastAsia="Times New Roman"/>
          <w:noProof/>
          <w:lang w:val="en-IE"/>
        </w:rPr>
        <w:t xml:space="preserve"> Mt) and from imported textiles (</w:t>
      </w:r>
      <w:r w:rsidR="00B00C79" w:rsidRPr="00013BDC">
        <w:rPr>
          <w:rFonts w:eastAsia="Times New Roman"/>
          <w:noProof/>
          <w:lang w:val="en-IE"/>
        </w:rPr>
        <w:t>9.0</w:t>
      </w:r>
      <w:r w:rsidRPr="00013BDC">
        <w:rPr>
          <w:rFonts w:eastAsia="Times New Roman"/>
          <w:noProof/>
          <w:lang w:val="en-IE"/>
        </w:rPr>
        <w:t xml:space="preserve"> Mt). </w:t>
      </w:r>
      <w:r w:rsidR="3E7E4594" w:rsidRPr="00013BDC">
        <w:rPr>
          <w:rFonts w:eastAsia="Times New Roman"/>
          <w:noProof/>
          <w:lang w:val="en-IE"/>
        </w:rPr>
        <w:t>This flow includes the production of all textiles, including appar</w:t>
      </w:r>
      <w:r w:rsidR="1A50C9E4" w:rsidRPr="00013BDC">
        <w:rPr>
          <w:rFonts w:eastAsia="Times New Roman"/>
          <w:noProof/>
          <w:lang w:val="en-IE"/>
        </w:rPr>
        <w:t>el, household textiles, and textiles used for technical and industrial appl</w:t>
      </w:r>
      <w:r w:rsidR="1A50C9E4" w:rsidRPr="00013BDC">
        <w:rPr>
          <w:noProof/>
          <w:lang w:val="en-IE"/>
        </w:rPr>
        <w:t>ications.</w:t>
      </w:r>
    </w:p>
    <w:p w14:paraId="23F24A85" w14:textId="77777777" w:rsidR="00720F16" w:rsidRPr="00013BDC" w:rsidRDefault="00720F16" w:rsidP="00720F16">
      <w:pPr>
        <w:pStyle w:val="WDBody"/>
        <w:spacing w:after="120" w:line="240" w:lineRule="auto"/>
        <w:rPr>
          <w:noProof/>
          <w:u w:val="single"/>
          <w:lang w:val="en-IE"/>
        </w:rPr>
      </w:pPr>
      <w:r w:rsidRPr="00013BDC">
        <w:rPr>
          <w:rFonts w:ascii="Times New Roman" w:hAnsi="Times New Roman"/>
          <w:b/>
          <w:noProof/>
          <w:sz w:val="24"/>
          <w:u w:val="single"/>
          <w:lang w:val="en-IE"/>
        </w:rPr>
        <w:t>Intra-EU movements of textile goods</w:t>
      </w:r>
    </w:p>
    <w:p w14:paraId="21219A1F" w14:textId="0457091F" w:rsidR="00720F16" w:rsidRPr="00013BDC" w:rsidRDefault="00720F16" w:rsidP="00720F16">
      <w:pPr>
        <w:spacing w:after="120"/>
        <w:rPr>
          <w:noProof/>
          <w:lang w:val="en-IE"/>
        </w:rPr>
      </w:pPr>
      <w:r w:rsidRPr="00013BDC">
        <w:rPr>
          <w:noProof/>
          <w:lang w:val="en-IE"/>
        </w:rPr>
        <w:t>As a producer and importer of textiles from third countries the EU overall undertakes a significant amount of intra-EU movements of textiles and textile products.  This, in turn, frequently means that producers of textiles and textile products in one Member State will ship those products to one or more other Member States. This reflects the somewhat fragmented supply chain for such goods but also the fact that textile goods are generally traded over national borders.</w:t>
      </w:r>
    </w:p>
    <w:p w14:paraId="21226DE2" w14:textId="77777777" w:rsidR="00720F16" w:rsidRPr="00013BDC" w:rsidRDefault="00720F16" w:rsidP="00720F16">
      <w:pPr>
        <w:spacing w:after="120"/>
        <w:rPr>
          <w:noProof/>
          <w:lang w:val="en-IE"/>
        </w:rPr>
      </w:pPr>
      <w:r w:rsidRPr="00013BDC">
        <w:rPr>
          <w:noProof/>
          <w:lang w:val="en-IE"/>
        </w:rPr>
        <w:t>The figure below looks at intra-EU movements of a selection of textiles in 2019 as well as in 2021 (given that this was the most recent data available at the time of conducting the assessment) using data from Eurostat</w:t>
      </w:r>
      <w:r w:rsidRPr="00013BDC">
        <w:rPr>
          <w:rStyle w:val="FootnoteReference"/>
          <w:noProof/>
          <w:lang w:val="en-IE"/>
        </w:rPr>
        <w:footnoteReference w:id="158"/>
      </w:r>
      <w:r w:rsidRPr="00013BDC">
        <w:rPr>
          <w:noProof/>
          <w:lang w:val="en-IE"/>
        </w:rPr>
        <w:t>.</w:t>
      </w:r>
    </w:p>
    <w:p w14:paraId="40DE29AE" w14:textId="69606F35" w:rsidR="00720F16" w:rsidRPr="00013BDC" w:rsidRDefault="00720F16" w:rsidP="00720F16">
      <w:pPr>
        <w:pStyle w:val="Caption"/>
        <w:rPr>
          <w:noProof/>
          <w:lang w:val="en-IE"/>
        </w:rPr>
      </w:pPr>
      <w:bookmarkStart w:id="602" w:name="_Toc133229286"/>
      <w:bookmarkStart w:id="603" w:name="_Toc139033013"/>
      <w:r w:rsidRPr="00013BDC">
        <w:rPr>
          <w:noProof/>
          <w:lang w:val="en-IE"/>
        </w:rPr>
        <w:t xml:space="preserve">Figure </w:t>
      </w:r>
      <w:r w:rsidR="004C5576">
        <w:rPr>
          <w:noProof/>
        </w:rPr>
        <w:t>16</w:t>
      </w:r>
      <w:r w:rsidRPr="00013BDC">
        <w:rPr>
          <w:noProof/>
          <w:lang w:val="en-IE"/>
        </w:rPr>
        <w:t xml:space="preserve"> Reported movements of textile goods within the EU in 2019 and 2021 in tonnes</w:t>
      </w:r>
      <w:bookmarkEnd w:id="602"/>
      <w:bookmarkEnd w:id="603"/>
    </w:p>
    <w:p w14:paraId="25F1C2FE" w14:textId="77777777" w:rsidR="00720F16" w:rsidRPr="00013BDC" w:rsidRDefault="00720F16" w:rsidP="00720F16">
      <w:pPr>
        <w:spacing w:after="120"/>
        <w:rPr>
          <w:noProof/>
          <w:lang w:val="en-IE"/>
        </w:rPr>
      </w:pPr>
      <w:r w:rsidRPr="00013BDC">
        <w:rPr>
          <w:noProof/>
          <w:lang w:eastAsia="en-GB"/>
        </w:rPr>
        <w:drawing>
          <wp:inline distT="0" distB="0" distL="0" distR="0" wp14:anchorId="0C2FEE10" wp14:editId="25CC851A">
            <wp:extent cx="5731510" cy="25038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2503805"/>
                    </a:xfrm>
                    <a:prstGeom prst="rect">
                      <a:avLst/>
                    </a:prstGeom>
                    <a:noFill/>
                    <a:ln>
                      <a:noFill/>
                    </a:ln>
                  </pic:spPr>
                </pic:pic>
              </a:graphicData>
            </a:graphic>
          </wp:inline>
        </w:drawing>
      </w:r>
    </w:p>
    <w:p w14:paraId="4DC5C55B" w14:textId="70F3767D" w:rsidR="00D11C70" w:rsidRPr="00013BDC" w:rsidRDefault="00720F16" w:rsidP="007F6028">
      <w:pPr>
        <w:spacing w:after="120"/>
        <w:rPr>
          <w:noProof/>
          <w:lang w:val="en-IE"/>
        </w:rPr>
      </w:pPr>
      <w:r w:rsidRPr="00013BDC">
        <w:rPr>
          <w:noProof/>
          <w:lang w:val="en-IE"/>
        </w:rPr>
        <w:t>In total 6.45 million tonnes of textiles goods moved within the EU in 2019 increasing to 6.79 million tonnes in 2021. Of that total Articles of clothing and apparel represent 41% of movements in 2019 (2.66 million tonnes) and 42% in 2021 (2.86 million tonnes) of all goods that moved between one Member State and another and man-made filaments and fibres accounting for 31% in 2019 (2.05 million tonnes) and 30% in 2021 (2.03 million tonnes) of such movements. The remaining product types account for 6% or less of all movements in both years. This cross-border movement is an important consideration in both the challenges that exist in relation to textile waste management as well as the possible measures that may address such waste management in terms of consistency of approaches between Member States.</w:t>
      </w:r>
    </w:p>
    <w:p w14:paraId="498B71B8" w14:textId="77777777" w:rsidR="000A1DA0" w:rsidRPr="00013BDC" w:rsidRDefault="000A1DA0" w:rsidP="00A124DA">
      <w:pPr>
        <w:pStyle w:val="WDBody"/>
        <w:spacing w:after="120" w:line="240" w:lineRule="auto"/>
        <w:rPr>
          <w:rFonts w:ascii="Times New Roman" w:hAnsi="Times New Roman"/>
          <w:b/>
          <w:noProof/>
          <w:sz w:val="24"/>
          <w:u w:val="single"/>
          <w:lang w:val="en-IE"/>
        </w:rPr>
      </w:pPr>
    </w:p>
    <w:p w14:paraId="5CF2E8EB" w14:textId="3108EC23" w:rsidR="009F59DE" w:rsidRPr="00013BDC" w:rsidRDefault="00954168" w:rsidP="00A124DA">
      <w:pPr>
        <w:pStyle w:val="WDBody"/>
        <w:spacing w:after="120" w:line="240" w:lineRule="auto"/>
        <w:rPr>
          <w:noProof/>
          <w:u w:val="single"/>
          <w:lang w:val="en-IE"/>
        </w:rPr>
      </w:pPr>
      <w:r w:rsidRPr="00013BDC">
        <w:rPr>
          <w:rFonts w:ascii="Times New Roman" w:hAnsi="Times New Roman"/>
          <w:b/>
          <w:noProof/>
          <w:sz w:val="24"/>
          <w:u w:val="single"/>
          <w:lang w:val="en-IE"/>
        </w:rPr>
        <w:t xml:space="preserve">Generation of </w:t>
      </w:r>
      <w:r w:rsidR="210C752D" w:rsidRPr="00013BDC">
        <w:rPr>
          <w:rFonts w:ascii="Times New Roman" w:hAnsi="Times New Roman"/>
          <w:b/>
          <w:noProof/>
          <w:sz w:val="24"/>
          <w:u w:val="single"/>
          <w:lang w:val="en-IE"/>
        </w:rPr>
        <w:t>textile waste</w:t>
      </w:r>
    </w:p>
    <w:p w14:paraId="522E6D00" w14:textId="77777777" w:rsidR="000A1DA0" w:rsidRPr="00013BDC" w:rsidRDefault="000A1DA0" w:rsidP="000A1DA0">
      <w:pPr>
        <w:pStyle w:val="WDBody"/>
        <w:spacing w:after="120" w:line="240" w:lineRule="auto"/>
        <w:rPr>
          <w:i/>
          <w:noProof/>
          <w:u w:val="single"/>
          <w:lang w:val="en-IE"/>
        </w:rPr>
      </w:pPr>
      <w:r w:rsidRPr="00013BDC">
        <w:rPr>
          <w:rFonts w:ascii="Times New Roman" w:hAnsi="Times New Roman"/>
          <w:i/>
          <w:iCs/>
          <w:noProof/>
          <w:sz w:val="24"/>
          <w:szCs w:val="24"/>
          <w:u w:val="single"/>
          <w:lang w:val="en-IE"/>
        </w:rPr>
        <w:t>Summary overview</w:t>
      </w:r>
    </w:p>
    <w:p w14:paraId="5A1889B1" w14:textId="3F7C4D8F" w:rsidR="000A1DA0" w:rsidRPr="00013BDC" w:rsidRDefault="000A1DA0" w:rsidP="000A1DA0">
      <w:pPr>
        <w:spacing w:after="120"/>
        <w:rPr>
          <w:rFonts w:eastAsia="Calibri"/>
          <w:noProof/>
          <w:lang w:val="en-IE"/>
        </w:rPr>
      </w:pPr>
      <w:r w:rsidRPr="00013BDC">
        <w:rPr>
          <w:noProof/>
          <w:lang w:val="en-IE"/>
        </w:rPr>
        <w:t xml:space="preserve">For 2019, </w:t>
      </w:r>
      <w:r w:rsidRPr="00013BDC">
        <w:rPr>
          <w:b/>
          <w:noProof/>
          <w:lang w:val="en-IE"/>
        </w:rPr>
        <w:t>textile waste generated</w:t>
      </w:r>
      <w:r w:rsidRPr="00013BDC">
        <w:rPr>
          <w:noProof/>
          <w:lang w:val="en-IE"/>
        </w:rPr>
        <w:t xml:space="preserve"> </w:t>
      </w:r>
      <w:r w:rsidR="005A233A" w:rsidRPr="00013BDC">
        <w:rPr>
          <w:noProof/>
          <w:lang w:val="en-IE"/>
        </w:rPr>
        <w:t xml:space="preserve">in EU </w:t>
      </w:r>
      <w:r w:rsidRPr="00013BDC">
        <w:rPr>
          <w:noProof/>
          <w:lang w:val="en-IE"/>
        </w:rPr>
        <w:t xml:space="preserve">is estimated at </w:t>
      </w:r>
      <w:r w:rsidRPr="00013BDC">
        <w:rPr>
          <w:b/>
          <w:noProof/>
          <w:lang w:val="en-IE"/>
        </w:rPr>
        <w:t>12.6 Mt</w:t>
      </w:r>
      <w:r w:rsidRPr="00013BDC">
        <w:rPr>
          <w:rStyle w:val="FootnoteReference"/>
          <w:noProof/>
          <w:lang w:val="en-IE"/>
        </w:rPr>
        <w:footnoteReference w:id="159"/>
      </w:r>
      <w:r w:rsidRPr="00013BDC">
        <w:rPr>
          <w:noProof/>
          <w:lang w:val="en-IE"/>
        </w:rPr>
        <w:t>, including fractions that are discarded during textile production (post-industrial waste), discarded at the retail stage (pre-consumer waste), deposited and discarded by households and commercial entities (post-consumer waste).</w:t>
      </w:r>
      <w:r w:rsidRPr="00013BDC">
        <w:rPr>
          <w:rFonts w:eastAsia="Calibri"/>
          <w:noProof/>
          <w:lang w:val="en-IE"/>
        </w:rPr>
        <w:t xml:space="preserve"> Post-production and pre-consumer waste are estimated to be a relatively small share of the total textile waste (~1</w:t>
      </w:r>
      <w:r w:rsidR="00E909C6" w:rsidRPr="00013BDC">
        <w:rPr>
          <w:rFonts w:eastAsia="Calibri"/>
          <w:noProof/>
          <w:lang w:val="en-IE"/>
        </w:rPr>
        <w:t xml:space="preserve">1% and </w:t>
      </w:r>
      <w:r w:rsidR="007E7452" w:rsidRPr="00013BDC">
        <w:rPr>
          <w:rFonts w:eastAsia="Calibri"/>
          <w:noProof/>
          <w:lang w:val="en-IE"/>
        </w:rPr>
        <w:t>3</w:t>
      </w:r>
      <w:r w:rsidRPr="00013BDC">
        <w:rPr>
          <w:rFonts w:eastAsia="Calibri"/>
          <w:noProof/>
          <w:lang w:val="en-IE"/>
        </w:rPr>
        <w:t>%</w:t>
      </w:r>
      <w:r w:rsidR="00E909C6" w:rsidRPr="00013BDC">
        <w:rPr>
          <w:rFonts w:eastAsia="Calibri"/>
          <w:noProof/>
          <w:lang w:val="en-IE"/>
        </w:rPr>
        <w:t xml:space="preserve"> respectively</w:t>
      </w:r>
      <w:r w:rsidRPr="00013BDC">
        <w:rPr>
          <w:rFonts w:eastAsia="Calibri"/>
          <w:noProof/>
          <w:lang w:val="en-IE"/>
        </w:rPr>
        <w:t xml:space="preserve">). </w:t>
      </w:r>
      <w:r w:rsidRPr="00013BDC">
        <w:rPr>
          <w:rFonts w:eastAsia="Times New Roman"/>
          <w:b/>
          <w:noProof/>
          <w:lang w:val="en-IE"/>
        </w:rPr>
        <w:t xml:space="preserve">Post-consumer textiles waste generated </w:t>
      </w:r>
      <w:r w:rsidRPr="00013BDC">
        <w:rPr>
          <w:rFonts w:eastAsia="Times New Roman"/>
          <w:noProof/>
          <w:lang w:val="en-IE"/>
        </w:rPr>
        <w:t xml:space="preserve">amounted to </w:t>
      </w:r>
      <w:r w:rsidRPr="00013BDC">
        <w:rPr>
          <w:rFonts w:eastAsia="Times New Roman"/>
          <w:b/>
          <w:noProof/>
          <w:lang w:val="en-IE"/>
        </w:rPr>
        <w:t>10.9 Mt</w:t>
      </w:r>
      <w:r w:rsidRPr="00013BDC">
        <w:rPr>
          <w:rFonts w:eastAsia="Times New Roman"/>
          <w:noProof/>
          <w:lang w:val="en-IE"/>
        </w:rPr>
        <w:t xml:space="preserve"> </w:t>
      </w:r>
      <w:r w:rsidR="00321B07" w:rsidRPr="00013BDC">
        <w:rPr>
          <w:rFonts w:eastAsia="Times New Roman"/>
          <w:noProof/>
          <w:lang w:val="en-IE"/>
        </w:rPr>
        <w:t xml:space="preserve">(87% of total waste generated) </w:t>
      </w:r>
      <w:r w:rsidRPr="00013BDC">
        <w:rPr>
          <w:rFonts w:eastAsia="Times New Roman"/>
          <w:noProof/>
          <w:lang w:val="en-IE"/>
        </w:rPr>
        <w:t xml:space="preserve">but only clothing and household textiles as well as footwear in some Member States are covered by the collection systems in Member States. </w:t>
      </w:r>
      <w:r w:rsidRPr="00013BDC">
        <w:rPr>
          <w:rFonts w:eastAsia="Calibri"/>
          <w:noProof/>
          <w:lang w:val="en-IE"/>
        </w:rPr>
        <w:t xml:space="preserve">This </w:t>
      </w:r>
      <w:r w:rsidRPr="00013BDC">
        <w:rPr>
          <w:noProof/>
          <w:lang w:val="en-IE"/>
        </w:rPr>
        <w:t>is a preliminary estimation and that may change as the JRC work progresses</w:t>
      </w:r>
      <w:r w:rsidRPr="00013BDC">
        <w:rPr>
          <w:rStyle w:val="FootnoteReference"/>
          <w:noProof/>
          <w:lang w:val="en-IE"/>
        </w:rPr>
        <w:footnoteReference w:id="160"/>
      </w:r>
    </w:p>
    <w:p w14:paraId="5E98F9B8" w14:textId="77777777" w:rsidR="00B62DA5" w:rsidRPr="00013BDC" w:rsidRDefault="00B62DA5" w:rsidP="00D33F5B">
      <w:pPr>
        <w:pStyle w:val="WDBody"/>
        <w:spacing w:after="120" w:line="240" w:lineRule="auto"/>
        <w:jc w:val="both"/>
        <w:rPr>
          <w:rFonts w:ascii="Times New Roman" w:eastAsia="Times New Roman" w:hAnsi="Times New Roman" w:cs="Times New Roman"/>
          <w:noProof/>
          <w:color w:val="auto"/>
          <w:sz w:val="24"/>
          <w:szCs w:val="24"/>
          <w:lang w:val="en-IE"/>
        </w:rPr>
      </w:pPr>
    </w:p>
    <w:p w14:paraId="18027104" w14:textId="4ADFA88F" w:rsidR="009229BA" w:rsidRPr="00013BDC" w:rsidRDefault="00082364" w:rsidP="00082364">
      <w:pPr>
        <w:rPr>
          <w:rFonts w:eastAsia="Times New Roman"/>
          <w:i/>
          <w:noProof/>
          <w:lang w:val="en-IE"/>
        </w:rPr>
      </w:pPr>
      <w:bookmarkStart w:id="604" w:name="_Toc133229287"/>
      <w:bookmarkStart w:id="605" w:name="_Toc139033014"/>
      <w:r w:rsidRPr="00013BDC">
        <w:rPr>
          <w:rFonts w:eastAsia="Times New Roman"/>
          <w:i/>
          <w:noProof/>
          <w:lang w:val="en-IE"/>
        </w:rPr>
        <w:t xml:space="preserve">Figure </w:t>
      </w:r>
      <w:r w:rsidR="004C5576">
        <w:rPr>
          <w:rFonts w:eastAsia="Times New Roman"/>
          <w:i/>
          <w:noProof/>
          <w:lang w:val="en-IE"/>
        </w:rPr>
        <w:t>17</w:t>
      </w:r>
      <w:r w:rsidRPr="00013BDC">
        <w:rPr>
          <w:rFonts w:eastAsia="Times New Roman"/>
          <w:i/>
          <w:noProof/>
          <w:lang w:val="en-IE"/>
        </w:rPr>
        <w:t xml:space="preserve">. </w:t>
      </w:r>
      <w:r w:rsidR="0015029A" w:rsidRPr="00013BDC">
        <w:rPr>
          <w:rFonts w:eastAsia="Times New Roman"/>
          <w:i/>
          <w:noProof/>
          <w:lang w:val="en-IE"/>
        </w:rPr>
        <w:t>G</w:t>
      </w:r>
      <w:r w:rsidRPr="00013BDC">
        <w:rPr>
          <w:rFonts w:eastAsia="Times New Roman"/>
          <w:i/>
          <w:noProof/>
          <w:lang w:val="en-IE"/>
        </w:rPr>
        <w:t>eneration of textile waste</w:t>
      </w:r>
      <w:r w:rsidR="00F34E13" w:rsidRPr="00013BDC">
        <w:rPr>
          <w:rFonts w:eastAsia="Times New Roman"/>
          <w:i/>
          <w:noProof/>
          <w:lang w:val="en-IE"/>
        </w:rPr>
        <w:t xml:space="preserve"> </w:t>
      </w:r>
      <w:r w:rsidR="0015029A" w:rsidRPr="00013BDC">
        <w:rPr>
          <w:rFonts w:eastAsia="Times New Roman"/>
          <w:i/>
          <w:noProof/>
          <w:lang w:val="en-IE"/>
        </w:rPr>
        <w:t>in the EU at</w:t>
      </w:r>
      <w:r w:rsidR="004E5645" w:rsidRPr="00013BDC">
        <w:rPr>
          <w:rFonts w:eastAsia="Times New Roman"/>
          <w:i/>
          <w:noProof/>
          <w:lang w:val="en-IE"/>
        </w:rPr>
        <w:t xml:space="preserve"> </w:t>
      </w:r>
      <w:r w:rsidR="002C7441" w:rsidRPr="00013BDC">
        <w:rPr>
          <w:rFonts w:eastAsia="Times New Roman"/>
          <w:i/>
          <w:noProof/>
          <w:lang w:val="en-IE"/>
        </w:rPr>
        <w:t xml:space="preserve">different </w:t>
      </w:r>
      <w:r w:rsidR="004E5645" w:rsidRPr="00013BDC">
        <w:rPr>
          <w:rFonts w:eastAsia="Times New Roman"/>
          <w:i/>
          <w:noProof/>
          <w:lang w:val="en-IE"/>
        </w:rPr>
        <w:t>stages of</w:t>
      </w:r>
      <w:r w:rsidR="00F34E13" w:rsidRPr="00013BDC">
        <w:rPr>
          <w:rFonts w:eastAsia="Times New Roman"/>
          <w:i/>
          <w:noProof/>
          <w:lang w:val="en-IE"/>
        </w:rPr>
        <w:t xml:space="preserve"> </w:t>
      </w:r>
      <w:r w:rsidR="00FB5236" w:rsidRPr="00013BDC">
        <w:rPr>
          <w:rFonts w:eastAsia="Times New Roman"/>
          <w:i/>
          <w:noProof/>
          <w:lang w:val="en-IE"/>
        </w:rPr>
        <w:t>textile life cycle</w:t>
      </w:r>
      <w:r w:rsidRPr="00013BDC">
        <w:rPr>
          <w:rFonts w:eastAsia="Times New Roman"/>
          <w:i/>
          <w:noProof/>
          <w:lang w:val="en-IE"/>
        </w:rPr>
        <w:t>.</w:t>
      </w:r>
      <w:bookmarkEnd w:id="604"/>
      <w:bookmarkEnd w:id="605"/>
    </w:p>
    <w:p w14:paraId="613A8C09" w14:textId="6D95A8A4" w:rsidR="00082364" w:rsidRPr="00013BDC" w:rsidRDefault="00082364" w:rsidP="00CB0CD2">
      <w:pPr>
        <w:jc w:val="center"/>
        <w:rPr>
          <w:rFonts w:eastAsia="Times New Roman"/>
          <w:i/>
          <w:noProof/>
          <w:lang w:val="en-IE"/>
        </w:rPr>
      </w:pPr>
      <w:r w:rsidRPr="00013BDC">
        <w:rPr>
          <w:rFonts w:eastAsia="Times New Roman"/>
          <w:i/>
          <w:noProof/>
          <w:lang w:eastAsia="en-GB"/>
        </w:rPr>
        <w:drawing>
          <wp:inline distT="0" distB="0" distL="0" distR="0" wp14:anchorId="21739736" wp14:editId="32C56800">
            <wp:extent cx="4892723" cy="2267585"/>
            <wp:effectExtent l="0" t="0" r="3175" b="1841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D3360AA" w14:textId="3CF3DD6A" w:rsidR="00A56E69" w:rsidRPr="00013BDC" w:rsidRDefault="00A56E69" w:rsidP="00A56E69">
      <w:pPr>
        <w:pStyle w:val="WDBody"/>
        <w:spacing w:after="120" w:line="240" w:lineRule="auto"/>
        <w:jc w:val="both"/>
        <w:rPr>
          <w:rFonts w:ascii="Times New Roman" w:eastAsia="Times New Roman" w:hAnsi="Times New Roman" w:cs="Times New Roman"/>
          <w:noProof/>
          <w:color w:val="auto"/>
          <w:sz w:val="24"/>
          <w:szCs w:val="24"/>
          <w:lang w:val="en-IE"/>
        </w:rPr>
      </w:pPr>
      <w:r w:rsidRPr="00013BDC">
        <w:rPr>
          <w:rFonts w:ascii="Times New Roman" w:eastAsia="Times New Roman" w:hAnsi="Times New Roman" w:cs="Times New Roman"/>
          <w:noProof/>
          <w:color w:val="auto"/>
          <w:sz w:val="24"/>
          <w:szCs w:val="24"/>
          <w:lang w:val="en-IE"/>
        </w:rPr>
        <w:t>Around 8.5 million tonnes of waste generated is currently being disposed.</w:t>
      </w:r>
    </w:p>
    <w:p w14:paraId="13DC13D4" w14:textId="77777777" w:rsidR="00897E4E" w:rsidRPr="00013BDC" w:rsidRDefault="00897E4E" w:rsidP="00954168">
      <w:pPr>
        <w:pStyle w:val="WDBody"/>
        <w:spacing w:after="120" w:line="240" w:lineRule="auto"/>
        <w:rPr>
          <w:rFonts w:ascii="Times New Roman" w:hAnsi="Times New Roman"/>
          <w:i/>
          <w:noProof/>
          <w:sz w:val="24"/>
          <w:u w:val="single"/>
          <w:lang w:val="en-IE"/>
        </w:rPr>
      </w:pPr>
    </w:p>
    <w:p w14:paraId="44556FDD" w14:textId="43EA701E" w:rsidR="7DD1C0DF" w:rsidRPr="00013BDC" w:rsidRDefault="27123482" w:rsidP="00954168">
      <w:pPr>
        <w:pStyle w:val="WDBody"/>
        <w:spacing w:after="120" w:line="240" w:lineRule="auto"/>
        <w:rPr>
          <w:i/>
          <w:noProof/>
          <w:u w:val="single"/>
          <w:lang w:val="en-IE"/>
        </w:rPr>
      </w:pPr>
      <w:r w:rsidRPr="00013BDC">
        <w:rPr>
          <w:rFonts w:ascii="Times New Roman" w:hAnsi="Times New Roman"/>
          <w:i/>
          <w:noProof/>
          <w:sz w:val="24"/>
          <w:u w:val="single"/>
          <w:lang w:val="en-IE"/>
        </w:rPr>
        <w:t xml:space="preserve">Post-production waste and pre-consumer </w:t>
      </w:r>
      <w:r w:rsidR="308824AB" w:rsidRPr="00013BDC">
        <w:rPr>
          <w:rFonts w:ascii="Times New Roman" w:hAnsi="Times New Roman"/>
          <w:i/>
          <w:noProof/>
          <w:sz w:val="24"/>
          <w:u w:val="single"/>
          <w:lang w:val="en-IE"/>
        </w:rPr>
        <w:t xml:space="preserve">textile </w:t>
      </w:r>
      <w:r w:rsidRPr="00013BDC">
        <w:rPr>
          <w:rFonts w:ascii="Times New Roman" w:hAnsi="Times New Roman"/>
          <w:i/>
          <w:noProof/>
          <w:sz w:val="24"/>
          <w:u w:val="single"/>
          <w:lang w:val="en-IE"/>
        </w:rPr>
        <w:t>waste</w:t>
      </w:r>
    </w:p>
    <w:p w14:paraId="3906BC93" w14:textId="77777777" w:rsidR="001C03F8" w:rsidRPr="00013BDC" w:rsidRDefault="27123482" w:rsidP="7F83C445">
      <w:pPr>
        <w:spacing w:after="120"/>
        <w:rPr>
          <w:rFonts w:eastAsia="Times New Roman"/>
          <w:noProof/>
          <w:lang w:val="en-IE"/>
        </w:rPr>
      </w:pPr>
      <w:r w:rsidRPr="00013BDC">
        <w:rPr>
          <w:rFonts w:eastAsia="Times New Roman"/>
          <w:noProof/>
          <w:lang w:val="en-IE"/>
        </w:rPr>
        <w:t>Data for production plants located outside the EU indicate that the total amount of residues generated during the manufacturing processes (post-production waste) of textiles is estimated at 41%, where 8%, 13% and 20% are attributed to the production of yarns, fabrics and finished textiles productions, respectively</w:t>
      </w:r>
      <w:r w:rsidRPr="00013BDC">
        <w:rPr>
          <w:rFonts w:eastAsia="Times New Roman"/>
          <w:noProof/>
          <w:vertAlign w:val="superscript"/>
          <w:lang w:val="en-IE"/>
        </w:rPr>
        <w:footnoteReference w:id="161"/>
      </w:r>
      <w:r w:rsidRPr="00013BDC">
        <w:rPr>
          <w:rFonts w:eastAsia="Times New Roman"/>
          <w:noProof/>
          <w:lang w:val="en-IE"/>
        </w:rPr>
        <w:t>. The manufacturing of other textile articles (e.g.</w:t>
      </w:r>
      <w:r w:rsidR="008E15DD" w:rsidRPr="00013BDC">
        <w:rPr>
          <w:rFonts w:eastAsia="Times New Roman"/>
          <w:noProof/>
          <w:lang w:val="en-IE"/>
        </w:rPr>
        <w:t>,</w:t>
      </w:r>
      <w:r w:rsidRPr="00013BDC">
        <w:rPr>
          <w:rFonts w:eastAsia="Times New Roman"/>
          <w:noProof/>
          <w:lang w:val="en-IE"/>
        </w:rPr>
        <w:t xml:space="preserve"> non-wovens, and certain household textiles) is likely associated to lower post-production losses. Limited data on residue generated from plants located in the EU is available, and the shares indicated above could be overestimated due to greater inefficiencies at plants located outside the EU. In addition, not all post-production residues are waste and can be </w:t>
      </w:r>
      <w:r w:rsidR="00D96247" w:rsidRPr="00013BDC">
        <w:rPr>
          <w:rFonts w:eastAsia="Times New Roman"/>
          <w:noProof/>
          <w:lang w:val="en-IE"/>
        </w:rPr>
        <w:t>reuse</w:t>
      </w:r>
      <w:r w:rsidRPr="00013BDC">
        <w:rPr>
          <w:rFonts w:eastAsia="Times New Roman"/>
          <w:noProof/>
          <w:lang w:val="en-IE"/>
        </w:rPr>
        <w:t>d or recycled. Some residues are already recycled on-site or used as input materials for other production process</w:t>
      </w:r>
      <w:r w:rsidR="00570B4A" w:rsidRPr="00013BDC">
        <w:rPr>
          <w:rFonts w:eastAsia="Times New Roman"/>
          <w:noProof/>
          <w:lang w:val="en-IE"/>
        </w:rPr>
        <w:t>es</w:t>
      </w:r>
      <w:r w:rsidRPr="00013BDC">
        <w:rPr>
          <w:rFonts w:eastAsia="Times New Roman"/>
          <w:noProof/>
          <w:lang w:val="en-IE"/>
        </w:rPr>
        <w:t xml:space="preserve"> and can therefore classify as a by-product (e.g.</w:t>
      </w:r>
      <w:r w:rsidR="008E15DD" w:rsidRPr="00013BDC">
        <w:rPr>
          <w:rFonts w:eastAsia="Times New Roman"/>
          <w:noProof/>
          <w:lang w:val="en-IE"/>
        </w:rPr>
        <w:t>,</w:t>
      </w:r>
      <w:r w:rsidRPr="00013BDC">
        <w:rPr>
          <w:rFonts w:eastAsia="Times New Roman"/>
          <w:noProof/>
          <w:lang w:val="en-IE"/>
        </w:rPr>
        <w:t xml:space="preserve"> as stuffing or insulation material, following mechanical treatment). Based on a limited data set reported by EU plants, it is indicated that solid waste generation from the finishing of textiles is lower in the EU compared to the number reported above</w:t>
      </w:r>
      <w:r w:rsidRPr="00013BDC">
        <w:rPr>
          <w:rFonts w:eastAsia="Times New Roman"/>
          <w:noProof/>
          <w:vertAlign w:val="superscript"/>
          <w:lang w:val="en-IE"/>
        </w:rPr>
        <w:footnoteReference w:id="162"/>
      </w:r>
      <w:r w:rsidRPr="00013BDC">
        <w:rPr>
          <w:rFonts w:eastAsia="Times New Roman"/>
          <w:noProof/>
          <w:lang w:val="en-IE"/>
        </w:rPr>
        <w:t xml:space="preserve">. In line with these observations, actual post-production waste going to landfill and/or incineration has been estimated at 10% of the total textile production in the EU, or at about 0.6 million tonnes </w:t>
      </w:r>
      <w:r w:rsidR="7A64F771" w:rsidRPr="00013BDC">
        <w:rPr>
          <w:rFonts w:eastAsia="Times New Roman"/>
          <w:noProof/>
          <w:lang w:val="en-IE"/>
        </w:rPr>
        <w:t>(Mt)</w:t>
      </w:r>
      <w:r w:rsidRPr="00013BDC">
        <w:rPr>
          <w:rFonts w:eastAsia="Times New Roman"/>
          <w:noProof/>
          <w:lang w:val="en-IE"/>
        </w:rPr>
        <w:t xml:space="preserve"> per year. </w:t>
      </w:r>
    </w:p>
    <w:p w14:paraId="70E9D498" w14:textId="28862619" w:rsidR="001C03F8" w:rsidRPr="00013BDC" w:rsidRDefault="001C03F8" w:rsidP="7F83C445">
      <w:pPr>
        <w:spacing w:after="120"/>
        <w:rPr>
          <w:rFonts w:eastAsia="Times New Roman"/>
          <w:noProof/>
          <w:lang w:val="en-IE"/>
        </w:rPr>
      </w:pPr>
      <w:r w:rsidRPr="00013BDC">
        <w:rPr>
          <w:rFonts w:eastAsia="Times New Roman"/>
          <w:noProof/>
          <w:lang w:val="en-IE"/>
        </w:rPr>
        <w:t xml:space="preserve">JRC estimates </w:t>
      </w:r>
      <w:r w:rsidR="004A7CB6" w:rsidRPr="00013BDC">
        <w:rPr>
          <w:rFonts w:eastAsia="Times New Roman"/>
          <w:noProof/>
          <w:lang w:val="en-IE"/>
        </w:rPr>
        <w:t>the</w:t>
      </w:r>
      <w:r w:rsidRPr="00013BDC">
        <w:rPr>
          <w:rFonts w:eastAsia="Times New Roman"/>
          <w:noProof/>
          <w:lang w:val="en-IE"/>
        </w:rPr>
        <w:t xml:space="preserve"> </w:t>
      </w:r>
      <w:r w:rsidR="00544A7A" w:rsidRPr="00013BDC">
        <w:rPr>
          <w:rFonts w:eastAsia="Times New Roman"/>
          <w:noProof/>
          <w:lang w:val="en-IE"/>
        </w:rPr>
        <w:t>post-industrial waste f</w:t>
      </w:r>
      <w:r w:rsidR="00151BA8" w:rsidRPr="00013BDC">
        <w:rPr>
          <w:rFonts w:eastAsia="Times New Roman"/>
          <w:noProof/>
          <w:lang w:val="en-IE"/>
        </w:rPr>
        <w:t>low in EU</w:t>
      </w:r>
      <w:r w:rsidR="00544A7A" w:rsidRPr="00013BDC">
        <w:rPr>
          <w:rFonts w:eastAsia="Times New Roman"/>
          <w:noProof/>
          <w:lang w:val="en-IE"/>
        </w:rPr>
        <w:t xml:space="preserve"> </w:t>
      </w:r>
      <w:r w:rsidR="00D0289B" w:rsidRPr="00013BDC">
        <w:rPr>
          <w:rFonts w:eastAsia="Times New Roman"/>
          <w:noProof/>
          <w:lang w:val="en-IE"/>
        </w:rPr>
        <w:t>at</w:t>
      </w:r>
      <w:r w:rsidR="00544A7A" w:rsidRPr="00013BDC">
        <w:rPr>
          <w:rFonts w:eastAsia="Times New Roman"/>
          <w:noProof/>
          <w:lang w:val="en-IE"/>
        </w:rPr>
        <w:t xml:space="preserve"> 1.3</w:t>
      </w:r>
      <w:r w:rsidR="0017399B" w:rsidRPr="00013BDC">
        <w:rPr>
          <w:rFonts w:eastAsia="Times New Roman"/>
          <w:noProof/>
          <w:lang w:val="en-IE"/>
        </w:rPr>
        <w:t>4</w:t>
      </w:r>
      <w:r w:rsidR="00544A7A" w:rsidRPr="00013BDC">
        <w:rPr>
          <w:rFonts w:eastAsia="Times New Roman"/>
          <w:noProof/>
          <w:lang w:val="en-IE"/>
        </w:rPr>
        <w:t xml:space="preserve"> Mt</w:t>
      </w:r>
      <w:r w:rsidR="00151BA8" w:rsidRPr="00013BDC">
        <w:rPr>
          <w:rFonts w:eastAsia="Times New Roman"/>
          <w:noProof/>
          <w:lang w:val="en-IE"/>
        </w:rPr>
        <w:t xml:space="preserve"> </w:t>
      </w:r>
      <w:r w:rsidR="004A7CB6" w:rsidRPr="00013BDC">
        <w:rPr>
          <w:rFonts w:eastAsia="Times New Roman"/>
          <w:noProof/>
          <w:lang w:val="en-IE"/>
        </w:rPr>
        <w:t>for</w:t>
      </w:r>
      <w:r w:rsidR="00151BA8" w:rsidRPr="00013BDC">
        <w:rPr>
          <w:rFonts w:eastAsia="Times New Roman"/>
          <w:noProof/>
          <w:lang w:val="en-IE"/>
        </w:rPr>
        <w:t xml:space="preserve"> </w:t>
      </w:r>
      <w:r w:rsidR="00B44AE8" w:rsidRPr="00013BDC">
        <w:rPr>
          <w:rFonts w:eastAsia="Times New Roman"/>
          <w:noProof/>
          <w:lang w:val="en-IE"/>
        </w:rPr>
        <w:t>the reference year 2019</w:t>
      </w:r>
      <w:r w:rsidR="007F2431" w:rsidRPr="00013BDC">
        <w:rPr>
          <w:rFonts w:eastAsia="Times New Roman"/>
          <w:noProof/>
          <w:lang w:val="en-IE"/>
        </w:rPr>
        <w:t xml:space="preserve">, accounting for </w:t>
      </w:r>
      <w:r w:rsidR="00B0676A" w:rsidRPr="00013BDC">
        <w:rPr>
          <w:rFonts w:eastAsia="Times New Roman"/>
          <w:noProof/>
          <w:lang w:val="en-IE"/>
        </w:rPr>
        <w:t>11% of all textile waste</w:t>
      </w:r>
      <w:r w:rsidR="007F2431" w:rsidRPr="00013BDC">
        <w:rPr>
          <w:rFonts w:eastAsia="Times New Roman"/>
          <w:noProof/>
          <w:lang w:val="en-IE"/>
        </w:rPr>
        <w:t xml:space="preserve"> generated</w:t>
      </w:r>
      <w:r w:rsidR="003A5D79" w:rsidRPr="00013BDC">
        <w:rPr>
          <w:rStyle w:val="FootnoteReference"/>
          <w:rFonts w:eastAsia="Times New Roman"/>
          <w:noProof/>
          <w:lang w:val="en-IE"/>
        </w:rPr>
        <w:footnoteReference w:id="163"/>
      </w:r>
      <w:r w:rsidR="00B0676A" w:rsidRPr="00013BDC">
        <w:rPr>
          <w:rFonts w:eastAsia="Times New Roman"/>
          <w:noProof/>
          <w:lang w:val="en-IE"/>
        </w:rPr>
        <w:t>.</w:t>
      </w:r>
    </w:p>
    <w:p w14:paraId="0011BEDB" w14:textId="631C0495" w:rsidR="009453BF" w:rsidRPr="00013BDC" w:rsidRDefault="27123482" w:rsidP="1CD2C0B1">
      <w:pPr>
        <w:spacing w:after="120"/>
        <w:rPr>
          <w:rFonts w:eastAsia="Times New Roman"/>
          <w:noProof/>
          <w:lang w:val="en-IE"/>
        </w:rPr>
      </w:pPr>
      <w:r w:rsidRPr="00013BDC">
        <w:rPr>
          <w:rFonts w:eastAsia="Times New Roman"/>
          <w:noProof/>
          <w:lang w:val="en-IE"/>
        </w:rPr>
        <w:t>Pre-consumer waste generated at the retail stage (e.g.</w:t>
      </w:r>
      <w:r w:rsidR="00633943" w:rsidRPr="00013BDC">
        <w:rPr>
          <w:rFonts w:eastAsia="Times New Roman"/>
          <w:noProof/>
          <w:lang w:val="en-IE"/>
        </w:rPr>
        <w:t>,</w:t>
      </w:r>
      <w:r w:rsidRPr="00013BDC">
        <w:rPr>
          <w:rFonts w:eastAsia="Times New Roman"/>
          <w:noProof/>
          <w:lang w:val="en-IE"/>
        </w:rPr>
        <w:t xml:space="preserve"> unsellable overstock of producers, brands, distributors, or retailers) is estimated at 0.</w:t>
      </w:r>
      <w:r w:rsidR="00074A12" w:rsidRPr="00013BDC">
        <w:rPr>
          <w:rFonts w:eastAsia="Times New Roman"/>
          <w:noProof/>
          <w:lang w:val="en-IE"/>
        </w:rPr>
        <w:t>33</w:t>
      </w:r>
      <w:r w:rsidRPr="00013BDC">
        <w:rPr>
          <w:rFonts w:eastAsia="Times New Roman"/>
          <w:noProof/>
          <w:lang w:val="en-IE"/>
        </w:rPr>
        <w:t xml:space="preserve"> </w:t>
      </w:r>
      <w:r w:rsidR="681431F9" w:rsidRPr="00013BDC">
        <w:rPr>
          <w:rFonts w:eastAsia="Times New Roman"/>
          <w:noProof/>
          <w:lang w:val="en-IE"/>
        </w:rPr>
        <w:t>Mt</w:t>
      </w:r>
      <w:r w:rsidRPr="00013BDC">
        <w:rPr>
          <w:rFonts w:eastAsia="Times New Roman"/>
          <w:noProof/>
          <w:lang w:val="en-IE"/>
        </w:rPr>
        <w:t xml:space="preserve"> per year</w:t>
      </w:r>
      <w:r w:rsidR="00B417BB" w:rsidRPr="00013BDC">
        <w:rPr>
          <w:rFonts w:eastAsia="Times New Roman"/>
          <w:noProof/>
          <w:lang w:val="en-IE"/>
        </w:rPr>
        <w:t xml:space="preserve"> (3% of the textile waste generated)</w:t>
      </w:r>
      <w:r w:rsidRPr="00013BDC">
        <w:rPr>
          <w:rFonts w:eastAsia="Times New Roman"/>
          <w:noProof/>
          <w:lang w:val="en-IE"/>
        </w:rPr>
        <w:t>. The exact fate of this fractions remains unknown</w:t>
      </w:r>
      <w:r w:rsidR="3BBE7CF8" w:rsidRPr="00013BDC">
        <w:rPr>
          <w:rFonts w:eastAsia="Times New Roman"/>
          <w:noProof/>
          <w:lang w:val="en-IE"/>
        </w:rPr>
        <w:t xml:space="preserve">, </w:t>
      </w:r>
      <w:r w:rsidRPr="00013BDC">
        <w:rPr>
          <w:rFonts w:eastAsia="Times New Roman"/>
          <w:noProof/>
          <w:lang w:val="en-IE"/>
        </w:rPr>
        <w:t>but likely involves disposal a</w:t>
      </w:r>
      <w:r w:rsidR="5C9C44EA" w:rsidRPr="00013BDC">
        <w:rPr>
          <w:rFonts w:eastAsia="Times New Roman"/>
          <w:noProof/>
          <w:lang w:val="en-IE"/>
        </w:rPr>
        <w:t>s a main route</w:t>
      </w:r>
      <w:r w:rsidRPr="00013BDC">
        <w:rPr>
          <w:rFonts w:eastAsia="Times New Roman"/>
          <w:noProof/>
          <w:vertAlign w:val="superscript"/>
          <w:lang w:val="en-IE"/>
        </w:rPr>
        <w:footnoteReference w:id="164"/>
      </w:r>
      <w:r w:rsidRPr="00013BDC">
        <w:rPr>
          <w:rFonts w:eastAsia="Times New Roman"/>
          <w:noProof/>
          <w:lang w:val="en-IE"/>
        </w:rPr>
        <w:t xml:space="preserve">. </w:t>
      </w:r>
      <w:r w:rsidR="004E6046" w:rsidRPr="00013BDC">
        <w:rPr>
          <w:rFonts w:eastAsia="Times New Roman"/>
          <w:noProof/>
          <w:lang w:val="en-IE"/>
        </w:rPr>
        <w:t>To improve the available information,</w:t>
      </w:r>
      <w:r w:rsidR="004E6046" w:rsidRPr="00013BDC">
        <w:rPr>
          <w:rFonts w:eastAsia="Times New Roman"/>
          <w:noProof/>
          <w:color w:val="000000" w:themeColor="text1"/>
          <w:lang w:val="en-IE"/>
        </w:rPr>
        <w:t xml:space="preserve"> </w:t>
      </w:r>
      <w:r w:rsidR="004E6046" w:rsidRPr="00013BDC">
        <w:rPr>
          <w:noProof/>
          <w:lang w:val="en-IE"/>
        </w:rPr>
        <w:t>the Commission proposed a transparency obligation under the revision of the Ecodesign for Sustainable Products Regulation</w:t>
      </w:r>
      <w:r w:rsidR="004E6046" w:rsidRPr="00013BDC">
        <w:rPr>
          <w:noProof/>
          <w:vertAlign w:val="superscript"/>
          <w:lang w:val="en-IE"/>
        </w:rPr>
        <w:footnoteReference w:id="165"/>
      </w:r>
      <w:r w:rsidR="004E6046" w:rsidRPr="00013BDC">
        <w:rPr>
          <w:noProof/>
          <w:lang w:val="en-IE"/>
        </w:rPr>
        <w:t xml:space="preserve"> for companies to disclose the number of products they discard and destroy, including textiles and their further treatment in terms of preparing for reuse, recycling, incineration or landfilling. No similar provisions exist for post-industrial waste.</w:t>
      </w:r>
      <w:r w:rsidR="004E6046" w:rsidRPr="00013BDC">
        <w:rPr>
          <w:rStyle w:val="CommentReference"/>
          <w:noProof/>
          <w:lang w:val="en-IE"/>
        </w:rPr>
        <w:t xml:space="preserve"> </w:t>
      </w:r>
      <w:r w:rsidR="009453BF" w:rsidRPr="00013BDC">
        <w:rPr>
          <w:noProof/>
          <w:lang w:val="en-IE"/>
        </w:rPr>
        <w:t>According to McKinsey brands and retailers generally collect their overstock with around 70 percent of overstock expected to be retained to be sold at a lower price either by the original retailer or a professional counterpart in Europe i.e., through a discount store. The share of retail volumes that is relevant for textile recycling is only the volumes that are truly unsellable due to defects that is estimated to be between 3 and 5 percent of total pre-consumer volumes</w:t>
      </w:r>
      <w:r w:rsidR="009453BF" w:rsidRPr="00013BDC">
        <w:rPr>
          <w:rStyle w:val="FootnoteReference"/>
          <w:noProof/>
          <w:lang w:val="en-IE"/>
        </w:rPr>
        <w:footnoteReference w:id="166"/>
      </w:r>
      <w:r w:rsidR="009453BF" w:rsidRPr="00013BDC">
        <w:rPr>
          <w:noProof/>
          <w:lang w:val="en-IE"/>
        </w:rPr>
        <w:t>.</w:t>
      </w:r>
    </w:p>
    <w:p w14:paraId="0276586C" w14:textId="6CCE1B1D" w:rsidR="7DD1C0DF" w:rsidRPr="00013BDC" w:rsidRDefault="00062F61" w:rsidP="00DE5640">
      <w:pPr>
        <w:rPr>
          <w:noProof/>
          <w:lang w:val="en-IE"/>
        </w:rPr>
      </w:pPr>
      <w:r w:rsidRPr="00013BDC">
        <w:rPr>
          <w:noProof/>
          <w:lang w:val="en-IE"/>
        </w:rPr>
        <w:t>The DG GROW study</w:t>
      </w:r>
      <w:r w:rsidR="002C479E" w:rsidRPr="00013BDC">
        <w:rPr>
          <w:noProof/>
          <w:vertAlign w:val="superscript"/>
          <w:lang w:val="en-IE"/>
        </w:rPr>
        <w:footnoteReference w:id="167"/>
      </w:r>
      <w:r w:rsidRPr="00013BDC">
        <w:rPr>
          <w:noProof/>
          <w:lang w:val="en-IE"/>
        </w:rPr>
        <w:t xml:space="preserve"> indicates that, i</w:t>
      </w:r>
      <w:r w:rsidR="57A3D4B0" w:rsidRPr="00013BDC">
        <w:rPr>
          <w:noProof/>
          <w:lang w:val="en-IE"/>
        </w:rPr>
        <w:t xml:space="preserve">n comparison to post-consumer waste pre-consumer and post-industrial waste is likely to consist of a smaller variety of fibre types and material blends with the identification of the material composition simpler in relation to post-consumer waste Additionally, post-industrial and pre-consumer textile wastes </w:t>
      </w:r>
      <w:r w:rsidRPr="00013BDC">
        <w:rPr>
          <w:noProof/>
          <w:lang w:val="en-IE"/>
        </w:rPr>
        <w:t>are</w:t>
      </w:r>
      <w:r w:rsidR="57A3D4B0" w:rsidRPr="00013BDC">
        <w:rPr>
          <w:noProof/>
          <w:lang w:val="en-IE"/>
        </w:rPr>
        <w:t xml:space="preserve"> generally not contamina</w:t>
      </w:r>
      <w:r w:rsidR="00E401E4" w:rsidRPr="00013BDC">
        <w:rPr>
          <w:noProof/>
          <w:lang w:val="en-IE"/>
        </w:rPr>
        <w:t>ted</w:t>
      </w:r>
      <w:r w:rsidR="57A3D4B0" w:rsidRPr="00013BDC">
        <w:rPr>
          <w:noProof/>
          <w:lang w:val="en-IE"/>
        </w:rPr>
        <w:t xml:space="preserve"> by soiling and are less likely to contain disruptors such as buttons and zips</w:t>
      </w:r>
      <w:r w:rsidR="00E401E4" w:rsidRPr="00013BDC">
        <w:rPr>
          <w:noProof/>
          <w:lang w:val="en-IE"/>
        </w:rPr>
        <w:t>. This</w:t>
      </w:r>
      <w:r w:rsidR="57A3D4B0" w:rsidRPr="00013BDC">
        <w:rPr>
          <w:noProof/>
          <w:lang w:val="en-IE"/>
        </w:rPr>
        <w:t xml:space="preserve"> mean</w:t>
      </w:r>
      <w:r w:rsidR="00E401E4" w:rsidRPr="00013BDC">
        <w:rPr>
          <w:noProof/>
          <w:lang w:val="en-IE"/>
        </w:rPr>
        <w:t>s</w:t>
      </w:r>
      <w:r w:rsidR="57A3D4B0" w:rsidRPr="00013BDC">
        <w:rPr>
          <w:noProof/>
          <w:lang w:val="en-IE"/>
        </w:rPr>
        <w:t xml:space="preserve"> that the waste materials generated are more suitable for recycling tha</w:t>
      </w:r>
      <w:r w:rsidR="00A41C9B" w:rsidRPr="00013BDC">
        <w:rPr>
          <w:noProof/>
          <w:lang w:val="en-IE"/>
        </w:rPr>
        <w:t>n</w:t>
      </w:r>
      <w:r w:rsidR="57A3D4B0" w:rsidRPr="00013BDC">
        <w:rPr>
          <w:noProof/>
          <w:lang w:val="en-IE"/>
        </w:rPr>
        <w:t xml:space="preserve"> post-consumer textiles and </w:t>
      </w:r>
      <w:r w:rsidR="00F81072" w:rsidRPr="00013BDC">
        <w:rPr>
          <w:noProof/>
          <w:lang w:val="en-IE"/>
        </w:rPr>
        <w:t>that is</w:t>
      </w:r>
      <w:r w:rsidR="57A3D4B0" w:rsidRPr="00013BDC">
        <w:rPr>
          <w:noProof/>
          <w:lang w:val="en-IE"/>
        </w:rPr>
        <w:t xml:space="preserve"> why some recycling technologies limit themselves to processing </w:t>
      </w:r>
      <w:r w:rsidR="00F81072" w:rsidRPr="00013BDC">
        <w:rPr>
          <w:noProof/>
          <w:lang w:val="en-IE"/>
        </w:rPr>
        <w:t>these wastes</w:t>
      </w:r>
      <w:r w:rsidR="57A3D4B0" w:rsidRPr="00013BDC">
        <w:rPr>
          <w:noProof/>
          <w:lang w:val="en-IE"/>
        </w:rPr>
        <w:t xml:space="preserve"> or pre-consumer textile waste streams</w:t>
      </w:r>
      <w:r w:rsidR="7DD1C0DF" w:rsidRPr="00013BDC">
        <w:rPr>
          <w:noProof/>
          <w:vertAlign w:val="superscript"/>
          <w:lang w:val="en-IE"/>
        </w:rPr>
        <w:footnoteReference w:id="168"/>
      </w:r>
      <w:r w:rsidR="57A3D4B0" w:rsidRPr="00013BDC">
        <w:rPr>
          <w:noProof/>
          <w:lang w:val="en-IE"/>
        </w:rPr>
        <w:t>. This makes these types of waste a valuable input to supporting the development of recycling infrastructure across the EU.</w:t>
      </w:r>
    </w:p>
    <w:p w14:paraId="196D991B" w14:textId="4ABC5133" w:rsidR="1CA2F610" w:rsidRPr="00013BDC" w:rsidRDefault="2D49C56C" w:rsidP="00954168">
      <w:pPr>
        <w:pStyle w:val="WDBody"/>
        <w:spacing w:after="120" w:line="240" w:lineRule="auto"/>
        <w:rPr>
          <w:i/>
          <w:noProof/>
          <w:u w:val="single"/>
          <w:lang w:val="en-IE"/>
        </w:rPr>
      </w:pPr>
      <w:r w:rsidRPr="00013BDC">
        <w:rPr>
          <w:rFonts w:ascii="Times New Roman" w:hAnsi="Times New Roman"/>
          <w:i/>
          <w:noProof/>
          <w:sz w:val="24"/>
          <w:u w:val="single"/>
          <w:lang w:val="en-IE"/>
        </w:rPr>
        <w:t>Post-consumer textile waste</w:t>
      </w:r>
    </w:p>
    <w:p w14:paraId="69A02373" w14:textId="77777777" w:rsidR="00D05904" w:rsidRPr="00013BDC" w:rsidRDefault="00891DD1" w:rsidP="00954168">
      <w:pPr>
        <w:rPr>
          <w:rFonts w:eastAsia="Times New Roman"/>
          <w:noProof/>
          <w:lang w:val="en-IE"/>
        </w:rPr>
      </w:pPr>
      <w:r w:rsidRPr="00013BDC">
        <w:rPr>
          <w:rFonts w:eastAsia="Times New Roman"/>
          <w:noProof/>
          <w:lang w:val="en-IE"/>
        </w:rPr>
        <w:t>When discounting pre-consumer waste, JRC report</w:t>
      </w:r>
      <w:r w:rsidRPr="00013BDC">
        <w:rPr>
          <w:rStyle w:val="FootnoteReference"/>
          <w:rFonts w:eastAsia="Times New Roman"/>
          <w:noProof/>
          <w:lang w:val="en-IE"/>
        </w:rPr>
        <w:footnoteReference w:id="169"/>
      </w:r>
      <w:r w:rsidRPr="00013BDC">
        <w:rPr>
          <w:rFonts w:eastAsia="Times New Roman"/>
          <w:noProof/>
          <w:lang w:val="en-IE"/>
        </w:rPr>
        <w:t xml:space="preserve"> estimates the apparent consumption for 2019 at 11.7 Mt. Based on historic data of apparent textile consumption and expected lifespan of the textile products that make up the consumption, it is estimated that </w:t>
      </w:r>
      <w:r w:rsidR="00BE44EF" w:rsidRPr="00013BDC">
        <w:rPr>
          <w:rFonts w:eastAsia="Times New Roman"/>
          <w:noProof/>
          <w:lang w:val="en-IE"/>
        </w:rPr>
        <w:t xml:space="preserve">0.6 </w:t>
      </w:r>
      <w:r w:rsidRPr="00013BDC">
        <w:rPr>
          <w:rFonts w:eastAsia="Times New Roman"/>
          <w:noProof/>
          <w:lang w:val="en-IE"/>
        </w:rPr>
        <w:t xml:space="preserve">Mt are stored by consumers, leading to a post-consumer textile waste flow of </w:t>
      </w:r>
      <w:r w:rsidR="00BE44EF" w:rsidRPr="00013BDC">
        <w:rPr>
          <w:rFonts w:eastAsia="Times New Roman"/>
          <w:noProof/>
          <w:lang w:val="en-IE"/>
        </w:rPr>
        <w:t>10.9</w:t>
      </w:r>
      <w:r w:rsidRPr="00013BDC">
        <w:rPr>
          <w:rFonts w:eastAsia="Times New Roman"/>
          <w:noProof/>
          <w:lang w:val="en-IE"/>
        </w:rPr>
        <w:t xml:space="preserve"> Mt tonnes generated in 2019. A</w:t>
      </w:r>
      <w:r w:rsidR="00B345A2" w:rsidRPr="00013BDC">
        <w:rPr>
          <w:rFonts w:eastAsia="Times New Roman"/>
          <w:noProof/>
          <w:lang w:val="en-IE"/>
        </w:rPr>
        <w:t>n</w:t>
      </w:r>
      <w:r w:rsidRPr="00013BDC">
        <w:rPr>
          <w:rFonts w:eastAsia="Times New Roman"/>
          <w:noProof/>
          <w:lang w:val="en-IE"/>
        </w:rPr>
        <w:t xml:space="preserve"> uncertainty </w:t>
      </w:r>
      <w:r w:rsidR="00F647DA" w:rsidRPr="00013BDC">
        <w:rPr>
          <w:rFonts w:eastAsia="Times New Roman"/>
          <w:noProof/>
          <w:lang w:val="en-IE"/>
        </w:rPr>
        <w:t>range</w:t>
      </w:r>
      <w:r w:rsidRPr="00013BDC">
        <w:rPr>
          <w:rFonts w:eastAsia="Times New Roman"/>
          <w:noProof/>
          <w:lang w:val="en-IE"/>
        </w:rPr>
        <w:t xml:space="preserve"> of </w:t>
      </w:r>
      <w:r w:rsidR="007825CB" w:rsidRPr="00013BDC">
        <w:rPr>
          <w:rFonts w:eastAsia="Times New Roman"/>
          <w:noProof/>
          <w:lang w:val="en-IE"/>
        </w:rPr>
        <w:t>10.2-11.5 Mt</w:t>
      </w:r>
      <w:r w:rsidRPr="00013BDC">
        <w:rPr>
          <w:rFonts w:eastAsia="Times New Roman"/>
          <w:noProof/>
          <w:lang w:val="en-IE"/>
        </w:rPr>
        <w:t xml:space="preserve"> is associated with these flows due to the variations in textile lifespans. </w:t>
      </w:r>
    </w:p>
    <w:p w14:paraId="27FEDED6" w14:textId="347E3ABD" w:rsidR="00891DD1" w:rsidRPr="00013BDC" w:rsidRDefault="00891DD1" w:rsidP="00954168">
      <w:pPr>
        <w:rPr>
          <w:rFonts w:eastAsia="Times New Roman"/>
          <w:noProof/>
          <w:lang w:val="en-IE"/>
        </w:rPr>
      </w:pPr>
      <w:r w:rsidRPr="00013BDC">
        <w:rPr>
          <w:rFonts w:eastAsia="Times New Roman"/>
          <w:noProof/>
          <w:lang w:val="en-IE"/>
        </w:rPr>
        <w:t>The post-consumer waste is estimated to consist mostly of clothing, footwear, and household textiles, with lower shares of technical textiles and articles that have multiple uses (e.g., non-wovens).</w:t>
      </w:r>
    </w:p>
    <w:p w14:paraId="478E6F5B" w14:textId="4D3C1085" w:rsidR="00D45084" w:rsidRPr="00013BDC" w:rsidRDefault="00D45084" w:rsidP="00D45084">
      <w:pPr>
        <w:pStyle w:val="Caption"/>
        <w:rPr>
          <w:noProof/>
          <w:color w:val="auto"/>
          <w:sz w:val="24"/>
          <w:szCs w:val="24"/>
          <w:lang w:val="en-IE"/>
        </w:rPr>
      </w:pPr>
      <w:bookmarkStart w:id="606" w:name="_Ref132976755"/>
      <w:bookmarkStart w:id="607" w:name="_Ref132635157"/>
      <w:bookmarkStart w:id="608" w:name="_Toc133229433"/>
      <w:bookmarkStart w:id="609" w:name="_Toc139033055"/>
      <w:r w:rsidRPr="00013BDC">
        <w:rPr>
          <w:noProof/>
          <w:color w:val="auto"/>
          <w:sz w:val="24"/>
          <w:szCs w:val="24"/>
          <w:lang w:val="en-IE"/>
        </w:rPr>
        <w:t xml:space="preserve">Table </w:t>
      </w:r>
      <w:r w:rsidR="004C5576">
        <w:rPr>
          <w:noProof/>
          <w:color w:val="auto"/>
          <w:sz w:val="24"/>
          <w:szCs w:val="24"/>
        </w:rPr>
        <w:t>25</w:t>
      </w:r>
      <w:bookmarkEnd w:id="606"/>
      <w:r w:rsidRPr="00013BDC">
        <w:rPr>
          <w:noProof/>
          <w:color w:val="auto"/>
          <w:sz w:val="24"/>
          <w:szCs w:val="24"/>
          <w:lang w:val="en-IE"/>
        </w:rPr>
        <w:t xml:space="preserve"> –</w:t>
      </w:r>
      <w:r w:rsidR="00AC5F61" w:rsidRPr="00013BDC">
        <w:rPr>
          <w:noProof/>
          <w:color w:val="auto"/>
          <w:sz w:val="24"/>
          <w:szCs w:val="24"/>
          <w:lang w:val="en-IE"/>
        </w:rPr>
        <w:t xml:space="preserve">Estimated composition of flows </w:t>
      </w:r>
      <w:r w:rsidRPr="00013BDC">
        <w:rPr>
          <w:noProof/>
          <w:color w:val="auto"/>
          <w:sz w:val="24"/>
          <w:szCs w:val="24"/>
          <w:lang w:val="en-IE"/>
        </w:rPr>
        <w:t>at category and subcategory level of the estimated post-consumer textile waste</w:t>
      </w:r>
      <w:bookmarkEnd w:id="607"/>
      <w:bookmarkEnd w:id="608"/>
      <w:bookmarkEnd w:id="609"/>
    </w:p>
    <w:tbl>
      <w:tblPr>
        <w:tblStyle w:val="TableGrid"/>
        <w:tblW w:w="9346" w:type="dxa"/>
        <w:tblLayout w:type="fixed"/>
        <w:tblLook w:val="04A0" w:firstRow="1" w:lastRow="0" w:firstColumn="1" w:lastColumn="0" w:noHBand="0" w:noVBand="1"/>
      </w:tblPr>
      <w:tblGrid>
        <w:gridCol w:w="3287"/>
        <w:gridCol w:w="3224"/>
        <w:gridCol w:w="1417"/>
        <w:gridCol w:w="1418"/>
      </w:tblGrid>
      <w:tr w:rsidR="00AC5F61" w:rsidRPr="00013BDC" w14:paraId="280AD91D" w14:textId="77777777" w:rsidTr="00E31F49">
        <w:trPr>
          <w:trHeight w:val="300"/>
          <w:tblHeader/>
        </w:trPr>
        <w:tc>
          <w:tcPr>
            <w:tcW w:w="3287" w:type="dxa"/>
            <w:vMerge w:val="restart"/>
            <w:tcBorders>
              <w:top w:val="single" w:sz="8" w:space="0" w:color="auto"/>
              <w:left w:val="single" w:sz="8" w:space="0" w:color="auto"/>
              <w:bottom w:val="single" w:sz="4" w:space="0" w:color="auto"/>
              <w:right w:val="single" w:sz="8" w:space="0" w:color="auto"/>
            </w:tcBorders>
            <w:vAlign w:val="center"/>
            <w:hideMark/>
          </w:tcPr>
          <w:p w14:paraId="6724FECB" w14:textId="77777777" w:rsidR="00AC5F61" w:rsidRPr="00013BDC" w:rsidRDefault="00AC5F61" w:rsidP="00E31F49">
            <w:pPr>
              <w:jc w:val="left"/>
              <w:rPr>
                <w:noProof/>
                <w:sz w:val="22"/>
                <w:lang w:val="en-IE"/>
              </w:rPr>
            </w:pPr>
            <w:r w:rsidRPr="00013BDC">
              <w:rPr>
                <w:rFonts w:eastAsia="EC Square Sans Pro"/>
                <w:b/>
                <w:noProof/>
                <w:sz w:val="22"/>
                <w:lang w:val="en-IE"/>
              </w:rPr>
              <w:t>Category</w:t>
            </w:r>
          </w:p>
        </w:tc>
        <w:tc>
          <w:tcPr>
            <w:tcW w:w="3224" w:type="dxa"/>
            <w:vMerge w:val="restart"/>
            <w:tcBorders>
              <w:top w:val="single" w:sz="8" w:space="0" w:color="auto"/>
              <w:left w:val="single" w:sz="8" w:space="0" w:color="auto"/>
              <w:bottom w:val="single" w:sz="4" w:space="0" w:color="auto"/>
              <w:right w:val="single" w:sz="8" w:space="0" w:color="auto"/>
            </w:tcBorders>
            <w:vAlign w:val="center"/>
            <w:hideMark/>
          </w:tcPr>
          <w:p w14:paraId="114F9F25" w14:textId="77777777" w:rsidR="00AC5F61" w:rsidRPr="00013BDC" w:rsidRDefault="00AC5F61" w:rsidP="00E31F49">
            <w:pPr>
              <w:jc w:val="left"/>
              <w:rPr>
                <w:noProof/>
                <w:sz w:val="22"/>
                <w:lang w:val="en-IE"/>
              </w:rPr>
            </w:pPr>
            <w:r w:rsidRPr="00013BDC">
              <w:rPr>
                <w:rFonts w:eastAsia="EC Square Sans Pro"/>
                <w:b/>
                <w:noProof/>
                <w:sz w:val="22"/>
                <w:lang w:val="en-IE"/>
              </w:rPr>
              <w:t>Subcategory</w:t>
            </w:r>
          </w:p>
        </w:tc>
        <w:tc>
          <w:tcPr>
            <w:tcW w:w="2835" w:type="dxa"/>
            <w:gridSpan w:val="2"/>
            <w:tcBorders>
              <w:top w:val="single" w:sz="8" w:space="0" w:color="auto"/>
              <w:left w:val="single" w:sz="8" w:space="0" w:color="auto"/>
              <w:bottom w:val="single" w:sz="8" w:space="0" w:color="auto"/>
              <w:right w:val="single" w:sz="8" w:space="0" w:color="auto"/>
            </w:tcBorders>
            <w:vAlign w:val="center"/>
            <w:hideMark/>
          </w:tcPr>
          <w:p w14:paraId="36990969" w14:textId="77777777" w:rsidR="00AC5F61" w:rsidRPr="00013BDC" w:rsidRDefault="00AC5F61" w:rsidP="00E31F49">
            <w:pPr>
              <w:jc w:val="left"/>
              <w:rPr>
                <w:noProof/>
                <w:sz w:val="22"/>
                <w:szCs w:val="22"/>
                <w:lang w:val="en-IE"/>
              </w:rPr>
            </w:pPr>
            <w:r w:rsidRPr="00013BDC">
              <w:rPr>
                <w:rFonts w:eastAsia="EC Square Sans Pro"/>
                <w:b/>
                <w:noProof/>
                <w:sz w:val="22"/>
                <w:szCs w:val="22"/>
                <w:lang w:val="en-IE"/>
              </w:rPr>
              <w:t>Post-consumer waste</w:t>
            </w:r>
          </w:p>
        </w:tc>
      </w:tr>
      <w:tr w:rsidR="00AC5F61" w:rsidRPr="00013BDC" w14:paraId="298537A4" w14:textId="77777777" w:rsidTr="002A2D87">
        <w:trPr>
          <w:trHeight w:val="300"/>
          <w:tblHeader/>
        </w:trPr>
        <w:tc>
          <w:tcPr>
            <w:tcW w:w="3287" w:type="dxa"/>
            <w:vMerge/>
            <w:tcBorders>
              <w:top w:val="single" w:sz="8" w:space="0" w:color="auto"/>
              <w:left w:val="single" w:sz="8" w:space="0" w:color="auto"/>
              <w:bottom w:val="single" w:sz="4" w:space="0" w:color="auto"/>
              <w:right w:val="single" w:sz="8" w:space="0" w:color="auto"/>
            </w:tcBorders>
            <w:vAlign w:val="center"/>
            <w:hideMark/>
          </w:tcPr>
          <w:p w14:paraId="4337EA74" w14:textId="77777777" w:rsidR="00AC5F61" w:rsidRPr="00013BDC" w:rsidRDefault="00AC5F61" w:rsidP="00E31F49">
            <w:pPr>
              <w:spacing w:after="0"/>
              <w:jc w:val="left"/>
              <w:rPr>
                <w:noProof/>
                <w:sz w:val="22"/>
                <w:lang w:val="en-IE"/>
              </w:rPr>
            </w:pPr>
          </w:p>
        </w:tc>
        <w:tc>
          <w:tcPr>
            <w:tcW w:w="3224" w:type="dxa"/>
            <w:vMerge/>
            <w:tcBorders>
              <w:top w:val="single" w:sz="8" w:space="0" w:color="auto"/>
              <w:left w:val="single" w:sz="8" w:space="0" w:color="auto"/>
              <w:bottom w:val="single" w:sz="4" w:space="0" w:color="auto"/>
              <w:right w:val="single" w:sz="8" w:space="0" w:color="auto"/>
            </w:tcBorders>
            <w:vAlign w:val="center"/>
            <w:hideMark/>
          </w:tcPr>
          <w:p w14:paraId="532A3177" w14:textId="77777777" w:rsidR="00AC5F61" w:rsidRPr="00013BDC" w:rsidRDefault="00AC5F61" w:rsidP="00E31F49">
            <w:pPr>
              <w:spacing w:after="0"/>
              <w:jc w:val="left"/>
              <w:rPr>
                <w:noProof/>
                <w:sz w:val="22"/>
                <w:lang w:val="en-IE"/>
              </w:rPr>
            </w:pPr>
          </w:p>
        </w:tc>
        <w:tc>
          <w:tcPr>
            <w:tcW w:w="1417" w:type="dxa"/>
            <w:tcBorders>
              <w:top w:val="single" w:sz="8" w:space="0" w:color="auto"/>
              <w:left w:val="nil"/>
              <w:bottom w:val="single" w:sz="8" w:space="0" w:color="auto"/>
              <w:right w:val="single" w:sz="8" w:space="0" w:color="auto"/>
            </w:tcBorders>
            <w:vAlign w:val="center"/>
            <w:hideMark/>
          </w:tcPr>
          <w:p w14:paraId="14B88D75" w14:textId="77777777" w:rsidR="00AC5F61" w:rsidRPr="00013BDC" w:rsidRDefault="00AC5F61" w:rsidP="00E31F49">
            <w:pPr>
              <w:jc w:val="left"/>
              <w:rPr>
                <w:noProof/>
                <w:sz w:val="22"/>
                <w:lang w:val="en-IE"/>
              </w:rPr>
            </w:pPr>
            <w:r w:rsidRPr="00013BDC">
              <w:rPr>
                <w:rFonts w:eastAsia="EC Square Sans Pro"/>
                <w:noProof/>
                <w:sz w:val="22"/>
                <w:lang w:val="en-IE"/>
              </w:rPr>
              <w:t>Category share</w:t>
            </w:r>
          </w:p>
        </w:tc>
        <w:tc>
          <w:tcPr>
            <w:tcW w:w="1418" w:type="dxa"/>
            <w:tcBorders>
              <w:top w:val="nil"/>
              <w:left w:val="single" w:sz="8" w:space="0" w:color="auto"/>
              <w:bottom w:val="single" w:sz="8" w:space="0" w:color="auto"/>
              <w:right w:val="single" w:sz="8" w:space="0" w:color="auto"/>
            </w:tcBorders>
            <w:vAlign w:val="center"/>
            <w:hideMark/>
          </w:tcPr>
          <w:p w14:paraId="07177236" w14:textId="77777777" w:rsidR="00AC5F61" w:rsidRPr="00013BDC" w:rsidRDefault="00AC5F61" w:rsidP="00E31F49">
            <w:pPr>
              <w:jc w:val="left"/>
              <w:rPr>
                <w:noProof/>
                <w:sz w:val="22"/>
                <w:lang w:val="en-IE"/>
              </w:rPr>
            </w:pPr>
            <w:r w:rsidRPr="00013BDC">
              <w:rPr>
                <w:rFonts w:eastAsia="EC Square Sans Pro"/>
                <w:noProof/>
                <w:sz w:val="22"/>
                <w:lang w:val="en-IE"/>
              </w:rPr>
              <w:t>Subcategory share</w:t>
            </w:r>
          </w:p>
        </w:tc>
      </w:tr>
      <w:tr w:rsidR="00AC5F61" w:rsidRPr="00013BDC" w14:paraId="70A29A1D" w14:textId="77777777" w:rsidTr="002A2D87">
        <w:trPr>
          <w:trHeight w:val="300"/>
        </w:trPr>
        <w:tc>
          <w:tcPr>
            <w:tcW w:w="3287" w:type="dxa"/>
            <w:vMerge w:val="restart"/>
            <w:tcBorders>
              <w:top w:val="nil"/>
              <w:left w:val="single" w:sz="8" w:space="0" w:color="auto"/>
              <w:bottom w:val="single" w:sz="4" w:space="0" w:color="auto"/>
              <w:right w:val="single" w:sz="8" w:space="0" w:color="auto"/>
            </w:tcBorders>
            <w:vAlign w:val="center"/>
            <w:hideMark/>
          </w:tcPr>
          <w:p w14:paraId="76B466FE" w14:textId="77777777" w:rsidR="00AC5F61" w:rsidRPr="00013BDC" w:rsidRDefault="00AC5F61" w:rsidP="00E31F49">
            <w:pPr>
              <w:spacing w:after="120"/>
              <w:jc w:val="left"/>
              <w:rPr>
                <w:noProof/>
                <w:sz w:val="22"/>
                <w:lang w:val="en-IE"/>
              </w:rPr>
            </w:pPr>
            <w:r w:rsidRPr="00013BDC">
              <w:rPr>
                <w:rFonts w:eastAsia="EC Square Sans Pro"/>
                <w:noProof/>
                <w:sz w:val="22"/>
                <w:lang w:val="en-IE"/>
              </w:rPr>
              <w:t xml:space="preserve">Clothing </w:t>
            </w:r>
          </w:p>
          <w:p w14:paraId="01E00501" w14:textId="77777777" w:rsidR="00AC5F61" w:rsidRPr="00013BDC" w:rsidRDefault="00AC5F61" w:rsidP="00E31F49">
            <w:pPr>
              <w:spacing w:after="120"/>
              <w:jc w:val="left"/>
              <w:rPr>
                <w:noProof/>
                <w:sz w:val="22"/>
                <w:lang w:val="en-IE"/>
              </w:rPr>
            </w:pPr>
            <w:r w:rsidRPr="00013BDC">
              <w:rPr>
                <w:rFonts w:eastAsia="EC Square Sans Pro"/>
                <w:noProof/>
                <w:sz w:val="22"/>
                <w:lang w:val="en-IE"/>
              </w:rPr>
              <w:t xml:space="preserve">and </w:t>
            </w:r>
          </w:p>
          <w:p w14:paraId="0A2CAC0B" w14:textId="77777777" w:rsidR="00AC5F61" w:rsidRPr="00013BDC" w:rsidRDefault="00AC5F61" w:rsidP="00E31F49">
            <w:pPr>
              <w:spacing w:after="120"/>
              <w:jc w:val="left"/>
              <w:rPr>
                <w:noProof/>
                <w:sz w:val="22"/>
                <w:lang w:val="en-IE"/>
              </w:rPr>
            </w:pPr>
            <w:r w:rsidRPr="00013BDC">
              <w:rPr>
                <w:rFonts w:eastAsia="EC Square Sans Pro"/>
                <w:noProof/>
                <w:sz w:val="22"/>
                <w:lang w:val="en-IE"/>
              </w:rPr>
              <w:t>footwear</w:t>
            </w:r>
          </w:p>
        </w:tc>
        <w:tc>
          <w:tcPr>
            <w:tcW w:w="3224" w:type="dxa"/>
            <w:tcBorders>
              <w:top w:val="nil"/>
              <w:left w:val="single" w:sz="8" w:space="0" w:color="auto"/>
              <w:bottom w:val="single" w:sz="8" w:space="0" w:color="auto"/>
              <w:right w:val="single" w:sz="8" w:space="0" w:color="auto"/>
            </w:tcBorders>
            <w:vAlign w:val="center"/>
            <w:hideMark/>
          </w:tcPr>
          <w:p w14:paraId="6ED0C9B5" w14:textId="77777777" w:rsidR="00AC5F61" w:rsidRPr="00013BDC" w:rsidRDefault="00AC5F61" w:rsidP="00E31F49">
            <w:pPr>
              <w:spacing w:after="120"/>
              <w:jc w:val="left"/>
              <w:rPr>
                <w:noProof/>
                <w:sz w:val="22"/>
                <w:lang w:val="en-IE"/>
              </w:rPr>
            </w:pPr>
            <w:r w:rsidRPr="00013BDC">
              <w:rPr>
                <w:rFonts w:eastAsia="EC Square Sans Pro"/>
                <w:noProof/>
                <w:sz w:val="22"/>
                <w:lang w:val="en-IE"/>
              </w:rPr>
              <w:t>Jackets and coats</w:t>
            </w:r>
          </w:p>
        </w:tc>
        <w:tc>
          <w:tcPr>
            <w:tcW w:w="1417" w:type="dxa"/>
            <w:vMerge w:val="restart"/>
            <w:tcBorders>
              <w:top w:val="single" w:sz="8" w:space="0" w:color="auto"/>
              <w:left w:val="single" w:sz="8" w:space="0" w:color="auto"/>
              <w:bottom w:val="single" w:sz="4" w:space="0" w:color="auto"/>
              <w:right w:val="single" w:sz="8" w:space="0" w:color="auto"/>
            </w:tcBorders>
            <w:vAlign w:val="center"/>
            <w:hideMark/>
          </w:tcPr>
          <w:p w14:paraId="5AD71FED" w14:textId="77777777" w:rsidR="00AC5F61" w:rsidRPr="00013BDC" w:rsidRDefault="00AC5F61" w:rsidP="00E31F49">
            <w:pPr>
              <w:spacing w:after="120"/>
              <w:jc w:val="right"/>
              <w:rPr>
                <w:noProof/>
                <w:sz w:val="22"/>
                <w:lang w:val="en-IE"/>
              </w:rPr>
            </w:pPr>
            <w:r w:rsidRPr="00013BDC">
              <w:rPr>
                <w:rFonts w:eastAsia="EC Square Sans Pro"/>
                <w:noProof/>
                <w:sz w:val="22"/>
                <w:lang w:val="en-IE"/>
              </w:rPr>
              <w:t>48.2%</w:t>
            </w:r>
          </w:p>
        </w:tc>
        <w:tc>
          <w:tcPr>
            <w:tcW w:w="1418" w:type="dxa"/>
            <w:tcBorders>
              <w:top w:val="single" w:sz="8" w:space="0" w:color="auto"/>
              <w:left w:val="single" w:sz="8" w:space="0" w:color="auto"/>
              <w:bottom w:val="single" w:sz="8" w:space="0" w:color="auto"/>
              <w:right w:val="single" w:sz="8" w:space="0" w:color="auto"/>
            </w:tcBorders>
            <w:vAlign w:val="center"/>
            <w:hideMark/>
          </w:tcPr>
          <w:p w14:paraId="09F0A97B" w14:textId="77777777" w:rsidR="00AC5F61" w:rsidRPr="00013BDC" w:rsidRDefault="00AC5F61" w:rsidP="00E31F49">
            <w:pPr>
              <w:spacing w:after="120"/>
              <w:jc w:val="right"/>
              <w:rPr>
                <w:noProof/>
                <w:sz w:val="22"/>
                <w:lang w:val="en-IE"/>
              </w:rPr>
            </w:pPr>
            <w:r w:rsidRPr="00013BDC">
              <w:rPr>
                <w:rFonts w:eastAsia="EC Square Sans Pro"/>
                <w:noProof/>
                <w:sz w:val="22"/>
                <w:lang w:val="en-IE"/>
              </w:rPr>
              <w:t>9.7%</w:t>
            </w:r>
          </w:p>
        </w:tc>
      </w:tr>
      <w:tr w:rsidR="00AC5F61" w:rsidRPr="00013BDC" w14:paraId="564FA17E"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28FF40D9"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6367977A" w14:textId="77777777" w:rsidR="00AC5F61" w:rsidRPr="00013BDC" w:rsidRDefault="00AC5F61" w:rsidP="00E31F49">
            <w:pPr>
              <w:spacing w:after="120"/>
              <w:jc w:val="left"/>
              <w:rPr>
                <w:noProof/>
                <w:sz w:val="22"/>
                <w:lang w:val="en-IE"/>
              </w:rPr>
            </w:pPr>
            <w:r w:rsidRPr="00013BDC">
              <w:rPr>
                <w:rFonts w:eastAsia="EC Square Sans Pro"/>
                <w:noProof/>
                <w:sz w:val="22"/>
                <w:lang w:val="en-IE"/>
              </w:rPr>
              <w:t>Sweaters and midlayers</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182B0A93"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4641686B" w14:textId="77777777" w:rsidR="00AC5F61" w:rsidRPr="00013BDC" w:rsidRDefault="00AC5F61" w:rsidP="00E31F49">
            <w:pPr>
              <w:spacing w:after="120"/>
              <w:jc w:val="right"/>
              <w:rPr>
                <w:noProof/>
                <w:sz w:val="22"/>
                <w:lang w:val="en-IE"/>
              </w:rPr>
            </w:pPr>
            <w:r w:rsidRPr="00013BDC">
              <w:rPr>
                <w:rFonts w:eastAsia="EC Square Sans Pro"/>
                <w:noProof/>
                <w:sz w:val="22"/>
                <w:lang w:val="en-IE"/>
              </w:rPr>
              <w:t>7.6%</w:t>
            </w:r>
          </w:p>
        </w:tc>
      </w:tr>
      <w:tr w:rsidR="00AC5F61" w:rsidRPr="00013BDC" w14:paraId="3B0C8201"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47F349B2"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5B5F1338" w14:textId="77777777" w:rsidR="00AC5F61" w:rsidRPr="00013BDC" w:rsidRDefault="00AC5F61" w:rsidP="00E31F49">
            <w:pPr>
              <w:spacing w:after="120"/>
              <w:jc w:val="left"/>
              <w:rPr>
                <w:noProof/>
                <w:sz w:val="22"/>
                <w:lang w:val="en-IE"/>
              </w:rPr>
            </w:pPr>
            <w:r w:rsidRPr="00013BDC">
              <w:rPr>
                <w:rFonts w:eastAsia="EC Square Sans Pro"/>
                <w:noProof/>
                <w:sz w:val="22"/>
                <w:lang w:val="en-IE"/>
              </w:rPr>
              <w:t>Pants and shorts</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69713836"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37866CE6" w14:textId="77777777" w:rsidR="00AC5F61" w:rsidRPr="00013BDC" w:rsidRDefault="00AC5F61" w:rsidP="00E31F49">
            <w:pPr>
              <w:spacing w:after="120"/>
              <w:jc w:val="right"/>
              <w:rPr>
                <w:noProof/>
                <w:sz w:val="22"/>
                <w:lang w:val="en-IE"/>
              </w:rPr>
            </w:pPr>
            <w:r w:rsidRPr="00013BDC">
              <w:rPr>
                <w:rFonts w:eastAsia="EC Square Sans Pro"/>
                <w:noProof/>
                <w:sz w:val="22"/>
                <w:lang w:val="en-IE"/>
              </w:rPr>
              <w:t>6.4%</w:t>
            </w:r>
          </w:p>
        </w:tc>
      </w:tr>
      <w:tr w:rsidR="00AC5F61" w:rsidRPr="00013BDC" w14:paraId="02BF4DBC"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69E44105"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749F42CA" w14:textId="77777777" w:rsidR="00AC5F61" w:rsidRPr="00013BDC" w:rsidRDefault="00AC5F61" w:rsidP="00E31F49">
            <w:pPr>
              <w:spacing w:after="120"/>
              <w:jc w:val="left"/>
              <w:rPr>
                <w:noProof/>
                <w:sz w:val="22"/>
                <w:lang w:val="en-IE"/>
              </w:rPr>
            </w:pPr>
            <w:r w:rsidRPr="00013BDC">
              <w:rPr>
                <w:rFonts w:eastAsia="EC Square Sans Pro"/>
                <w:noProof/>
                <w:sz w:val="22"/>
                <w:lang w:val="en-IE"/>
              </w:rPr>
              <w:t>T-shirts</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1CD247C1"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4A178111" w14:textId="77777777" w:rsidR="00AC5F61" w:rsidRPr="00013BDC" w:rsidRDefault="00AC5F61" w:rsidP="00E31F49">
            <w:pPr>
              <w:spacing w:after="120"/>
              <w:jc w:val="right"/>
              <w:rPr>
                <w:noProof/>
                <w:sz w:val="22"/>
                <w:lang w:val="en-IE"/>
              </w:rPr>
            </w:pPr>
            <w:r w:rsidRPr="00013BDC">
              <w:rPr>
                <w:rFonts w:eastAsia="EC Square Sans Pro"/>
                <w:noProof/>
                <w:sz w:val="22"/>
                <w:lang w:val="en-IE"/>
              </w:rPr>
              <w:t>4.8%</w:t>
            </w:r>
          </w:p>
        </w:tc>
      </w:tr>
      <w:tr w:rsidR="00AC5F61" w:rsidRPr="00013BDC" w14:paraId="15A2EB35"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0015CFA3"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5FCB4561" w14:textId="77777777" w:rsidR="00AC5F61" w:rsidRPr="00013BDC" w:rsidRDefault="00AC5F61" w:rsidP="00E31F49">
            <w:pPr>
              <w:spacing w:after="120"/>
              <w:jc w:val="left"/>
              <w:rPr>
                <w:noProof/>
                <w:sz w:val="22"/>
                <w:lang w:val="en-IE"/>
              </w:rPr>
            </w:pPr>
            <w:r w:rsidRPr="00013BDC">
              <w:rPr>
                <w:rFonts w:eastAsia="EC Square Sans Pro"/>
                <w:noProof/>
                <w:sz w:val="22"/>
                <w:lang w:val="en-IE"/>
              </w:rPr>
              <w:t>Closed-toed shoes</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14318EAD"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4C3B2FBB" w14:textId="77777777" w:rsidR="00AC5F61" w:rsidRPr="00013BDC" w:rsidRDefault="00AC5F61" w:rsidP="00E31F49">
            <w:pPr>
              <w:spacing w:after="120"/>
              <w:jc w:val="right"/>
              <w:rPr>
                <w:noProof/>
                <w:sz w:val="22"/>
                <w:lang w:val="en-IE"/>
              </w:rPr>
            </w:pPr>
            <w:r w:rsidRPr="00013BDC">
              <w:rPr>
                <w:rFonts w:eastAsia="EC Square Sans Pro"/>
                <w:noProof/>
                <w:sz w:val="22"/>
                <w:lang w:val="en-IE"/>
              </w:rPr>
              <w:t>4.6%</w:t>
            </w:r>
          </w:p>
        </w:tc>
      </w:tr>
      <w:tr w:rsidR="00AC5F61" w:rsidRPr="00013BDC" w14:paraId="47BBB8C2"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262614AA"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1DF39161" w14:textId="77777777" w:rsidR="00AC5F61" w:rsidRPr="00013BDC" w:rsidRDefault="00AC5F61" w:rsidP="00E31F49">
            <w:pPr>
              <w:spacing w:after="120"/>
              <w:jc w:val="left"/>
              <w:rPr>
                <w:noProof/>
                <w:sz w:val="22"/>
                <w:lang w:val="en-IE"/>
              </w:rPr>
            </w:pPr>
            <w:r w:rsidRPr="00013BDC">
              <w:rPr>
                <w:rFonts w:eastAsia="EC Square Sans Pro"/>
                <w:noProof/>
                <w:sz w:val="22"/>
                <w:lang w:val="en-IE"/>
              </w:rPr>
              <w:t>Apparel accessories</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241D04FD"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08553415" w14:textId="77777777" w:rsidR="00AC5F61" w:rsidRPr="00013BDC" w:rsidRDefault="00AC5F61" w:rsidP="00E31F49">
            <w:pPr>
              <w:spacing w:after="120"/>
              <w:jc w:val="right"/>
              <w:rPr>
                <w:noProof/>
                <w:sz w:val="22"/>
                <w:lang w:val="en-IE"/>
              </w:rPr>
            </w:pPr>
            <w:r w:rsidRPr="00013BDC">
              <w:rPr>
                <w:rFonts w:eastAsia="EC Square Sans Pro"/>
                <w:noProof/>
                <w:sz w:val="22"/>
                <w:lang w:val="en-IE"/>
              </w:rPr>
              <w:t>3.4%</w:t>
            </w:r>
          </w:p>
        </w:tc>
      </w:tr>
      <w:tr w:rsidR="00AC5F61" w:rsidRPr="00013BDC" w14:paraId="2138B26E"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07ABCDFC"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6509F86A" w14:textId="77777777" w:rsidR="00AC5F61" w:rsidRPr="00013BDC" w:rsidRDefault="00AC5F61" w:rsidP="00E31F49">
            <w:pPr>
              <w:spacing w:after="120"/>
              <w:jc w:val="left"/>
              <w:rPr>
                <w:noProof/>
                <w:sz w:val="22"/>
                <w:lang w:val="en-IE"/>
              </w:rPr>
            </w:pPr>
            <w:r w:rsidRPr="00013BDC">
              <w:rPr>
                <w:rFonts w:eastAsia="EC Square Sans Pro"/>
                <w:noProof/>
                <w:sz w:val="22"/>
                <w:lang w:val="en-IE"/>
              </w:rPr>
              <w:t>Shirts and blouses</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4A8BD95E"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721EC356" w14:textId="77777777" w:rsidR="00AC5F61" w:rsidRPr="00013BDC" w:rsidRDefault="00AC5F61" w:rsidP="00E31F49">
            <w:pPr>
              <w:spacing w:after="120"/>
              <w:jc w:val="right"/>
              <w:rPr>
                <w:noProof/>
                <w:sz w:val="22"/>
                <w:lang w:val="en-IE"/>
              </w:rPr>
            </w:pPr>
            <w:r w:rsidRPr="00013BDC">
              <w:rPr>
                <w:rFonts w:eastAsia="EC Square Sans Pro"/>
                <w:noProof/>
                <w:sz w:val="22"/>
                <w:lang w:val="en-IE"/>
              </w:rPr>
              <w:t>3.1%</w:t>
            </w:r>
          </w:p>
        </w:tc>
      </w:tr>
      <w:tr w:rsidR="00AC5F61" w:rsidRPr="00013BDC" w14:paraId="308A518E"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1721E6ED"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0AA4D816" w14:textId="77777777" w:rsidR="00AC5F61" w:rsidRPr="00013BDC" w:rsidRDefault="00AC5F61" w:rsidP="00E31F49">
            <w:pPr>
              <w:spacing w:after="120"/>
              <w:jc w:val="left"/>
              <w:rPr>
                <w:noProof/>
                <w:sz w:val="22"/>
                <w:lang w:val="en-IE"/>
              </w:rPr>
            </w:pPr>
            <w:r w:rsidRPr="00013BDC">
              <w:rPr>
                <w:rFonts w:eastAsia="EC Square Sans Pro"/>
                <w:noProof/>
                <w:sz w:val="22"/>
                <w:lang w:val="en-IE"/>
              </w:rPr>
              <w:t>Leggings, stockings, tights and socks</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71026A21"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04AE5F4A" w14:textId="77777777" w:rsidR="00AC5F61" w:rsidRPr="00013BDC" w:rsidRDefault="00AC5F61" w:rsidP="00E31F49">
            <w:pPr>
              <w:spacing w:after="120"/>
              <w:jc w:val="right"/>
              <w:rPr>
                <w:noProof/>
                <w:sz w:val="22"/>
                <w:lang w:val="en-IE"/>
              </w:rPr>
            </w:pPr>
            <w:r w:rsidRPr="00013BDC">
              <w:rPr>
                <w:rFonts w:eastAsia="EC Square Sans Pro"/>
                <w:noProof/>
                <w:sz w:val="22"/>
                <w:lang w:val="en-IE"/>
              </w:rPr>
              <w:t>2.8%</w:t>
            </w:r>
          </w:p>
        </w:tc>
      </w:tr>
      <w:tr w:rsidR="00AC5F61" w:rsidRPr="00013BDC" w14:paraId="251BC5F0"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45678CDA"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30935FFD" w14:textId="77777777" w:rsidR="00AC5F61" w:rsidRPr="00013BDC" w:rsidRDefault="00AC5F61" w:rsidP="00E31F49">
            <w:pPr>
              <w:spacing w:after="120"/>
              <w:jc w:val="left"/>
              <w:rPr>
                <w:noProof/>
                <w:sz w:val="22"/>
                <w:lang w:val="en-IE"/>
              </w:rPr>
            </w:pPr>
            <w:r w:rsidRPr="00013BDC">
              <w:rPr>
                <w:rFonts w:eastAsia="EC Square Sans Pro"/>
                <w:noProof/>
                <w:sz w:val="22"/>
                <w:lang w:val="en-IE"/>
              </w:rPr>
              <w:t>Dresses, skirts and jumpsuits</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20D629C1"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530C9778" w14:textId="77777777" w:rsidR="00AC5F61" w:rsidRPr="00013BDC" w:rsidRDefault="00AC5F61" w:rsidP="00E31F49">
            <w:pPr>
              <w:spacing w:after="120"/>
              <w:jc w:val="right"/>
              <w:rPr>
                <w:noProof/>
                <w:sz w:val="22"/>
                <w:lang w:val="en-IE"/>
              </w:rPr>
            </w:pPr>
            <w:r w:rsidRPr="00013BDC">
              <w:rPr>
                <w:rFonts w:eastAsia="EC Square Sans Pro"/>
                <w:noProof/>
                <w:sz w:val="22"/>
                <w:lang w:val="en-IE"/>
              </w:rPr>
              <w:t>2.2%</w:t>
            </w:r>
          </w:p>
        </w:tc>
      </w:tr>
      <w:tr w:rsidR="00AC5F61" w:rsidRPr="00013BDC" w14:paraId="52A6D1EA"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35855EE1"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5895BDA5" w14:textId="77777777" w:rsidR="00AC5F61" w:rsidRPr="00013BDC" w:rsidRDefault="00AC5F61" w:rsidP="00E31F49">
            <w:pPr>
              <w:spacing w:after="120"/>
              <w:jc w:val="left"/>
              <w:rPr>
                <w:noProof/>
                <w:sz w:val="22"/>
                <w:lang w:val="en-IE"/>
              </w:rPr>
            </w:pPr>
            <w:r w:rsidRPr="00013BDC">
              <w:rPr>
                <w:rFonts w:eastAsia="EC Square Sans Pro"/>
                <w:noProof/>
                <w:sz w:val="22"/>
                <w:lang w:val="en-IE"/>
              </w:rPr>
              <w:t>Boots</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03994FF7"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2B9D7539" w14:textId="77777777" w:rsidR="00AC5F61" w:rsidRPr="00013BDC" w:rsidRDefault="00AC5F61" w:rsidP="00E31F49">
            <w:pPr>
              <w:spacing w:after="120"/>
              <w:jc w:val="right"/>
              <w:rPr>
                <w:noProof/>
                <w:sz w:val="22"/>
                <w:lang w:val="en-IE"/>
              </w:rPr>
            </w:pPr>
            <w:r w:rsidRPr="00013BDC">
              <w:rPr>
                <w:rFonts w:eastAsia="EC Square Sans Pro"/>
                <w:noProof/>
                <w:sz w:val="22"/>
                <w:lang w:val="en-IE"/>
              </w:rPr>
              <w:t>2.0%</w:t>
            </w:r>
          </w:p>
        </w:tc>
      </w:tr>
      <w:tr w:rsidR="00AC5F61" w:rsidRPr="00013BDC" w14:paraId="6AF0CE20"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64CFDF6A"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15BAC472" w14:textId="77777777" w:rsidR="00AC5F61" w:rsidRPr="00013BDC" w:rsidRDefault="00AC5F61" w:rsidP="00E31F49">
            <w:pPr>
              <w:spacing w:after="120"/>
              <w:jc w:val="left"/>
              <w:rPr>
                <w:noProof/>
                <w:sz w:val="22"/>
                <w:lang w:val="en-IE"/>
              </w:rPr>
            </w:pPr>
            <w:r w:rsidRPr="00013BDC">
              <w:rPr>
                <w:rFonts w:eastAsia="EC Square Sans Pro"/>
                <w:noProof/>
                <w:sz w:val="22"/>
                <w:lang w:val="en-IE"/>
              </w:rPr>
              <w:t>Underwear</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390F0236"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0FD49F52" w14:textId="77777777" w:rsidR="00AC5F61" w:rsidRPr="00013BDC" w:rsidRDefault="00AC5F61" w:rsidP="00E31F49">
            <w:pPr>
              <w:spacing w:after="120"/>
              <w:jc w:val="right"/>
              <w:rPr>
                <w:noProof/>
                <w:sz w:val="22"/>
                <w:lang w:val="en-IE"/>
              </w:rPr>
            </w:pPr>
            <w:r w:rsidRPr="00013BDC">
              <w:rPr>
                <w:rFonts w:eastAsia="EC Square Sans Pro"/>
                <w:noProof/>
                <w:sz w:val="22"/>
                <w:lang w:val="en-IE"/>
              </w:rPr>
              <w:t>0.9%</w:t>
            </w:r>
          </w:p>
        </w:tc>
      </w:tr>
      <w:tr w:rsidR="00AC5F61" w:rsidRPr="00013BDC" w14:paraId="72DAA4D8" w14:textId="77777777" w:rsidTr="002A2D87">
        <w:trPr>
          <w:trHeight w:val="300"/>
        </w:trPr>
        <w:tc>
          <w:tcPr>
            <w:tcW w:w="3287" w:type="dxa"/>
            <w:vMerge/>
            <w:tcBorders>
              <w:top w:val="nil"/>
              <w:left w:val="single" w:sz="8" w:space="0" w:color="auto"/>
              <w:bottom w:val="single" w:sz="4" w:space="0" w:color="auto"/>
              <w:right w:val="single" w:sz="8" w:space="0" w:color="auto"/>
            </w:tcBorders>
            <w:vAlign w:val="center"/>
            <w:hideMark/>
          </w:tcPr>
          <w:p w14:paraId="33208A73" w14:textId="77777777" w:rsidR="00AC5F61" w:rsidRPr="00013BDC" w:rsidRDefault="00AC5F61" w:rsidP="00E31F49">
            <w:pPr>
              <w:spacing w:after="0"/>
              <w:jc w:val="left"/>
              <w:rPr>
                <w:noProof/>
                <w:sz w:val="22"/>
                <w:lang w:val="en-IE"/>
              </w:rPr>
            </w:pPr>
          </w:p>
        </w:tc>
        <w:tc>
          <w:tcPr>
            <w:tcW w:w="3224" w:type="dxa"/>
            <w:tcBorders>
              <w:top w:val="single" w:sz="8" w:space="0" w:color="auto"/>
              <w:left w:val="nil"/>
              <w:bottom w:val="single" w:sz="8" w:space="0" w:color="auto"/>
              <w:right w:val="single" w:sz="8" w:space="0" w:color="auto"/>
            </w:tcBorders>
            <w:vAlign w:val="center"/>
            <w:hideMark/>
          </w:tcPr>
          <w:p w14:paraId="026C3C1E" w14:textId="77777777" w:rsidR="00AC5F61" w:rsidRPr="00013BDC" w:rsidRDefault="00AC5F61" w:rsidP="00E31F49">
            <w:pPr>
              <w:spacing w:after="120"/>
              <w:jc w:val="left"/>
              <w:rPr>
                <w:noProof/>
                <w:sz w:val="22"/>
                <w:lang w:val="en-IE"/>
              </w:rPr>
            </w:pPr>
            <w:r w:rsidRPr="00013BDC">
              <w:rPr>
                <w:rFonts w:eastAsia="EC Square Sans Pro"/>
                <w:noProof/>
                <w:sz w:val="22"/>
                <w:lang w:val="en-IE"/>
              </w:rPr>
              <w:t>Swimwear</w:t>
            </w:r>
          </w:p>
        </w:tc>
        <w:tc>
          <w:tcPr>
            <w:tcW w:w="1417" w:type="dxa"/>
            <w:vMerge/>
            <w:tcBorders>
              <w:top w:val="single" w:sz="8" w:space="0" w:color="auto"/>
              <w:left w:val="single" w:sz="8" w:space="0" w:color="auto"/>
              <w:bottom w:val="single" w:sz="4" w:space="0" w:color="auto"/>
              <w:right w:val="single" w:sz="8" w:space="0" w:color="auto"/>
            </w:tcBorders>
            <w:vAlign w:val="center"/>
            <w:hideMark/>
          </w:tcPr>
          <w:p w14:paraId="0D4AF250" w14:textId="77777777" w:rsidR="00AC5F61" w:rsidRPr="00013BDC" w:rsidRDefault="00AC5F61" w:rsidP="00E31F49">
            <w:pPr>
              <w:spacing w:after="0"/>
              <w:jc w:val="right"/>
              <w:rPr>
                <w:noProof/>
                <w:sz w:val="22"/>
                <w:lang w:val="en-IE"/>
              </w:rPr>
            </w:pPr>
          </w:p>
        </w:tc>
        <w:tc>
          <w:tcPr>
            <w:tcW w:w="1418" w:type="dxa"/>
            <w:tcBorders>
              <w:top w:val="single" w:sz="8" w:space="0" w:color="auto"/>
              <w:left w:val="nil"/>
              <w:bottom w:val="single" w:sz="8" w:space="0" w:color="auto"/>
              <w:right w:val="single" w:sz="8" w:space="0" w:color="auto"/>
            </w:tcBorders>
            <w:vAlign w:val="center"/>
            <w:hideMark/>
          </w:tcPr>
          <w:p w14:paraId="0F3EAF60" w14:textId="77777777" w:rsidR="00AC5F61" w:rsidRPr="00013BDC" w:rsidRDefault="00AC5F61" w:rsidP="00E31F49">
            <w:pPr>
              <w:spacing w:after="120"/>
              <w:jc w:val="right"/>
              <w:rPr>
                <w:noProof/>
                <w:sz w:val="22"/>
                <w:lang w:val="en-IE"/>
              </w:rPr>
            </w:pPr>
            <w:r w:rsidRPr="00013BDC">
              <w:rPr>
                <w:rFonts w:eastAsia="EC Square Sans Pro"/>
                <w:noProof/>
                <w:sz w:val="22"/>
                <w:lang w:val="en-IE"/>
              </w:rPr>
              <w:t>0.8%</w:t>
            </w:r>
          </w:p>
        </w:tc>
      </w:tr>
      <w:tr w:rsidR="00552D4E" w:rsidRPr="00013BDC" w14:paraId="3EEC30E2" w14:textId="77777777" w:rsidTr="002A2D87">
        <w:tc>
          <w:tcPr>
            <w:tcW w:w="3287" w:type="dxa"/>
            <w:vMerge w:val="restart"/>
            <w:tcBorders>
              <w:top w:val="nil"/>
              <w:left w:val="single" w:sz="8" w:space="0" w:color="auto"/>
              <w:right w:val="single" w:sz="8" w:space="0" w:color="auto"/>
            </w:tcBorders>
            <w:vAlign w:val="center"/>
          </w:tcPr>
          <w:p w14:paraId="7ED4EE9A" w14:textId="5FBE8B31" w:rsidR="00552D4E" w:rsidRPr="00013BDC" w:rsidRDefault="00552D4E" w:rsidP="00E31F49">
            <w:pPr>
              <w:spacing w:after="120"/>
              <w:jc w:val="left"/>
              <w:rPr>
                <w:rFonts w:eastAsia="EC Square Sans Pro"/>
                <w:noProof/>
                <w:sz w:val="22"/>
                <w:szCs w:val="22"/>
                <w:lang w:val="en-IE"/>
              </w:rPr>
            </w:pPr>
            <w:r w:rsidRPr="00013BDC">
              <w:rPr>
                <w:rFonts w:eastAsia="EC Square Sans Pro"/>
                <w:noProof/>
                <w:sz w:val="22"/>
                <w:szCs w:val="22"/>
                <w:lang w:val="en-IE"/>
              </w:rPr>
              <w:t>Home textiles</w:t>
            </w:r>
          </w:p>
        </w:tc>
        <w:tc>
          <w:tcPr>
            <w:tcW w:w="3224" w:type="dxa"/>
            <w:tcBorders>
              <w:top w:val="nil"/>
              <w:left w:val="single" w:sz="8" w:space="0" w:color="auto"/>
              <w:bottom w:val="single" w:sz="8" w:space="0" w:color="auto"/>
              <w:right w:val="single" w:sz="8" w:space="0" w:color="auto"/>
            </w:tcBorders>
            <w:vAlign w:val="center"/>
          </w:tcPr>
          <w:p w14:paraId="49D29221" w14:textId="7EDF4A5F" w:rsidR="00552D4E" w:rsidRPr="00013BDC" w:rsidRDefault="00552D4E" w:rsidP="00E31F49">
            <w:pPr>
              <w:spacing w:after="120"/>
              <w:jc w:val="left"/>
              <w:rPr>
                <w:rFonts w:eastAsia="EC Square Sans Pro"/>
                <w:noProof/>
                <w:sz w:val="22"/>
                <w:lang w:val="en-IE"/>
              </w:rPr>
            </w:pPr>
            <w:r w:rsidRPr="00013BDC">
              <w:rPr>
                <w:rFonts w:eastAsia="EC Square Sans Pro"/>
                <w:noProof/>
                <w:sz w:val="22"/>
                <w:lang w:val="en-IE"/>
              </w:rPr>
              <w:t>Carpets</w:t>
            </w:r>
          </w:p>
        </w:tc>
        <w:tc>
          <w:tcPr>
            <w:tcW w:w="1417" w:type="dxa"/>
            <w:vMerge w:val="restart"/>
            <w:tcBorders>
              <w:top w:val="nil"/>
              <w:left w:val="single" w:sz="8" w:space="0" w:color="auto"/>
              <w:right w:val="single" w:sz="8" w:space="0" w:color="auto"/>
            </w:tcBorders>
            <w:vAlign w:val="center"/>
          </w:tcPr>
          <w:p w14:paraId="2E3CC7BE" w14:textId="3F9F235B" w:rsidR="00552D4E" w:rsidRPr="00013BDC" w:rsidRDefault="00552D4E" w:rsidP="00E31F49">
            <w:pPr>
              <w:spacing w:after="120"/>
              <w:jc w:val="right"/>
              <w:rPr>
                <w:rFonts w:eastAsia="EC Square Sans Pro"/>
                <w:noProof/>
                <w:sz w:val="22"/>
                <w:szCs w:val="22"/>
                <w:lang w:val="en-IE"/>
              </w:rPr>
            </w:pPr>
            <w:r w:rsidRPr="00013BDC">
              <w:rPr>
                <w:rFonts w:eastAsia="EC Square Sans Pro"/>
                <w:noProof/>
                <w:sz w:val="22"/>
                <w:szCs w:val="22"/>
                <w:lang w:val="en-IE"/>
              </w:rPr>
              <w:t>15.7%</w:t>
            </w:r>
          </w:p>
        </w:tc>
        <w:tc>
          <w:tcPr>
            <w:tcW w:w="1418" w:type="dxa"/>
            <w:tcBorders>
              <w:top w:val="nil"/>
              <w:left w:val="single" w:sz="8" w:space="0" w:color="auto"/>
              <w:bottom w:val="single" w:sz="8" w:space="0" w:color="auto"/>
              <w:right w:val="single" w:sz="8" w:space="0" w:color="auto"/>
            </w:tcBorders>
            <w:vAlign w:val="center"/>
          </w:tcPr>
          <w:p w14:paraId="6CC79000" w14:textId="62B9056F" w:rsidR="00552D4E" w:rsidRPr="00013BDC" w:rsidRDefault="00552D4E" w:rsidP="00E31F49">
            <w:pPr>
              <w:spacing w:after="120"/>
              <w:jc w:val="right"/>
              <w:rPr>
                <w:rFonts w:eastAsia="EC Square Sans Pro"/>
                <w:noProof/>
                <w:sz w:val="22"/>
                <w:szCs w:val="22"/>
                <w:lang w:val="en-IE"/>
              </w:rPr>
            </w:pPr>
            <w:r w:rsidRPr="00013BDC">
              <w:rPr>
                <w:rFonts w:eastAsia="EC Square Sans Pro"/>
                <w:noProof/>
                <w:sz w:val="22"/>
                <w:szCs w:val="22"/>
                <w:lang w:val="en-IE"/>
              </w:rPr>
              <w:t>7.2%</w:t>
            </w:r>
          </w:p>
        </w:tc>
      </w:tr>
      <w:tr w:rsidR="00552D4E" w:rsidRPr="00013BDC" w14:paraId="4016F1CD" w14:textId="77777777" w:rsidTr="002A2D87">
        <w:tc>
          <w:tcPr>
            <w:tcW w:w="3287" w:type="dxa"/>
            <w:vMerge/>
            <w:tcBorders>
              <w:left w:val="single" w:sz="8" w:space="0" w:color="auto"/>
              <w:right w:val="single" w:sz="8" w:space="0" w:color="auto"/>
            </w:tcBorders>
            <w:vAlign w:val="center"/>
            <w:hideMark/>
          </w:tcPr>
          <w:p w14:paraId="48F2DF27" w14:textId="7CED5E9B" w:rsidR="00552D4E" w:rsidRPr="00013BDC" w:rsidRDefault="00552D4E" w:rsidP="00E31F49">
            <w:pPr>
              <w:spacing w:after="120"/>
              <w:jc w:val="left"/>
              <w:rPr>
                <w:noProof/>
                <w:sz w:val="22"/>
                <w:szCs w:val="22"/>
                <w:lang w:val="en-IE"/>
              </w:rPr>
            </w:pPr>
          </w:p>
        </w:tc>
        <w:tc>
          <w:tcPr>
            <w:tcW w:w="3224" w:type="dxa"/>
            <w:tcBorders>
              <w:top w:val="nil"/>
              <w:left w:val="single" w:sz="8" w:space="0" w:color="auto"/>
              <w:bottom w:val="single" w:sz="8" w:space="0" w:color="auto"/>
              <w:right w:val="single" w:sz="8" w:space="0" w:color="auto"/>
            </w:tcBorders>
            <w:vAlign w:val="center"/>
            <w:hideMark/>
          </w:tcPr>
          <w:p w14:paraId="2867B3F6" w14:textId="77777777" w:rsidR="00552D4E" w:rsidRPr="00013BDC" w:rsidRDefault="00552D4E" w:rsidP="00E31F49">
            <w:pPr>
              <w:spacing w:after="120"/>
              <w:jc w:val="left"/>
              <w:rPr>
                <w:rFonts w:eastAsia="EC Square Sans Pro"/>
                <w:noProof/>
                <w:sz w:val="22"/>
                <w:lang w:val="en-IE"/>
              </w:rPr>
            </w:pPr>
            <w:r w:rsidRPr="00013BDC">
              <w:rPr>
                <w:rFonts w:eastAsia="EC Square Sans Pro"/>
                <w:noProof/>
                <w:sz w:val="22"/>
                <w:lang w:val="en-IE"/>
              </w:rPr>
              <w:t>Bedding</w:t>
            </w:r>
          </w:p>
        </w:tc>
        <w:tc>
          <w:tcPr>
            <w:tcW w:w="1417" w:type="dxa"/>
            <w:vMerge/>
            <w:tcBorders>
              <w:left w:val="single" w:sz="8" w:space="0" w:color="auto"/>
              <w:right w:val="single" w:sz="8" w:space="0" w:color="auto"/>
            </w:tcBorders>
            <w:vAlign w:val="center"/>
            <w:hideMark/>
          </w:tcPr>
          <w:p w14:paraId="2D6FA136" w14:textId="0C505FD6" w:rsidR="00552D4E" w:rsidRPr="00013BDC" w:rsidRDefault="00552D4E" w:rsidP="00E31F49">
            <w:pPr>
              <w:spacing w:after="120"/>
              <w:jc w:val="right"/>
              <w:rPr>
                <w:rFonts w:eastAsia="EC Square Sans Pro"/>
                <w:noProof/>
                <w:sz w:val="22"/>
                <w:szCs w:val="22"/>
                <w:lang w:val="en-IE"/>
              </w:rPr>
            </w:pPr>
          </w:p>
        </w:tc>
        <w:tc>
          <w:tcPr>
            <w:tcW w:w="1418" w:type="dxa"/>
            <w:tcBorders>
              <w:top w:val="nil"/>
              <w:left w:val="single" w:sz="8" w:space="0" w:color="auto"/>
              <w:bottom w:val="single" w:sz="8" w:space="0" w:color="auto"/>
              <w:right w:val="single" w:sz="8" w:space="0" w:color="auto"/>
            </w:tcBorders>
            <w:vAlign w:val="center"/>
            <w:hideMark/>
          </w:tcPr>
          <w:p w14:paraId="2E885AFA" w14:textId="38792F58" w:rsidR="00552D4E" w:rsidRPr="00013BDC" w:rsidRDefault="00552D4E" w:rsidP="00E31F49">
            <w:pPr>
              <w:spacing w:after="120"/>
              <w:jc w:val="right"/>
              <w:rPr>
                <w:rFonts w:eastAsia="EC Square Sans Pro"/>
                <w:noProof/>
                <w:sz w:val="22"/>
                <w:szCs w:val="22"/>
                <w:lang w:val="en-IE"/>
              </w:rPr>
            </w:pPr>
            <w:r w:rsidRPr="00013BDC">
              <w:rPr>
                <w:rFonts w:eastAsia="EC Square Sans Pro"/>
                <w:noProof/>
                <w:sz w:val="22"/>
                <w:szCs w:val="22"/>
                <w:lang w:val="en-IE"/>
              </w:rPr>
              <w:t>4.3%</w:t>
            </w:r>
          </w:p>
        </w:tc>
      </w:tr>
      <w:tr w:rsidR="00552D4E" w:rsidRPr="00013BDC" w14:paraId="2E9AD084" w14:textId="77777777" w:rsidTr="002A2D87">
        <w:trPr>
          <w:trHeight w:val="300"/>
        </w:trPr>
        <w:tc>
          <w:tcPr>
            <w:tcW w:w="3287" w:type="dxa"/>
            <w:vMerge/>
            <w:tcBorders>
              <w:left w:val="single" w:sz="8" w:space="0" w:color="auto"/>
              <w:right w:val="single" w:sz="8" w:space="0" w:color="auto"/>
            </w:tcBorders>
            <w:vAlign w:val="center"/>
          </w:tcPr>
          <w:p w14:paraId="4B471C2A" w14:textId="77777777" w:rsidR="00552D4E" w:rsidRPr="00013BDC" w:rsidRDefault="00552D4E" w:rsidP="00E31F49">
            <w:pPr>
              <w:spacing w:after="120"/>
              <w:jc w:val="left"/>
              <w:rPr>
                <w:noProof/>
                <w:sz w:val="22"/>
                <w:lang w:val="en-IE"/>
              </w:rPr>
            </w:pPr>
          </w:p>
        </w:tc>
        <w:tc>
          <w:tcPr>
            <w:tcW w:w="3224" w:type="dxa"/>
            <w:tcBorders>
              <w:top w:val="single" w:sz="8" w:space="0" w:color="auto"/>
              <w:left w:val="single" w:sz="8" w:space="0" w:color="auto"/>
              <w:bottom w:val="single" w:sz="8" w:space="0" w:color="auto"/>
              <w:right w:val="single" w:sz="8" w:space="0" w:color="auto"/>
            </w:tcBorders>
            <w:vAlign w:val="center"/>
            <w:hideMark/>
          </w:tcPr>
          <w:p w14:paraId="0210572C" w14:textId="77777777" w:rsidR="00552D4E" w:rsidRPr="00013BDC" w:rsidRDefault="00552D4E" w:rsidP="00E31F49">
            <w:pPr>
              <w:spacing w:after="120"/>
              <w:jc w:val="left"/>
              <w:rPr>
                <w:noProof/>
                <w:sz w:val="22"/>
                <w:lang w:val="en-IE"/>
              </w:rPr>
            </w:pPr>
            <w:r w:rsidRPr="00013BDC">
              <w:rPr>
                <w:rFonts w:eastAsia="EC Square Sans Pro"/>
                <w:noProof/>
                <w:sz w:val="22"/>
                <w:lang w:val="en-IE"/>
              </w:rPr>
              <w:t>Toilet and kitchen linen and towels</w:t>
            </w:r>
          </w:p>
        </w:tc>
        <w:tc>
          <w:tcPr>
            <w:tcW w:w="1417" w:type="dxa"/>
            <w:vMerge/>
            <w:tcBorders>
              <w:left w:val="single" w:sz="8" w:space="0" w:color="auto"/>
              <w:right w:val="single" w:sz="8" w:space="0" w:color="auto"/>
            </w:tcBorders>
            <w:vAlign w:val="center"/>
          </w:tcPr>
          <w:p w14:paraId="47ECD347" w14:textId="77777777" w:rsidR="00552D4E" w:rsidRPr="00013BDC" w:rsidRDefault="00552D4E" w:rsidP="00E31F49">
            <w:pPr>
              <w:spacing w:after="120"/>
              <w:jc w:val="right"/>
              <w:rPr>
                <w:noProof/>
                <w:sz w:val="22"/>
                <w:lang w:val="en-IE"/>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63722FA6" w14:textId="77777777" w:rsidR="00552D4E" w:rsidRPr="00013BDC" w:rsidRDefault="00552D4E" w:rsidP="00E31F49">
            <w:pPr>
              <w:spacing w:after="120"/>
              <w:jc w:val="right"/>
              <w:rPr>
                <w:noProof/>
                <w:sz w:val="22"/>
                <w:lang w:val="en-IE"/>
              </w:rPr>
            </w:pPr>
            <w:r w:rsidRPr="00013BDC">
              <w:rPr>
                <w:rFonts w:eastAsia="EC Square Sans Pro"/>
                <w:noProof/>
                <w:sz w:val="22"/>
                <w:lang w:val="en-IE"/>
              </w:rPr>
              <w:t>1.8%</w:t>
            </w:r>
          </w:p>
        </w:tc>
      </w:tr>
      <w:tr w:rsidR="00552D4E" w:rsidRPr="00013BDC" w14:paraId="3F72CF0C" w14:textId="77777777" w:rsidTr="002A2D87">
        <w:trPr>
          <w:trHeight w:val="300"/>
        </w:trPr>
        <w:tc>
          <w:tcPr>
            <w:tcW w:w="3287" w:type="dxa"/>
            <w:vMerge/>
            <w:tcBorders>
              <w:left w:val="single" w:sz="8" w:space="0" w:color="auto"/>
              <w:right w:val="single" w:sz="8" w:space="0" w:color="auto"/>
            </w:tcBorders>
            <w:vAlign w:val="center"/>
          </w:tcPr>
          <w:p w14:paraId="043E304C" w14:textId="77777777" w:rsidR="00552D4E" w:rsidRPr="00013BDC" w:rsidRDefault="00552D4E" w:rsidP="00E31F49">
            <w:pPr>
              <w:spacing w:after="120"/>
              <w:jc w:val="left"/>
              <w:rPr>
                <w:noProof/>
                <w:sz w:val="22"/>
                <w:lang w:val="en-IE"/>
              </w:rPr>
            </w:pPr>
          </w:p>
        </w:tc>
        <w:tc>
          <w:tcPr>
            <w:tcW w:w="3224" w:type="dxa"/>
            <w:tcBorders>
              <w:top w:val="single" w:sz="8" w:space="0" w:color="auto"/>
              <w:left w:val="single" w:sz="8" w:space="0" w:color="auto"/>
              <w:bottom w:val="single" w:sz="8" w:space="0" w:color="auto"/>
              <w:right w:val="single" w:sz="8" w:space="0" w:color="auto"/>
            </w:tcBorders>
            <w:vAlign w:val="center"/>
            <w:hideMark/>
          </w:tcPr>
          <w:p w14:paraId="60CF8D01" w14:textId="77777777" w:rsidR="00552D4E" w:rsidRPr="00013BDC" w:rsidRDefault="00552D4E" w:rsidP="00E31F49">
            <w:pPr>
              <w:spacing w:after="120"/>
              <w:jc w:val="left"/>
              <w:rPr>
                <w:noProof/>
                <w:sz w:val="22"/>
                <w:lang w:val="en-IE"/>
              </w:rPr>
            </w:pPr>
            <w:r w:rsidRPr="00013BDC">
              <w:rPr>
                <w:rFonts w:eastAsia="EC Square Sans Pro"/>
                <w:noProof/>
                <w:sz w:val="22"/>
                <w:lang w:val="en-IE"/>
              </w:rPr>
              <w:t>Curtains</w:t>
            </w:r>
          </w:p>
        </w:tc>
        <w:tc>
          <w:tcPr>
            <w:tcW w:w="1417" w:type="dxa"/>
            <w:vMerge/>
            <w:tcBorders>
              <w:left w:val="single" w:sz="8" w:space="0" w:color="auto"/>
              <w:right w:val="single" w:sz="8" w:space="0" w:color="auto"/>
            </w:tcBorders>
            <w:vAlign w:val="center"/>
          </w:tcPr>
          <w:p w14:paraId="15613E73" w14:textId="77777777" w:rsidR="00552D4E" w:rsidRPr="00013BDC" w:rsidRDefault="00552D4E" w:rsidP="00E31F49">
            <w:pPr>
              <w:spacing w:after="120"/>
              <w:jc w:val="right"/>
              <w:rPr>
                <w:noProof/>
                <w:sz w:val="22"/>
                <w:lang w:val="en-IE"/>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EA58882" w14:textId="77777777" w:rsidR="00552D4E" w:rsidRPr="00013BDC" w:rsidRDefault="00552D4E" w:rsidP="00E31F49">
            <w:pPr>
              <w:spacing w:after="120"/>
              <w:jc w:val="right"/>
              <w:rPr>
                <w:noProof/>
                <w:sz w:val="22"/>
                <w:lang w:val="en-IE"/>
              </w:rPr>
            </w:pPr>
            <w:r w:rsidRPr="00013BDC">
              <w:rPr>
                <w:rFonts w:eastAsia="EC Square Sans Pro"/>
                <w:noProof/>
                <w:sz w:val="22"/>
                <w:lang w:val="en-IE"/>
              </w:rPr>
              <w:t>0.9%</w:t>
            </w:r>
          </w:p>
        </w:tc>
      </w:tr>
      <w:tr w:rsidR="00552D4E" w:rsidRPr="00013BDC" w14:paraId="0FDA335E" w14:textId="77777777" w:rsidTr="002A2D87">
        <w:trPr>
          <w:trHeight w:val="300"/>
        </w:trPr>
        <w:tc>
          <w:tcPr>
            <w:tcW w:w="3287" w:type="dxa"/>
            <w:vMerge/>
            <w:tcBorders>
              <w:left w:val="single" w:sz="8" w:space="0" w:color="auto"/>
              <w:right w:val="single" w:sz="8" w:space="0" w:color="auto"/>
            </w:tcBorders>
            <w:vAlign w:val="center"/>
          </w:tcPr>
          <w:p w14:paraId="327DE7D0" w14:textId="77777777" w:rsidR="00552D4E" w:rsidRPr="00013BDC" w:rsidRDefault="00552D4E" w:rsidP="00E31F49">
            <w:pPr>
              <w:spacing w:after="120"/>
              <w:jc w:val="left"/>
              <w:rPr>
                <w:noProof/>
                <w:sz w:val="22"/>
                <w:lang w:val="en-IE"/>
              </w:rPr>
            </w:pPr>
          </w:p>
        </w:tc>
        <w:tc>
          <w:tcPr>
            <w:tcW w:w="3224" w:type="dxa"/>
            <w:tcBorders>
              <w:top w:val="single" w:sz="8" w:space="0" w:color="auto"/>
              <w:left w:val="single" w:sz="8" w:space="0" w:color="auto"/>
              <w:bottom w:val="single" w:sz="8" w:space="0" w:color="auto"/>
              <w:right w:val="single" w:sz="8" w:space="0" w:color="auto"/>
            </w:tcBorders>
            <w:vAlign w:val="center"/>
            <w:hideMark/>
          </w:tcPr>
          <w:p w14:paraId="2332D1FC" w14:textId="77777777" w:rsidR="00552D4E" w:rsidRPr="00013BDC" w:rsidRDefault="00552D4E" w:rsidP="00E31F49">
            <w:pPr>
              <w:spacing w:after="120"/>
              <w:jc w:val="left"/>
              <w:rPr>
                <w:noProof/>
                <w:sz w:val="22"/>
                <w:lang w:val="en-IE"/>
              </w:rPr>
            </w:pPr>
            <w:r w:rsidRPr="00013BDC">
              <w:rPr>
                <w:rFonts w:eastAsia="EC Square Sans Pro"/>
                <w:noProof/>
                <w:sz w:val="22"/>
                <w:lang w:val="en-IE"/>
              </w:rPr>
              <w:t>Blankets</w:t>
            </w:r>
          </w:p>
        </w:tc>
        <w:tc>
          <w:tcPr>
            <w:tcW w:w="1417" w:type="dxa"/>
            <w:vMerge/>
            <w:tcBorders>
              <w:left w:val="single" w:sz="8" w:space="0" w:color="auto"/>
              <w:right w:val="single" w:sz="8" w:space="0" w:color="auto"/>
            </w:tcBorders>
            <w:vAlign w:val="center"/>
          </w:tcPr>
          <w:p w14:paraId="6FAE6598" w14:textId="77777777" w:rsidR="00552D4E" w:rsidRPr="00013BDC" w:rsidRDefault="00552D4E" w:rsidP="00E31F49">
            <w:pPr>
              <w:spacing w:after="120"/>
              <w:jc w:val="right"/>
              <w:rPr>
                <w:noProof/>
                <w:sz w:val="22"/>
                <w:lang w:val="en-IE"/>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107C6924" w14:textId="77777777" w:rsidR="00552D4E" w:rsidRPr="00013BDC" w:rsidRDefault="00552D4E" w:rsidP="00E31F49">
            <w:pPr>
              <w:spacing w:after="120"/>
              <w:jc w:val="right"/>
              <w:rPr>
                <w:noProof/>
                <w:sz w:val="22"/>
                <w:lang w:val="en-IE"/>
              </w:rPr>
            </w:pPr>
            <w:r w:rsidRPr="00013BDC">
              <w:rPr>
                <w:rFonts w:eastAsia="EC Square Sans Pro"/>
                <w:noProof/>
                <w:sz w:val="22"/>
                <w:lang w:val="en-IE"/>
              </w:rPr>
              <w:t>0.6%</w:t>
            </w:r>
          </w:p>
        </w:tc>
      </w:tr>
      <w:tr w:rsidR="00552D4E" w:rsidRPr="00013BDC" w14:paraId="3DCBAE31" w14:textId="77777777" w:rsidTr="002A2D87">
        <w:trPr>
          <w:trHeight w:val="300"/>
        </w:trPr>
        <w:tc>
          <w:tcPr>
            <w:tcW w:w="3287" w:type="dxa"/>
            <w:vMerge/>
            <w:tcBorders>
              <w:left w:val="single" w:sz="8" w:space="0" w:color="auto"/>
              <w:right w:val="single" w:sz="8" w:space="0" w:color="auto"/>
            </w:tcBorders>
            <w:vAlign w:val="center"/>
          </w:tcPr>
          <w:p w14:paraId="40F153D9" w14:textId="77777777" w:rsidR="00552D4E" w:rsidRPr="00013BDC" w:rsidRDefault="00552D4E" w:rsidP="00E31F49">
            <w:pPr>
              <w:spacing w:after="120"/>
              <w:jc w:val="left"/>
              <w:rPr>
                <w:noProof/>
                <w:sz w:val="22"/>
                <w:lang w:val="en-IE"/>
              </w:rPr>
            </w:pPr>
          </w:p>
        </w:tc>
        <w:tc>
          <w:tcPr>
            <w:tcW w:w="3224" w:type="dxa"/>
            <w:tcBorders>
              <w:top w:val="single" w:sz="8" w:space="0" w:color="auto"/>
              <w:left w:val="single" w:sz="8" w:space="0" w:color="auto"/>
              <w:bottom w:val="single" w:sz="8" w:space="0" w:color="auto"/>
              <w:right w:val="single" w:sz="8" w:space="0" w:color="auto"/>
            </w:tcBorders>
            <w:vAlign w:val="center"/>
            <w:hideMark/>
          </w:tcPr>
          <w:p w14:paraId="052A763D" w14:textId="77777777" w:rsidR="00552D4E" w:rsidRPr="00013BDC" w:rsidRDefault="00552D4E" w:rsidP="00E31F49">
            <w:pPr>
              <w:spacing w:after="120"/>
              <w:jc w:val="left"/>
              <w:rPr>
                <w:noProof/>
                <w:sz w:val="22"/>
                <w:lang w:val="en-IE"/>
              </w:rPr>
            </w:pPr>
            <w:r w:rsidRPr="00013BDC">
              <w:rPr>
                <w:rFonts w:eastAsia="EC Square Sans Pro"/>
                <w:noProof/>
                <w:sz w:val="22"/>
                <w:lang w:val="en-IE"/>
              </w:rPr>
              <w:t>Table linen</w:t>
            </w:r>
          </w:p>
        </w:tc>
        <w:tc>
          <w:tcPr>
            <w:tcW w:w="1417" w:type="dxa"/>
            <w:vMerge/>
            <w:tcBorders>
              <w:left w:val="single" w:sz="8" w:space="0" w:color="auto"/>
              <w:right w:val="single" w:sz="8" w:space="0" w:color="auto"/>
            </w:tcBorders>
            <w:vAlign w:val="center"/>
          </w:tcPr>
          <w:p w14:paraId="4906C3CC" w14:textId="77777777" w:rsidR="00552D4E" w:rsidRPr="00013BDC" w:rsidRDefault="00552D4E" w:rsidP="00E31F49">
            <w:pPr>
              <w:spacing w:after="120"/>
              <w:jc w:val="right"/>
              <w:rPr>
                <w:noProof/>
                <w:sz w:val="22"/>
                <w:lang w:val="en-IE"/>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23924772" w14:textId="77777777" w:rsidR="00552D4E" w:rsidRPr="00013BDC" w:rsidRDefault="00552D4E" w:rsidP="00E31F49">
            <w:pPr>
              <w:spacing w:after="120"/>
              <w:jc w:val="right"/>
              <w:rPr>
                <w:noProof/>
                <w:sz w:val="22"/>
                <w:lang w:val="en-IE"/>
              </w:rPr>
            </w:pPr>
            <w:r w:rsidRPr="00013BDC">
              <w:rPr>
                <w:rFonts w:eastAsia="EC Square Sans Pro"/>
                <w:noProof/>
                <w:sz w:val="22"/>
                <w:lang w:val="en-IE"/>
              </w:rPr>
              <w:t>0.4%</w:t>
            </w:r>
          </w:p>
        </w:tc>
      </w:tr>
      <w:tr w:rsidR="00552D4E" w:rsidRPr="00013BDC" w14:paraId="12933C70" w14:textId="77777777" w:rsidTr="002A2D87">
        <w:trPr>
          <w:trHeight w:val="300"/>
        </w:trPr>
        <w:tc>
          <w:tcPr>
            <w:tcW w:w="3287" w:type="dxa"/>
            <w:vMerge/>
            <w:tcBorders>
              <w:left w:val="single" w:sz="8" w:space="0" w:color="auto"/>
              <w:right w:val="single" w:sz="8" w:space="0" w:color="auto"/>
            </w:tcBorders>
            <w:vAlign w:val="center"/>
          </w:tcPr>
          <w:p w14:paraId="19DB65B0" w14:textId="77777777" w:rsidR="00552D4E" w:rsidRPr="00013BDC" w:rsidRDefault="00552D4E" w:rsidP="00E31F49">
            <w:pPr>
              <w:spacing w:after="120"/>
              <w:jc w:val="left"/>
              <w:rPr>
                <w:noProof/>
                <w:sz w:val="22"/>
                <w:lang w:val="en-IE"/>
              </w:rPr>
            </w:pPr>
          </w:p>
        </w:tc>
        <w:tc>
          <w:tcPr>
            <w:tcW w:w="3224" w:type="dxa"/>
            <w:tcBorders>
              <w:top w:val="single" w:sz="8" w:space="0" w:color="auto"/>
              <w:left w:val="single" w:sz="8" w:space="0" w:color="auto"/>
              <w:bottom w:val="single" w:sz="8" w:space="0" w:color="auto"/>
              <w:right w:val="single" w:sz="8" w:space="0" w:color="auto"/>
            </w:tcBorders>
            <w:vAlign w:val="center"/>
          </w:tcPr>
          <w:p w14:paraId="10D8CE4F" w14:textId="55610D4D" w:rsidR="00552D4E" w:rsidRPr="00013BDC" w:rsidRDefault="00552D4E" w:rsidP="00E31F49">
            <w:pPr>
              <w:spacing w:after="120"/>
              <w:jc w:val="left"/>
              <w:rPr>
                <w:rFonts w:eastAsia="EC Square Sans Pro"/>
                <w:noProof/>
                <w:sz w:val="22"/>
                <w:lang w:val="en-IE"/>
              </w:rPr>
            </w:pPr>
            <w:r w:rsidRPr="00013BDC">
              <w:rPr>
                <w:rFonts w:eastAsia="EC Square Sans Pro"/>
                <w:noProof/>
                <w:sz w:val="22"/>
                <w:lang w:val="en-IE"/>
              </w:rPr>
              <w:t>Furnishing</w:t>
            </w:r>
          </w:p>
        </w:tc>
        <w:tc>
          <w:tcPr>
            <w:tcW w:w="1417" w:type="dxa"/>
            <w:vMerge/>
            <w:tcBorders>
              <w:left w:val="single" w:sz="8" w:space="0" w:color="auto"/>
              <w:right w:val="single" w:sz="8" w:space="0" w:color="auto"/>
            </w:tcBorders>
            <w:vAlign w:val="center"/>
          </w:tcPr>
          <w:p w14:paraId="686F571B" w14:textId="77777777" w:rsidR="00552D4E" w:rsidRPr="00013BDC" w:rsidRDefault="00552D4E" w:rsidP="00E31F49">
            <w:pPr>
              <w:spacing w:after="120"/>
              <w:jc w:val="right"/>
              <w:rPr>
                <w:noProof/>
                <w:sz w:val="22"/>
                <w:lang w:val="en-IE"/>
              </w:rPr>
            </w:pPr>
          </w:p>
        </w:tc>
        <w:tc>
          <w:tcPr>
            <w:tcW w:w="1418" w:type="dxa"/>
            <w:tcBorders>
              <w:top w:val="single" w:sz="8" w:space="0" w:color="auto"/>
              <w:left w:val="single" w:sz="8" w:space="0" w:color="auto"/>
              <w:bottom w:val="single" w:sz="8" w:space="0" w:color="auto"/>
              <w:right w:val="single" w:sz="8" w:space="0" w:color="auto"/>
            </w:tcBorders>
            <w:vAlign w:val="center"/>
          </w:tcPr>
          <w:p w14:paraId="126D9FAC" w14:textId="53E4ED24" w:rsidR="00552D4E" w:rsidRPr="00013BDC" w:rsidRDefault="00552D4E" w:rsidP="00E31F49">
            <w:pPr>
              <w:spacing w:after="120"/>
              <w:jc w:val="right"/>
              <w:rPr>
                <w:rFonts w:eastAsia="EC Square Sans Pro"/>
                <w:noProof/>
                <w:sz w:val="22"/>
                <w:lang w:val="en-IE"/>
              </w:rPr>
            </w:pPr>
            <w:r w:rsidRPr="00013BDC">
              <w:rPr>
                <w:rFonts w:eastAsia="EC Square Sans Pro"/>
                <w:noProof/>
                <w:sz w:val="22"/>
                <w:lang w:val="en-IE"/>
              </w:rPr>
              <w:t>0.2%</w:t>
            </w:r>
          </w:p>
        </w:tc>
      </w:tr>
      <w:tr w:rsidR="00552D4E" w:rsidRPr="00013BDC" w14:paraId="409D0B3E" w14:textId="77777777" w:rsidTr="002A2D87">
        <w:trPr>
          <w:trHeight w:val="300"/>
        </w:trPr>
        <w:tc>
          <w:tcPr>
            <w:tcW w:w="3287" w:type="dxa"/>
            <w:vMerge/>
            <w:tcBorders>
              <w:left w:val="single" w:sz="8" w:space="0" w:color="auto"/>
              <w:right w:val="single" w:sz="8" w:space="0" w:color="auto"/>
            </w:tcBorders>
            <w:vAlign w:val="center"/>
          </w:tcPr>
          <w:p w14:paraId="49E6561B" w14:textId="77777777" w:rsidR="00552D4E" w:rsidRPr="00013BDC" w:rsidRDefault="00552D4E" w:rsidP="00E31F49">
            <w:pPr>
              <w:spacing w:after="120"/>
              <w:jc w:val="left"/>
              <w:rPr>
                <w:noProof/>
                <w:sz w:val="22"/>
                <w:lang w:val="en-IE"/>
              </w:rPr>
            </w:pPr>
          </w:p>
        </w:tc>
        <w:tc>
          <w:tcPr>
            <w:tcW w:w="3224" w:type="dxa"/>
            <w:tcBorders>
              <w:top w:val="single" w:sz="8" w:space="0" w:color="auto"/>
              <w:left w:val="single" w:sz="8" w:space="0" w:color="auto"/>
              <w:bottom w:val="single" w:sz="8" w:space="0" w:color="auto"/>
              <w:right w:val="single" w:sz="8" w:space="0" w:color="auto"/>
            </w:tcBorders>
            <w:vAlign w:val="center"/>
            <w:hideMark/>
          </w:tcPr>
          <w:p w14:paraId="24822E84" w14:textId="7423673D" w:rsidR="00552D4E" w:rsidRPr="00013BDC" w:rsidRDefault="00552D4E" w:rsidP="00E31F49">
            <w:pPr>
              <w:spacing w:after="120"/>
              <w:jc w:val="left"/>
              <w:rPr>
                <w:noProof/>
                <w:sz w:val="22"/>
                <w:lang w:val="en-IE"/>
              </w:rPr>
            </w:pPr>
            <w:r w:rsidRPr="00013BDC">
              <w:rPr>
                <w:rFonts w:eastAsia="EC Square Sans Pro"/>
                <w:noProof/>
                <w:sz w:val="22"/>
                <w:lang w:val="en-IE"/>
              </w:rPr>
              <w:t>Other personal care</w:t>
            </w:r>
          </w:p>
        </w:tc>
        <w:tc>
          <w:tcPr>
            <w:tcW w:w="1417" w:type="dxa"/>
            <w:vMerge/>
            <w:tcBorders>
              <w:left w:val="single" w:sz="8" w:space="0" w:color="auto"/>
              <w:right w:val="single" w:sz="8" w:space="0" w:color="auto"/>
            </w:tcBorders>
            <w:vAlign w:val="center"/>
          </w:tcPr>
          <w:p w14:paraId="313F363A" w14:textId="77777777" w:rsidR="00552D4E" w:rsidRPr="00013BDC" w:rsidRDefault="00552D4E" w:rsidP="00E31F49">
            <w:pPr>
              <w:spacing w:after="120"/>
              <w:jc w:val="right"/>
              <w:rPr>
                <w:noProof/>
                <w:sz w:val="22"/>
                <w:lang w:val="en-IE"/>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6110125B" w14:textId="77777777" w:rsidR="00552D4E" w:rsidRPr="00013BDC" w:rsidRDefault="00552D4E" w:rsidP="00E31F49">
            <w:pPr>
              <w:spacing w:after="120"/>
              <w:jc w:val="right"/>
              <w:rPr>
                <w:noProof/>
                <w:sz w:val="22"/>
                <w:lang w:val="en-IE"/>
              </w:rPr>
            </w:pPr>
            <w:r w:rsidRPr="00013BDC">
              <w:rPr>
                <w:rFonts w:eastAsia="EC Square Sans Pro"/>
                <w:noProof/>
                <w:sz w:val="22"/>
                <w:lang w:val="en-IE"/>
              </w:rPr>
              <w:t>0.1%</w:t>
            </w:r>
          </w:p>
        </w:tc>
      </w:tr>
      <w:tr w:rsidR="00552D4E" w:rsidRPr="00013BDC" w14:paraId="7D4B6894" w14:textId="77777777" w:rsidTr="002A2D87">
        <w:trPr>
          <w:trHeight w:val="300"/>
        </w:trPr>
        <w:tc>
          <w:tcPr>
            <w:tcW w:w="3287" w:type="dxa"/>
            <w:vMerge/>
            <w:tcBorders>
              <w:left w:val="single" w:sz="8" w:space="0" w:color="auto"/>
              <w:bottom w:val="single" w:sz="4" w:space="0" w:color="auto"/>
              <w:right w:val="single" w:sz="8" w:space="0" w:color="auto"/>
            </w:tcBorders>
            <w:vAlign w:val="center"/>
          </w:tcPr>
          <w:p w14:paraId="63C52FB9" w14:textId="77777777" w:rsidR="00552D4E" w:rsidRPr="00013BDC" w:rsidRDefault="00552D4E" w:rsidP="00E31F49">
            <w:pPr>
              <w:spacing w:after="120"/>
              <w:jc w:val="left"/>
              <w:rPr>
                <w:noProof/>
                <w:sz w:val="22"/>
                <w:lang w:val="en-IE"/>
              </w:rPr>
            </w:pPr>
          </w:p>
        </w:tc>
        <w:tc>
          <w:tcPr>
            <w:tcW w:w="3224" w:type="dxa"/>
            <w:tcBorders>
              <w:top w:val="single" w:sz="8" w:space="0" w:color="auto"/>
              <w:left w:val="single" w:sz="8" w:space="0" w:color="auto"/>
              <w:bottom w:val="single" w:sz="8" w:space="0" w:color="auto"/>
              <w:right w:val="single" w:sz="8" w:space="0" w:color="auto"/>
            </w:tcBorders>
            <w:vAlign w:val="center"/>
            <w:hideMark/>
          </w:tcPr>
          <w:p w14:paraId="1EC4C31F" w14:textId="77777777" w:rsidR="00552D4E" w:rsidRPr="00013BDC" w:rsidRDefault="00552D4E" w:rsidP="00E31F49">
            <w:pPr>
              <w:spacing w:after="120"/>
              <w:jc w:val="left"/>
              <w:rPr>
                <w:noProof/>
                <w:sz w:val="22"/>
                <w:lang w:val="en-IE"/>
              </w:rPr>
            </w:pPr>
            <w:r w:rsidRPr="00013BDC">
              <w:rPr>
                <w:rFonts w:eastAsia="EC Square Sans Pro"/>
                <w:noProof/>
                <w:sz w:val="22"/>
                <w:lang w:val="en-IE"/>
              </w:rPr>
              <w:t>Sleeping bags</w:t>
            </w:r>
          </w:p>
        </w:tc>
        <w:tc>
          <w:tcPr>
            <w:tcW w:w="1417" w:type="dxa"/>
            <w:vMerge/>
            <w:tcBorders>
              <w:left w:val="single" w:sz="8" w:space="0" w:color="auto"/>
              <w:bottom w:val="single" w:sz="4" w:space="0" w:color="auto"/>
              <w:right w:val="single" w:sz="8" w:space="0" w:color="auto"/>
            </w:tcBorders>
            <w:vAlign w:val="center"/>
          </w:tcPr>
          <w:p w14:paraId="7D7E39D9" w14:textId="77777777" w:rsidR="00552D4E" w:rsidRPr="00013BDC" w:rsidRDefault="00552D4E" w:rsidP="00E31F49">
            <w:pPr>
              <w:spacing w:after="120"/>
              <w:jc w:val="right"/>
              <w:rPr>
                <w:noProof/>
                <w:sz w:val="22"/>
                <w:lang w:val="en-IE"/>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6E7E45DF" w14:textId="77777777" w:rsidR="00552D4E" w:rsidRPr="00013BDC" w:rsidRDefault="00552D4E" w:rsidP="00E31F49">
            <w:pPr>
              <w:spacing w:after="120"/>
              <w:jc w:val="right"/>
              <w:rPr>
                <w:noProof/>
                <w:sz w:val="22"/>
                <w:lang w:val="en-IE"/>
              </w:rPr>
            </w:pPr>
            <w:r w:rsidRPr="00013BDC">
              <w:rPr>
                <w:rFonts w:eastAsia="EC Square Sans Pro"/>
                <w:noProof/>
                <w:sz w:val="22"/>
                <w:lang w:val="en-IE"/>
              </w:rPr>
              <w:t>0.0%</w:t>
            </w:r>
          </w:p>
        </w:tc>
      </w:tr>
      <w:tr w:rsidR="00AC5F61" w:rsidRPr="00013BDC" w14:paraId="211D0602" w14:textId="77777777" w:rsidTr="002A2D87">
        <w:trPr>
          <w:trHeight w:val="390"/>
        </w:trPr>
        <w:tc>
          <w:tcPr>
            <w:tcW w:w="3287" w:type="dxa"/>
            <w:vMerge w:val="restart"/>
            <w:tcBorders>
              <w:top w:val="single" w:sz="8" w:space="0" w:color="auto"/>
              <w:left w:val="single" w:sz="8" w:space="0" w:color="auto"/>
              <w:bottom w:val="single" w:sz="4" w:space="0" w:color="auto"/>
              <w:right w:val="single" w:sz="8" w:space="0" w:color="auto"/>
            </w:tcBorders>
            <w:vAlign w:val="center"/>
            <w:hideMark/>
          </w:tcPr>
          <w:p w14:paraId="50F7FD9C" w14:textId="6422F0DD" w:rsidR="00AC5F61" w:rsidRPr="00013BDC" w:rsidRDefault="00AC5F61" w:rsidP="00E31F49">
            <w:pPr>
              <w:spacing w:after="120"/>
              <w:jc w:val="left"/>
              <w:rPr>
                <w:rFonts w:eastAsia="EC Square Sans Pro"/>
                <w:noProof/>
                <w:sz w:val="22"/>
                <w:lang w:val="en-IE"/>
              </w:rPr>
            </w:pPr>
            <w:r w:rsidRPr="00013BDC">
              <w:rPr>
                <w:rFonts w:eastAsia="EC Square Sans Pro"/>
                <w:noProof/>
                <w:sz w:val="22"/>
                <w:lang w:val="en-IE"/>
              </w:rPr>
              <w:t xml:space="preserve">Technical </w:t>
            </w:r>
            <w:r w:rsidR="00552D4E" w:rsidRPr="00013BDC">
              <w:rPr>
                <w:rFonts w:eastAsia="EC Square Sans Pro"/>
                <w:noProof/>
                <w:sz w:val="22"/>
                <w:lang w:val="en-IE"/>
              </w:rPr>
              <w:t>textiles households</w:t>
            </w:r>
          </w:p>
        </w:tc>
        <w:tc>
          <w:tcPr>
            <w:tcW w:w="3224" w:type="dxa"/>
            <w:tcBorders>
              <w:top w:val="single" w:sz="8" w:space="0" w:color="auto"/>
              <w:left w:val="single" w:sz="8" w:space="0" w:color="auto"/>
              <w:bottom w:val="single" w:sz="8" w:space="0" w:color="auto"/>
              <w:right w:val="single" w:sz="8" w:space="0" w:color="auto"/>
            </w:tcBorders>
            <w:vAlign w:val="center"/>
            <w:hideMark/>
          </w:tcPr>
          <w:p w14:paraId="54C92FA6" w14:textId="77777777" w:rsidR="00AC5F61" w:rsidRPr="00013BDC" w:rsidRDefault="00AC5F61" w:rsidP="00E31F49">
            <w:pPr>
              <w:spacing w:after="120"/>
              <w:jc w:val="left"/>
              <w:rPr>
                <w:noProof/>
                <w:sz w:val="22"/>
                <w:lang w:val="en-IE"/>
              </w:rPr>
            </w:pPr>
            <w:r w:rsidRPr="00013BDC">
              <w:rPr>
                <w:rFonts w:eastAsia="EC Square Sans Pro"/>
                <w:noProof/>
                <w:sz w:val="22"/>
                <w:lang w:val="en-IE"/>
              </w:rPr>
              <w:t>Non-woven articles</w:t>
            </w:r>
          </w:p>
        </w:tc>
        <w:tc>
          <w:tcPr>
            <w:tcW w:w="1417" w:type="dxa"/>
            <w:vMerge w:val="restart"/>
            <w:tcBorders>
              <w:top w:val="single" w:sz="8" w:space="0" w:color="auto"/>
              <w:left w:val="single" w:sz="8" w:space="0" w:color="auto"/>
              <w:right w:val="single" w:sz="8" w:space="0" w:color="auto"/>
            </w:tcBorders>
            <w:vAlign w:val="center"/>
          </w:tcPr>
          <w:p w14:paraId="4535D550" w14:textId="7E25EB60" w:rsidR="00AC5F61" w:rsidRPr="00013BDC" w:rsidRDefault="006A3A5B" w:rsidP="00E31F49">
            <w:pPr>
              <w:spacing w:after="120"/>
              <w:jc w:val="right"/>
              <w:rPr>
                <w:rFonts w:eastAsia="EC Square Sans Pro"/>
                <w:noProof/>
                <w:sz w:val="22"/>
                <w:lang w:val="en-IE"/>
              </w:rPr>
            </w:pPr>
            <w:r w:rsidRPr="00013BDC">
              <w:rPr>
                <w:rFonts w:eastAsia="EC Square Sans Pro"/>
                <w:noProof/>
                <w:sz w:val="22"/>
                <w:lang w:val="en-IE"/>
              </w:rPr>
              <w:t>20.8</w:t>
            </w:r>
            <w:r w:rsidR="00AC5F61" w:rsidRPr="00013BDC">
              <w:rPr>
                <w:rFonts w:eastAsia="EC Square Sans Pro"/>
                <w:noProof/>
                <w:sz w:val="22"/>
                <w:lang w:val="en-IE"/>
              </w:rPr>
              <w:t>%</w:t>
            </w:r>
          </w:p>
        </w:tc>
        <w:tc>
          <w:tcPr>
            <w:tcW w:w="1418" w:type="dxa"/>
            <w:tcBorders>
              <w:top w:val="single" w:sz="8" w:space="0" w:color="auto"/>
              <w:left w:val="single" w:sz="8" w:space="0" w:color="auto"/>
              <w:bottom w:val="single" w:sz="8" w:space="0" w:color="auto"/>
              <w:right w:val="single" w:sz="8" w:space="0" w:color="auto"/>
            </w:tcBorders>
            <w:vAlign w:val="center"/>
            <w:hideMark/>
          </w:tcPr>
          <w:p w14:paraId="3D452804" w14:textId="64CA292D" w:rsidR="00AC5F61" w:rsidRPr="00013BDC" w:rsidRDefault="00552D4E" w:rsidP="00E31F49">
            <w:pPr>
              <w:spacing w:after="120"/>
              <w:jc w:val="right"/>
              <w:rPr>
                <w:noProof/>
                <w:sz w:val="22"/>
                <w:lang w:val="en-IE"/>
              </w:rPr>
            </w:pPr>
            <w:r w:rsidRPr="00013BDC">
              <w:rPr>
                <w:rFonts w:eastAsia="EC Square Sans Pro"/>
                <w:noProof/>
                <w:sz w:val="22"/>
                <w:lang w:val="en-IE"/>
              </w:rPr>
              <w:t>7.8</w:t>
            </w:r>
            <w:r w:rsidR="00AC5F61" w:rsidRPr="00013BDC">
              <w:rPr>
                <w:rFonts w:eastAsia="EC Square Sans Pro"/>
                <w:noProof/>
                <w:sz w:val="22"/>
                <w:lang w:val="en-IE"/>
              </w:rPr>
              <w:t>%</w:t>
            </w:r>
          </w:p>
        </w:tc>
      </w:tr>
      <w:tr w:rsidR="00AC5F61" w:rsidRPr="00013BDC" w14:paraId="16D50D10" w14:textId="77777777" w:rsidTr="002A2D87">
        <w:trPr>
          <w:trHeight w:val="300"/>
        </w:trPr>
        <w:tc>
          <w:tcPr>
            <w:tcW w:w="3287" w:type="dxa"/>
            <w:vMerge/>
            <w:tcBorders>
              <w:top w:val="single" w:sz="8" w:space="0" w:color="auto"/>
              <w:left w:val="single" w:sz="8" w:space="0" w:color="auto"/>
              <w:bottom w:val="single" w:sz="4" w:space="0" w:color="auto"/>
              <w:right w:val="single" w:sz="8" w:space="0" w:color="auto"/>
            </w:tcBorders>
            <w:vAlign w:val="center"/>
            <w:hideMark/>
          </w:tcPr>
          <w:p w14:paraId="717C4B6C" w14:textId="77777777" w:rsidR="00AC5F61" w:rsidRPr="00013BDC" w:rsidRDefault="00AC5F61" w:rsidP="00E31F49">
            <w:pPr>
              <w:spacing w:after="0"/>
              <w:jc w:val="left"/>
              <w:rPr>
                <w:rFonts w:eastAsia="EC Square Sans Pro"/>
                <w:noProof/>
                <w:sz w:val="22"/>
                <w:lang w:val="en-IE"/>
              </w:rPr>
            </w:pPr>
          </w:p>
        </w:tc>
        <w:tc>
          <w:tcPr>
            <w:tcW w:w="3224" w:type="dxa"/>
            <w:tcBorders>
              <w:top w:val="single" w:sz="8" w:space="0" w:color="auto"/>
              <w:left w:val="single" w:sz="8" w:space="0" w:color="auto"/>
              <w:bottom w:val="single" w:sz="8" w:space="0" w:color="auto"/>
              <w:right w:val="single" w:sz="8" w:space="0" w:color="auto"/>
            </w:tcBorders>
            <w:vAlign w:val="center"/>
            <w:hideMark/>
          </w:tcPr>
          <w:p w14:paraId="48666020" w14:textId="77777777" w:rsidR="00AC5F61" w:rsidRPr="00013BDC" w:rsidRDefault="00AC5F61" w:rsidP="00E31F49">
            <w:pPr>
              <w:spacing w:after="120"/>
              <w:jc w:val="left"/>
              <w:rPr>
                <w:noProof/>
                <w:sz w:val="22"/>
                <w:lang w:val="en-IE"/>
              </w:rPr>
            </w:pPr>
            <w:r w:rsidRPr="00013BDC">
              <w:rPr>
                <w:rFonts w:eastAsia="EC Square Sans Pro"/>
                <w:noProof/>
                <w:sz w:val="22"/>
                <w:lang w:val="en-IE"/>
              </w:rPr>
              <w:t>Cleaning articles</w:t>
            </w:r>
          </w:p>
        </w:tc>
        <w:tc>
          <w:tcPr>
            <w:tcW w:w="1417" w:type="dxa"/>
            <w:vMerge/>
            <w:tcBorders>
              <w:left w:val="single" w:sz="8" w:space="0" w:color="auto"/>
              <w:right w:val="single" w:sz="8" w:space="0" w:color="auto"/>
            </w:tcBorders>
            <w:vAlign w:val="center"/>
          </w:tcPr>
          <w:p w14:paraId="1A828910" w14:textId="77777777" w:rsidR="00AC5F61" w:rsidRPr="00013BDC" w:rsidRDefault="00AC5F61" w:rsidP="00E31F49">
            <w:pPr>
              <w:spacing w:after="120"/>
              <w:jc w:val="left"/>
              <w:rPr>
                <w:rFonts w:eastAsia="EC Square Sans Pro"/>
                <w:noProof/>
                <w:sz w:val="22"/>
                <w:lang w:val="en-IE"/>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1CD0F1B2" w14:textId="703DA4FB" w:rsidR="00AC5F61" w:rsidRPr="00013BDC" w:rsidRDefault="00552D4E" w:rsidP="00E31F49">
            <w:pPr>
              <w:spacing w:after="120"/>
              <w:jc w:val="right"/>
              <w:rPr>
                <w:noProof/>
                <w:sz w:val="22"/>
                <w:lang w:val="en-IE"/>
              </w:rPr>
            </w:pPr>
            <w:r w:rsidRPr="00013BDC">
              <w:rPr>
                <w:rFonts w:eastAsia="EC Square Sans Pro"/>
                <w:noProof/>
                <w:sz w:val="22"/>
                <w:lang w:val="en-IE"/>
              </w:rPr>
              <w:t>7.</w:t>
            </w:r>
            <w:r w:rsidR="00BF00F6" w:rsidRPr="00013BDC">
              <w:rPr>
                <w:rFonts w:eastAsia="EC Square Sans Pro"/>
                <w:noProof/>
                <w:sz w:val="22"/>
                <w:lang w:val="en-IE"/>
              </w:rPr>
              <w:t>0</w:t>
            </w:r>
            <w:r w:rsidR="00AC5F61" w:rsidRPr="00013BDC">
              <w:rPr>
                <w:rFonts w:eastAsia="EC Square Sans Pro"/>
                <w:noProof/>
                <w:sz w:val="22"/>
                <w:lang w:val="en-IE"/>
              </w:rPr>
              <w:t>%</w:t>
            </w:r>
          </w:p>
        </w:tc>
      </w:tr>
      <w:tr w:rsidR="00AC5F61" w:rsidRPr="00013BDC" w14:paraId="1BE3D739" w14:textId="77777777" w:rsidTr="002A2D87">
        <w:trPr>
          <w:trHeight w:val="300"/>
        </w:trPr>
        <w:tc>
          <w:tcPr>
            <w:tcW w:w="3287" w:type="dxa"/>
            <w:vMerge/>
            <w:tcBorders>
              <w:top w:val="single" w:sz="8" w:space="0" w:color="auto"/>
              <w:left w:val="single" w:sz="8" w:space="0" w:color="auto"/>
              <w:bottom w:val="single" w:sz="4" w:space="0" w:color="auto"/>
              <w:right w:val="single" w:sz="8" w:space="0" w:color="auto"/>
            </w:tcBorders>
            <w:vAlign w:val="center"/>
            <w:hideMark/>
          </w:tcPr>
          <w:p w14:paraId="1B873290" w14:textId="77777777" w:rsidR="00AC5F61" w:rsidRPr="00013BDC" w:rsidRDefault="00AC5F61" w:rsidP="00E31F49">
            <w:pPr>
              <w:spacing w:after="0"/>
              <w:jc w:val="left"/>
              <w:rPr>
                <w:rFonts w:eastAsia="EC Square Sans Pro"/>
                <w:noProof/>
                <w:sz w:val="22"/>
                <w:lang w:val="en-IE"/>
              </w:rPr>
            </w:pPr>
          </w:p>
        </w:tc>
        <w:tc>
          <w:tcPr>
            <w:tcW w:w="3224" w:type="dxa"/>
            <w:tcBorders>
              <w:top w:val="single" w:sz="8" w:space="0" w:color="auto"/>
              <w:left w:val="single" w:sz="8" w:space="0" w:color="auto"/>
              <w:bottom w:val="single" w:sz="8" w:space="0" w:color="auto"/>
              <w:right w:val="single" w:sz="8" w:space="0" w:color="auto"/>
            </w:tcBorders>
            <w:vAlign w:val="center"/>
            <w:hideMark/>
          </w:tcPr>
          <w:p w14:paraId="2CAB7E9A" w14:textId="77777777" w:rsidR="00AC5F61" w:rsidRPr="00013BDC" w:rsidRDefault="00AC5F61" w:rsidP="00E31F49">
            <w:pPr>
              <w:spacing w:after="120"/>
              <w:jc w:val="left"/>
              <w:rPr>
                <w:rFonts w:eastAsia="EC Square Sans Pro"/>
                <w:noProof/>
                <w:sz w:val="22"/>
                <w:lang w:val="en-IE"/>
              </w:rPr>
            </w:pPr>
            <w:r w:rsidRPr="00013BDC">
              <w:rPr>
                <w:rFonts w:eastAsia="EC Square Sans Pro"/>
                <w:noProof/>
                <w:sz w:val="22"/>
                <w:szCs w:val="22"/>
                <w:lang w:val="en-IE"/>
              </w:rPr>
              <w:t>Sacks and bags</w:t>
            </w:r>
          </w:p>
        </w:tc>
        <w:tc>
          <w:tcPr>
            <w:tcW w:w="1417" w:type="dxa"/>
            <w:vMerge/>
            <w:tcBorders>
              <w:left w:val="single" w:sz="8" w:space="0" w:color="auto"/>
              <w:right w:val="single" w:sz="8" w:space="0" w:color="auto"/>
            </w:tcBorders>
            <w:vAlign w:val="center"/>
          </w:tcPr>
          <w:p w14:paraId="4A24ADF1" w14:textId="77777777" w:rsidR="00AC5F61" w:rsidRPr="00013BDC" w:rsidRDefault="00AC5F61" w:rsidP="00E31F49">
            <w:pPr>
              <w:spacing w:after="120"/>
              <w:jc w:val="left"/>
              <w:rPr>
                <w:rFonts w:eastAsia="EC Square Sans Pro"/>
                <w:noProof/>
                <w:sz w:val="22"/>
                <w:szCs w:val="22"/>
                <w:lang w:val="en-IE"/>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7C31C1C7" w14:textId="77777777" w:rsidR="00AC5F61" w:rsidRPr="00013BDC" w:rsidRDefault="00AC5F61" w:rsidP="00E31F49">
            <w:pPr>
              <w:spacing w:after="120"/>
              <w:jc w:val="right"/>
              <w:rPr>
                <w:noProof/>
                <w:sz w:val="22"/>
                <w:lang w:val="en-IE"/>
              </w:rPr>
            </w:pPr>
            <w:r w:rsidRPr="00013BDC">
              <w:rPr>
                <w:rFonts w:eastAsia="EC Square Sans Pro"/>
                <w:noProof/>
                <w:sz w:val="22"/>
                <w:szCs w:val="22"/>
                <w:lang w:val="en-IE"/>
              </w:rPr>
              <w:t>6.</w:t>
            </w:r>
            <w:r w:rsidRPr="00013BDC">
              <w:rPr>
                <w:rFonts w:eastAsia="EC Square Sans Pro"/>
                <w:noProof/>
                <w:sz w:val="22"/>
                <w:lang w:val="en-IE"/>
              </w:rPr>
              <w:t>0%</w:t>
            </w:r>
          </w:p>
        </w:tc>
      </w:tr>
      <w:tr w:rsidR="00587971" w:rsidRPr="00013BDC" w14:paraId="64A02559" w14:textId="77777777" w:rsidTr="00587971">
        <w:trPr>
          <w:trHeight w:val="300"/>
        </w:trPr>
        <w:tc>
          <w:tcPr>
            <w:tcW w:w="3287" w:type="dxa"/>
            <w:vMerge w:val="restart"/>
            <w:tcBorders>
              <w:top w:val="single" w:sz="8" w:space="0" w:color="auto"/>
              <w:left w:val="single" w:sz="8" w:space="0" w:color="auto"/>
              <w:right w:val="single" w:sz="8" w:space="0" w:color="auto"/>
            </w:tcBorders>
            <w:vAlign w:val="center"/>
          </w:tcPr>
          <w:p w14:paraId="64564677" w14:textId="67D0F57A" w:rsidR="00587971" w:rsidRPr="00013BDC" w:rsidRDefault="00587971" w:rsidP="00E31F49">
            <w:pPr>
              <w:jc w:val="left"/>
              <w:rPr>
                <w:noProof/>
                <w:sz w:val="22"/>
                <w:szCs w:val="22"/>
                <w:lang w:val="en-IE"/>
              </w:rPr>
            </w:pPr>
            <w:r w:rsidRPr="00013BDC">
              <w:rPr>
                <w:noProof/>
                <w:sz w:val="22"/>
                <w:szCs w:val="22"/>
                <w:lang w:val="en-IE"/>
              </w:rPr>
              <w:t>Technical textiles professional use</w:t>
            </w:r>
          </w:p>
        </w:tc>
        <w:tc>
          <w:tcPr>
            <w:tcW w:w="3224" w:type="dxa"/>
            <w:tcBorders>
              <w:top w:val="single" w:sz="8" w:space="0" w:color="auto"/>
              <w:left w:val="single" w:sz="8" w:space="0" w:color="auto"/>
              <w:bottom w:val="single" w:sz="8" w:space="0" w:color="auto"/>
              <w:right w:val="single" w:sz="8" w:space="0" w:color="auto"/>
            </w:tcBorders>
            <w:vAlign w:val="center"/>
          </w:tcPr>
          <w:p w14:paraId="5CDA1D85" w14:textId="091BF1E3"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Non-wove articles</w:t>
            </w:r>
          </w:p>
        </w:tc>
        <w:tc>
          <w:tcPr>
            <w:tcW w:w="1417" w:type="dxa"/>
            <w:vMerge w:val="restart"/>
            <w:tcBorders>
              <w:top w:val="single" w:sz="8" w:space="0" w:color="auto"/>
              <w:left w:val="single" w:sz="8" w:space="0" w:color="auto"/>
              <w:right w:val="single" w:sz="8" w:space="0" w:color="auto"/>
            </w:tcBorders>
            <w:vAlign w:val="center"/>
          </w:tcPr>
          <w:p w14:paraId="3B2C132F" w14:textId="3C2B2FE3" w:rsidR="00587971" w:rsidRPr="00013BDC" w:rsidRDefault="00587971" w:rsidP="00587971">
            <w:pPr>
              <w:jc w:val="center"/>
              <w:rPr>
                <w:rFonts w:eastAsia="EC Square Sans Pro"/>
                <w:noProof/>
                <w:sz w:val="22"/>
                <w:szCs w:val="22"/>
                <w:lang w:val="en-IE"/>
              </w:rPr>
            </w:pPr>
            <w:r w:rsidRPr="00013BDC">
              <w:rPr>
                <w:rFonts w:eastAsia="EC Square Sans Pro"/>
                <w:noProof/>
                <w:sz w:val="22"/>
                <w:szCs w:val="22"/>
                <w:lang w:val="en-IE"/>
              </w:rPr>
              <w:t>15.1%</w:t>
            </w:r>
          </w:p>
        </w:tc>
        <w:tc>
          <w:tcPr>
            <w:tcW w:w="1418" w:type="dxa"/>
            <w:tcBorders>
              <w:top w:val="single" w:sz="8" w:space="0" w:color="auto"/>
              <w:left w:val="single" w:sz="8" w:space="0" w:color="auto"/>
              <w:bottom w:val="single" w:sz="8" w:space="0" w:color="auto"/>
              <w:right w:val="single" w:sz="8" w:space="0" w:color="auto"/>
            </w:tcBorders>
            <w:vAlign w:val="center"/>
          </w:tcPr>
          <w:p w14:paraId="36AB4C70" w14:textId="5CC42CDC"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7.5%</w:t>
            </w:r>
          </w:p>
        </w:tc>
      </w:tr>
      <w:tr w:rsidR="00587971" w:rsidRPr="00013BDC" w14:paraId="01109708" w14:textId="77777777" w:rsidTr="00587971">
        <w:trPr>
          <w:trHeight w:val="300"/>
        </w:trPr>
        <w:tc>
          <w:tcPr>
            <w:tcW w:w="3287" w:type="dxa"/>
            <w:vMerge/>
            <w:tcBorders>
              <w:left w:val="single" w:sz="8" w:space="0" w:color="auto"/>
              <w:right w:val="single" w:sz="8" w:space="0" w:color="auto"/>
            </w:tcBorders>
            <w:vAlign w:val="center"/>
          </w:tcPr>
          <w:p w14:paraId="3CEF6BCD" w14:textId="77777777" w:rsidR="00587971" w:rsidRPr="00013BDC" w:rsidRDefault="00587971" w:rsidP="00E31F49">
            <w:pPr>
              <w:jc w:val="left"/>
              <w:rPr>
                <w:noProof/>
                <w:lang w:val="en-IE"/>
              </w:rPr>
            </w:pPr>
          </w:p>
        </w:tc>
        <w:tc>
          <w:tcPr>
            <w:tcW w:w="3224" w:type="dxa"/>
            <w:tcBorders>
              <w:top w:val="single" w:sz="8" w:space="0" w:color="auto"/>
              <w:left w:val="single" w:sz="8" w:space="0" w:color="auto"/>
              <w:bottom w:val="single" w:sz="8" w:space="0" w:color="auto"/>
              <w:right w:val="single" w:sz="8" w:space="0" w:color="auto"/>
            </w:tcBorders>
            <w:vAlign w:val="center"/>
          </w:tcPr>
          <w:p w14:paraId="48076CF7" w14:textId="0CC3805E"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Mixed technical articles</w:t>
            </w:r>
          </w:p>
        </w:tc>
        <w:tc>
          <w:tcPr>
            <w:tcW w:w="1417" w:type="dxa"/>
            <w:vMerge/>
            <w:tcBorders>
              <w:left w:val="single" w:sz="8" w:space="0" w:color="auto"/>
              <w:right w:val="single" w:sz="8" w:space="0" w:color="auto"/>
            </w:tcBorders>
            <w:vAlign w:val="center"/>
          </w:tcPr>
          <w:p w14:paraId="19596B66" w14:textId="77777777" w:rsidR="00587971" w:rsidRPr="00013BDC" w:rsidRDefault="00587971" w:rsidP="00E31F49">
            <w:pPr>
              <w:jc w:val="left"/>
              <w:rPr>
                <w:rFonts w:eastAsia="EC Square Sans Pro"/>
                <w:noProof/>
                <w:sz w:val="22"/>
                <w:szCs w:val="22"/>
                <w:lang w:val="en-IE"/>
              </w:rPr>
            </w:pPr>
          </w:p>
        </w:tc>
        <w:tc>
          <w:tcPr>
            <w:tcW w:w="1418" w:type="dxa"/>
            <w:tcBorders>
              <w:top w:val="single" w:sz="8" w:space="0" w:color="auto"/>
              <w:left w:val="single" w:sz="8" w:space="0" w:color="auto"/>
              <w:bottom w:val="single" w:sz="8" w:space="0" w:color="auto"/>
              <w:right w:val="single" w:sz="8" w:space="0" w:color="auto"/>
            </w:tcBorders>
            <w:vAlign w:val="center"/>
          </w:tcPr>
          <w:p w14:paraId="5FEC233C" w14:textId="4D626236"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3.5%</w:t>
            </w:r>
          </w:p>
        </w:tc>
      </w:tr>
      <w:tr w:rsidR="00587971" w:rsidRPr="00013BDC" w14:paraId="1AEB0EC3" w14:textId="77777777" w:rsidTr="00587971">
        <w:trPr>
          <w:trHeight w:val="300"/>
        </w:trPr>
        <w:tc>
          <w:tcPr>
            <w:tcW w:w="3287" w:type="dxa"/>
            <w:vMerge/>
            <w:tcBorders>
              <w:left w:val="single" w:sz="8" w:space="0" w:color="auto"/>
              <w:right w:val="single" w:sz="8" w:space="0" w:color="auto"/>
            </w:tcBorders>
            <w:vAlign w:val="center"/>
          </w:tcPr>
          <w:p w14:paraId="38EAF49D" w14:textId="77777777" w:rsidR="00587971" w:rsidRPr="00013BDC" w:rsidRDefault="00587971" w:rsidP="00E31F49">
            <w:pPr>
              <w:jc w:val="left"/>
              <w:rPr>
                <w:noProof/>
                <w:lang w:val="en-IE"/>
              </w:rPr>
            </w:pPr>
          </w:p>
        </w:tc>
        <w:tc>
          <w:tcPr>
            <w:tcW w:w="3224" w:type="dxa"/>
            <w:tcBorders>
              <w:top w:val="single" w:sz="8" w:space="0" w:color="auto"/>
              <w:left w:val="single" w:sz="8" w:space="0" w:color="auto"/>
              <w:bottom w:val="single" w:sz="8" w:space="0" w:color="auto"/>
              <w:right w:val="single" w:sz="8" w:space="0" w:color="auto"/>
            </w:tcBorders>
            <w:vAlign w:val="center"/>
          </w:tcPr>
          <w:p w14:paraId="28B6F72A" w14:textId="3E33532C"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Cleaning articles</w:t>
            </w:r>
          </w:p>
        </w:tc>
        <w:tc>
          <w:tcPr>
            <w:tcW w:w="1417" w:type="dxa"/>
            <w:vMerge/>
            <w:tcBorders>
              <w:left w:val="single" w:sz="8" w:space="0" w:color="auto"/>
              <w:right w:val="single" w:sz="8" w:space="0" w:color="auto"/>
            </w:tcBorders>
            <w:vAlign w:val="center"/>
          </w:tcPr>
          <w:p w14:paraId="64615C18" w14:textId="77777777" w:rsidR="00587971" w:rsidRPr="00013BDC" w:rsidRDefault="00587971" w:rsidP="00E31F49">
            <w:pPr>
              <w:jc w:val="left"/>
              <w:rPr>
                <w:rFonts w:eastAsia="EC Square Sans Pro"/>
                <w:noProof/>
                <w:sz w:val="22"/>
                <w:szCs w:val="22"/>
                <w:lang w:val="en-IE"/>
              </w:rPr>
            </w:pPr>
          </w:p>
        </w:tc>
        <w:tc>
          <w:tcPr>
            <w:tcW w:w="1418" w:type="dxa"/>
            <w:tcBorders>
              <w:top w:val="single" w:sz="8" w:space="0" w:color="auto"/>
              <w:left w:val="single" w:sz="8" w:space="0" w:color="auto"/>
              <w:bottom w:val="single" w:sz="8" w:space="0" w:color="auto"/>
              <w:right w:val="single" w:sz="8" w:space="0" w:color="auto"/>
            </w:tcBorders>
            <w:vAlign w:val="center"/>
          </w:tcPr>
          <w:p w14:paraId="0E34CEB8" w14:textId="50CF3403"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2.6%</w:t>
            </w:r>
          </w:p>
        </w:tc>
      </w:tr>
      <w:tr w:rsidR="00587971" w:rsidRPr="00013BDC" w14:paraId="4B8C25C0" w14:textId="77777777" w:rsidTr="00587971">
        <w:trPr>
          <w:trHeight w:val="300"/>
        </w:trPr>
        <w:tc>
          <w:tcPr>
            <w:tcW w:w="3287" w:type="dxa"/>
            <w:vMerge/>
            <w:tcBorders>
              <w:left w:val="single" w:sz="8" w:space="0" w:color="auto"/>
              <w:right w:val="single" w:sz="8" w:space="0" w:color="auto"/>
            </w:tcBorders>
            <w:vAlign w:val="center"/>
          </w:tcPr>
          <w:p w14:paraId="757E00E5" w14:textId="77777777" w:rsidR="00587971" w:rsidRPr="00013BDC" w:rsidRDefault="00587971" w:rsidP="00E31F49">
            <w:pPr>
              <w:jc w:val="left"/>
              <w:rPr>
                <w:noProof/>
                <w:lang w:val="en-IE"/>
              </w:rPr>
            </w:pPr>
          </w:p>
        </w:tc>
        <w:tc>
          <w:tcPr>
            <w:tcW w:w="3224" w:type="dxa"/>
            <w:tcBorders>
              <w:top w:val="single" w:sz="8" w:space="0" w:color="auto"/>
              <w:left w:val="single" w:sz="8" w:space="0" w:color="auto"/>
              <w:bottom w:val="single" w:sz="8" w:space="0" w:color="auto"/>
              <w:right w:val="single" w:sz="8" w:space="0" w:color="auto"/>
            </w:tcBorders>
            <w:vAlign w:val="center"/>
          </w:tcPr>
          <w:p w14:paraId="7DF537B1" w14:textId="4D693971"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Workwear and protective clothing</w:t>
            </w:r>
          </w:p>
        </w:tc>
        <w:tc>
          <w:tcPr>
            <w:tcW w:w="1417" w:type="dxa"/>
            <w:vMerge/>
            <w:tcBorders>
              <w:left w:val="single" w:sz="8" w:space="0" w:color="auto"/>
              <w:right w:val="single" w:sz="8" w:space="0" w:color="auto"/>
            </w:tcBorders>
            <w:vAlign w:val="center"/>
          </w:tcPr>
          <w:p w14:paraId="38713D9E" w14:textId="77777777" w:rsidR="00587971" w:rsidRPr="00013BDC" w:rsidRDefault="00587971" w:rsidP="00E31F49">
            <w:pPr>
              <w:jc w:val="left"/>
              <w:rPr>
                <w:rFonts w:eastAsia="EC Square Sans Pro"/>
                <w:noProof/>
                <w:sz w:val="22"/>
                <w:szCs w:val="22"/>
                <w:lang w:val="en-IE"/>
              </w:rPr>
            </w:pPr>
          </w:p>
        </w:tc>
        <w:tc>
          <w:tcPr>
            <w:tcW w:w="1418" w:type="dxa"/>
            <w:tcBorders>
              <w:top w:val="single" w:sz="8" w:space="0" w:color="auto"/>
              <w:left w:val="single" w:sz="8" w:space="0" w:color="auto"/>
              <w:bottom w:val="single" w:sz="8" w:space="0" w:color="auto"/>
              <w:right w:val="single" w:sz="8" w:space="0" w:color="auto"/>
            </w:tcBorders>
            <w:vAlign w:val="center"/>
          </w:tcPr>
          <w:p w14:paraId="43666DB9" w14:textId="6C7F199F"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0.9%</w:t>
            </w:r>
          </w:p>
        </w:tc>
      </w:tr>
      <w:tr w:rsidR="00587971" w:rsidRPr="00013BDC" w14:paraId="5535F585" w14:textId="77777777" w:rsidTr="00587971">
        <w:trPr>
          <w:trHeight w:val="300"/>
        </w:trPr>
        <w:tc>
          <w:tcPr>
            <w:tcW w:w="3287" w:type="dxa"/>
            <w:vMerge/>
            <w:tcBorders>
              <w:left w:val="single" w:sz="8" w:space="0" w:color="auto"/>
              <w:bottom w:val="single" w:sz="8" w:space="0" w:color="auto"/>
              <w:right w:val="single" w:sz="8" w:space="0" w:color="auto"/>
            </w:tcBorders>
            <w:vAlign w:val="center"/>
          </w:tcPr>
          <w:p w14:paraId="19B4FAEC" w14:textId="77777777" w:rsidR="00587971" w:rsidRPr="00013BDC" w:rsidRDefault="00587971" w:rsidP="00E31F49">
            <w:pPr>
              <w:jc w:val="left"/>
              <w:rPr>
                <w:noProof/>
                <w:lang w:val="en-IE"/>
              </w:rPr>
            </w:pPr>
          </w:p>
        </w:tc>
        <w:tc>
          <w:tcPr>
            <w:tcW w:w="3224" w:type="dxa"/>
            <w:tcBorders>
              <w:top w:val="single" w:sz="8" w:space="0" w:color="auto"/>
              <w:left w:val="single" w:sz="8" w:space="0" w:color="auto"/>
              <w:bottom w:val="single" w:sz="8" w:space="0" w:color="auto"/>
              <w:right w:val="single" w:sz="8" w:space="0" w:color="auto"/>
            </w:tcBorders>
            <w:vAlign w:val="center"/>
          </w:tcPr>
          <w:p w14:paraId="4F0ADF9D" w14:textId="62084C97"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Carpets</w:t>
            </w:r>
          </w:p>
        </w:tc>
        <w:tc>
          <w:tcPr>
            <w:tcW w:w="1417" w:type="dxa"/>
            <w:vMerge/>
            <w:tcBorders>
              <w:left w:val="single" w:sz="8" w:space="0" w:color="auto"/>
              <w:bottom w:val="single" w:sz="8" w:space="0" w:color="auto"/>
              <w:right w:val="single" w:sz="8" w:space="0" w:color="auto"/>
            </w:tcBorders>
            <w:vAlign w:val="center"/>
          </w:tcPr>
          <w:p w14:paraId="6D672B05" w14:textId="77777777" w:rsidR="00587971" w:rsidRPr="00013BDC" w:rsidRDefault="00587971" w:rsidP="00E31F49">
            <w:pPr>
              <w:jc w:val="left"/>
              <w:rPr>
                <w:rFonts w:eastAsia="EC Square Sans Pro"/>
                <w:noProof/>
                <w:sz w:val="22"/>
                <w:szCs w:val="22"/>
                <w:lang w:val="en-IE"/>
              </w:rPr>
            </w:pPr>
          </w:p>
        </w:tc>
        <w:tc>
          <w:tcPr>
            <w:tcW w:w="1418" w:type="dxa"/>
            <w:tcBorders>
              <w:top w:val="single" w:sz="8" w:space="0" w:color="auto"/>
              <w:left w:val="single" w:sz="8" w:space="0" w:color="auto"/>
              <w:bottom w:val="single" w:sz="8" w:space="0" w:color="auto"/>
              <w:right w:val="single" w:sz="8" w:space="0" w:color="auto"/>
            </w:tcBorders>
            <w:vAlign w:val="center"/>
          </w:tcPr>
          <w:p w14:paraId="6F31667E" w14:textId="400E8D31" w:rsidR="00587971" w:rsidRPr="00013BDC" w:rsidRDefault="00587971" w:rsidP="00E31F49">
            <w:pPr>
              <w:jc w:val="left"/>
              <w:rPr>
                <w:rFonts w:eastAsia="EC Square Sans Pro"/>
                <w:noProof/>
                <w:sz w:val="22"/>
                <w:szCs w:val="22"/>
                <w:lang w:val="en-IE"/>
              </w:rPr>
            </w:pPr>
            <w:r w:rsidRPr="00013BDC">
              <w:rPr>
                <w:rFonts w:eastAsia="EC Square Sans Pro"/>
                <w:noProof/>
                <w:sz w:val="22"/>
                <w:szCs w:val="22"/>
                <w:lang w:val="en-IE"/>
              </w:rPr>
              <w:t>0.5%</w:t>
            </w:r>
          </w:p>
        </w:tc>
      </w:tr>
      <w:tr w:rsidR="00AC5F61" w:rsidRPr="00013BDC" w14:paraId="0C92747C" w14:textId="77777777" w:rsidTr="00E31F49">
        <w:trPr>
          <w:trHeight w:val="300"/>
        </w:trPr>
        <w:tc>
          <w:tcPr>
            <w:tcW w:w="3287" w:type="dxa"/>
            <w:tcBorders>
              <w:top w:val="single" w:sz="8" w:space="0" w:color="auto"/>
              <w:left w:val="single" w:sz="8" w:space="0" w:color="auto"/>
              <w:bottom w:val="single" w:sz="8" w:space="0" w:color="auto"/>
              <w:right w:val="single" w:sz="8" w:space="0" w:color="auto"/>
            </w:tcBorders>
            <w:vAlign w:val="center"/>
            <w:hideMark/>
          </w:tcPr>
          <w:p w14:paraId="3355D9D2" w14:textId="77777777" w:rsidR="00AC5F61" w:rsidRPr="00013BDC" w:rsidRDefault="00AC5F61" w:rsidP="00E31F49">
            <w:pPr>
              <w:spacing w:after="120"/>
              <w:jc w:val="left"/>
              <w:rPr>
                <w:noProof/>
                <w:sz w:val="22"/>
                <w:lang w:val="en-IE"/>
              </w:rPr>
            </w:pPr>
            <w:r w:rsidRPr="00013BDC">
              <w:rPr>
                <w:rFonts w:eastAsia="EC Square Sans Pro"/>
                <w:b/>
                <w:noProof/>
                <w:sz w:val="22"/>
                <w:lang w:val="en-IE"/>
              </w:rPr>
              <w:t>Total</w:t>
            </w:r>
          </w:p>
        </w:tc>
        <w:tc>
          <w:tcPr>
            <w:tcW w:w="3224" w:type="dxa"/>
            <w:tcBorders>
              <w:top w:val="single" w:sz="8" w:space="0" w:color="auto"/>
              <w:left w:val="single" w:sz="8" w:space="0" w:color="auto"/>
              <w:bottom w:val="single" w:sz="8" w:space="0" w:color="auto"/>
              <w:right w:val="single" w:sz="8" w:space="0" w:color="auto"/>
            </w:tcBorders>
            <w:vAlign w:val="center"/>
            <w:hideMark/>
          </w:tcPr>
          <w:p w14:paraId="7F920AA7" w14:textId="77777777" w:rsidR="00AC5F61" w:rsidRPr="00013BDC" w:rsidRDefault="00AC5F61" w:rsidP="00E31F49">
            <w:pPr>
              <w:spacing w:after="120"/>
              <w:jc w:val="left"/>
              <w:rPr>
                <w:noProof/>
                <w:sz w:val="22"/>
                <w:lang w:val="en-IE"/>
              </w:rPr>
            </w:pPr>
            <w:r w:rsidRPr="00013BDC">
              <w:rPr>
                <w:rFonts w:eastAsia="EC Square Sans Pro"/>
                <w:b/>
                <w:noProof/>
                <w:sz w:val="22"/>
                <w:lang w:val="en-IE"/>
              </w:rPr>
              <w:t xml:space="preserve"> </w:t>
            </w:r>
          </w:p>
        </w:tc>
        <w:tc>
          <w:tcPr>
            <w:tcW w:w="2835" w:type="dxa"/>
            <w:gridSpan w:val="2"/>
            <w:tcBorders>
              <w:top w:val="single" w:sz="8" w:space="0" w:color="auto"/>
              <w:left w:val="single" w:sz="8" w:space="0" w:color="auto"/>
              <w:bottom w:val="single" w:sz="8" w:space="0" w:color="auto"/>
              <w:right w:val="single" w:sz="8" w:space="0" w:color="auto"/>
            </w:tcBorders>
            <w:vAlign w:val="center"/>
            <w:hideMark/>
          </w:tcPr>
          <w:p w14:paraId="20AF9FCE" w14:textId="77777777" w:rsidR="00AC5F61" w:rsidRPr="00013BDC" w:rsidRDefault="00AC5F61" w:rsidP="00E31F49">
            <w:pPr>
              <w:spacing w:after="120"/>
              <w:jc w:val="left"/>
              <w:rPr>
                <w:noProof/>
                <w:sz w:val="22"/>
                <w:lang w:val="en-IE"/>
              </w:rPr>
            </w:pPr>
            <w:r w:rsidRPr="00013BDC">
              <w:rPr>
                <w:rFonts w:eastAsia="EC Square Sans Pro"/>
                <w:b/>
                <w:noProof/>
                <w:sz w:val="22"/>
                <w:lang w:val="en-IE"/>
              </w:rPr>
              <w:t xml:space="preserve">     100% </w:t>
            </w:r>
          </w:p>
        </w:tc>
      </w:tr>
    </w:tbl>
    <w:p w14:paraId="64ECBA9F" w14:textId="77777777" w:rsidR="00AC5F61" w:rsidRPr="00013BDC" w:rsidRDefault="00AC5F61" w:rsidP="00AC5F61">
      <w:pPr>
        <w:rPr>
          <w:noProof/>
          <w:lang w:val="en-IE"/>
        </w:rPr>
      </w:pPr>
    </w:p>
    <w:p w14:paraId="4ADE2408" w14:textId="2423599A" w:rsidR="00FB18F1" w:rsidRPr="00013BDC" w:rsidRDefault="6FDC8413" w:rsidP="37AAF355">
      <w:pPr>
        <w:pStyle w:val="Heading3"/>
        <w:spacing w:after="120"/>
        <w:rPr>
          <w:rFonts w:eastAsia="Calibri"/>
          <w:b/>
          <w:noProof/>
          <w:lang w:val="en-IE"/>
        </w:rPr>
      </w:pPr>
      <w:bookmarkStart w:id="610" w:name="_Toc2001927324"/>
      <w:bookmarkStart w:id="611" w:name="_Toc1706649044"/>
      <w:bookmarkStart w:id="612" w:name="_Toc442057266"/>
      <w:bookmarkStart w:id="613" w:name="_Toc663060476"/>
      <w:bookmarkStart w:id="614" w:name="_Toc78700274"/>
      <w:bookmarkStart w:id="615" w:name="_Toc1978257152"/>
      <w:bookmarkStart w:id="616" w:name="_Toc1367145129"/>
      <w:bookmarkStart w:id="617" w:name="_Toc287581821"/>
      <w:bookmarkStart w:id="618" w:name="_Toc139032986"/>
      <w:r w:rsidRPr="00013BDC">
        <w:rPr>
          <w:rFonts w:eastAsia="Calibri"/>
          <w:noProof/>
          <w:lang w:val="en-IE"/>
        </w:rPr>
        <w:t>S</w:t>
      </w:r>
      <w:r w:rsidR="0C974B88" w:rsidRPr="00013BDC">
        <w:rPr>
          <w:rFonts w:eastAsia="Calibri"/>
          <w:noProof/>
          <w:lang w:val="en-IE"/>
        </w:rPr>
        <w:t>eparate collection schemes</w:t>
      </w:r>
      <w:r w:rsidR="05612D65" w:rsidRPr="00013BDC">
        <w:rPr>
          <w:rFonts w:eastAsia="Calibri"/>
          <w:noProof/>
          <w:lang w:val="en-IE"/>
        </w:rPr>
        <w:t xml:space="preserve"> for textiles</w:t>
      </w:r>
      <w:bookmarkEnd w:id="610"/>
      <w:bookmarkEnd w:id="611"/>
      <w:bookmarkEnd w:id="612"/>
      <w:bookmarkEnd w:id="613"/>
      <w:bookmarkEnd w:id="614"/>
      <w:bookmarkEnd w:id="615"/>
      <w:bookmarkEnd w:id="616"/>
      <w:bookmarkEnd w:id="617"/>
      <w:bookmarkEnd w:id="618"/>
    </w:p>
    <w:p w14:paraId="16C2598F" w14:textId="150146BF" w:rsidR="003D0A5A" w:rsidRPr="00013BDC" w:rsidRDefault="003D0A5A" w:rsidP="003D0A5A">
      <w:pPr>
        <w:pStyle w:val="WDBody"/>
        <w:spacing w:after="120" w:line="240" w:lineRule="auto"/>
        <w:rPr>
          <w:b/>
          <w:noProof/>
          <w:u w:val="single"/>
          <w:lang w:val="en-IE"/>
        </w:rPr>
      </w:pPr>
      <w:r w:rsidRPr="00013BDC">
        <w:rPr>
          <w:rFonts w:ascii="Times New Roman" w:hAnsi="Times New Roman"/>
          <w:b/>
          <w:noProof/>
          <w:sz w:val="24"/>
          <w:u w:val="single"/>
          <w:lang w:val="en-IE"/>
        </w:rPr>
        <w:t>Separate collection of textile waste in the EU</w:t>
      </w:r>
    </w:p>
    <w:p w14:paraId="3C60514C" w14:textId="77777777" w:rsidR="00E72AF8" w:rsidRPr="00013BDC" w:rsidRDefault="00E72AF8" w:rsidP="00E72AF8">
      <w:pPr>
        <w:pStyle w:val="WDBody"/>
        <w:spacing w:after="120" w:line="240" w:lineRule="auto"/>
        <w:rPr>
          <w:i/>
          <w:noProof/>
          <w:u w:val="single"/>
          <w:lang w:val="en-IE"/>
        </w:rPr>
      </w:pPr>
      <w:r w:rsidRPr="00013BDC">
        <w:rPr>
          <w:rFonts w:ascii="Times New Roman" w:hAnsi="Times New Roman"/>
          <w:i/>
          <w:iCs/>
          <w:noProof/>
          <w:sz w:val="24"/>
          <w:szCs w:val="24"/>
          <w:u w:val="single"/>
          <w:lang w:val="en-IE"/>
        </w:rPr>
        <w:t>Summary overview</w:t>
      </w:r>
    </w:p>
    <w:p w14:paraId="1F59D33C" w14:textId="1BB9E64D" w:rsidR="00E72AF8" w:rsidRPr="00013BDC" w:rsidRDefault="00687F1A" w:rsidP="00CB6A89">
      <w:pPr>
        <w:spacing w:after="120"/>
        <w:rPr>
          <w:noProof/>
          <w:lang w:val="en-IE"/>
        </w:rPr>
      </w:pPr>
      <w:r w:rsidRPr="00013BDC">
        <w:rPr>
          <w:rFonts w:eastAsia="Times New Roman"/>
          <w:noProof/>
          <w:color w:val="000000" w:themeColor="text1"/>
          <w:lang w:val="en-IE"/>
        </w:rPr>
        <w:t xml:space="preserve">Separate collection systems for textiles vary from country to country but also regionally and even locally between cities. They </w:t>
      </w:r>
      <w:r w:rsidRPr="00013BDC">
        <w:rPr>
          <w:noProof/>
          <w:lang w:val="en-IE"/>
        </w:rPr>
        <w:t>mainly target post-consumer clothing and household textiles and avoided the other categories of textiles.</w:t>
      </w:r>
    </w:p>
    <w:p w14:paraId="6F61F8BE" w14:textId="15E596C6" w:rsidR="00687F1A" w:rsidRPr="00013BDC" w:rsidRDefault="00687F1A" w:rsidP="00CB6A89">
      <w:pPr>
        <w:spacing w:after="120"/>
        <w:rPr>
          <w:rFonts w:eastAsia="Times New Roman"/>
          <w:b/>
          <w:noProof/>
          <w:color w:val="000000" w:themeColor="text1"/>
          <w:lang w:val="en-IE"/>
        </w:rPr>
      </w:pPr>
      <w:r w:rsidRPr="00013BDC">
        <w:rPr>
          <w:rFonts w:eastAsia="Times New Roman"/>
          <w:noProof/>
          <w:lang w:val="en-IE"/>
        </w:rPr>
        <w:t xml:space="preserve">It is estimated that, at present, </w:t>
      </w:r>
      <w:r w:rsidRPr="00013BDC">
        <w:rPr>
          <w:rFonts w:eastAsia="Times New Roman"/>
          <w:b/>
          <w:noProof/>
          <w:lang w:val="en-IE"/>
        </w:rPr>
        <w:t>an average of</w:t>
      </w:r>
      <w:r w:rsidRPr="00013BDC">
        <w:rPr>
          <w:rFonts w:eastAsia="Times New Roman"/>
          <w:noProof/>
          <w:lang w:val="en-IE"/>
        </w:rPr>
        <w:t xml:space="preserve"> </w:t>
      </w:r>
      <w:r w:rsidRPr="00013BDC">
        <w:rPr>
          <w:rFonts w:eastAsia="Times New Roman"/>
          <w:b/>
          <w:noProof/>
          <w:lang w:val="en-IE"/>
        </w:rPr>
        <w:t xml:space="preserve">57% </w:t>
      </w:r>
      <w:r w:rsidRPr="00013BDC">
        <w:rPr>
          <w:rFonts w:eastAsia="Times New Roman"/>
          <w:noProof/>
          <w:lang w:val="en-IE"/>
        </w:rPr>
        <w:t>of the total amount</w:t>
      </w:r>
      <w:r w:rsidRPr="00013BDC">
        <w:rPr>
          <w:rFonts w:eastAsia="Times New Roman"/>
          <w:b/>
          <w:noProof/>
          <w:lang w:val="en-IE"/>
        </w:rPr>
        <w:t xml:space="preserve"> of the post-consumer textile waste</w:t>
      </w:r>
      <w:r w:rsidRPr="00013BDC">
        <w:rPr>
          <w:rFonts w:eastAsia="Times New Roman"/>
          <w:noProof/>
          <w:lang w:val="en-IE"/>
        </w:rPr>
        <w:t xml:space="preserve"> </w:t>
      </w:r>
      <w:r w:rsidRPr="00013BDC">
        <w:rPr>
          <w:rFonts w:eastAsia="Times New Roman"/>
          <w:b/>
          <w:noProof/>
          <w:lang w:val="en-IE"/>
        </w:rPr>
        <w:t>generated</w:t>
      </w:r>
      <w:r w:rsidRPr="00013BDC">
        <w:rPr>
          <w:rFonts w:eastAsia="Times New Roman"/>
          <w:noProof/>
          <w:lang w:val="en-IE"/>
        </w:rPr>
        <w:t xml:space="preserve"> (~6.2 Mt) are</w:t>
      </w:r>
      <w:r w:rsidRPr="00013BDC">
        <w:rPr>
          <w:rFonts w:eastAsia="Times New Roman"/>
          <w:b/>
          <w:noProof/>
          <w:lang w:val="en-IE"/>
        </w:rPr>
        <w:t xml:space="preserve"> covered under the established collection schemes </w:t>
      </w:r>
      <w:r w:rsidRPr="00013BDC">
        <w:rPr>
          <w:rFonts w:eastAsia="Times New Roman"/>
          <w:noProof/>
          <w:lang w:val="en-IE"/>
        </w:rPr>
        <w:t>of Member State</w:t>
      </w:r>
      <w:r w:rsidR="00FB3CDD" w:rsidRPr="00013BDC">
        <w:rPr>
          <w:rFonts w:eastAsia="Times New Roman"/>
          <w:noProof/>
          <w:lang w:val="en-IE"/>
        </w:rPr>
        <w:t>s</w:t>
      </w:r>
      <w:r w:rsidRPr="00013BDC">
        <w:rPr>
          <w:rFonts w:eastAsia="Times New Roman"/>
          <w:noProof/>
          <w:lang w:val="en-IE"/>
        </w:rPr>
        <w:t xml:space="preserve">, </w:t>
      </w:r>
      <w:r w:rsidR="00BF2EBD" w:rsidRPr="00013BDC">
        <w:rPr>
          <w:rFonts w:eastAsia="Times New Roman"/>
          <w:noProof/>
          <w:lang w:val="en-IE"/>
        </w:rPr>
        <w:t>and</w:t>
      </w:r>
      <w:r w:rsidR="00FB3CDD" w:rsidRPr="00013BDC">
        <w:rPr>
          <w:rFonts w:eastAsia="Times New Roman"/>
          <w:noProof/>
          <w:lang w:val="en-IE"/>
        </w:rPr>
        <w:t xml:space="preserve"> around</w:t>
      </w:r>
      <w:r w:rsidR="00BF2EBD" w:rsidRPr="00013BDC">
        <w:rPr>
          <w:rFonts w:eastAsia="Times New Roman"/>
          <w:b/>
          <w:noProof/>
          <w:lang w:val="en-IE"/>
        </w:rPr>
        <w:t xml:space="preserve"> </w:t>
      </w:r>
      <w:r w:rsidR="00FB3CDD" w:rsidRPr="00013BDC">
        <w:rPr>
          <w:rFonts w:eastAsia="Times New Roman"/>
          <w:b/>
          <w:noProof/>
          <w:color w:val="000000" w:themeColor="text1"/>
          <w:lang w:val="en-IE"/>
        </w:rPr>
        <w:t>38% of the textile wastes subject to separate collection schemes are effectively collected in EU</w:t>
      </w:r>
      <w:r w:rsidR="00F22688" w:rsidRPr="00013BDC">
        <w:rPr>
          <w:rFonts w:eastAsia="Times New Roman"/>
          <w:b/>
          <w:noProof/>
          <w:color w:val="000000" w:themeColor="text1"/>
          <w:lang w:val="en-IE"/>
        </w:rPr>
        <w:t>.</w:t>
      </w:r>
    </w:p>
    <w:p w14:paraId="411D6DFF" w14:textId="77777777" w:rsidR="00F22688" w:rsidRPr="00013BDC" w:rsidRDefault="00F22688" w:rsidP="00F22688">
      <w:pPr>
        <w:spacing w:after="120"/>
        <w:rPr>
          <w:rFonts w:eastAsia="Times New Roman"/>
          <w:noProof/>
          <w:lang w:val="en-IE"/>
        </w:rPr>
      </w:pPr>
      <w:r w:rsidRPr="00013BDC">
        <w:rPr>
          <w:rFonts w:eastAsia="Times New Roman"/>
          <w:b/>
          <w:noProof/>
          <w:lang w:val="en-IE"/>
        </w:rPr>
        <w:t>A significant share of the post-consumer textile waste generated in the EU</w:t>
      </w:r>
      <w:r w:rsidRPr="00013BDC">
        <w:rPr>
          <w:rFonts w:eastAsia="Times New Roman"/>
          <w:noProof/>
          <w:lang w:val="en-IE"/>
        </w:rPr>
        <w:t xml:space="preserve">, including textiles that have applications in households and industry (e.g., woven cleaning articles, non-wovens), </w:t>
      </w:r>
      <w:r w:rsidRPr="00013BDC">
        <w:rPr>
          <w:rFonts w:eastAsia="Times New Roman"/>
          <w:b/>
          <w:noProof/>
          <w:lang w:val="en-IE"/>
        </w:rPr>
        <w:t>is not separately collected (~78%, or ~ 8.5 Mt</w:t>
      </w:r>
      <w:r w:rsidRPr="00013BDC">
        <w:rPr>
          <w:rStyle w:val="FootnoteReference"/>
          <w:rFonts w:eastAsia="Times New Roman"/>
          <w:noProof/>
          <w:lang w:val="en-IE"/>
        </w:rPr>
        <w:footnoteReference w:id="170"/>
      </w:r>
      <w:r w:rsidRPr="00013BDC">
        <w:rPr>
          <w:rFonts w:eastAsia="Times New Roman"/>
          <w:noProof/>
          <w:lang w:val="en-IE"/>
        </w:rPr>
        <w:t>). Together with supplementary fractions of post-production and pre-consumer waste, &gt; 9.7 Mt textile waste are being disposed of, through incineration (58%, &gt;5.6 Mt) or landfilling (42%, &gt;4 Mt) in EU</w:t>
      </w:r>
      <w:r w:rsidRPr="00013BDC">
        <w:rPr>
          <w:rStyle w:val="FootnoteReference"/>
          <w:rFonts w:eastAsia="Times New Roman"/>
          <w:noProof/>
          <w:lang w:val="en-IE"/>
        </w:rPr>
        <w:footnoteReference w:id="171"/>
      </w:r>
      <w:r w:rsidRPr="00013BDC">
        <w:rPr>
          <w:rFonts w:eastAsia="Times New Roman"/>
          <w:noProof/>
          <w:lang w:val="en-IE"/>
        </w:rPr>
        <w:t xml:space="preserve">. </w:t>
      </w:r>
    </w:p>
    <w:p w14:paraId="61AC1A8D" w14:textId="77777777" w:rsidR="00F22688" w:rsidRPr="00013BDC" w:rsidRDefault="00F22688" w:rsidP="00CB6A89">
      <w:pPr>
        <w:spacing w:after="120"/>
        <w:rPr>
          <w:rFonts w:eastAsia="Times New Roman"/>
          <w:noProof/>
          <w:color w:val="000000" w:themeColor="text1"/>
          <w:lang w:val="en-IE"/>
        </w:rPr>
      </w:pPr>
    </w:p>
    <w:p w14:paraId="47667AF8" w14:textId="03459460" w:rsidR="00CB6A89" w:rsidRPr="00013BDC" w:rsidRDefault="003C4153" w:rsidP="00CB6A89">
      <w:pPr>
        <w:spacing w:after="120"/>
        <w:rPr>
          <w:rFonts w:eastAsia="Times New Roman"/>
          <w:i/>
          <w:noProof/>
          <w:color w:val="000000" w:themeColor="text1"/>
          <w:u w:val="single"/>
          <w:lang w:val="en-IE"/>
        </w:rPr>
      </w:pPr>
      <w:r w:rsidRPr="00013BDC">
        <w:rPr>
          <w:rFonts w:eastAsia="Times New Roman"/>
          <w:i/>
          <w:noProof/>
          <w:color w:val="000000" w:themeColor="text1"/>
          <w:u w:val="single"/>
          <w:lang w:val="en-IE"/>
        </w:rPr>
        <w:t xml:space="preserve">Separate collection systems for </w:t>
      </w:r>
      <w:r w:rsidR="00F6471D" w:rsidRPr="00013BDC">
        <w:rPr>
          <w:rFonts w:eastAsia="Times New Roman"/>
          <w:i/>
          <w:noProof/>
          <w:color w:val="000000" w:themeColor="text1"/>
          <w:u w:val="single"/>
          <w:lang w:val="en-IE"/>
        </w:rPr>
        <w:t>post-industrial, pre-consumer and post-consumer textile waste.</w:t>
      </w:r>
    </w:p>
    <w:p w14:paraId="08F1967B" w14:textId="77777777" w:rsidR="00CF4267" w:rsidRPr="00013BDC" w:rsidRDefault="00CF4267" w:rsidP="00CF4267">
      <w:pPr>
        <w:spacing w:after="120"/>
        <w:rPr>
          <w:noProof/>
          <w:lang w:val="en-IE"/>
        </w:rPr>
      </w:pPr>
      <w:r w:rsidRPr="00013BDC">
        <w:rPr>
          <w:noProof/>
          <w:lang w:val="en-IE"/>
        </w:rPr>
        <w:t xml:space="preserve">Separate collection of textiles is different to many other waste streams because the textiles have a very high reuse potential and environmental benefit and therefore same collection and subsequent sorting systems are used for reuse and recycling purposes. </w:t>
      </w:r>
    </w:p>
    <w:p w14:paraId="3B8A3CE4" w14:textId="028D53C9" w:rsidR="00A902BA" w:rsidRPr="00013BDC" w:rsidRDefault="00991A54" w:rsidP="00870A89">
      <w:pPr>
        <w:spacing w:after="120"/>
        <w:rPr>
          <w:noProof/>
          <w:lang w:val="en-IE"/>
        </w:rPr>
      </w:pPr>
      <w:r w:rsidRPr="00013BDC">
        <w:rPr>
          <w:rFonts w:eastAsia="Times New Roman"/>
          <w:noProof/>
          <w:color w:val="000000" w:themeColor="text1"/>
          <w:lang w:val="en-IE"/>
        </w:rPr>
        <w:t xml:space="preserve">Their best method of treatment against the waste hierarchy (that is </w:t>
      </w:r>
      <w:r w:rsidRPr="00013BDC">
        <w:rPr>
          <w:noProof/>
          <w:lang w:val="en-IE"/>
        </w:rPr>
        <w:t>the reusability and recyclability of material collected) can only effectively be assessed after collection, at the sorting stage, either through manual or automatised sorting. The primary driver for single collection points is emphasised by studies that have shown that consumers are not able to determine whether a textile is suitable for reuse or not, which leads to reusable textile being discarded as waste and non-reusable textile to be considered as reusable, requiring additional sorting by professionals.</w:t>
      </w:r>
    </w:p>
    <w:p w14:paraId="26B99253" w14:textId="661A34E4" w:rsidR="00BF67ED" w:rsidRPr="00013BDC" w:rsidRDefault="00D43698" w:rsidP="00BF67ED">
      <w:pPr>
        <w:spacing w:after="120"/>
        <w:rPr>
          <w:noProof/>
          <w:lang w:val="en-IE"/>
        </w:rPr>
      </w:pPr>
      <w:r w:rsidRPr="00013BDC">
        <w:rPr>
          <w:rFonts w:eastAsia="Times New Roman"/>
          <w:noProof/>
          <w:color w:val="000000" w:themeColor="text1"/>
          <w:lang w:val="en-IE"/>
        </w:rPr>
        <w:t>The different ways of management for p</w:t>
      </w:r>
      <w:r w:rsidR="00C060B3" w:rsidRPr="00013BDC">
        <w:rPr>
          <w:rFonts w:eastAsia="Times New Roman"/>
          <w:noProof/>
          <w:color w:val="000000" w:themeColor="text1"/>
          <w:lang w:val="en-IE"/>
        </w:rPr>
        <w:t xml:space="preserve">ost-consumer </w:t>
      </w:r>
      <w:r w:rsidR="00DC036C" w:rsidRPr="00013BDC">
        <w:rPr>
          <w:rFonts w:eastAsia="Times New Roman"/>
          <w:noProof/>
          <w:color w:val="000000" w:themeColor="text1"/>
          <w:lang w:val="en-IE"/>
        </w:rPr>
        <w:t>household textiles</w:t>
      </w:r>
      <w:r w:rsidR="00686322" w:rsidRPr="00013BDC">
        <w:rPr>
          <w:rFonts w:eastAsia="Times New Roman"/>
          <w:noProof/>
          <w:color w:val="000000" w:themeColor="text1"/>
          <w:lang w:val="en-IE"/>
        </w:rPr>
        <w:t xml:space="preserve"> </w:t>
      </w:r>
      <w:r w:rsidRPr="00013BDC">
        <w:rPr>
          <w:rFonts w:eastAsia="Times New Roman"/>
          <w:noProof/>
          <w:color w:val="000000" w:themeColor="text1"/>
          <w:lang w:val="en-IE"/>
        </w:rPr>
        <w:t>waste encompass</w:t>
      </w:r>
      <w:r w:rsidR="00DC036C" w:rsidRPr="00013BDC">
        <w:rPr>
          <w:rFonts w:eastAsia="Times New Roman"/>
          <w:noProof/>
          <w:color w:val="000000" w:themeColor="text1"/>
          <w:lang w:val="en-IE"/>
        </w:rPr>
        <w:t xml:space="preserve"> </w:t>
      </w:r>
      <w:r w:rsidRPr="00013BDC">
        <w:rPr>
          <w:rFonts w:eastAsia="Times New Roman"/>
          <w:noProof/>
          <w:color w:val="000000" w:themeColor="text1"/>
          <w:lang w:val="en-IE"/>
        </w:rPr>
        <w:t>reuse</w:t>
      </w:r>
      <w:r w:rsidR="001B7EFC" w:rsidRPr="00013BDC">
        <w:rPr>
          <w:rFonts w:eastAsia="Times New Roman"/>
          <w:noProof/>
          <w:color w:val="000000" w:themeColor="text1"/>
          <w:lang w:val="en-IE"/>
        </w:rPr>
        <w:t xml:space="preserve"> by </w:t>
      </w:r>
      <w:r w:rsidR="002613C8" w:rsidRPr="00013BDC">
        <w:rPr>
          <w:rFonts w:eastAsia="Times New Roman"/>
          <w:noProof/>
          <w:color w:val="000000" w:themeColor="text1"/>
          <w:lang w:val="en-IE"/>
        </w:rPr>
        <w:t>informal C2C channels (</w:t>
      </w:r>
      <w:r w:rsidR="00473F69" w:rsidRPr="00013BDC">
        <w:rPr>
          <w:rFonts w:eastAsia="Times New Roman"/>
          <w:noProof/>
          <w:color w:val="000000" w:themeColor="text1"/>
          <w:lang w:val="en-IE"/>
        </w:rPr>
        <w:t xml:space="preserve">donating, </w:t>
      </w:r>
      <w:r w:rsidR="002613C8" w:rsidRPr="00013BDC">
        <w:rPr>
          <w:rFonts w:eastAsia="Times New Roman"/>
          <w:noProof/>
          <w:color w:val="000000" w:themeColor="text1"/>
          <w:lang w:val="en-IE"/>
        </w:rPr>
        <w:t xml:space="preserve">exchanging or selling the clothes </w:t>
      </w:r>
      <w:r w:rsidR="00473F69" w:rsidRPr="00013BDC">
        <w:rPr>
          <w:noProof/>
          <w:lang w:val="en-IE"/>
        </w:rPr>
        <w:t>to someone else physically or through online platforms</w:t>
      </w:r>
      <w:r w:rsidR="008616CA" w:rsidRPr="00013BDC">
        <w:rPr>
          <w:rFonts w:eastAsia="Times New Roman"/>
          <w:noProof/>
          <w:color w:val="000000" w:themeColor="text1"/>
          <w:lang w:val="en-IE"/>
        </w:rPr>
        <w:t>)</w:t>
      </w:r>
      <w:r w:rsidRPr="00013BDC">
        <w:rPr>
          <w:rFonts w:eastAsia="Times New Roman"/>
          <w:noProof/>
          <w:color w:val="000000" w:themeColor="text1"/>
          <w:lang w:val="en-IE"/>
        </w:rPr>
        <w:t xml:space="preserve"> or </w:t>
      </w:r>
      <w:r w:rsidR="00DC036C" w:rsidRPr="00013BDC">
        <w:rPr>
          <w:rFonts w:eastAsia="Times New Roman"/>
          <w:noProof/>
          <w:color w:val="000000" w:themeColor="text1"/>
          <w:lang w:val="en-IE"/>
        </w:rPr>
        <w:t>through</w:t>
      </w:r>
      <w:r w:rsidR="002613C8" w:rsidRPr="00013BDC">
        <w:rPr>
          <w:rFonts w:eastAsia="Times New Roman"/>
          <w:noProof/>
          <w:color w:val="000000" w:themeColor="text1"/>
          <w:lang w:val="en-IE"/>
        </w:rPr>
        <w:t xml:space="preserve"> C2B channels (</w:t>
      </w:r>
      <w:r w:rsidR="002613C8" w:rsidRPr="00013BDC">
        <w:rPr>
          <w:noProof/>
          <w:lang w:val="en-IE"/>
        </w:rPr>
        <w:t>charities, social enterprises or businesses active in the reuse sector</w:t>
      </w:r>
      <w:r w:rsidR="002613C8" w:rsidRPr="00013BDC">
        <w:rPr>
          <w:rFonts w:eastAsia="Times New Roman"/>
          <w:noProof/>
          <w:color w:val="000000" w:themeColor="text1"/>
          <w:lang w:val="en-IE"/>
        </w:rPr>
        <w:t>)</w:t>
      </w:r>
      <w:r w:rsidR="00686322" w:rsidRPr="00013BDC">
        <w:rPr>
          <w:rFonts w:eastAsia="Times New Roman"/>
          <w:noProof/>
          <w:color w:val="000000" w:themeColor="text1"/>
          <w:lang w:val="en-IE"/>
        </w:rPr>
        <w:t xml:space="preserve">, </w:t>
      </w:r>
      <w:r w:rsidRPr="00013BDC">
        <w:rPr>
          <w:rFonts w:eastAsia="Times New Roman"/>
          <w:noProof/>
          <w:color w:val="000000" w:themeColor="text1"/>
          <w:lang w:val="en-IE"/>
        </w:rPr>
        <w:t>deposit at separate collection points</w:t>
      </w:r>
      <w:r w:rsidR="00870A89" w:rsidRPr="00013BDC">
        <w:rPr>
          <w:rFonts w:eastAsia="Times New Roman"/>
          <w:noProof/>
          <w:color w:val="000000" w:themeColor="text1"/>
          <w:lang w:val="en-IE"/>
        </w:rPr>
        <w:t xml:space="preserve"> </w:t>
      </w:r>
      <w:r w:rsidRPr="00013BDC">
        <w:rPr>
          <w:rFonts w:eastAsia="Times New Roman"/>
          <w:noProof/>
          <w:color w:val="000000" w:themeColor="text1"/>
          <w:lang w:val="en-IE"/>
        </w:rPr>
        <w:t>or disposal in the mixed fraction of municipal waste</w:t>
      </w:r>
      <w:r w:rsidR="00BF67ED" w:rsidRPr="00013BDC">
        <w:rPr>
          <w:rFonts w:eastAsia="Times New Roman"/>
          <w:noProof/>
          <w:color w:val="000000" w:themeColor="text1"/>
          <w:lang w:val="en-IE"/>
        </w:rPr>
        <w:t xml:space="preserve">. </w:t>
      </w:r>
      <w:r w:rsidR="00C354D7" w:rsidRPr="00013BDC">
        <w:rPr>
          <w:rFonts w:eastAsia="Times New Roman"/>
          <w:noProof/>
          <w:color w:val="000000" w:themeColor="text1"/>
          <w:lang w:val="en-IE"/>
        </w:rPr>
        <w:t>The c</w:t>
      </w:r>
      <w:r w:rsidR="00BF67ED" w:rsidRPr="00013BDC">
        <w:rPr>
          <w:rFonts w:eastAsia="Times New Roman"/>
          <w:noProof/>
          <w:color w:val="000000" w:themeColor="text1"/>
          <w:lang w:val="en-IE"/>
        </w:rPr>
        <w:t xml:space="preserve">ollection of post-consumer household textiles engages </w:t>
      </w:r>
      <w:r w:rsidR="00BF67ED" w:rsidRPr="00013BDC">
        <w:rPr>
          <w:noProof/>
          <w:lang w:val="en-IE"/>
        </w:rPr>
        <w:t>municipalities, social and commercial enterprises.</w:t>
      </w:r>
    </w:p>
    <w:p w14:paraId="1795448D" w14:textId="59B29957" w:rsidR="000605E3" w:rsidRPr="00013BDC" w:rsidRDefault="007E21EA" w:rsidP="000D3AF5">
      <w:pPr>
        <w:spacing w:after="120"/>
        <w:rPr>
          <w:noProof/>
          <w:lang w:val="en-IE"/>
        </w:rPr>
      </w:pPr>
      <w:r w:rsidRPr="00013BDC">
        <w:rPr>
          <w:noProof/>
          <w:lang w:val="en-IE"/>
        </w:rPr>
        <w:t xml:space="preserve">Post-industrial, pre-consumer and post-consumer commercial textiles waste is typically collected by waste collectors based on commercial contracts. </w:t>
      </w:r>
      <w:r w:rsidR="000D3AF5" w:rsidRPr="00013BDC">
        <w:rPr>
          <w:rFonts w:eastAsia="Times New Roman"/>
          <w:noProof/>
          <w:color w:val="000000" w:themeColor="text1"/>
          <w:lang w:val="en-IE"/>
        </w:rPr>
        <w:t xml:space="preserve">These types of wastes that are generally excluded from the household separate collection schemes defined by Member States. </w:t>
      </w:r>
      <w:r w:rsidR="000D3AF5" w:rsidRPr="00013BDC">
        <w:rPr>
          <w:noProof/>
          <w:lang w:val="en-IE"/>
        </w:rPr>
        <w:t>They account for 15-30% of textile waste generated but address a complex value chain consisting of many production stages and involving many companies spread across the globe.</w:t>
      </w:r>
      <w:r w:rsidR="000D3AF5" w:rsidRPr="00013BDC">
        <w:rPr>
          <w:rStyle w:val="FootnoteReference"/>
          <w:noProof/>
          <w:lang w:val="en-IE"/>
        </w:rPr>
        <w:footnoteReference w:id="172"/>
      </w:r>
      <w:r w:rsidR="000D3AF5" w:rsidRPr="00013BDC">
        <w:rPr>
          <w:noProof/>
          <w:lang w:val="en-IE"/>
        </w:rPr>
        <w:t>,</w:t>
      </w:r>
      <w:r w:rsidR="000D3AF5" w:rsidRPr="00013BDC">
        <w:rPr>
          <w:rStyle w:val="FootnoteReference"/>
          <w:noProof/>
          <w:lang w:val="en-IE"/>
        </w:rPr>
        <w:footnoteReference w:id="173"/>
      </w:r>
      <w:r w:rsidR="000D3AF5" w:rsidRPr="00013BDC">
        <w:rPr>
          <w:noProof/>
          <w:lang w:val="en-IE"/>
        </w:rPr>
        <w:t xml:space="preserve"> </w:t>
      </w:r>
      <w:r w:rsidR="00C354D7" w:rsidRPr="00013BDC">
        <w:rPr>
          <w:noProof/>
          <w:lang w:val="en-IE"/>
        </w:rPr>
        <w:t xml:space="preserve">(see </w:t>
      </w:r>
      <w:r w:rsidR="00C354D7" w:rsidRPr="00013BDC">
        <w:rPr>
          <w:noProof/>
          <w:u w:val="single"/>
          <w:lang w:val="en-IE"/>
        </w:rPr>
        <w:fldChar w:fldCharType="begin"/>
      </w:r>
      <w:r w:rsidR="00C354D7" w:rsidRPr="00013BDC">
        <w:rPr>
          <w:noProof/>
          <w:u w:val="single"/>
          <w:lang w:val="en-IE"/>
        </w:rPr>
        <w:instrText xml:space="preserve"> REF _Ref132885637 \h </w:instrText>
      </w:r>
      <w:r w:rsidR="005E45AA" w:rsidRPr="00013BDC">
        <w:rPr>
          <w:noProof/>
          <w:u w:val="single"/>
          <w:lang w:val="en-IE"/>
        </w:rPr>
        <w:instrText xml:space="preserve"> \* MERGEFORMAT </w:instrText>
      </w:r>
      <w:r w:rsidR="00C354D7" w:rsidRPr="00013BDC">
        <w:rPr>
          <w:noProof/>
          <w:u w:val="single"/>
          <w:lang w:val="en-IE"/>
        </w:rPr>
      </w:r>
      <w:r w:rsidR="00C354D7" w:rsidRPr="00013BDC">
        <w:rPr>
          <w:noProof/>
          <w:u w:val="single"/>
          <w:lang w:val="en-IE"/>
        </w:rPr>
        <w:fldChar w:fldCharType="separate"/>
      </w:r>
      <w:r w:rsidR="004C5576" w:rsidRPr="004C5576">
        <w:rPr>
          <w:rFonts w:eastAsia="Times New Roman"/>
          <w:i/>
          <w:noProof/>
          <w:u w:val="single"/>
          <w:lang w:val="en-IE"/>
        </w:rPr>
        <w:t>Figure 18. Overview of the textile ecosystem</w:t>
      </w:r>
      <w:r w:rsidR="00C354D7" w:rsidRPr="00013BDC">
        <w:rPr>
          <w:noProof/>
          <w:u w:val="single"/>
          <w:lang w:val="en-IE"/>
        </w:rPr>
        <w:fldChar w:fldCharType="end"/>
      </w:r>
      <w:r w:rsidR="00C354D7" w:rsidRPr="00013BDC">
        <w:rPr>
          <w:noProof/>
          <w:lang w:val="en-IE"/>
        </w:rPr>
        <w:t>)</w:t>
      </w:r>
    </w:p>
    <w:p w14:paraId="47391FD7" w14:textId="77777777" w:rsidR="00282E5F" w:rsidRPr="00013BDC" w:rsidRDefault="00282E5F" w:rsidP="00282E5F">
      <w:pPr>
        <w:spacing w:after="120"/>
        <w:rPr>
          <w:noProof/>
          <w:lang w:val="en-IE"/>
        </w:rPr>
      </w:pPr>
      <w:r w:rsidRPr="00013BDC">
        <w:rPr>
          <w:rFonts w:eastAsia="Times New Roman"/>
          <w:noProof/>
          <w:color w:val="000000" w:themeColor="text1"/>
          <w:lang w:val="en-IE"/>
        </w:rPr>
        <w:t xml:space="preserve">Separate collection systems for textiles vary from country to country but also regionally and even locally between cities. The factors of these differences between geographical areas are mainly: cultural differences, policy measures, intensity of charities activities and density of collection points. </w:t>
      </w:r>
      <w:r w:rsidRPr="00013BDC">
        <w:rPr>
          <w:noProof/>
          <w:lang w:val="en-IE"/>
        </w:rPr>
        <w:t xml:space="preserve">How Member States classify and manage post-industrial, pre-consumer and post-consumer commercial textile waste under national law is unclear under national provisions. Additionally, the obligations under the existing WFD and how they apply to these three categories of wastes appears to be subject to disagreement by Member States who have mainly targeted post-consumer clothing and household textiles and avoided the other categories of textiles. </w:t>
      </w:r>
    </w:p>
    <w:p w14:paraId="04C9D58C" w14:textId="77777777" w:rsidR="00282E5F" w:rsidRPr="00013BDC" w:rsidRDefault="00282E5F" w:rsidP="000D3AF5">
      <w:pPr>
        <w:spacing w:after="120"/>
        <w:rPr>
          <w:noProof/>
          <w:lang w:val="en-IE"/>
        </w:rPr>
      </w:pPr>
    </w:p>
    <w:p w14:paraId="46A2BE97" w14:textId="41B4FBDF" w:rsidR="00AA2F22" w:rsidRPr="00013BDC" w:rsidRDefault="00AA2F22" w:rsidP="00AA2F22">
      <w:pPr>
        <w:rPr>
          <w:rFonts w:eastAsia="Times New Roman"/>
          <w:i/>
          <w:noProof/>
          <w:lang w:val="en-IE"/>
        </w:rPr>
      </w:pPr>
      <w:bookmarkStart w:id="619" w:name="_Ref132885637"/>
      <w:bookmarkStart w:id="620" w:name="_Toc133229288"/>
      <w:bookmarkStart w:id="621" w:name="_Toc139033015"/>
      <w:r w:rsidRPr="00013BDC">
        <w:rPr>
          <w:rFonts w:eastAsia="Times New Roman"/>
          <w:i/>
          <w:noProof/>
          <w:lang w:val="en-IE"/>
        </w:rPr>
        <w:t xml:space="preserve">Figure </w:t>
      </w:r>
      <w:r w:rsidR="004C5576">
        <w:rPr>
          <w:rFonts w:eastAsia="Times New Roman"/>
          <w:i/>
          <w:noProof/>
          <w:lang w:val="en-IE"/>
        </w:rPr>
        <w:t>18</w:t>
      </w:r>
      <w:r w:rsidRPr="00013BDC">
        <w:rPr>
          <w:rFonts w:eastAsia="Times New Roman"/>
          <w:i/>
          <w:noProof/>
          <w:lang w:val="en-IE"/>
        </w:rPr>
        <w:t>. Overview of the textile ecosystem</w:t>
      </w:r>
      <w:bookmarkEnd w:id="619"/>
      <w:bookmarkEnd w:id="620"/>
      <w:bookmarkEnd w:id="621"/>
    </w:p>
    <w:p w14:paraId="3206F391" w14:textId="4290D297" w:rsidR="00AA2F22" w:rsidRPr="00013BDC" w:rsidRDefault="0FB06D54" w:rsidP="007E25CC">
      <w:pPr>
        <w:rPr>
          <w:rFonts w:eastAsia="Times New Roman"/>
          <w:noProof/>
          <w:color w:val="000000" w:themeColor="text1"/>
          <w:lang w:val="en-IE"/>
        </w:rPr>
      </w:pPr>
      <w:r w:rsidRPr="00013BDC">
        <w:rPr>
          <w:noProof/>
          <w:lang w:eastAsia="en-GB"/>
        </w:rPr>
        <w:drawing>
          <wp:inline distT="0" distB="0" distL="0" distR="0" wp14:anchorId="6E7AAF54" wp14:editId="0B67D642">
            <wp:extent cx="5819775" cy="2047875"/>
            <wp:effectExtent l="0" t="0" r="0" b="0"/>
            <wp:docPr id="1952962301" name="Picture 195296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819775" cy="2047875"/>
                    </a:xfrm>
                    <a:prstGeom prst="rect">
                      <a:avLst/>
                    </a:prstGeom>
                  </pic:spPr>
                </pic:pic>
              </a:graphicData>
            </a:graphic>
          </wp:inline>
        </w:drawing>
      </w:r>
    </w:p>
    <w:p w14:paraId="3CF675A3" w14:textId="3E94F83E" w:rsidR="2D92E7BF" w:rsidRPr="00013BDC" w:rsidRDefault="2D92E7BF" w:rsidP="0BB3F6D2">
      <w:pPr>
        <w:rPr>
          <w:rFonts w:eastAsia="Times New Roman"/>
          <w:i/>
          <w:noProof/>
          <w:lang w:val="en-IE"/>
        </w:rPr>
      </w:pPr>
      <w:r w:rsidRPr="00013BDC">
        <w:rPr>
          <w:rFonts w:eastAsia="Times New Roman"/>
          <w:i/>
          <w:noProof/>
          <w:lang w:val="en-IE"/>
        </w:rPr>
        <w:t>Source: JRC (2023)</w:t>
      </w:r>
    </w:p>
    <w:p w14:paraId="421C4C2F" w14:textId="71B85204" w:rsidR="00371B8E" w:rsidRPr="00013BDC" w:rsidRDefault="00371B8E" w:rsidP="007E25CC">
      <w:pPr>
        <w:rPr>
          <w:rFonts w:eastAsia="Times New Roman"/>
          <w:i/>
          <w:noProof/>
          <w:u w:val="single"/>
          <w:lang w:val="en-IE"/>
        </w:rPr>
      </w:pPr>
      <w:r w:rsidRPr="00013BDC">
        <w:rPr>
          <w:rFonts w:eastAsia="Times New Roman"/>
          <w:i/>
          <w:noProof/>
          <w:u w:val="single"/>
          <w:lang w:val="en-IE"/>
        </w:rPr>
        <w:t xml:space="preserve">Scope of separate collection schemes </w:t>
      </w:r>
      <w:r w:rsidR="00F54063" w:rsidRPr="00013BDC">
        <w:rPr>
          <w:rFonts w:eastAsia="Times New Roman"/>
          <w:i/>
          <w:noProof/>
          <w:u w:val="single"/>
          <w:lang w:val="en-IE"/>
        </w:rPr>
        <w:t xml:space="preserve">for </w:t>
      </w:r>
      <w:r w:rsidR="00841DDB" w:rsidRPr="00013BDC">
        <w:rPr>
          <w:rFonts w:eastAsia="Times New Roman"/>
          <w:i/>
          <w:noProof/>
          <w:u w:val="single"/>
          <w:lang w:val="en-IE"/>
        </w:rPr>
        <w:t xml:space="preserve">post-consumer </w:t>
      </w:r>
      <w:r w:rsidR="00F54063" w:rsidRPr="00013BDC">
        <w:rPr>
          <w:rFonts w:eastAsia="Times New Roman"/>
          <w:i/>
          <w:noProof/>
          <w:u w:val="single"/>
          <w:lang w:val="en-IE"/>
        </w:rPr>
        <w:t xml:space="preserve">textile waste </w:t>
      </w:r>
      <w:r w:rsidRPr="00013BDC">
        <w:rPr>
          <w:rFonts w:eastAsia="Times New Roman"/>
          <w:i/>
          <w:noProof/>
          <w:u w:val="single"/>
          <w:lang w:val="en-IE"/>
        </w:rPr>
        <w:t>in the EU Member States</w:t>
      </w:r>
    </w:p>
    <w:p w14:paraId="0E7B90A0" w14:textId="77777777" w:rsidR="00867FAD" w:rsidRPr="00013BDC" w:rsidRDefault="00C27B15" w:rsidP="007E25CC">
      <w:pPr>
        <w:rPr>
          <w:rFonts w:eastAsia="Times New Roman"/>
          <w:noProof/>
          <w:lang w:val="en-IE"/>
        </w:rPr>
      </w:pPr>
      <w:r w:rsidRPr="00013BDC">
        <w:rPr>
          <w:rFonts w:eastAsia="Times New Roman"/>
          <w:noProof/>
          <w:lang w:val="en-IE"/>
        </w:rPr>
        <w:t xml:space="preserve">Several Member </w:t>
      </w:r>
      <w:r w:rsidRPr="00013BDC">
        <w:rPr>
          <w:noProof/>
          <w:lang w:val="en-IE"/>
        </w:rPr>
        <w:t xml:space="preserve">States </w:t>
      </w:r>
      <w:r w:rsidRPr="00013BDC">
        <w:rPr>
          <w:rFonts w:eastAsia="Times New Roman"/>
          <w:noProof/>
          <w:lang w:val="en-IE"/>
        </w:rPr>
        <w:t xml:space="preserve">collect post-consumer textiles waste separately. </w:t>
      </w:r>
    </w:p>
    <w:p w14:paraId="3397285B" w14:textId="4F246E18" w:rsidR="00093924" w:rsidRPr="00013BDC" w:rsidRDefault="00093924" w:rsidP="00093924">
      <w:pPr>
        <w:rPr>
          <w:rFonts w:eastAsia="Times New Roman"/>
          <w:noProof/>
          <w:lang w:val="en-IE"/>
        </w:rPr>
      </w:pPr>
      <w:r w:rsidRPr="00013BDC">
        <w:rPr>
          <w:rFonts w:eastAsia="Times New Roman"/>
          <w:noProof/>
          <w:lang w:val="en-IE"/>
        </w:rPr>
        <w:t xml:space="preserve">Member </w:t>
      </w:r>
      <w:r w:rsidRPr="00013BDC">
        <w:rPr>
          <w:rFonts w:eastAsia="Times New Roman"/>
          <w:noProof/>
          <w:color w:val="000000" w:themeColor="text1"/>
          <w:lang w:val="en-IE"/>
        </w:rPr>
        <w:t>States were asked about the scope of textiles addressed within their implementation of the WFD. Information was available for 11 Member States and is summarised in</w:t>
      </w:r>
      <w:r w:rsidR="00D7629C" w:rsidRPr="00013BDC">
        <w:rPr>
          <w:rFonts w:eastAsia="Times New Roman"/>
          <w:noProof/>
          <w:color w:val="000000" w:themeColor="text1"/>
          <w:lang w:val="en-IE"/>
        </w:rPr>
        <w:t xml:space="preserve"> </w:t>
      </w:r>
      <w:r w:rsidR="00D7629C" w:rsidRPr="00013BDC">
        <w:rPr>
          <w:rFonts w:eastAsia="Times New Roman"/>
          <w:i/>
          <w:noProof/>
          <w:color w:val="000000" w:themeColor="text1"/>
          <w:u w:val="single"/>
          <w:lang w:val="en-IE"/>
        </w:rPr>
        <w:fldChar w:fldCharType="begin"/>
      </w:r>
      <w:r w:rsidR="00D7629C" w:rsidRPr="00013BDC">
        <w:rPr>
          <w:rFonts w:eastAsia="Times New Roman"/>
          <w:i/>
          <w:noProof/>
          <w:color w:val="000000" w:themeColor="text1"/>
          <w:u w:val="single"/>
          <w:lang w:val="en-IE"/>
        </w:rPr>
        <w:instrText xml:space="preserve"> REF _Ref132634659 \h  \* MERGEFORMAT </w:instrText>
      </w:r>
      <w:r w:rsidR="00D7629C" w:rsidRPr="00013BDC">
        <w:rPr>
          <w:rFonts w:eastAsia="Times New Roman"/>
          <w:i/>
          <w:noProof/>
          <w:color w:val="000000" w:themeColor="text1"/>
          <w:u w:val="single"/>
          <w:lang w:val="en-IE"/>
        </w:rPr>
      </w:r>
      <w:r w:rsidR="00D7629C" w:rsidRPr="00013BDC">
        <w:rPr>
          <w:rFonts w:eastAsia="Times New Roman"/>
          <w:i/>
          <w:noProof/>
          <w:color w:val="000000" w:themeColor="text1"/>
          <w:u w:val="single"/>
          <w:lang w:val="en-IE"/>
        </w:rPr>
        <w:fldChar w:fldCharType="separate"/>
      </w:r>
      <w:r w:rsidR="004C5576" w:rsidRPr="004C5576">
        <w:rPr>
          <w:i/>
          <w:noProof/>
          <w:u w:val="single"/>
          <w:lang w:val="en-IE"/>
        </w:rPr>
        <w:t xml:space="preserve">Table </w:t>
      </w:r>
      <w:r w:rsidR="004C5576" w:rsidRPr="004C5576">
        <w:rPr>
          <w:noProof/>
          <w:lang w:val="en-IE"/>
        </w:rPr>
        <w:t>26</w:t>
      </w:r>
      <w:r w:rsidR="00D7629C" w:rsidRPr="00013BDC">
        <w:rPr>
          <w:rFonts w:eastAsia="Times New Roman"/>
          <w:i/>
          <w:noProof/>
          <w:color w:val="000000" w:themeColor="text1"/>
          <w:u w:val="single"/>
          <w:lang w:val="en-IE"/>
        </w:rPr>
        <w:fldChar w:fldCharType="end"/>
      </w:r>
      <w:r w:rsidRPr="00013BDC">
        <w:rPr>
          <w:rFonts w:eastAsia="Times New Roman"/>
          <w:noProof/>
          <w:color w:val="000000" w:themeColor="text1"/>
          <w:lang w:val="en-IE"/>
        </w:rPr>
        <w:t>.</w:t>
      </w:r>
    </w:p>
    <w:p w14:paraId="1A662D47" w14:textId="70D04885" w:rsidR="00F05FAD" w:rsidRPr="00013BDC" w:rsidRDefault="004F1B26" w:rsidP="00F05FAD">
      <w:pPr>
        <w:rPr>
          <w:rFonts w:eastAsia="Times New Roman"/>
          <w:noProof/>
          <w:lang w:val="en-IE"/>
        </w:rPr>
      </w:pPr>
      <w:r w:rsidRPr="00013BDC">
        <w:rPr>
          <w:rFonts w:eastAsia="Times New Roman"/>
          <w:noProof/>
          <w:lang w:val="en-IE"/>
        </w:rPr>
        <w:t>Based on the information collected from Member States, m</w:t>
      </w:r>
      <w:r w:rsidR="00C27B15" w:rsidRPr="00013BDC">
        <w:rPr>
          <w:rFonts w:eastAsia="Times New Roman"/>
          <w:noProof/>
          <w:lang w:val="en-IE"/>
        </w:rPr>
        <w:t xml:space="preserve">ost collection schemes focus on the collection of small textile items from households. </w:t>
      </w:r>
      <w:r w:rsidRPr="00013BDC">
        <w:rPr>
          <w:rFonts w:eastAsia="Times New Roman"/>
          <w:noProof/>
          <w:lang w:val="en-IE"/>
        </w:rPr>
        <w:t>Many</w:t>
      </w:r>
      <w:r w:rsidR="00F05FAD" w:rsidRPr="00013BDC">
        <w:rPr>
          <w:rFonts w:eastAsia="Times New Roman"/>
          <w:noProof/>
          <w:lang w:val="en-IE"/>
        </w:rPr>
        <w:t xml:space="preserve"> have a scope of textiles that covers clothing and household textiles with professional textiles covered in </w:t>
      </w:r>
      <w:r w:rsidR="0A2101E2" w:rsidRPr="00013BDC">
        <w:rPr>
          <w:rFonts w:eastAsia="Times New Roman"/>
          <w:noProof/>
          <w:lang w:val="en-IE"/>
        </w:rPr>
        <w:t>Greece</w:t>
      </w:r>
      <w:r w:rsidR="00F05FAD" w:rsidRPr="00013BDC">
        <w:rPr>
          <w:rFonts w:eastAsia="Times New Roman"/>
          <w:noProof/>
          <w:lang w:val="en-IE"/>
        </w:rPr>
        <w:t>. Several Member States include shoes in this scope of textiles and one Member State includes carpets and textile floor coverings. For the remaining Member States for which information is not</w:t>
      </w:r>
      <w:r w:rsidR="00F90A24" w:rsidRPr="00013BDC">
        <w:rPr>
          <w:rFonts w:eastAsia="Times New Roman"/>
          <w:noProof/>
          <w:lang w:val="en-IE"/>
        </w:rPr>
        <w:t>,</w:t>
      </w:r>
      <w:r w:rsidR="00F05FAD" w:rsidRPr="00013BDC">
        <w:rPr>
          <w:rFonts w:eastAsia="Times New Roman"/>
          <w:noProof/>
          <w:lang w:val="en-IE"/>
        </w:rPr>
        <w:t xml:space="preserve"> the picture is unclear albeit in the two stakeholder workshops that considered the scope of textiles the focus of discussions tended to be in relation to clothing and, to a lesser extent, other household textiles. </w:t>
      </w:r>
    </w:p>
    <w:p w14:paraId="2035E774" w14:textId="198D7089" w:rsidR="002F11EA" w:rsidRPr="00013BDC" w:rsidRDefault="00F05FAD" w:rsidP="00F05FAD">
      <w:pPr>
        <w:rPr>
          <w:rFonts w:eastAsia="Times New Roman"/>
          <w:noProof/>
          <w:lang w:val="en-IE"/>
        </w:rPr>
      </w:pPr>
      <w:r w:rsidRPr="00013BDC">
        <w:rPr>
          <w:rFonts w:eastAsia="Times New Roman"/>
          <w:noProof/>
          <w:lang w:val="en-IE"/>
        </w:rPr>
        <w:t xml:space="preserve">Additional to textiles, leather clothing and apparel are frequently collected alongside textile goods. </w:t>
      </w:r>
      <w:r w:rsidR="002F11EA" w:rsidRPr="00013BDC">
        <w:rPr>
          <w:rFonts w:eastAsia="Times New Roman"/>
          <w:noProof/>
          <w:lang w:val="en-IE"/>
        </w:rPr>
        <w:t xml:space="preserve"> </w:t>
      </w:r>
      <w:r w:rsidRPr="00013BDC">
        <w:rPr>
          <w:rFonts w:eastAsia="Times New Roman"/>
          <w:noProof/>
          <w:lang w:val="en-IE"/>
        </w:rPr>
        <w:t>However, leather goods themselves are not textiles and are not addressed in the textile labelling Regulation</w:t>
      </w:r>
      <w:r w:rsidR="002F11EA" w:rsidRPr="00013BDC">
        <w:rPr>
          <w:rFonts w:eastAsia="Times New Roman"/>
          <w:noProof/>
          <w:lang w:val="en-IE"/>
        </w:rPr>
        <w:t>.</w:t>
      </w:r>
    </w:p>
    <w:p w14:paraId="74E92230" w14:textId="77777777" w:rsidR="00D7629C" w:rsidRPr="00013BDC" w:rsidRDefault="00D7629C" w:rsidP="00D7629C">
      <w:pPr>
        <w:rPr>
          <w:rFonts w:eastAsia="Times New Roman"/>
          <w:noProof/>
          <w:lang w:val="en-IE"/>
        </w:rPr>
      </w:pPr>
      <w:r w:rsidRPr="00013BDC">
        <w:rPr>
          <w:rFonts w:eastAsia="Times New Roman"/>
          <w:noProof/>
          <w:lang w:val="en-IE"/>
        </w:rPr>
        <w:t xml:space="preserve">Two important product categories containing for textiles recycling are mattresses and carpets. </w:t>
      </w:r>
    </w:p>
    <w:p w14:paraId="2ED173AA" w14:textId="77777777" w:rsidR="00D7629C" w:rsidRPr="00013BDC" w:rsidRDefault="00D7629C" w:rsidP="00D7629C">
      <w:pPr>
        <w:rPr>
          <w:rFonts w:eastAsia="Times New Roman"/>
          <w:noProof/>
          <w:lang w:val="en-IE"/>
        </w:rPr>
      </w:pPr>
      <w:r w:rsidRPr="00013BDC">
        <w:rPr>
          <w:rFonts w:eastAsia="Times New Roman"/>
          <w:noProof/>
          <w:lang w:val="en-IE"/>
        </w:rPr>
        <w:t xml:space="preserve">Up to 30 million mattresses reach their end of life in the EU each year and given the average mattress weight of 20kg that means that up to 600 000 tonnes of mattress waste is generated across the EU per year. Of that, according to the JRC, about 25% is a textile component amounting to about 150 000 tonnes per year. In addition, there are an estimated 1.6 million tonnes of carpets that are disposed of in the EU annually. </w:t>
      </w:r>
    </w:p>
    <w:p w14:paraId="344F0DB6" w14:textId="77777777" w:rsidR="00D7629C" w:rsidRPr="00013BDC" w:rsidRDefault="00D7629C" w:rsidP="00D7629C">
      <w:pPr>
        <w:rPr>
          <w:rFonts w:eastAsia="Times New Roman"/>
          <w:noProof/>
          <w:lang w:val="en-IE"/>
        </w:rPr>
      </w:pPr>
      <w:r w:rsidRPr="00013BDC">
        <w:rPr>
          <w:rFonts w:eastAsia="Times New Roman"/>
          <w:noProof/>
          <w:lang w:val="en-IE"/>
        </w:rPr>
        <w:t>Mattresses, carpets and other similar bulky materials (~10-15% of the total waste) containing textiles are typically collected kerbside or in civic amenity sites.</w:t>
      </w:r>
    </w:p>
    <w:p w14:paraId="57CDC77F" w14:textId="77777777" w:rsidR="00D7629C" w:rsidRPr="00013BDC" w:rsidRDefault="00D7629C" w:rsidP="00D7629C">
      <w:pPr>
        <w:rPr>
          <w:rFonts w:eastAsia="Times New Roman"/>
          <w:noProof/>
          <w:lang w:val="en-IE"/>
        </w:rPr>
      </w:pPr>
      <w:r w:rsidRPr="00013BDC">
        <w:rPr>
          <w:rFonts w:eastAsia="Times New Roman"/>
          <w:noProof/>
          <w:lang w:val="en-IE"/>
        </w:rPr>
        <w:t xml:space="preserve">Member States have generally not addressed mattresses as textile waste for the purpose of their textile waste management schemes. They are rather classified as furniture/bulky waste. For mattresses, scoping studies are being done by Greece and Croatia while BE and FR already apply EPR to mattresses. However, it is apparent that the method of collection and recycling of mattresses, as well as other bulky complex products containing fractions of textiles (e.g., furniture) varies from that applied to other textiles including post-industrial, pre-consumer and post-consumer commercial textile waste, clothing, household textiles or similar as well as shoes. </w:t>
      </w:r>
    </w:p>
    <w:p w14:paraId="0C6B3ED0" w14:textId="77777777" w:rsidR="00D7629C" w:rsidRPr="00013BDC" w:rsidRDefault="00D7629C" w:rsidP="00D7629C">
      <w:pPr>
        <w:rPr>
          <w:rFonts w:eastAsia="Times New Roman"/>
          <w:noProof/>
          <w:lang w:val="en-IE"/>
        </w:rPr>
      </w:pPr>
      <w:r w:rsidRPr="00013BDC">
        <w:rPr>
          <w:rFonts w:eastAsia="Times New Roman"/>
          <w:noProof/>
          <w:lang w:val="en-IE"/>
        </w:rPr>
        <w:t>Rugs and floor covers are a broad category that includes both floor covers generally collected and treated as part of construction and demolition waste and commercial waste and rugs that are collected as bulky waste or manages as commercial waste as well as small rugs (e.g., bathmats similar to towels) that may likely be disposed of by citizens as part of the household linens. Information provided by the NL authorities, with the NL being one of the largest producers of carpets, made clear that carpets are excluded from national textile waste management systems because they are considered to belong to a completely different sector both at the front of the chain (production and sales) and at the back (collection, sorting, recycling). Carpet does not go into textile bins, is not handled by textile sorters and is not addressed in the Dutch textiles monitoring and reporting.</w:t>
      </w:r>
    </w:p>
    <w:p w14:paraId="095565B7" w14:textId="77777777" w:rsidR="00D7629C" w:rsidRPr="00013BDC" w:rsidRDefault="00D7629C" w:rsidP="00D7629C">
      <w:pPr>
        <w:rPr>
          <w:rFonts w:eastAsia="Times New Roman"/>
          <w:noProof/>
          <w:lang w:val="en-IE"/>
        </w:rPr>
      </w:pPr>
      <w:r w:rsidRPr="00013BDC">
        <w:rPr>
          <w:rFonts w:eastAsia="Times New Roman"/>
          <w:noProof/>
          <w:lang w:val="en-IE"/>
        </w:rPr>
        <w:t xml:space="preserve">Textiles such as tents and awnings as well as umbrellas appear to be excluded from the scope of textiles for all Member States.  As is the case with mattresses, Member States have generally not addressed carpets as textile waste for the purpose of their textile waste management schemes. </w:t>
      </w:r>
    </w:p>
    <w:p w14:paraId="4A3B190C" w14:textId="529062F6" w:rsidR="003E2BE5" w:rsidRPr="00013BDC" w:rsidRDefault="003E2BE5" w:rsidP="003E2BE5">
      <w:pPr>
        <w:pStyle w:val="Caption"/>
        <w:rPr>
          <w:noProof/>
          <w:shd w:val="clear" w:color="auto" w:fill="E6E6E6"/>
          <w:lang w:val="en-IE"/>
        </w:rPr>
      </w:pPr>
      <w:bookmarkStart w:id="622" w:name="_Ref132634659"/>
      <w:bookmarkStart w:id="623" w:name="_Ref132634666"/>
      <w:bookmarkStart w:id="624" w:name="_Toc133229434"/>
      <w:bookmarkStart w:id="625" w:name="_Toc139033056"/>
      <w:r w:rsidRPr="00013BDC">
        <w:rPr>
          <w:noProof/>
          <w:color w:val="auto"/>
          <w:sz w:val="24"/>
          <w:szCs w:val="24"/>
          <w:lang w:val="en-IE"/>
        </w:rPr>
        <w:t xml:space="preserve">Table </w:t>
      </w:r>
      <w:r w:rsidR="004C5576">
        <w:rPr>
          <w:noProof/>
          <w:color w:val="auto"/>
          <w:sz w:val="24"/>
          <w:szCs w:val="24"/>
        </w:rPr>
        <w:t>26</w:t>
      </w:r>
      <w:bookmarkEnd w:id="622"/>
      <w:r w:rsidRPr="00013BDC">
        <w:rPr>
          <w:noProof/>
          <w:color w:val="auto"/>
          <w:sz w:val="24"/>
          <w:szCs w:val="24"/>
          <w:lang w:val="en-IE"/>
        </w:rPr>
        <w:t xml:space="preserve"> – Scope of separate collection schemes in the EU Member States, 2022</w:t>
      </w:r>
      <w:bookmarkEnd w:id="623"/>
      <w:bookmarkEnd w:id="624"/>
      <w:bookmarkEnd w:id="625"/>
    </w:p>
    <w:tbl>
      <w:tblPr>
        <w:tblW w:w="8940" w:type="dxa"/>
        <w:tblLook w:val="04A0" w:firstRow="1" w:lastRow="0" w:firstColumn="1" w:lastColumn="0" w:noHBand="0" w:noVBand="1"/>
      </w:tblPr>
      <w:tblGrid>
        <w:gridCol w:w="1460"/>
        <w:gridCol w:w="7480"/>
      </w:tblGrid>
      <w:tr w:rsidR="008E53BE" w:rsidRPr="00013BDC" w14:paraId="79D7E56A" w14:textId="77777777" w:rsidTr="00AD46DE">
        <w:trPr>
          <w:trHeight w:val="300"/>
        </w:trPr>
        <w:tc>
          <w:tcPr>
            <w:tcW w:w="146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bottom"/>
            <w:hideMark/>
          </w:tcPr>
          <w:p w14:paraId="4F8C6BA4"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Member State</w:t>
            </w:r>
          </w:p>
        </w:tc>
        <w:tc>
          <w:tcPr>
            <w:tcW w:w="7480"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90A43CD"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Scope of textiles</w:t>
            </w:r>
          </w:p>
        </w:tc>
      </w:tr>
      <w:tr w:rsidR="008E53BE" w:rsidRPr="00013BDC" w14:paraId="4E5A0D9A" w14:textId="77777777" w:rsidTr="00AD46DE">
        <w:trPr>
          <w:trHeight w:val="15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6A88FA75"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BE</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23FD4A86" w14:textId="7DAF7518" w:rsidR="008E53BE" w:rsidRPr="00013BDC" w:rsidRDefault="008E53BE" w:rsidP="00510BAB">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 xml:space="preserve">Flanders:  Clothing and accessories (belts, bags, shoes per pair) </w:t>
            </w:r>
            <w:r w:rsidR="00CC3EC0" w:rsidRPr="00013BDC">
              <w:rPr>
                <w:rFonts w:eastAsia="Times New Roman"/>
                <w:noProof/>
                <w:color w:val="000000"/>
                <w:sz w:val="22"/>
                <w:szCs w:val="22"/>
                <w:lang w:val="en-IE" w:eastAsia="en-GB"/>
              </w:rPr>
              <w:t>–</w:t>
            </w:r>
            <w:r w:rsidRPr="00013BDC">
              <w:rPr>
                <w:rFonts w:eastAsia="Times New Roman"/>
                <w:noProof/>
                <w:color w:val="000000"/>
                <w:sz w:val="22"/>
                <w:szCs w:val="22"/>
                <w:lang w:val="en-IE" w:eastAsia="en-GB"/>
              </w:rPr>
              <w:t xml:space="preserve"> Bedding (pillows, sleeping bags, sheets, blankets and duvets) </w:t>
            </w:r>
            <w:r w:rsidR="00CC3EC0" w:rsidRPr="00013BDC">
              <w:rPr>
                <w:rFonts w:eastAsia="Times New Roman"/>
                <w:noProof/>
                <w:color w:val="000000"/>
                <w:sz w:val="22"/>
                <w:szCs w:val="22"/>
                <w:lang w:val="en-IE" w:eastAsia="en-GB"/>
              </w:rPr>
              <w:t>–</w:t>
            </w:r>
            <w:r w:rsidRPr="00013BDC">
              <w:rPr>
                <w:rFonts w:eastAsia="Times New Roman"/>
                <w:noProof/>
                <w:color w:val="000000"/>
                <w:sz w:val="22"/>
                <w:szCs w:val="22"/>
                <w:lang w:val="en-IE" w:eastAsia="en-GB"/>
              </w:rPr>
              <w:t xml:space="preserve"> Kitchen and bathroom textiles </w:t>
            </w:r>
            <w:r w:rsidR="00CC3EC0" w:rsidRPr="00013BDC">
              <w:rPr>
                <w:rFonts w:eastAsia="Times New Roman"/>
                <w:noProof/>
                <w:color w:val="000000"/>
                <w:sz w:val="22"/>
                <w:szCs w:val="22"/>
                <w:lang w:val="en-IE" w:eastAsia="en-GB"/>
              </w:rPr>
              <w:t>–</w:t>
            </w:r>
            <w:r w:rsidRPr="00013BDC">
              <w:rPr>
                <w:rFonts w:eastAsia="Times New Roman"/>
                <w:noProof/>
                <w:color w:val="000000"/>
                <w:sz w:val="22"/>
                <w:szCs w:val="22"/>
                <w:lang w:val="en-IE" w:eastAsia="en-GB"/>
              </w:rPr>
              <w:t xml:space="preserve"> Home textiles (tablecloths, curtains, seat covers) </w:t>
            </w:r>
            <w:r w:rsidR="00CC3EC0" w:rsidRPr="00013BDC">
              <w:rPr>
                <w:rFonts w:eastAsia="Times New Roman"/>
                <w:noProof/>
                <w:color w:val="000000"/>
                <w:sz w:val="22"/>
                <w:szCs w:val="22"/>
                <w:lang w:val="en-IE" w:eastAsia="en-GB"/>
              </w:rPr>
              <w:t>–</w:t>
            </w:r>
            <w:r w:rsidRPr="00013BDC">
              <w:rPr>
                <w:rFonts w:eastAsia="Times New Roman"/>
                <w:noProof/>
                <w:color w:val="000000"/>
                <w:sz w:val="22"/>
                <w:szCs w:val="22"/>
                <w:lang w:val="en-IE" w:eastAsia="en-GB"/>
              </w:rPr>
              <w:t xml:space="preserve"> Cuddlies </w:t>
            </w:r>
            <w:r w:rsidR="00CC3EC0" w:rsidRPr="00013BDC">
              <w:rPr>
                <w:rFonts w:eastAsia="Times New Roman"/>
                <w:noProof/>
                <w:color w:val="000000"/>
                <w:sz w:val="22"/>
                <w:szCs w:val="22"/>
                <w:lang w:val="en-IE" w:eastAsia="en-GB"/>
              </w:rPr>
              <w:t>–</w:t>
            </w:r>
            <w:r w:rsidRPr="00013BDC">
              <w:rPr>
                <w:rFonts w:eastAsia="Times New Roman"/>
                <w:noProof/>
                <w:color w:val="000000"/>
                <w:sz w:val="22"/>
                <w:szCs w:val="22"/>
                <w:lang w:val="en-IE" w:eastAsia="en-GB"/>
              </w:rPr>
              <w:t xml:space="preserve"> Clean rags, textiles with small defects. </w:t>
            </w:r>
          </w:p>
          <w:p w14:paraId="4720BF5C" w14:textId="493B826B" w:rsidR="008E53BE" w:rsidRPr="00013BDC" w:rsidRDefault="008E53BE" w:rsidP="00510BAB">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Brussels: clothing, household textile, footwear, bedlinen, towels</w:t>
            </w:r>
            <w:r w:rsidR="00510BAB" w:rsidRPr="00013BDC">
              <w:rPr>
                <w:rFonts w:eastAsia="Times New Roman"/>
                <w:noProof/>
                <w:color w:val="000000"/>
                <w:sz w:val="22"/>
                <w:szCs w:val="22"/>
                <w:lang w:val="en-IE" w:eastAsia="en-GB"/>
              </w:rPr>
              <w:t>.</w:t>
            </w:r>
          </w:p>
        </w:tc>
      </w:tr>
      <w:tr w:rsidR="008E53BE" w:rsidRPr="00013BDC" w14:paraId="434366DB" w14:textId="77777777" w:rsidTr="00AD46DE">
        <w:trPr>
          <w:trHeight w:val="3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6FC8BD56"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BG</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031477C5" w14:textId="0B072209" w:rsidR="008E53BE" w:rsidRPr="00013BDC" w:rsidRDefault="008E53BE" w:rsidP="00510BAB">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EPR: textile and footwear</w:t>
            </w:r>
            <w:r w:rsidR="00510BAB" w:rsidRPr="00013BDC">
              <w:rPr>
                <w:rFonts w:eastAsia="Times New Roman"/>
                <w:noProof/>
                <w:color w:val="000000"/>
                <w:sz w:val="22"/>
                <w:szCs w:val="22"/>
                <w:lang w:val="en-IE" w:eastAsia="en-GB"/>
              </w:rPr>
              <w:t>.</w:t>
            </w:r>
          </w:p>
        </w:tc>
      </w:tr>
      <w:tr w:rsidR="008E53BE" w:rsidRPr="00013BDC" w14:paraId="41336C6D" w14:textId="77777777" w:rsidTr="00AD46DE">
        <w:trPr>
          <w:trHeight w:val="3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0BCDB26F"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CZ</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6D4312C1" w14:textId="77777777" w:rsidR="008E53BE" w:rsidRPr="00013BDC" w:rsidRDefault="008E53BE" w:rsidP="00EC1CDA">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Clothing, household textile, footwear</w:t>
            </w:r>
          </w:p>
        </w:tc>
      </w:tr>
      <w:tr w:rsidR="008E53BE" w:rsidRPr="00013BDC" w14:paraId="5C4DE275" w14:textId="77777777" w:rsidTr="00AD46DE">
        <w:trPr>
          <w:trHeight w:val="3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6CD3643E"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DE</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04B985C7" w14:textId="77777777" w:rsidR="008E53BE" w:rsidRPr="00013BDC" w:rsidRDefault="008E53BE" w:rsidP="00EC1CDA">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Separate collection: clothing, household textiles and footwear</w:t>
            </w:r>
          </w:p>
        </w:tc>
      </w:tr>
      <w:tr w:rsidR="008E53BE" w:rsidRPr="00013BDC" w14:paraId="365C3515" w14:textId="77777777" w:rsidTr="00AD46DE">
        <w:trPr>
          <w:trHeight w:val="511"/>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32F58111"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DK</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0F65257F" w14:textId="7CDABA59" w:rsidR="008E53BE" w:rsidRPr="00013BDC" w:rsidRDefault="008E53BE" w:rsidP="00EC1CDA">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Separate collection on textile waste: clothing and other household textile waste that is not suitable for reuse. Footwear is not included.</w:t>
            </w:r>
          </w:p>
        </w:tc>
      </w:tr>
      <w:tr w:rsidR="008E53BE" w:rsidRPr="00013BDC" w14:paraId="7EEB2993" w14:textId="77777777" w:rsidTr="00AD46DE">
        <w:trPr>
          <w:trHeight w:val="6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0A6D2619"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EL</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185B3ACB" w14:textId="65FA029E" w:rsidR="008E53BE" w:rsidRPr="00013BDC" w:rsidRDefault="008E53BE" w:rsidP="00EC1CDA">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Clothing, household textiles, professional clothing and textiles. Also</w:t>
            </w:r>
            <w:r w:rsidR="00526D3F" w:rsidRPr="00013BDC">
              <w:rPr>
                <w:rFonts w:eastAsia="Times New Roman"/>
                <w:noProof/>
                <w:color w:val="000000"/>
                <w:sz w:val="22"/>
                <w:szCs w:val="22"/>
                <w:lang w:val="en-IE" w:eastAsia="en-GB"/>
              </w:rPr>
              <w:t>,</w:t>
            </w:r>
            <w:r w:rsidRPr="00013BDC">
              <w:rPr>
                <w:rFonts w:eastAsia="Times New Roman"/>
                <w:noProof/>
                <w:color w:val="000000"/>
                <w:sz w:val="22"/>
                <w:szCs w:val="22"/>
                <w:lang w:val="en-IE" w:eastAsia="en-GB"/>
              </w:rPr>
              <w:t xml:space="preserve"> an EPR for mattresses under study.</w:t>
            </w:r>
          </w:p>
        </w:tc>
      </w:tr>
      <w:tr w:rsidR="008E53BE" w:rsidRPr="00013BDC" w14:paraId="7CCCC507" w14:textId="77777777" w:rsidTr="00AD46DE">
        <w:trPr>
          <w:trHeight w:val="3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1EA6F693"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FI</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064E16C9" w14:textId="77777777" w:rsidR="008E53BE" w:rsidRPr="00013BDC" w:rsidRDefault="008E53BE" w:rsidP="00EC1CDA">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Clothing, textiles</w:t>
            </w:r>
          </w:p>
        </w:tc>
      </w:tr>
      <w:tr w:rsidR="008E53BE" w:rsidRPr="00013BDC" w14:paraId="1D2476EE" w14:textId="77777777" w:rsidTr="00AD46DE">
        <w:trPr>
          <w:trHeight w:val="3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56AF9D98"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FR</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2A3DBA65" w14:textId="77777777" w:rsidR="008E53BE" w:rsidRPr="00013BDC" w:rsidRDefault="008E53BE" w:rsidP="00EC1CDA">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Clothing, household textiles and footwear</w:t>
            </w:r>
          </w:p>
        </w:tc>
      </w:tr>
      <w:tr w:rsidR="008E53BE" w:rsidRPr="00013BDC" w14:paraId="426F9463" w14:textId="77777777" w:rsidTr="00AD46DE">
        <w:trPr>
          <w:trHeight w:val="6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1AF351D1"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HR</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0396921A" w14:textId="43434608" w:rsidR="008E53BE" w:rsidRPr="00013BDC" w:rsidRDefault="008E53BE" w:rsidP="00EC1CDA">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Clothing, household textile, professional clothing and textiles. Also</w:t>
            </w:r>
            <w:r w:rsidR="00526D3F" w:rsidRPr="00013BDC">
              <w:rPr>
                <w:rFonts w:eastAsia="Times New Roman"/>
                <w:noProof/>
                <w:color w:val="000000"/>
                <w:sz w:val="22"/>
                <w:szCs w:val="22"/>
                <w:lang w:val="en-IE" w:eastAsia="en-GB"/>
              </w:rPr>
              <w:t>,</w:t>
            </w:r>
            <w:r w:rsidRPr="00013BDC">
              <w:rPr>
                <w:rFonts w:eastAsia="Times New Roman"/>
                <w:noProof/>
                <w:color w:val="000000"/>
                <w:sz w:val="22"/>
                <w:szCs w:val="22"/>
                <w:lang w:val="en-IE" w:eastAsia="en-GB"/>
              </w:rPr>
              <w:t xml:space="preserve"> an EPR for mattresses under study.</w:t>
            </w:r>
          </w:p>
        </w:tc>
      </w:tr>
      <w:tr w:rsidR="008E53BE" w:rsidRPr="00013BDC" w14:paraId="325302E0" w14:textId="77777777" w:rsidTr="00AD46DE">
        <w:trPr>
          <w:trHeight w:val="6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4D9C627F"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HU</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037B7563" w14:textId="77777777" w:rsidR="008E53BE" w:rsidRPr="00013BDC" w:rsidRDefault="008E53BE" w:rsidP="00EC1CDA">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Currently: clothing, shoes. Planned EPR: clothing, household textiles, curtains, carpets and textile floor coverings.</w:t>
            </w:r>
          </w:p>
        </w:tc>
      </w:tr>
      <w:tr w:rsidR="008E53BE" w:rsidRPr="00013BDC" w14:paraId="4BFC1354" w14:textId="77777777" w:rsidTr="00AD46DE">
        <w:trPr>
          <w:trHeight w:val="300"/>
        </w:trPr>
        <w:tc>
          <w:tcPr>
            <w:tcW w:w="1460" w:type="dxa"/>
            <w:tcBorders>
              <w:top w:val="nil"/>
              <w:left w:val="single" w:sz="8" w:space="0" w:color="auto"/>
              <w:bottom w:val="single" w:sz="4" w:space="0" w:color="auto"/>
              <w:right w:val="single" w:sz="8" w:space="0" w:color="auto"/>
            </w:tcBorders>
            <w:shd w:val="clear" w:color="auto" w:fill="auto"/>
            <w:vAlign w:val="bottom"/>
            <w:hideMark/>
          </w:tcPr>
          <w:p w14:paraId="35A20FC9" w14:textId="77777777" w:rsidR="008E53BE" w:rsidRPr="00013BDC" w:rsidRDefault="008E53BE" w:rsidP="00AD46DE">
            <w:pPr>
              <w:rPr>
                <w:rFonts w:eastAsia="Times New Roman"/>
                <w:b/>
                <w:noProof/>
                <w:color w:val="000000"/>
                <w:sz w:val="22"/>
                <w:szCs w:val="22"/>
                <w:lang w:val="en-IE" w:eastAsia="en-GB"/>
              </w:rPr>
            </w:pPr>
            <w:r w:rsidRPr="00013BDC">
              <w:rPr>
                <w:rFonts w:eastAsia="Times New Roman"/>
                <w:b/>
                <w:noProof/>
                <w:color w:val="000000"/>
                <w:sz w:val="22"/>
                <w:szCs w:val="22"/>
                <w:lang w:val="en-IE" w:eastAsia="en-GB"/>
              </w:rPr>
              <w:t>NL</w:t>
            </w:r>
          </w:p>
        </w:tc>
        <w:tc>
          <w:tcPr>
            <w:tcW w:w="7480" w:type="dxa"/>
            <w:tcBorders>
              <w:top w:val="nil"/>
              <w:left w:val="single" w:sz="4" w:space="0" w:color="auto"/>
              <w:bottom w:val="single" w:sz="4" w:space="0" w:color="auto"/>
              <w:right w:val="single" w:sz="4" w:space="0" w:color="auto"/>
            </w:tcBorders>
            <w:shd w:val="clear" w:color="auto" w:fill="auto"/>
            <w:vAlign w:val="bottom"/>
            <w:hideMark/>
          </w:tcPr>
          <w:p w14:paraId="254465A4" w14:textId="77777777" w:rsidR="008E53BE" w:rsidRPr="00013BDC" w:rsidRDefault="008E53BE" w:rsidP="00EC1CDA">
            <w:pPr>
              <w:spacing w:after="120"/>
              <w:rPr>
                <w:rFonts w:eastAsia="Times New Roman"/>
                <w:noProof/>
                <w:color w:val="000000"/>
                <w:sz w:val="22"/>
                <w:szCs w:val="22"/>
                <w:lang w:val="en-IE" w:eastAsia="en-GB"/>
              </w:rPr>
            </w:pPr>
            <w:r w:rsidRPr="00013BDC">
              <w:rPr>
                <w:rFonts w:eastAsia="Times New Roman"/>
                <w:noProof/>
                <w:color w:val="000000"/>
                <w:sz w:val="22"/>
                <w:szCs w:val="22"/>
                <w:lang w:val="en-IE" w:eastAsia="en-GB"/>
              </w:rPr>
              <w:t>Clothing, household textiles, shoes. EPR: clothing</w:t>
            </w:r>
          </w:p>
        </w:tc>
      </w:tr>
    </w:tbl>
    <w:p w14:paraId="207E53AF" w14:textId="77777777" w:rsidR="008E53BE" w:rsidRPr="00013BDC" w:rsidRDefault="008E53BE" w:rsidP="008E53BE">
      <w:pPr>
        <w:spacing w:after="120"/>
        <w:rPr>
          <w:rFonts w:eastAsia="Times New Roman"/>
          <w:noProof/>
          <w:color w:val="000000" w:themeColor="text1"/>
          <w:lang w:val="en-IE"/>
        </w:rPr>
      </w:pPr>
    </w:p>
    <w:p w14:paraId="49649A72" w14:textId="094928E0" w:rsidR="00DB7669" w:rsidRPr="00013BDC" w:rsidRDefault="3D2D675F" w:rsidP="005E66D0">
      <w:pPr>
        <w:spacing w:after="120"/>
        <w:rPr>
          <w:rFonts w:eastAsia="Times New Roman"/>
          <w:noProof/>
          <w:lang w:val="en-IE"/>
        </w:rPr>
      </w:pPr>
      <w:r w:rsidRPr="00013BDC">
        <w:rPr>
          <w:rFonts w:eastAsia="Times New Roman"/>
          <w:noProof/>
          <w:lang w:val="en-IE"/>
        </w:rPr>
        <w:t xml:space="preserve">It is estimated that, at present, </w:t>
      </w:r>
      <w:r w:rsidR="005A0903" w:rsidRPr="00013BDC">
        <w:rPr>
          <w:rFonts w:eastAsia="Times New Roman"/>
          <w:b/>
          <w:noProof/>
          <w:lang w:val="en-IE"/>
        </w:rPr>
        <w:t>an average of</w:t>
      </w:r>
      <w:r w:rsidR="005A0903" w:rsidRPr="00013BDC">
        <w:rPr>
          <w:rFonts w:eastAsia="Times New Roman"/>
          <w:noProof/>
          <w:lang w:val="en-IE"/>
        </w:rPr>
        <w:t xml:space="preserve"> </w:t>
      </w:r>
      <w:r w:rsidR="005C70F1" w:rsidRPr="00013BDC">
        <w:rPr>
          <w:rFonts w:eastAsia="Times New Roman"/>
          <w:b/>
          <w:noProof/>
          <w:lang w:val="en-IE"/>
        </w:rPr>
        <w:t>5</w:t>
      </w:r>
      <w:r w:rsidR="005F7DA2" w:rsidRPr="00013BDC">
        <w:rPr>
          <w:rFonts w:eastAsia="Times New Roman"/>
          <w:b/>
          <w:noProof/>
          <w:lang w:val="en-IE"/>
        </w:rPr>
        <w:t>7%</w:t>
      </w:r>
      <w:r w:rsidR="005C70F1" w:rsidRPr="00013BDC">
        <w:rPr>
          <w:rFonts w:eastAsia="Times New Roman"/>
          <w:b/>
          <w:noProof/>
          <w:lang w:val="en-IE"/>
        </w:rPr>
        <w:t xml:space="preserve"> </w:t>
      </w:r>
      <w:r w:rsidRPr="00013BDC">
        <w:rPr>
          <w:rFonts w:eastAsia="Times New Roman"/>
          <w:b/>
          <w:noProof/>
          <w:lang w:val="en-IE"/>
        </w:rPr>
        <w:t xml:space="preserve">of the </w:t>
      </w:r>
      <w:r w:rsidR="2E964308" w:rsidRPr="00013BDC">
        <w:rPr>
          <w:rFonts w:eastAsia="Times New Roman"/>
          <w:b/>
          <w:noProof/>
          <w:lang w:val="en-IE"/>
        </w:rPr>
        <w:t xml:space="preserve">total amount of </w:t>
      </w:r>
      <w:r w:rsidR="00033A2B" w:rsidRPr="00013BDC">
        <w:rPr>
          <w:rFonts w:eastAsia="Times New Roman"/>
          <w:b/>
          <w:noProof/>
          <w:lang w:val="en-IE"/>
        </w:rPr>
        <w:t>the post-consumer</w:t>
      </w:r>
      <w:r w:rsidR="2E964308" w:rsidRPr="00013BDC">
        <w:rPr>
          <w:rFonts w:eastAsia="Times New Roman"/>
          <w:b/>
          <w:noProof/>
          <w:lang w:val="en-IE"/>
        </w:rPr>
        <w:t xml:space="preserve"> textile</w:t>
      </w:r>
      <w:r w:rsidRPr="00013BDC">
        <w:rPr>
          <w:rFonts w:eastAsia="Times New Roman"/>
          <w:b/>
          <w:noProof/>
          <w:lang w:val="en-IE"/>
        </w:rPr>
        <w:t xml:space="preserve"> waste</w:t>
      </w:r>
      <w:r w:rsidRPr="00013BDC">
        <w:rPr>
          <w:rFonts w:eastAsia="Times New Roman"/>
          <w:noProof/>
          <w:lang w:val="en-IE"/>
        </w:rPr>
        <w:t xml:space="preserve"> </w:t>
      </w:r>
      <w:r w:rsidR="00033A2B" w:rsidRPr="00013BDC">
        <w:rPr>
          <w:rFonts w:eastAsia="Times New Roman"/>
          <w:b/>
          <w:noProof/>
          <w:lang w:val="en-IE"/>
        </w:rPr>
        <w:t>generated</w:t>
      </w:r>
      <w:r w:rsidR="00033A2B" w:rsidRPr="00013BDC">
        <w:rPr>
          <w:rFonts w:eastAsia="Times New Roman"/>
          <w:noProof/>
          <w:lang w:val="en-IE"/>
        </w:rPr>
        <w:t xml:space="preserve"> </w:t>
      </w:r>
      <w:r w:rsidRPr="00013BDC">
        <w:rPr>
          <w:rFonts w:eastAsia="Times New Roman"/>
          <w:noProof/>
          <w:lang w:val="en-IE"/>
        </w:rPr>
        <w:t>(~</w:t>
      </w:r>
      <w:r w:rsidR="00A83261" w:rsidRPr="00013BDC">
        <w:rPr>
          <w:rFonts w:eastAsia="Times New Roman"/>
          <w:noProof/>
          <w:lang w:val="en-IE"/>
        </w:rPr>
        <w:t>6</w:t>
      </w:r>
      <w:r w:rsidR="00D977A5" w:rsidRPr="00013BDC">
        <w:rPr>
          <w:rFonts w:eastAsia="Times New Roman"/>
          <w:noProof/>
          <w:lang w:val="en-IE"/>
        </w:rPr>
        <w:t>.</w:t>
      </w:r>
      <w:r w:rsidR="00A83261" w:rsidRPr="00013BDC">
        <w:rPr>
          <w:rFonts w:eastAsia="Times New Roman"/>
          <w:noProof/>
          <w:lang w:val="en-IE"/>
        </w:rPr>
        <w:t>2</w:t>
      </w:r>
      <w:r w:rsidRPr="00013BDC">
        <w:rPr>
          <w:rFonts w:eastAsia="Times New Roman"/>
          <w:noProof/>
          <w:lang w:val="en-IE"/>
        </w:rPr>
        <w:t xml:space="preserve"> Mt) consist of small items from households that </w:t>
      </w:r>
      <w:r w:rsidRPr="00013BDC">
        <w:rPr>
          <w:rFonts w:eastAsia="Times New Roman"/>
          <w:b/>
          <w:noProof/>
          <w:lang w:val="en-IE"/>
        </w:rPr>
        <w:t xml:space="preserve">are covered under the established collection schemes </w:t>
      </w:r>
      <w:r w:rsidR="00CC3E82" w:rsidRPr="00013BDC">
        <w:rPr>
          <w:rFonts w:eastAsia="Times New Roman"/>
          <w:b/>
          <w:noProof/>
          <w:lang w:val="en-IE"/>
        </w:rPr>
        <w:t>of</w:t>
      </w:r>
      <w:r w:rsidRPr="00013BDC">
        <w:rPr>
          <w:rFonts w:eastAsia="Times New Roman"/>
          <w:b/>
          <w:noProof/>
          <w:lang w:val="en-IE"/>
        </w:rPr>
        <w:t xml:space="preserve"> Member States</w:t>
      </w:r>
      <w:r w:rsidRPr="00013BDC">
        <w:rPr>
          <w:rFonts w:eastAsia="Times New Roman"/>
          <w:noProof/>
          <w:lang w:val="en-IE"/>
        </w:rPr>
        <w:t xml:space="preserve"> (clothes, footwear, household textiles, plus some additional shares of non-woven textiles and cleaning articles)</w:t>
      </w:r>
      <w:r w:rsidR="00385D11" w:rsidRPr="00013BDC">
        <w:rPr>
          <w:rStyle w:val="FootnoteReference"/>
          <w:rFonts w:eastAsia="Times New Roman"/>
          <w:noProof/>
          <w:lang w:val="en-IE"/>
        </w:rPr>
        <w:t xml:space="preserve"> </w:t>
      </w:r>
      <w:r w:rsidR="00385D11" w:rsidRPr="00013BDC">
        <w:rPr>
          <w:rStyle w:val="FootnoteReference"/>
          <w:rFonts w:eastAsia="Times New Roman"/>
          <w:noProof/>
          <w:lang w:val="en-IE"/>
        </w:rPr>
        <w:footnoteReference w:id="174"/>
      </w:r>
      <w:r w:rsidRPr="00013BDC">
        <w:rPr>
          <w:rFonts w:eastAsia="Times New Roman"/>
          <w:noProof/>
          <w:lang w:val="en-IE"/>
        </w:rPr>
        <w:t xml:space="preserve"> </w:t>
      </w:r>
    </w:p>
    <w:p w14:paraId="54C29171" w14:textId="77777777" w:rsidR="00D42B24" w:rsidRPr="00013BDC" w:rsidRDefault="00D42B24" w:rsidP="005E66D0">
      <w:pPr>
        <w:spacing w:after="120"/>
        <w:rPr>
          <w:rFonts w:eastAsia="Times New Roman"/>
          <w:noProof/>
          <w:lang w:val="en-IE"/>
        </w:rPr>
      </w:pPr>
    </w:p>
    <w:p w14:paraId="130EAF60" w14:textId="77777777" w:rsidR="00F348DC" w:rsidRPr="00013BDC" w:rsidRDefault="00F348DC" w:rsidP="00F348DC">
      <w:pPr>
        <w:spacing w:after="120"/>
        <w:rPr>
          <w:rFonts w:eastAsia="Times New Roman"/>
          <w:i/>
          <w:noProof/>
          <w:color w:val="000000" w:themeColor="text1"/>
          <w:u w:val="single"/>
          <w:lang w:val="en-IE"/>
        </w:rPr>
      </w:pPr>
      <w:r w:rsidRPr="00013BDC">
        <w:rPr>
          <w:rFonts w:eastAsia="Times New Roman"/>
          <w:i/>
          <w:noProof/>
          <w:color w:val="000000" w:themeColor="text1"/>
          <w:u w:val="single"/>
          <w:lang w:val="en-IE"/>
        </w:rPr>
        <w:t>Separate collection rates for textile wastes in the EU-Member States</w:t>
      </w:r>
    </w:p>
    <w:p w14:paraId="356ABD95" w14:textId="77777777" w:rsidR="00F348DC" w:rsidRPr="00013BDC" w:rsidRDefault="00F348DC" w:rsidP="00F348DC">
      <w:pPr>
        <w:spacing w:after="120"/>
        <w:rPr>
          <w:rFonts w:eastAsia="Times New Roman"/>
          <w:noProof/>
          <w:color w:val="000000" w:themeColor="text1"/>
          <w:lang w:val="en-IE"/>
        </w:rPr>
      </w:pPr>
      <w:r w:rsidRPr="00013BDC">
        <w:rPr>
          <w:rFonts w:eastAsia="Times New Roman"/>
          <w:noProof/>
          <w:color w:val="000000" w:themeColor="text1"/>
          <w:lang w:val="en-IE"/>
        </w:rPr>
        <w:t xml:space="preserve">It has been calculated that </w:t>
      </w:r>
      <w:r w:rsidRPr="00013BDC">
        <w:rPr>
          <w:rFonts w:eastAsia="Times New Roman"/>
          <w:b/>
          <w:noProof/>
          <w:color w:val="000000" w:themeColor="text1"/>
          <w:lang w:val="en-IE"/>
        </w:rPr>
        <w:t>an average of 38%</w:t>
      </w:r>
      <w:r w:rsidRPr="00013BDC">
        <w:rPr>
          <w:rStyle w:val="FootnoteReference"/>
          <w:rFonts w:eastAsia="Times New Roman"/>
          <w:b/>
          <w:noProof/>
          <w:color w:val="000000" w:themeColor="text1"/>
          <w:lang w:val="en-IE"/>
        </w:rPr>
        <w:footnoteReference w:id="175"/>
      </w:r>
      <w:r w:rsidRPr="00013BDC">
        <w:rPr>
          <w:rFonts w:eastAsia="Times New Roman"/>
          <w:b/>
          <w:noProof/>
          <w:color w:val="000000" w:themeColor="text1"/>
          <w:lang w:val="en-IE"/>
        </w:rPr>
        <w:t>-39% of the textile wastes subject to separate collection schemes are effectively collected in EU</w:t>
      </w:r>
      <w:r w:rsidRPr="00013BDC">
        <w:rPr>
          <w:rFonts w:eastAsia="Times New Roman"/>
          <w:noProof/>
          <w:color w:val="000000" w:themeColor="text1"/>
          <w:lang w:val="en-IE"/>
        </w:rPr>
        <w:t xml:space="preserve">. </w:t>
      </w:r>
    </w:p>
    <w:p w14:paraId="5AF7D073" w14:textId="77777777" w:rsidR="00F348DC" w:rsidRPr="00013BDC" w:rsidRDefault="00F348DC" w:rsidP="00F348DC">
      <w:pPr>
        <w:spacing w:after="120"/>
        <w:rPr>
          <w:rFonts w:eastAsia="Times New Roman"/>
          <w:noProof/>
          <w:color w:val="000000" w:themeColor="text1"/>
          <w:lang w:val="en-IE"/>
        </w:rPr>
      </w:pPr>
      <w:r w:rsidRPr="00013BDC">
        <w:rPr>
          <w:rFonts w:eastAsia="Times New Roman"/>
          <w:noProof/>
          <w:color w:val="000000" w:themeColor="text1"/>
          <w:lang w:val="en-IE"/>
        </w:rPr>
        <w:t>The collection rates vary widely across the EU with some Member States collecting a significant share of textile waste (for example DE collects approximately 62% of all textile waste generated with SE (62%), BE (55%), FI (47%), NL (46%), DK (42%) and FR (39%) also showing good rates of collection) and others collecting small proportions (LV, SI and SK currently collect only approximately 12% of textile wastes). In addition, also a large share of the technical textiles is separately collected, though these actions may involve using a different collection scheme. Based on these numbers, that is effectively collected is estimated at about 2.0-2.4 million tonnes</w:t>
      </w:r>
      <w:r w:rsidRPr="00013BDC">
        <w:rPr>
          <w:rStyle w:val="FootnoteReference"/>
          <w:rFonts w:eastAsia="Times New Roman"/>
          <w:noProof/>
          <w:color w:val="000000" w:themeColor="text1"/>
          <w:lang w:val="en-IE"/>
        </w:rPr>
        <w:footnoteReference w:id="176"/>
      </w:r>
      <w:r w:rsidRPr="00013BDC">
        <w:rPr>
          <w:rFonts w:eastAsia="Times New Roman"/>
          <w:noProof/>
          <w:color w:val="000000" w:themeColor="text1"/>
          <w:lang w:val="en-IE"/>
        </w:rPr>
        <w:t>.</w:t>
      </w:r>
    </w:p>
    <w:p w14:paraId="7004A504" w14:textId="77777777" w:rsidR="00F348DC" w:rsidRPr="00013BDC" w:rsidRDefault="00F348DC" w:rsidP="00F348DC">
      <w:pPr>
        <w:spacing w:after="120"/>
        <w:rPr>
          <w:rFonts w:eastAsia="Times New Roman"/>
          <w:noProof/>
          <w:color w:val="000000" w:themeColor="text1"/>
          <w:lang w:val="en-IE"/>
        </w:rPr>
      </w:pPr>
      <w:r w:rsidRPr="00013BDC">
        <w:rPr>
          <w:rFonts w:eastAsia="Times New Roman"/>
          <w:noProof/>
          <w:color w:val="000000" w:themeColor="text1"/>
          <w:lang w:val="en-IE"/>
        </w:rPr>
        <w:t>According to information collected from the JRC, McKinsey &amp; Company, Member State reports and a specific questionnaire table sent to Member States as part of this study, separate collection of clothing and household textiles currently stands as specified in the table below.</w:t>
      </w:r>
    </w:p>
    <w:p w14:paraId="7D3B711A" w14:textId="68610046" w:rsidR="00F348DC" w:rsidRPr="00013BDC" w:rsidRDefault="00F348DC" w:rsidP="00F348DC">
      <w:pPr>
        <w:pStyle w:val="Caption"/>
        <w:rPr>
          <w:noProof/>
          <w:color w:val="auto"/>
          <w:sz w:val="24"/>
          <w:szCs w:val="24"/>
          <w:lang w:val="en-IE"/>
        </w:rPr>
      </w:pPr>
      <w:bookmarkStart w:id="626" w:name="_Toc133229435"/>
      <w:bookmarkStart w:id="627" w:name="_Toc139033057"/>
      <w:r w:rsidRPr="00013BDC">
        <w:rPr>
          <w:noProof/>
          <w:color w:val="auto"/>
          <w:sz w:val="24"/>
          <w:szCs w:val="24"/>
          <w:lang w:val="en-IE"/>
        </w:rPr>
        <w:t xml:space="preserve">Table </w:t>
      </w:r>
      <w:r w:rsidR="004C5576">
        <w:rPr>
          <w:noProof/>
          <w:color w:val="auto"/>
          <w:sz w:val="24"/>
          <w:szCs w:val="24"/>
          <w:lang w:val="en-IE"/>
        </w:rPr>
        <w:t>27</w:t>
      </w:r>
      <w:r w:rsidRPr="00013BDC">
        <w:rPr>
          <w:noProof/>
          <w:color w:val="auto"/>
          <w:sz w:val="24"/>
          <w:szCs w:val="24"/>
          <w:lang w:val="en-IE"/>
        </w:rPr>
        <w:t xml:space="preserve"> – Textile waste generation and collection in Member States, tonnes and collection rate</w:t>
      </w:r>
      <w:bookmarkEnd w:id="626"/>
      <w:bookmarkEnd w:id="627"/>
    </w:p>
    <w:p w14:paraId="6C6EECF3" w14:textId="77777777" w:rsidR="00F348DC" w:rsidRPr="00013BDC" w:rsidRDefault="00F348DC" w:rsidP="00F348DC">
      <w:pPr>
        <w:rPr>
          <w:b/>
          <w:noProof/>
          <w:u w:val="single"/>
          <w:lang w:val="en-IE"/>
        </w:rPr>
      </w:pPr>
      <w:r w:rsidRPr="00013BDC">
        <w:rPr>
          <w:noProof/>
          <w:sz w:val="22"/>
          <w:szCs w:val="22"/>
          <w:lang w:val="en-IE"/>
        </w:rPr>
        <w:t>Note: only textile waste that is commonly subject to separate collection schemes have been considered into “waste generation”</w:t>
      </w:r>
      <w:r w:rsidRPr="00013BDC">
        <w:rPr>
          <w:noProof/>
          <w:lang w:val="en-IE"/>
        </w:rPr>
        <w:t xml:space="preserve"> </w:t>
      </w:r>
      <w:r w:rsidRPr="00013BDC">
        <w:rPr>
          <w:noProof/>
          <w:sz w:val="22"/>
          <w:szCs w:val="22"/>
          <w:lang w:val="en-IE"/>
        </w:rPr>
        <w:t>to calculate the share of collection.</w:t>
      </w:r>
    </w:p>
    <w:p w14:paraId="768525E1" w14:textId="77777777" w:rsidR="00CD795C" w:rsidRPr="00013BDC" w:rsidRDefault="00F348DC" w:rsidP="00947001">
      <w:pPr>
        <w:spacing w:after="120"/>
        <w:rPr>
          <w:rFonts w:eastAsia="Times New Roman"/>
          <w:noProof/>
          <w:color w:val="000000" w:themeColor="text1"/>
          <w:lang w:val="en-IE"/>
        </w:rPr>
      </w:pPr>
      <w:r w:rsidRPr="00013BDC">
        <w:rPr>
          <w:noProof/>
          <w:lang w:eastAsia="en-GB"/>
        </w:rPr>
        <w:drawing>
          <wp:inline distT="0" distB="0" distL="0" distR="0" wp14:anchorId="5C5D2344" wp14:editId="7C1EDC37">
            <wp:extent cx="4410075" cy="5724524"/>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98">
                      <a:extLst>
                        <a:ext uri="{28A0092B-C50C-407E-A947-70E740481C1C}">
                          <a14:useLocalDpi xmlns:a14="http://schemas.microsoft.com/office/drawing/2010/main" val="0"/>
                        </a:ext>
                      </a:extLst>
                    </a:blip>
                    <a:stretch>
                      <a:fillRect/>
                    </a:stretch>
                  </pic:blipFill>
                  <pic:spPr>
                    <a:xfrm>
                      <a:off x="0" y="0"/>
                      <a:ext cx="4410075" cy="5724524"/>
                    </a:xfrm>
                    <a:prstGeom prst="rect">
                      <a:avLst/>
                    </a:prstGeom>
                  </pic:spPr>
                </pic:pic>
              </a:graphicData>
            </a:graphic>
          </wp:inline>
        </w:drawing>
      </w:r>
    </w:p>
    <w:p w14:paraId="6D0B0F76" w14:textId="77777777" w:rsidR="00841DDB" w:rsidRPr="00013BDC" w:rsidRDefault="00841DDB" w:rsidP="00F348DC">
      <w:pPr>
        <w:pStyle w:val="WDBody"/>
        <w:spacing w:after="120" w:line="240" w:lineRule="auto"/>
        <w:rPr>
          <w:rFonts w:ascii="Times New Roman" w:hAnsi="Times New Roman"/>
          <w:b/>
          <w:noProof/>
          <w:sz w:val="24"/>
          <w:u w:val="single"/>
          <w:lang w:val="en-IE"/>
        </w:rPr>
      </w:pPr>
    </w:p>
    <w:p w14:paraId="00C35F96" w14:textId="77777777" w:rsidR="00CD795C" w:rsidRPr="00013BDC" w:rsidRDefault="00CD795C" w:rsidP="00947001">
      <w:pPr>
        <w:spacing w:after="120"/>
        <w:rPr>
          <w:rFonts w:eastAsia="Times New Roman"/>
          <w:i/>
          <w:noProof/>
          <w:color w:val="000000" w:themeColor="text1"/>
          <w:u w:val="single"/>
          <w:lang w:val="en-IE"/>
        </w:rPr>
      </w:pPr>
      <w:r w:rsidRPr="00013BDC">
        <w:rPr>
          <w:rFonts w:eastAsia="Times New Roman"/>
          <w:i/>
          <w:noProof/>
          <w:color w:val="000000" w:themeColor="text1"/>
          <w:u w:val="single"/>
          <w:lang w:val="en-IE"/>
        </w:rPr>
        <w:t>Collection methods for post-consumer textile</w:t>
      </w:r>
      <w:r w:rsidR="00841DDB" w:rsidRPr="00013BDC">
        <w:rPr>
          <w:rFonts w:eastAsia="Times New Roman"/>
          <w:i/>
          <w:noProof/>
          <w:color w:val="000000" w:themeColor="text1"/>
          <w:u w:val="single"/>
          <w:lang w:val="en-IE"/>
        </w:rPr>
        <w:t xml:space="preserve"> wa</w:t>
      </w:r>
      <w:r w:rsidR="00DE1F96" w:rsidRPr="00013BDC">
        <w:rPr>
          <w:rFonts w:eastAsia="Times New Roman"/>
          <w:i/>
          <w:noProof/>
          <w:color w:val="000000" w:themeColor="text1"/>
          <w:u w:val="single"/>
          <w:lang w:val="en-IE"/>
        </w:rPr>
        <w:t>s</w:t>
      </w:r>
      <w:r w:rsidR="00841DDB" w:rsidRPr="00013BDC">
        <w:rPr>
          <w:rFonts w:eastAsia="Times New Roman"/>
          <w:i/>
          <w:noProof/>
          <w:color w:val="000000" w:themeColor="text1"/>
          <w:u w:val="single"/>
          <w:lang w:val="en-IE"/>
        </w:rPr>
        <w:t>te in the EU-Member States</w:t>
      </w:r>
    </w:p>
    <w:p w14:paraId="6236B9A8" w14:textId="77777777" w:rsidR="00096212" w:rsidRPr="00013BDC" w:rsidRDefault="3831310A" w:rsidP="007572E0">
      <w:pPr>
        <w:spacing w:after="120"/>
        <w:rPr>
          <w:rFonts w:eastAsia="Times New Roman"/>
          <w:noProof/>
          <w:color w:val="000000" w:themeColor="text1"/>
          <w:lang w:val="en-IE"/>
        </w:rPr>
      </w:pPr>
      <w:r w:rsidRPr="00013BDC">
        <w:rPr>
          <w:rFonts w:eastAsia="Times New Roman"/>
          <w:noProof/>
          <w:color w:val="000000" w:themeColor="text1"/>
          <w:lang w:val="en-IE"/>
        </w:rPr>
        <w:t xml:space="preserve">The different collection methods for post-consumer </w:t>
      </w:r>
      <w:r w:rsidR="14D4150C" w:rsidRPr="00013BDC">
        <w:rPr>
          <w:rFonts w:eastAsia="Times New Roman"/>
          <w:noProof/>
          <w:color w:val="000000" w:themeColor="text1"/>
          <w:lang w:val="en-IE"/>
        </w:rPr>
        <w:t>textile</w:t>
      </w:r>
      <w:r w:rsidR="373221DC" w:rsidRPr="00013BDC">
        <w:rPr>
          <w:rFonts w:eastAsia="Times New Roman"/>
          <w:noProof/>
          <w:color w:val="000000" w:themeColor="text1"/>
          <w:lang w:val="en-IE"/>
        </w:rPr>
        <w:t>s</w:t>
      </w:r>
      <w:r w:rsidRPr="00013BDC">
        <w:rPr>
          <w:rFonts w:eastAsia="Times New Roman"/>
          <w:noProof/>
          <w:color w:val="000000" w:themeColor="text1"/>
          <w:lang w:val="en-IE"/>
        </w:rPr>
        <w:t xml:space="preserve"> include the following</w:t>
      </w:r>
      <w:r w:rsidR="003947AC" w:rsidRPr="00013BDC">
        <w:rPr>
          <w:rStyle w:val="FootnoteReference"/>
          <w:rFonts w:eastAsia="Times New Roman"/>
          <w:noProof/>
          <w:color w:val="000000" w:themeColor="text1"/>
          <w:lang w:val="en-IE"/>
        </w:rPr>
        <w:footnoteReference w:id="177"/>
      </w:r>
      <w:r w:rsidRPr="00013BDC">
        <w:rPr>
          <w:rFonts w:eastAsia="Times New Roman"/>
          <w:noProof/>
          <w:color w:val="000000" w:themeColor="text1"/>
          <w:lang w:val="en-IE"/>
        </w:rPr>
        <w:t>:</w:t>
      </w:r>
    </w:p>
    <w:p w14:paraId="687D5CC3" w14:textId="77777777" w:rsidR="00096212" w:rsidRPr="00013BDC" w:rsidRDefault="0B128F29"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Bring banks:</w:t>
      </w:r>
      <w:r w:rsidRPr="00013BDC">
        <w:rPr>
          <w:rFonts w:eastAsia="Times New Roman"/>
          <w:noProof/>
          <w:color w:val="000000" w:themeColor="text1"/>
          <w:lang w:val="en-IE"/>
        </w:rPr>
        <w:t xml:space="preserve"> citizens bring </w:t>
      </w:r>
      <w:r w:rsidR="20866181" w:rsidRPr="00013BDC">
        <w:rPr>
          <w:rFonts w:eastAsia="Times New Roman"/>
          <w:noProof/>
          <w:color w:val="000000" w:themeColor="text1"/>
          <w:lang w:val="en-IE"/>
        </w:rPr>
        <w:t>textile</w:t>
      </w:r>
      <w:r w:rsidR="345E9C02" w:rsidRPr="00013BDC">
        <w:rPr>
          <w:rFonts w:eastAsia="Times New Roman"/>
          <w:noProof/>
          <w:color w:val="000000" w:themeColor="text1"/>
          <w:lang w:val="en-IE"/>
        </w:rPr>
        <w:t>s</w:t>
      </w:r>
      <w:r w:rsidRPr="00013BDC">
        <w:rPr>
          <w:rFonts w:eastAsia="Times New Roman"/>
          <w:noProof/>
          <w:color w:val="000000" w:themeColor="text1"/>
          <w:lang w:val="en-IE"/>
        </w:rPr>
        <w:t xml:space="preserve"> to containers in streets</w:t>
      </w:r>
      <w:r w:rsidR="43D17ED1" w:rsidRPr="00013BDC">
        <w:rPr>
          <w:rFonts w:eastAsia="Times New Roman"/>
          <w:noProof/>
          <w:color w:val="000000" w:themeColor="text1"/>
          <w:lang w:val="en-IE"/>
        </w:rPr>
        <w:t>,</w:t>
      </w:r>
      <w:r w:rsidRPr="00013BDC">
        <w:rPr>
          <w:rFonts w:eastAsia="Times New Roman"/>
          <w:noProof/>
          <w:color w:val="000000" w:themeColor="text1"/>
          <w:lang w:val="en-IE"/>
        </w:rPr>
        <w:t xml:space="preserve"> in residential or office/public buildings</w:t>
      </w:r>
      <w:r w:rsidR="0062696D" w:rsidRPr="00013BDC">
        <w:rPr>
          <w:rFonts w:eastAsia="Times New Roman"/>
          <w:noProof/>
          <w:color w:val="000000" w:themeColor="text1"/>
          <w:lang w:val="en-IE"/>
        </w:rPr>
        <w:t xml:space="preserve"> or at </w:t>
      </w:r>
      <w:r w:rsidRPr="00013BDC">
        <w:rPr>
          <w:rFonts w:eastAsia="Times New Roman"/>
          <w:noProof/>
          <w:color w:val="000000" w:themeColor="text1"/>
          <w:lang w:val="en-IE"/>
        </w:rPr>
        <w:t>civic amenity sites</w:t>
      </w:r>
      <w:r w:rsidR="00A27A01" w:rsidRPr="00013BDC">
        <w:rPr>
          <w:rFonts w:eastAsia="Times New Roman"/>
          <w:noProof/>
          <w:color w:val="000000" w:themeColor="text1"/>
          <w:lang w:val="en-IE"/>
        </w:rPr>
        <w:t>.</w:t>
      </w:r>
      <w:r w:rsidR="7F537D7B" w:rsidRPr="00013BDC">
        <w:rPr>
          <w:rFonts w:eastAsia="Times New Roman"/>
          <w:noProof/>
          <w:color w:val="000000" w:themeColor="text1"/>
          <w:lang w:val="en-IE"/>
        </w:rPr>
        <w:t xml:space="preserve"> The main actors involved in bring banks are citizens, charities and waste </w:t>
      </w:r>
      <w:r w:rsidR="0062696D" w:rsidRPr="00013BDC">
        <w:rPr>
          <w:rFonts w:eastAsia="Times New Roman"/>
          <w:noProof/>
          <w:color w:val="000000" w:themeColor="text1"/>
          <w:lang w:val="en-IE"/>
        </w:rPr>
        <w:t xml:space="preserve">collection </w:t>
      </w:r>
      <w:r w:rsidR="7F537D7B" w:rsidRPr="00013BDC">
        <w:rPr>
          <w:rFonts w:eastAsia="Times New Roman"/>
          <w:noProof/>
          <w:color w:val="000000" w:themeColor="text1"/>
          <w:lang w:val="en-IE"/>
        </w:rPr>
        <w:t>companies</w:t>
      </w:r>
      <w:r w:rsidR="007572E0" w:rsidRPr="00013BDC">
        <w:rPr>
          <w:rFonts w:eastAsia="Times New Roman"/>
          <w:noProof/>
          <w:color w:val="000000" w:themeColor="text1"/>
          <w:lang w:val="en-IE"/>
        </w:rPr>
        <w:t>.</w:t>
      </w:r>
    </w:p>
    <w:p w14:paraId="2C5C9E60" w14:textId="77777777" w:rsidR="00096212" w:rsidRPr="00013BDC" w:rsidRDefault="4C0BC51E"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 xml:space="preserve">Deposit directly in charity </w:t>
      </w:r>
      <w:r w:rsidR="007572E0" w:rsidRPr="00013BDC">
        <w:rPr>
          <w:rFonts w:eastAsia="Times New Roman"/>
          <w:b/>
          <w:noProof/>
          <w:color w:val="000000" w:themeColor="text1"/>
          <w:lang w:val="en-IE"/>
        </w:rPr>
        <w:t>premises</w:t>
      </w:r>
      <w:r w:rsidRPr="00013BDC">
        <w:rPr>
          <w:rFonts w:eastAsia="Times New Roman"/>
          <w:noProof/>
          <w:color w:val="000000" w:themeColor="text1"/>
          <w:lang w:val="en-IE"/>
        </w:rPr>
        <w:t xml:space="preserve"> (drop-off): citizens bring </w:t>
      </w:r>
      <w:r w:rsidR="5329B82F" w:rsidRPr="00013BDC">
        <w:rPr>
          <w:rFonts w:eastAsia="Times New Roman"/>
          <w:noProof/>
          <w:color w:val="000000" w:themeColor="text1"/>
          <w:lang w:val="en-IE"/>
        </w:rPr>
        <w:t>textile</w:t>
      </w:r>
      <w:r w:rsidR="54D1F378" w:rsidRPr="00013BDC">
        <w:rPr>
          <w:rFonts w:eastAsia="Times New Roman"/>
          <w:noProof/>
          <w:color w:val="000000" w:themeColor="text1"/>
          <w:lang w:val="en-IE"/>
        </w:rPr>
        <w:t>s</w:t>
      </w:r>
      <w:r w:rsidRPr="00013BDC">
        <w:rPr>
          <w:rFonts w:eastAsia="Times New Roman"/>
          <w:noProof/>
          <w:color w:val="000000" w:themeColor="text1"/>
          <w:lang w:val="en-IE"/>
        </w:rPr>
        <w:t xml:space="preserve"> directly to charity </w:t>
      </w:r>
      <w:r w:rsidR="007572E0" w:rsidRPr="00013BDC">
        <w:rPr>
          <w:rFonts w:eastAsia="Times New Roman"/>
          <w:noProof/>
          <w:color w:val="000000" w:themeColor="text1"/>
          <w:lang w:val="en-IE"/>
        </w:rPr>
        <w:t>premises</w:t>
      </w:r>
      <w:r w:rsidRPr="00013BDC">
        <w:rPr>
          <w:rFonts w:eastAsia="Times New Roman"/>
          <w:noProof/>
          <w:color w:val="000000" w:themeColor="text1"/>
          <w:lang w:val="en-IE"/>
        </w:rPr>
        <w:t xml:space="preserve"> (</w:t>
      </w:r>
      <w:r w:rsidR="00C847DE" w:rsidRPr="00013BDC">
        <w:rPr>
          <w:rFonts w:eastAsia="Times New Roman"/>
          <w:noProof/>
          <w:color w:val="000000" w:themeColor="text1"/>
          <w:lang w:val="en-IE"/>
        </w:rPr>
        <w:t xml:space="preserve">shops or sorting centres </w:t>
      </w:r>
      <w:r w:rsidR="5329B82F" w:rsidRPr="00013BDC">
        <w:rPr>
          <w:rFonts w:eastAsia="Times New Roman"/>
          <w:noProof/>
          <w:color w:val="000000" w:themeColor="text1"/>
          <w:lang w:val="en-IE"/>
        </w:rPr>
        <w:t>(</w:t>
      </w:r>
      <w:r w:rsidRPr="00013BDC">
        <w:rPr>
          <w:rFonts w:eastAsia="Times New Roman"/>
          <w:noProof/>
          <w:color w:val="000000" w:themeColor="text1"/>
          <w:lang w:val="en-IE"/>
        </w:rPr>
        <w:t xml:space="preserve">often </w:t>
      </w:r>
      <w:r w:rsidR="00C847DE" w:rsidRPr="00013BDC">
        <w:rPr>
          <w:rFonts w:eastAsia="Times New Roman"/>
          <w:noProof/>
          <w:color w:val="000000" w:themeColor="text1"/>
          <w:lang w:val="en-IE"/>
        </w:rPr>
        <w:t xml:space="preserve">a </w:t>
      </w:r>
      <w:r w:rsidR="37B69FDC" w:rsidRPr="00013BDC">
        <w:rPr>
          <w:rFonts w:eastAsia="Times New Roman"/>
          <w:noProof/>
          <w:color w:val="000000" w:themeColor="text1"/>
          <w:lang w:val="en-IE"/>
        </w:rPr>
        <w:t>first</w:t>
      </w:r>
      <w:r w:rsidR="00C847DE" w:rsidRPr="00013BDC">
        <w:rPr>
          <w:rFonts w:eastAsia="Times New Roman"/>
          <w:noProof/>
          <w:color w:val="000000" w:themeColor="text1"/>
          <w:lang w:val="en-IE"/>
        </w:rPr>
        <w:t xml:space="preserve"> screening is </w:t>
      </w:r>
      <w:r w:rsidR="37B69FDC" w:rsidRPr="00013BDC">
        <w:rPr>
          <w:rFonts w:eastAsia="Times New Roman"/>
          <w:noProof/>
          <w:color w:val="000000" w:themeColor="text1"/>
          <w:lang w:val="en-IE"/>
        </w:rPr>
        <w:t>done</w:t>
      </w:r>
      <w:r w:rsidR="06E0EF29" w:rsidRPr="00013BDC">
        <w:rPr>
          <w:rFonts w:eastAsia="Times New Roman"/>
          <w:noProof/>
          <w:color w:val="000000" w:themeColor="text1"/>
          <w:lang w:val="en-IE"/>
        </w:rPr>
        <w:t>,</w:t>
      </w:r>
      <w:r w:rsidR="37B69FDC" w:rsidRPr="00013BDC">
        <w:rPr>
          <w:rFonts w:eastAsia="Times New Roman"/>
          <w:noProof/>
          <w:color w:val="000000" w:themeColor="text1"/>
          <w:lang w:val="en-IE"/>
        </w:rPr>
        <w:t xml:space="preserve"> and only</w:t>
      </w:r>
      <w:r w:rsidR="00C847DE" w:rsidRPr="00013BDC">
        <w:rPr>
          <w:rFonts w:eastAsia="Times New Roman"/>
          <w:noProof/>
          <w:color w:val="000000" w:themeColor="text1"/>
          <w:lang w:val="en-IE"/>
        </w:rPr>
        <w:t xml:space="preserve"> </w:t>
      </w:r>
      <w:r w:rsidR="0014738B" w:rsidRPr="00013BDC">
        <w:rPr>
          <w:rFonts w:eastAsia="Times New Roman"/>
          <w:noProof/>
          <w:color w:val="000000" w:themeColor="text1"/>
          <w:lang w:val="en-IE"/>
        </w:rPr>
        <w:t>reusable</w:t>
      </w:r>
      <w:r w:rsidRPr="00013BDC">
        <w:rPr>
          <w:rFonts w:eastAsia="Times New Roman"/>
          <w:noProof/>
          <w:color w:val="000000" w:themeColor="text1"/>
          <w:lang w:val="en-IE"/>
        </w:rPr>
        <w:t xml:space="preserve"> </w:t>
      </w:r>
      <w:r w:rsidR="00D14718" w:rsidRPr="00013BDC">
        <w:rPr>
          <w:rFonts w:eastAsia="Times New Roman"/>
          <w:noProof/>
          <w:color w:val="000000" w:themeColor="text1"/>
          <w:lang w:val="en-IE"/>
        </w:rPr>
        <w:t xml:space="preserve">textiles are </w:t>
      </w:r>
      <w:r w:rsidR="003030F7" w:rsidRPr="00013BDC">
        <w:rPr>
          <w:rFonts w:eastAsia="Times New Roman"/>
          <w:noProof/>
          <w:color w:val="000000" w:themeColor="text1"/>
          <w:lang w:val="en-IE"/>
        </w:rPr>
        <w:t>accepted)</w:t>
      </w:r>
      <w:r w:rsidR="00A27A01" w:rsidRPr="00013BDC">
        <w:rPr>
          <w:rFonts w:eastAsia="Times New Roman"/>
          <w:noProof/>
          <w:color w:val="000000" w:themeColor="text1"/>
          <w:lang w:val="en-IE"/>
        </w:rPr>
        <w:t>. The</w:t>
      </w:r>
      <w:r w:rsidR="00DA2E54" w:rsidRPr="00013BDC">
        <w:rPr>
          <w:rFonts w:eastAsia="Times New Roman"/>
          <w:noProof/>
          <w:color w:val="000000" w:themeColor="text1"/>
          <w:lang w:val="en-IE"/>
        </w:rPr>
        <w:t xml:space="preserve"> main actors are citizens and charities</w:t>
      </w:r>
      <w:r w:rsidR="00DA2E54" w:rsidRPr="00013BDC">
        <w:rPr>
          <w:rFonts w:eastAsia="Times New Roman"/>
          <w:noProof/>
          <w:color w:val="36353F"/>
          <w:lang w:val="en-IE"/>
        </w:rPr>
        <w:t>.</w:t>
      </w:r>
    </w:p>
    <w:p w14:paraId="7834942D" w14:textId="77777777" w:rsidR="00096212" w:rsidRPr="00013BDC" w:rsidRDefault="4C0BC51E"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Deposit directly in stores</w:t>
      </w:r>
      <w:r w:rsidRPr="00013BDC">
        <w:rPr>
          <w:rFonts w:eastAsia="Times New Roman"/>
          <w:noProof/>
          <w:color w:val="000000" w:themeColor="text1"/>
          <w:lang w:val="en-IE"/>
        </w:rPr>
        <w:t xml:space="preserve"> (retailer drop-off): </w:t>
      </w:r>
      <w:r w:rsidR="6B88FDFF" w:rsidRPr="00013BDC">
        <w:rPr>
          <w:rFonts w:eastAsia="Times New Roman"/>
          <w:noProof/>
          <w:color w:val="000000" w:themeColor="text1"/>
          <w:lang w:val="en-IE"/>
        </w:rPr>
        <w:t xml:space="preserve">citizens </w:t>
      </w:r>
      <w:r w:rsidRPr="00013BDC">
        <w:rPr>
          <w:rFonts w:eastAsia="Times New Roman"/>
          <w:noProof/>
          <w:color w:val="000000" w:themeColor="text1"/>
          <w:lang w:val="en-IE"/>
        </w:rPr>
        <w:t xml:space="preserve">bring textiles </w:t>
      </w:r>
      <w:r w:rsidR="7811401A" w:rsidRPr="00013BDC">
        <w:rPr>
          <w:rFonts w:eastAsia="Times New Roman"/>
          <w:noProof/>
          <w:color w:val="000000" w:themeColor="text1"/>
          <w:lang w:val="en-IE"/>
        </w:rPr>
        <w:t>(typically of all brands)</w:t>
      </w:r>
      <w:r w:rsidRPr="00013BDC">
        <w:rPr>
          <w:rFonts w:eastAsia="Times New Roman"/>
          <w:noProof/>
          <w:color w:val="000000" w:themeColor="text1"/>
          <w:lang w:val="en-IE"/>
        </w:rPr>
        <w:t xml:space="preserve"> direct</w:t>
      </w:r>
      <w:r w:rsidR="00DA2E54" w:rsidRPr="00013BDC">
        <w:rPr>
          <w:rFonts w:eastAsia="Times New Roman"/>
          <w:noProof/>
          <w:color w:val="000000" w:themeColor="text1"/>
          <w:lang w:val="en-IE"/>
        </w:rPr>
        <w:t>ly to retailer shops</w:t>
      </w:r>
      <w:r w:rsidR="00068EE2" w:rsidRPr="00013BDC">
        <w:rPr>
          <w:rFonts w:eastAsia="Times New Roman"/>
          <w:noProof/>
          <w:color w:val="000000" w:themeColor="text1"/>
          <w:lang w:val="en-IE"/>
        </w:rPr>
        <w:t xml:space="preserve"> that have this type of scheme. The</w:t>
      </w:r>
      <w:r w:rsidR="00DA2E54" w:rsidRPr="00013BDC">
        <w:rPr>
          <w:rFonts w:eastAsia="Times New Roman"/>
          <w:noProof/>
          <w:color w:val="000000" w:themeColor="text1"/>
          <w:lang w:val="en-IE"/>
        </w:rPr>
        <w:t xml:space="preserve"> main actors </w:t>
      </w:r>
      <w:r w:rsidR="37882E14" w:rsidRPr="00013BDC">
        <w:rPr>
          <w:rFonts w:eastAsia="Times New Roman"/>
          <w:noProof/>
          <w:color w:val="000000" w:themeColor="text1"/>
          <w:lang w:val="en-IE"/>
        </w:rPr>
        <w:t>are</w:t>
      </w:r>
      <w:r w:rsidR="00DA2E54" w:rsidRPr="00013BDC">
        <w:rPr>
          <w:rFonts w:eastAsia="Times New Roman"/>
          <w:noProof/>
          <w:color w:val="000000" w:themeColor="text1"/>
          <w:lang w:val="en-IE"/>
        </w:rPr>
        <w:t xml:space="preserve"> citizens and retailers</w:t>
      </w:r>
      <w:r w:rsidR="40D98CCE" w:rsidRPr="00013BDC">
        <w:rPr>
          <w:rFonts w:eastAsia="Times New Roman"/>
          <w:noProof/>
          <w:color w:val="000000" w:themeColor="text1"/>
          <w:lang w:val="en-IE"/>
        </w:rPr>
        <w:t>.</w:t>
      </w:r>
    </w:p>
    <w:p w14:paraId="1425713F" w14:textId="77777777" w:rsidR="00096212" w:rsidRPr="00013BDC" w:rsidRDefault="0B128F29"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Door-to-door collection</w:t>
      </w:r>
      <w:r w:rsidRPr="00013BDC">
        <w:rPr>
          <w:rFonts w:eastAsia="Times New Roman"/>
          <w:noProof/>
          <w:color w:val="000000" w:themeColor="text1"/>
          <w:lang w:val="en-IE"/>
        </w:rPr>
        <w:t xml:space="preserve">: </w:t>
      </w:r>
      <w:r w:rsidR="64998734" w:rsidRPr="00013BDC">
        <w:rPr>
          <w:rFonts w:eastAsia="Times New Roman"/>
          <w:noProof/>
          <w:color w:val="000000" w:themeColor="text1"/>
          <w:lang w:val="en-IE"/>
        </w:rPr>
        <w:t xml:space="preserve">some </w:t>
      </w:r>
      <w:r w:rsidRPr="00013BDC">
        <w:rPr>
          <w:rFonts w:eastAsia="Times New Roman"/>
          <w:noProof/>
          <w:color w:val="000000" w:themeColor="text1"/>
          <w:lang w:val="en-IE"/>
        </w:rPr>
        <w:t xml:space="preserve">charities collect textiles </w:t>
      </w:r>
      <w:r w:rsidR="09107DB3" w:rsidRPr="00013BDC">
        <w:rPr>
          <w:rFonts w:eastAsia="Times New Roman"/>
          <w:noProof/>
          <w:color w:val="000000" w:themeColor="text1"/>
          <w:lang w:val="en-IE"/>
        </w:rPr>
        <w:t xml:space="preserve">directly </w:t>
      </w:r>
      <w:r w:rsidRPr="00013BDC">
        <w:rPr>
          <w:rFonts w:eastAsia="Times New Roman"/>
          <w:noProof/>
          <w:color w:val="000000" w:themeColor="text1"/>
          <w:lang w:val="en-IE"/>
        </w:rPr>
        <w:t>from citizens’ homes</w:t>
      </w:r>
      <w:r w:rsidR="01A67A15" w:rsidRPr="00013BDC">
        <w:rPr>
          <w:rFonts w:eastAsia="Times New Roman"/>
          <w:noProof/>
          <w:color w:val="000000" w:themeColor="text1"/>
          <w:lang w:val="en-IE"/>
        </w:rPr>
        <w:t>.</w:t>
      </w:r>
      <w:r w:rsidR="5EB50418" w:rsidRPr="00013BDC">
        <w:rPr>
          <w:rFonts w:eastAsia="Times New Roman"/>
          <w:noProof/>
          <w:color w:val="000000" w:themeColor="text1"/>
          <w:lang w:val="en-IE"/>
        </w:rPr>
        <w:t xml:space="preserve"> The main actors are citizens and charities</w:t>
      </w:r>
      <w:r w:rsidR="5EB50418" w:rsidRPr="00013BDC">
        <w:rPr>
          <w:rFonts w:eastAsia="Times New Roman"/>
          <w:noProof/>
          <w:color w:val="36353F"/>
          <w:lang w:val="en-IE"/>
        </w:rPr>
        <w:t>.</w:t>
      </w:r>
      <w:r w:rsidR="20866181" w:rsidRPr="00013BDC">
        <w:rPr>
          <w:rFonts w:eastAsia="Times New Roman"/>
          <w:noProof/>
          <w:color w:val="000000" w:themeColor="text1"/>
          <w:shd w:val="clear" w:color="auto" w:fill="E6E6E6"/>
          <w:lang w:val="en-IE"/>
        </w:rPr>
        <w:t xml:space="preserve"> </w:t>
      </w:r>
    </w:p>
    <w:p w14:paraId="7B762AC4" w14:textId="77777777" w:rsidR="00096212" w:rsidRPr="00013BDC" w:rsidRDefault="4C0BC51E"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Brand mail-back</w:t>
      </w:r>
      <w:r w:rsidRPr="00013BDC">
        <w:rPr>
          <w:rFonts w:eastAsia="Times New Roman"/>
          <w:noProof/>
          <w:color w:val="000000" w:themeColor="text1"/>
          <w:lang w:val="en-IE"/>
        </w:rPr>
        <w:t xml:space="preserve">: consumers send their </w:t>
      </w:r>
      <w:r w:rsidR="411DE5C7" w:rsidRPr="00013BDC">
        <w:rPr>
          <w:rFonts w:eastAsia="Times New Roman"/>
          <w:noProof/>
          <w:color w:val="000000" w:themeColor="text1"/>
          <w:lang w:val="en-IE"/>
        </w:rPr>
        <w:t>textiles</w:t>
      </w:r>
      <w:r w:rsidRPr="00013BDC">
        <w:rPr>
          <w:rFonts w:eastAsia="Times New Roman"/>
          <w:noProof/>
          <w:color w:val="000000" w:themeColor="text1"/>
          <w:lang w:val="en-IE"/>
        </w:rPr>
        <w:t xml:space="preserve"> </w:t>
      </w:r>
      <w:r w:rsidR="3B0963BD" w:rsidRPr="00013BDC">
        <w:rPr>
          <w:rFonts w:eastAsia="Times New Roman"/>
          <w:noProof/>
          <w:color w:val="000000" w:themeColor="text1"/>
          <w:lang w:val="en-IE"/>
        </w:rPr>
        <w:t>(of that brand)</w:t>
      </w:r>
      <w:r w:rsidRPr="00013BDC">
        <w:rPr>
          <w:rFonts w:eastAsia="Times New Roman"/>
          <w:noProof/>
          <w:color w:val="000000" w:themeColor="text1"/>
          <w:lang w:val="en-IE"/>
        </w:rPr>
        <w:t xml:space="preserve"> back to brands by mail</w:t>
      </w:r>
      <w:r w:rsidR="0CDE247E" w:rsidRPr="00013BDC">
        <w:rPr>
          <w:rFonts w:eastAsia="Times New Roman"/>
          <w:noProof/>
          <w:color w:val="000000" w:themeColor="text1"/>
          <w:lang w:val="en-IE"/>
        </w:rPr>
        <w:t>. The</w:t>
      </w:r>
      <w:r w:rsidR="00DA2E54" w:rsidRPr="00013BDC">
        <w:rPr>
          <w:rFonts w:eastAsia="Times New Roman"/>
          <w:noProof/>
          <w:color w:val="000000" w:themeColor="text1"/>
          <w:lang w:val="en-IE"/>
        </w:rPr>
        <w:t xml:space="preserve"> main actors are citizens and re</w:t>
      </w:r>
      <w:r w:rsidR="00E95E4D" w:rsidRPr="00013BDC">
        <w:rPr>
          <w:rFonts w:eastAsia="Times New Roman"/>
          <w:noProof/>
          <w:color w:val="000000" w:themeColor="text1"/>
          <w:lang w:val="en-IE"/>
        </w:rPr>
        <w:t>tailers</w:t>
      </w:r>
      <w:r w:rsidR="737C171E" w:rsidRPr="00013BDC">
        <w:rPr>
          <w:rFonts w:eastAsia="Times New Roman"/>
          <w:noProof/>
          <w:color w:val="000000" w:themeColor="text1"/>
          <w:lang w:val="en-IE"/>
        </w:rPr>
        <w:t>.</w:t>
      </w:r>
    </w:p>
    <w:p w14:paraId="7F5399D6" w14:textId="77777777" w:rsidR="00096212" w:rsidRPr="00013BDC" w:rsidRDefault="2F8BBF3A" w:rsidP="00410D9F">
      <w:pPr>
        <w:pStyle w:val="ListParagraph"/>
        <w:numPr>
          <w:ilvl w:val="0"/>
          <w:numId w:val="8"/>
        </w:numPr>
        <w:rPr>
          <w:rFonts w:eastAsia="Times New Roman"/>
          <w:b/>
          <w:noProof/>
          <w:color w:val="000000" w:themeColor="text1"/>
          <w:lang w:val="en-IE"/>
        </w:rPr>
      </w:pPr>
      <w:r w:rsidRPr="00013BDC">
        <w:rPr>
          <w:rFonts w:eastAsia="Times New Roman"/>
          <w:b/>
          <w:noProof/>
          <w:color w:val="000000" w:themeColor="text1"/>
          <w:lang w:val="en-IE"/>
        </w:rPr>
        <w:t>K</w:t>
      </w:r>
      <w:r w:rsidR="20866181" w:rsidRPr="00013BDC">
        <w:rPr>
          <w:rFonts w:eastAsia="Times New Roman"/>
          <w:b/>
          <w:noProof/>
          <w:color w:val="000000" w:themeColor="text1"/>
          <w:lang w:val="en-IE"/>
        </w:rPr>
        <w:t>erbside collection</w:t>
      </w:r>
      <w:r w:rsidR="20866181" w:rsidRPr="00013BDC">
        <w:rPr>
          <w:rFonts w:eastAsia="Times New Roman"/>
          <w:noProof/>
          <w:color w:val="000000" w:themeColor="text1"/>
          <w:lang w:val="en-IE"/>
        </w:rPr>
        <w:t>: households separate out textiles and deposit it at the kerbside</w:t>
      </w:r>
      <w:r w:rsidR="2B860158" w:rsidRPr="00013BDC">
        <w:rPr>
          <w:rFonts w:eastAsia="Times New Roman"/>
          <w:noProof/>
          <w:color w:val="000000" w:themeColor="text1"/>
          <w:lang w:val="en-IE"/>
        </w:rPr>
        <w:t>.</w:t>
      </w:r>
    </w:p>
    <w:p w14:paraId="454191AA" w14:textId="77777777" w:rsidR="00096212" w:rsidRPr="00013BDC" w:rsidRDefault="77D5A4A5"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Mixed municipal waste</w:t>
      </w:r>
      <w:r w:rsidRPr="00013BDC">
        <w:rPr>
          <w:rFonts w:eastAsia="Times New Roman"/>
          <w:noProof/>
          <w:color w:val="000000" w:themeColor="text1"/>
          <w:lang w:val="en-IE"/>
        </w:rPr>
        <w:t>:</w:t>
      </w:r>
      <w:r w:rsidR="3337D58B" w:rsidRPr="00013BDC">
        <w:rPr>
          <w:rFonts w:eastAsia="Times New Roman"/>
          <w:noProof/>
          <w:color w:val="000000" w:themeColor="text1"/>
          <w:lang w:val="en-IE"/>
        </w:rPr>
        <w:t xml:space="preserve"> non-reusable textile wastes are typically collected by municipal actors in mixed municipal waste </w:t>
      </w:r>
      <w:r w:rsidRPr="00013BDC">
        <w:rPr>
          <w:rFonts w:eastAsia="Times New Roman"/>
          <w:noProof/>
          <w:color w:val="000000" w:themeColor="text1"/>
          <w:lang w:val="en-IE"/>
        </w:rPr>
        <w:t>that</w:t>
      </w:r>
      <w:r w:rsidR="3337D58B" w:rsidRPr="00013BDC">
        <w:rPr>
          <w:rFonts w:eastAsia="Times New Roman"/>
          <w:noProof/>
          <w:color w:val="000000" w:themeColor="text1"/>
          <w:lang w:val="en-IE"/>
        </w:rPr>
        <w:t xml:space="preserve"> is frequently incinerated or landfilled. Separate collection for the sole purpose of recycling is undertaken </w:t>
      </w:r>
      <w:r w:rsidR="67F8E30E" w:rsidRPr="00013BDC">
        <w:rPr>
          <w:rFonts w:eastAsia="Times New Roman"/>
          <w:noProof/>
          <w:color w:val="000000" w:themeColor="text1"/>
          <w:lang w:val="en-IE"/>
        </w:rPr>
        <w:t xml:space="preserve">in no Member State </w:t>
      </w:r>
      <w:r w:rsidR="3337D58B" w:rsidRPr="00013BDC">
        <w:rPr>
          <w:rFonts w:eastAsia="Times New Roman"/>
          <w:noProof/>
          <w:color w:val="000000" w:themeColor="text1"/>
          <w:lang w:val="en-IE"/>
        </w:rPr>
        <w:t>according to the information identified as part of this study.</w:t>
      </w:r>
    </w:p>
    <w:p w14:paraId="7F7E0863" w14:textId="77777777" w:rsidR="0073170B" w:rsidRPr="00013BDC" w:rsidRDefault="3F278B8D" w:rsidP="00C82D3F">
      <w:pPr>
        <w:spacing w:after="120"/>
        <w:rPr>
          <w:rFonts w:eastAsia="Times New Roman"/>
          <w:noProof/>
          <w:color w:val="000000" w:themeColor="text1"/>
          <w:lang w:val="en-IE"/>
        </w:rPr>
      </w:pPr>
      <w:r w:rsidRPr="00013BDC">
        <w:rPr>
          <w:rFonts w:eastAsia="Times New Roman"/>
          <w:noProof/>
          <w:color w:val="000000" w:themeColor="text1"/>
          <w:lang w:val="en-IE"/>
        </w:rPr>
        <w:t>Collection via bring banks is reported to be the dominant form of used textile collection in all countries with data. Kerbside collection is significantly less prevalent, in part due to higher costs but also due to risk of theft</w:t>
      </w:r>
      <w:r w:rsidR="0073170B" w:rsidRPr="00013BDC">
        <w:rPr>
          <w:rStyle w:val="FootnoteReference"/>
          <w:rFonts w:eastAsia="Times New Roman"/>
          <w:noProof/>
          <w:color w:val="000000" w:themeColor="text1"/>
          <w:lang w:val="en-IE"/>
        </w:rPr>
        <w:footnoteReference w:id="178"/>
      </w:r>
      <w:r w:rsidRPr="00013BDC">
        <w:rPr>
          <w:rFonts w:eastAsia="Times New Roman"/>
          <w:noProof/>
          <w:color w:val="000000" w:themeColor="text1"/>
          <w:lang w:val="en-IE"/>
        </w:rPr>
        <w:t xml:space="preserve">. </w:t>
      </w:r>
    </w:p>
    <w:p w14:paraId="2114B1CE" w14:textId="77777777" w:rsidR="00096212" w:rsidRPr="00013BDC" w:rsidRDefault="30CE9CDB" w:rsidP="001B1E6E">
      <w:pPr>
        <w:spacing w:after="120"/>
        <w:rPr>
          <w:rFonts w:eastAsia="Times New Roman"/>
          <w:noProof/>
          <w:color w:val="000000" w:themeColor="text1"/>
          <w:lang w:val="en-IE"/>
        </w:rPr>
      </w:pPr>
      <w:r w:rsidRPr="00013BDC">
        <w:rPr>
          <w:rFonts w:eastAsia="Times New Roman"/>
          <w:noProof/>
          <w:color w:val="000000" w:themeColor="text1"/>
          <w:lang w:val="en-IE"/>
        </w:rPr>
        <w:t>Different actors are responsible for the separate collection:</w:t>
      </w:r>
    </w:p>
    <w:p w14:paraId="31F5FEC8" w14:textId="77777777" w:rsidR="00096212" w:rsidRPr="00013BDC" w:rsidRDefault="05774DD5" w:rsidP="00410D9F">
      <w:pPr>
        <w:pStyle w:val="ListParagraph"/>
        <w:numPr>
          <w:ilvl w:val="0"/>
          <w:numId w:val="8"/>
        </w:numPr>
        <w:spacing w:after="120"/>
        <w:rPr>
          <w:rFonts w:eastAsia="Times New Roman"/>
          <w:noProof/>
          <w:color w:val="000000" w:themeColor="text1"/>
          <w:lang w:val="en-IE"/>
        </w:rPr>
      </w:pPr>
      <w:r w:rsidRPr="00013BDC">
        <w:rPr>
          <w:rFonts w:eastAsia="Times New Roman"/>
          <w:b/>
          <w:noProof/>
          <w:color w:val="000000" w:themeColor="text1"/>
          <w:lang w:val="en-IE"/>
        </w:rPr>
        <w:t xml:space="preserve">Municipalities and public or privately owned waste </w:t>
      </w:r>
      <w:r w:rsidR="0100FDEC" w:rsidRPr="00013BDC">
        <w:rPr>
          <w:rFonts w:eastAsia="Times New Roman"/>
          <w:b/>
          <w:noProof/>
          <w:color w:val="000000" w:themeColor="text1"/>
          <w:lang w:val="en-IE"/>
        </w:rPr>
        <w:t xml:space="preserve">management </w:t>
      </w:r>
      <w:r w:rsidRPr="00013BDC">
        <w:rPr>
          <w:rFonts w:eastAsia="Times New Roman"/>
          <w:b/>
          <w:noProof/>
          <w:color w:val="000000" w:themeColor="text1"/>
          <w:lang w:val="en-IE"/>
        </w:rPr>
        <w:t>companies</w:t>
      </w:r>
      <w:r w:rsidRPr="00013BDC">
        <w:rPr>
          <w:rFonts w:eastAsia="Times New Roman"/>
          <w:noProof/>
          <w:color w:val="000000" w:themeColor="text1"/>
          <w:lang w:val="en-IE"/>
        </w:rPr>
        <w:t xml:space="preserve"> began to collect textile waste separately in recent years. </w:t>
      </w:r>
    </w:p>
    <w:p w14:paraId="453C1B6B" w14:textId="77777777" w:rsidR="00096212" w:rsidRPr="00013BDC" w:rsidRDefault="2C7EF387" w:rsidP="00410D9F">
      <w:pPr>
        <w:pStyle w:val="ListParagraph"/>
        <w:numPr>
          <w:ilvl w:val="0"/>
          <w:numId w:val="8"/>
        </w:numPr>
        <w:spacing w:after="120"/>
        <w:rPr>
          <w:rFonts w:eastAsia="Times New Roman"/>
          <w:noProof/>
          <w:color w:val="000000" w:themeColor="text1"/>
          <w:lang w:val="en-IE"/>
        </w:rPr>
      </w:pPr>
      <w:r w:rsidRPr="00013BDC">
        <w:rPr>
          <w:rFonts w:eastAsia="Times New Roman"/>
          <w:b/>
          <w:noProof/>
          <w:color w:val="000000" w:themeColor="text1"/>
          <w:lang w:val="en-IE"/>
        </w:rPr>
        <w:t>Charities</w:t>
      </w:r>
      <w:r w:rsidRPr="00013BDC">
        <w:rPr>
          <w:rFonts w:eastAsia="Times New Roman"/>
          <w:noProof/>
          <w:color w:val="000000" w:themeColor="text1"/>
          <w:lang w:val="en-IE"/>
        </w:rPr>
        <w:t xml:space="preserve"> have carried out used textile collection for decades, </w:t>
      </w:r>
      <w:r w:rsidR="780121D7" w:rsidRPr="00013BDC">
        <w:rPr>
          <w:rFonts w:eastAsia="Times New Roman"/>
          <w:noProof/>
          <w:color w:val="000000" w:themeColor="text1"/>
          <w:lang w:val="en-IE"/>
        </w:rPr>
        <w:t xml:space="preserve">typically </w:t>
      </w:r>
      <w:r w:rsidRPr="00013BDC">
        <w:rPr>
          <w:rFonts w:eastAsia="Times New Roman"/>
          <w:noProof/>
          <w:color w:val="000000" w:themeColor="text1"/>
          <w:lang w:val="en-IE"/>
        </w:rPr>
        <w:t xml:space="preserve">sorting and selling them. </w:t>
      </w:r>
      <w:r w:rsidR="5592153A" w:rsidRPr="00013BDC">
        <w:rPr>
          <w:rFonts w:eastAsia="Times New Roman"/>
          <w:noProof/>
          <w:color w:val="000000" w:themeColor="text1"/>
          <w:lang w:val="en-IE"/>
        </w:rPr>
        <w:t xml:space="preserve">Any </w:t>
      </w:r>
      <w:r w:rsidRPr="00013BDC">
        <w:rPr>
          <w:rFonts w:eastAsia="Times New Roman"/>
          <w:noProof/>
          <w:color w:val="000000" w:themeColor="text1"/>
          <w:lang w:val="en-IE"/>
        </w:rPr>
        <w:t xml:space="preserve">surplus that the operations of charities </w:t>
      </w:r>
      <w:r w:rsidR="7D3A877E" w:rsidRPr="00013BDC">
        <w:rPr>
          <w:rFonts w:eastAsia="Times New Roman"/>
          <w:noProof/>
          <w:color w:val="000000" w:themeColor="text1"/>
          <w:lang w:val="en-IE"/>
        </w:rPr>
        <w:t>generate</w:t>
      </w:r>
      <w:r w:rsidR="01E1BD87" w:rsidRPr="00013BDC">
        <w:rPr>
          <w:rFonts w:eastAsia="Times New Roman"/>
          <w:noProof/>
          <w:color w:val="000000" w:themeColor="text1"/>
          <w:lang w:val="en-IE"/>
        </w:rPr>
        <w:t>,</w:t>
      </w:r>
      <w:r w:rsidRPr="00013BDC">
        <w:rPr>
          <w:rFonts w:eastAsia="Times New Roman"/>
          <w:noProof/>
          <w:color w:val="000000" w:themeColor="text1"/>
          <w:lang w:val="en-IE"/>
        </w:rPr>
        <w:t xml:space="preserve"> often goes to </w:t>
      </w:r>
      <w:r w:rsidR="0C94DFB7" w:rsidRPr="00013BDC">
        <w:rPr>
          <w:rFonts w:eastAsia="Times New Roman"/>
          <w:noProof/>
          <w:color w:val="000000" w:themeColor="text1"/>
          <w:lang w:val="en-IE"/>
        </w:rPr>
        <w:t>a specific</w:t>
      </w:r>
      <w:r w:rsidRPr="00013BDC">
        <w:rPr>
          <w:rFonts w:eastAsia="Times New Roman"/>
          <w:noProof/>
          <w:color w:val="000000" w:themeColor="text1"/>
          <w:lang w:val="en-IE"/>
        </w:rPr>
        <w:t xml:space="preserve"> non-profit-making purposes, in EU or abroad. </w:t>
      </w:r>
    </w:p>
    <w:p w14:paraId="2DF4ACC4" w14:textId="77777777" w:rsidR="00096212" w:rsidRPr="00013BDC" w:rsidRDefault="7100FA5F" w:rsidP="00410D9F">
      <w:pPr>
        <w:pStyle w:val="ListParagraph"/>
        <w:numPr>
          <w:ilvl w:val="0"/>
          <w:numId w:val="8"/>
        </w:numPr>
        <w:spacing w:after="120"/>
        <w:rPr>
          <w:rFonts w:eastAsia="Times New Roman"/>
          <w:noProof/>
          <w:color w:val="000000" w:themeColor="text1"/>
          <w:lang w:val="en-IE"/>
        </w:rPr>
      </w:pPr>
      <w:r w:rsidRPr="00013BDC">
        <w:rPr>
          <w:rFonts w:eastAsia="Times New Roman"/>
          <w:b/>
          <w:noProof/>
          <w:color w:val="000000" w:themeColor="text1"/>
          <w:lang w:val="en-IE"/>
        </w:rPr>
        <w:t>Commercial collectors</w:t>
      </w:r>
      <w:r w:rsidRPr="00013BDC">
        <w:rPr>
          <w:rFonts w:eastAsia="Times New Roman"/>
          <w:noProof/>
          <w:color w:val="000000" w:themeColor="text1"/>
          <w:lang w:val="en-IE"/>
        </w:rPr>
        <w:t xml:space="preserve"> (</w:t>
      </w:r>
      <w:r w:rsidR="6750CA52" w:rsidRPr="00013BDC">
        <w:rPr>
          <w:rFonts w:eastAsia="Times New Roman"/>
          <w:noProof/>
          <w:color w:val="000000" w:themeColor="text1"/>
          <w:lang w:val="en-IE"/>
        </w:rPr>
        <w:t>soci</w:t>
      </w:r>
      <w:r w:rsidR="10A442E8" w:rsidRPr="00013BDC">
        <w:rPr>
          <w:rFonts w:eastAsia="Times New Roman"/>
          <w:noProof/>
          <w:color w:val="000000" w:themeColor="text1"/>
          <w:lang w:val="en-IE"/>
        </w:rPr>
        <w:t>al</w:t>
      </w:r>
      <w:r w:rsidRPr="00013BDC">
        <w:rPr>
          <w:rFonts w:eastAsia="Times New Roman"/>
          <w:noProof/>
          <w:color w:val="000000" w:themeColor="text1"/>
          <w:lang w:val="en-IE"/>
        </w:rPr>
        <w:t xml:space="preserve"> </w:t>
      </w:r>
      <w:r w:rsidR="00D96247" w:rsidRPr="00013BDC">
        <w:rPr>
          <w:rFonts w:eastAsia="Times New Roman"/>
          <w:noProof/>
          <w:color w:val="000000" w:themeColor="text1"/>
          <w:lang w:val="en-IE"/>
        </w:rPr>
        <w:t>reuse</w:t>
      </w:r>
      <w:r w:rsidRPr="00013BDC">
        <w:rPr>
          <w:rFonts w:eastAsia="Times New Roman"/>
          <w:noProof/>
          <w:color w:val="000000" w:themeColor="text1"/>
          <w:lang w:val="en-IE"/>
        </w:rPr>
        <w:t xml:space="preserve"> organisations, second-hand shops and retailers, etc</w:t>
      </w:r>
      <w:r w:rsidR="6750CA52" w:rsidRPr="00013BDC">
        <w:rPr>
          <w:rFonts w:eastAsia="Times New Roman"/>
          <w:noProof/>
          <w:color w:val="000000" w:themeColor="text1"/>
          <w:lang w:val="en-IE"/>
        </w:rPr>
        <w:t>.)</w:t>
      </w:r>
      <w:r w:rsidR="7D4BB342" w:rsidRPr="00013BDC">
        <w:rPr>
          <w:rFonts w:eastAsia="Times New Roman"/>
          <w:noProof/>
          <w:color w:val="000000" w:themeColor="text1"/>
          <w:lang w:val="en-IE"/>
        </w:rPr>
        <w:t xml:space="preserve"> can</w:t>
      </w:r>
      <w:r w:rsidRPr="00013BDC">
        <w:rPr>
          <w:rFonts w:eastAsia="Times New Roman"/>
          <w:noProof/>
          <w:color w:val="000000" w:themeColor="text1"/>
          <w:lang w:val="en-IE"/>
        </w:rPr>
        <w:t xml:space="preserve"> collect used textile with the economic objective of reselling them</w:t>
      </w:r>
      <w:r w:rsidR="3E19AFF6" w:rsidRPr="00013BDC">
        <w:rPr>
          <w:rFonts w:eastAsia="Times New Roman"/>
          <w:noProof/>
          <w:color w:val="000000" w:themeColor="text1"/>
          <w:lang w:val="en-IE"/>
        </w:rPr>
        <w:t>. In the case of social enterprises, the surplus that the operations of charities generate goes to non-profit-making purposes like social integration or training.</w:t>
      </w:r>
    </w:p>
    <w:p w14:paraId="1E94AD54" w14:textId="77777777" w:rsidR="00096212" w:rsidRPr="00013BDC" w:rsidRDefault="7100FA5F"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 xml:space="preserve">Clothing brands or retailers: </w:t>
      </w:r>
      <w:r w:rsidRPr="00013BDC">
        <w:rPr>
          <w:rFonts w:eastAsia="Times New Roman"/>
          <w:noProof/>
          <w:color w:val="000000" w:themeColor="text1"/>
          <w:lang w:val="en-IE"/>
        </w:rPr>
        <w:t>can ask their customers to bring back, by mail or directly to shops their unwanted textiles (especially clothes) in return for a discount.</w:t>
      </w:r>
    </w:p>
    <w:p w14:paraId="48CA25FD" w14:textId="77777777" w:rsidR="003C40A3" w:rsidRPr="00013BDC" w:rsidRDefault="488CCA1D" w:rsidP="00B84739">
      <w:pPr>
        <w:spacing w:after="120"/>
        <w:rPr>
          <w:rFonts w:eastAsia="Times New Roman"/>
          <w:noProof/>
          <w:color w:val="000000" w:themeColor="text1"/>
          <w:lang w:val="en-IE"/>
        </w:rPr>
      </w:pPr>
      <w:r w:rsidRPr="00013BDC">
        <w:rPr>
          <w:rFonts w:eastAsia="Times New Roman"/>
          <w:noProof/>
          <w:color w:val="000000" w:themeColor="text1"/>
          <w:lang w:val="en-IE"/>
        </w:rPr>
        <w:t xml:space="preserve">Data on the breakdown of textiles collected by actor is limited within the EU. </w:t>
      </w:r>
      <w:r w:rsidR="35D7ED60" w:rsidRPr="00013BDC">
        <w:rPr>
          <w:rFonts w:eastAsia="Times New Roman"/>
          <w:noProof/>
          <w:color w:val="000000" w:themeColor="text1"/>
          <w:lang w:val="en-IE"/>
        </w:rPr>
        <w:t xml:space="preserve">In all countries with mapping studies, the major share of used textile collection is currently carried out by charitable and commercial collectors. </w:t>
      </w:r>
      <w:r w:rsidRPr="00013BDC">
        <w:rPr>
          <w:rFonts w:eastAsia="Times New Roman"/>
          <w:noProof/>
          <w:color w:val="000000" w:themeColor="text1"/>
          <w:lang w:val="en-IE"/>
        </w:rPr>
        <w:t>In Denmark, Finland, Latvia and Sweden, the collection is dominated by charitable organisations. In Lithuania, commercial collectors are responsible for 54 % of collection</w:t>
      </w:r>
      <w:r w:rsidR="22C80E50" w:rsidRPr="00013BDC">
        <w:rPr>
          <w:rFonts w:eastAsia="Times New Roman"/>
          <w:noProof/>
          <w:color w:val="000000" w:themeColor="text1"/>
          <w:lang w:val="en-IE"/>
        </w:rPr>
        <w:t>.</w:t>
      </w:r>
      <w:r w:rsidR="00AB51DE" w:rsidRPr="00013BDC">
        <w:rPr>
          <w:rStyle w:val="FootnoteReference"/>
          <w:rFonts w:eastAsia="Times New Roman"/>
          <w:noProof/>
          <w:color w:val="000000" w:themeColor="text1"/>
          <w:lang w:val="en-IE"/>
        </w:rPr>
        <w:footnoteReference w:id="179"/>
      </w:r>
      <w:r w:rsidRPr="00013BDC">
        <w:rPr>
          <w:rFonts w:eastAsia="Times New Roman"/>
          <w:noProof/>
          <w:color w:val="000000" w:themeColor="text1"/>
          <w:lang w:val="en-IE"/>
        </w:rPr>
        <w:t xml:space="preserve"> In France, Germany and the Netherlands, commercial collectors also have a reportedly high share of the market, though there are no concrete figures on how big this share is</w:t>
      </w:r>
      <w:r w:rsidR="20474BA8" w:rsidRPr="00013BDC">
        <w:rPr>
          <w:rFonts w:eastAsia="Times New Roman"/>
          <w:noProof/>
          <w:color w:val="000000" w:themeColor="text1"/>
          <w:lang w:val="en-IE"/>
        </w:rPr>
        <w:t>.</w:t>
      </w:r>
      <w:r w:rsidR="00AB51DE" w:rsidRPr="00013BDC">
        <w:rPr>
          <w:rStyle w:val="FootnoteReference"/>
          <w:rFonts w:eastAsia="Times New Roman"/>
          <w:noProof/>
          <w:color w:val="000000" w:themeColor="text1"/>
          <w:lang w:val="en-IE"/>
        </w:rPr>
        <w:footnoteReference w:id="180"/>
      </w:r>
      <w:r w:rsidR="3F278B8D" w:rsidRPr="00013BDC">
        <w:rPr>
          <w:rFonts w:eastAsia="Times New Roman"/>
          <w:noProof/>
          <w:color w:val="000000" w:themeColor="text1"/>
          <w:lang w:val="en-IE"/>
        </w:rPr>
        <w:t xml:space="preserve"> </w:t>
      </w:r>
      <w:r w:rsidRPr="00013BDC">
        <w:rPr>
          <w:rFonts w:eastAsia="Times New Roman"/>
          <w:noProof/>
          <w:color w:val="000000" w:themeColor="text1"/>
          <w:lang w:val="en-IE"/>
        </w:rPr>
        <w:t>Municipal waste companies play an increasing role in used textile collection in many countries. In Estonia, due to legal obligations, municipalities carry out 37 % of all collection, and in Lithuania they have a 30 % share</w:t>
      </w:r>
      <w:r w:rsidR="22C80E50" w:rsidRPr="00013BDC">
        <w:rPr>
          <w:rFonts w:eastAsia="Times New Roman"/>
          <w:noProof/>
          <w:color w:val="000000" w:themeColor="text1"/>
          <w:lang w:val="en-IE"/>
        </w:rPr>
        <w:t>.</w:t>
      </w:r>
      <w:r w:rsidR="00AB51DE" w:rsidRPr="00013BDC">
        <w:rPr>
          <w:rStyle w:val="FootnoteReference"/>
          <w:rFonts w:eastAsia="Times New Roman"/>
          <w:noProof/>
          <w:color w:val="000000" w:themeColor="text1"/>
          <w:lang w:val="en-IE"/>
        </w:rPr>
        <w:footnoteReference w:id="181"/>
      </w:r>
      <w:r w:rsidR="3F278B8D" w:rsidRPr="00013BDC">
        <w:rPr>
          <w:rFonts w:eastAsia="Times New Roman"/>
          <w:noProof/>
          <w:color w:val="000000" w:themeColor="text1"/>
          <w:lang w:val="en-IE"/>
        </w:rPr>
        <w:t xml:space="preserve"> </w:t>
      </w:r>
      <w:r w:rsidRPr="00013BDC">
        <w:rPr>
          <w:rFonts w:eastAsia="Times New Roman"/>
          <w:noProof/>
          <w:color w:val="000000" w:themeColor="text1"/>
          <w:lang w:val="en-IE"/>
        </w:rPr>
        <w:t>Collection by municipal waste companies in Denmark, Netherlands and Sweden are thought to be lower. In Denmark for example municipalities had a share of 5 % in all collection in 2017, bu</w:t>
      </w:r>
      <w:r w:rsidR="01C8B444" w:rsidRPr="00013BDC">
        <w:rPr>
          <w:rFonts w:eastAsia="Times New Roman"/>
          <w:noProof/>
          <w:color w:val="000000" w:themeColor="text1"/>
          <w:lang w:val="en-IE"/>
        </w:rPr>
        <w:t>t this is increasing over time</w:t>
      </w:r>
      <w:r w:rsidR="13C29DBC" w:rsidRPr="00013BDC">
        <w:rPr>
          <w:rFonts w:eastAsia="Times New Roman"/>
          <w:noProof/>
          <w:color w:val="000000" w:themeColor="text1"/>
          <w:lang w:val="en-IE"/>
        </w:rPr>
        <w:t>.</w:t>
      </w:r>
      <w:r w:rsidR="00AB51DE" w:rsidRPr="00013BDC">
        <w:rPr>
          <w:rStyle w:val="FootnoteReference"/>
          <w:rFonts w:eastAsia="Times New Roman"/>
          <w:noProof/>
          <w:color w:val="000000" w:themeColor="text1"/>
          <w:lang w:val="en-IE"/>
        </w:rPr>
        <w:footnoteReference w:id="182"/>
      </w:r>
      <w:r w:rsidR="54D50852" w:rsidRPr="00013BDC">
        <w:rPr>
          <w:rFonts w:eastAsia="Times New Roman"/>
          <w:noProof/>
          <w:color w:val="000000" w:themeColor="text1"/>
          <w:lang w:val="en-IE"/>
        </w:rPr>
        <w:t xml:space="preserve"> </w:t>
      </w:r>
    </w:p>
    <w:p w14:paraId="060E7422" w14:textId="77777777" w:rsidR="00CB64AD" w:rsidRPr="00013BDC" w:rsidRDefault="00CB64AD" w:rsidP="00CB64AD">
      <w:pPr>
        <w:spacing w:after="120"/>
        <w:rPr>
          <w:rFonts w:eastAsia="Times New Roman"/>
          <w:noProof/>
          <w:color w:val="000000" w:themeColor="text1"/>
          <w:shd w:val="clear" w:color="auto" w:fill="E6E6E6"/>
          <w:lang w:val="en-IE"/>
        </w:rPr>
      </w:pPr>
      <w:r w:rsidRPr="00013BDC">
        <w:rPr>
          <w:rFonts w:eastAsia="Times New Roman"/>
          <w:noProof/>
          <w:color w:val="000000" w:themeColor="text1"/>
          <w:lang w:val="en-IE"/>
        </w:rPr>
        <w:t>Separate collection schemes of clothing and household textiles have existed for many years for reusable used textiles with charities initially running second-hand shops to provide the poor with affordable clothes (for example, the salvation army in the 19</w:t>
      </w:r>
      <w:r w:rsidRPr="00013BDC">
        <w:rPr>
          <w:rFonts w:eastAsia="Times New Roman"/>
          <w:noProof/>
          <w:color w:val="000000" w:themeColor="text1"/>
          <w:vertAlign w:val="superscript"/>
          <w:lang w:val="en-IE"/>
        </w:rPr>
        <w:t>th</w:t>
      </w:r>
      <w:r w:rsidRPr="00013BDC">
        <w:rPr>
          <w:rFonts w:eastAsia="Times New Roman"/>
          <w:noProof/>
          <w:color w:val="000000" w:themeColor="text1"/>
          <w:lang w:val="en-IE"/>
        </w:rPr>
        <w:t xml:space="preserve"> century</w:t>
      </w:r>
      <w:r w:rsidRPr="00013BDC">
        <w:rPr>
          <w:rStyle w:val="FootnoteReference"/>
          <w:rFonts w:eastAsia="Times New Roman"/>
          <w:noProof/>
          <w:color w:val="000000" w:themeColor="text1"/>
          <w:lang w:val="en-IE"/>
        </w:rPr>
        <w:footnoteReference w:id="183"/>
      </w:r>
      <w:r w:rsidRPr="00013BDC">
        <w:rPr>
          <w:rFonts w:eastAsia="Times New Roman"/>
          <w:noProof/>
          <w:color w:val="000000" w:themeColor="text1"/>
          <w:lang w:val="en-IE"/>
        </w:rPr>
        <w:t>). While the end-of-life management of textile waste is not currently addressed by specific EU legislation, a small number Member States have established their own national regulations with regards to the management of used and waste textiles, placing physical and financial responsibility on manufacturers and distributors to collect and process textile waste and reduce the share of textile waste sent to incineration or landfill. The regulation of charitable organisations is not of the same nature – it does not oblige charities to collected textiles but rather takes the form of registration of charities to enable them to operate within a particular territory. There is a wide variety of practices in the EU depending on the existence (or not) of an EPR scheme, on legal requirements for separate collection of textile waste or on its voluntary practice.</w:t>
      </w:r>
      <w:r w:rsidRPr="00013BDC">
        <w:rPr>
          <w:rFonts w:eastAsia="Times New Roman"/>
          <w:noProof/>
          <w:color w:val="000000" w:themeColor="text1"/>
          <w:shd w:val="clear" w:color="auto" w:fill="E6E6E6"/>
          <w:lang w:val="en-IE"/>
        </w:rPr>
        <w:t xml:space="preserve"> </w:t>
      </w:r>
    </w:p>
    <w:p w14:paraId="7389FE6F" w14:textId="77777777" w:rsidR="00CB64AD" w:rsidRPr="00013BDC" w:rsidRDefault="00CB64AD" w:rsidP="00CB64AD">
      <w:pPr>
        <w:spacing w:after="120"/>
        <w:rPr>
          <w:rFonts w:eastAsia="Times New Roman"/>
          <w:noProof/>
          <w:color w:val="000000" w:themeColor="text1"/>
          <w:shd w:val="clear" w:color="auto" w:fill="E6E6E6"/>
          <w:lang w:val="en-IE"/>
        </w:rPr>
      </w:pPr>
    </w:p>
    <w:p w14:paraId="79E0D099" w14:textId="44E7A2FD" w:rsidR="2F54AAE2" w:rsidRPr="00013BDC" w:rsidRDefault="00215A5B" w:rsidP="00F55FEE">
      <w:pPr>
        <w:pStyle w:val="WDBody"/>
        <w:spacing w:after="120" w:line="240" w:lineRule="auto"/>
        <w:rPr>
          <w:b/>
          <w:noProof/>
          <w:u w:val="single"/>
          <w:lang w:val="en-IE"/>
        </w:rPr>
      </w:pPr>
      <w:r w:rsidRPr="00013BDC">
        <w:rPr>
          <w:rFonts w:ascii="Times New Roman" w:hAnsi="Times New Roman"/>
          <w:b/>
          <w:noProof/>
          <w:sz w:val="24"/>
          <w:u w:val="single"/>
          <w:lang w:val="en-IE"/>
        </w:rPr>
        <w:t>Sorting</w:t>
      </w:r>
      <w:r w:rsidR="0B131B26" w:rsidRPr="00013BDC">
        <w:rPr>
          <w:rFonts w:ascii="Times New Roman" w:hAnsi="Times New Roman"/>
          <w:b/>
          <w:noProof/>
          <w:sz w:val="24"/>
          <w:u w:val="single"/>
          <w:lang w:val="en-IE"/>
        </w:rPr>
        <w:t xml:space="preserve"> of separately collected waste in the EU</w:t>
      </w:r>
    </w:p>
    <w:p w14:paraId="4DED133A" w14:textId="74A98469" w:rsidR="00411762" w:rsidRPr="00013BDC" w:rsidRDefault="00411762" w:rsidP="00D57DD7">
      <w:pPr>
        <w:pStyle w:val="WDBody"/>
        <w:spacing w:after="240" w:line="240" w:lineRule="auto"/>
        <w:jc w:val="both"/>
        <w:rPr>
          <w:rFonts w:ascii="Times New Roman" w:eastAsia="Times New Roman" w:hAnsi="Times New Roman" w:cs="Times New Roman"/>
          <w:noProof/>
          <w:color w:val="000000" w:themeColor="text1"/>
          <w:sz w:val="24"/>
          <w:szCs w:val="24"/>
          <w:shd w:val="clear" w:color="auto" w:fill="E6E6E6"/>
          <w:lang w:val="en-IE"/>
        </w:rPr>
      </w:pPr>
      <w:r w:rsidRPr="00013BDC">
        <w:rPr>
          <w:rFonts w:ascii="Times New Roman" w:eastAsia="Times New Roman" w:hAnsi="Times New Roman" w:cs="Times New Roman"/>
          <w:noProof/>
          <w:color w:val="000000" w:themeColor="text1"/>
          <w:sz w:val="24"/>
          <w:szCs w:val="24"/>
          <w:lang w:val="en-IE"/>
        </w:rPr>
        <w:t>Sorting is the process that immediately follows the separate collection of used textiles and textile waste.</w:t>
      </w:r>
      <w:r w:rsidRPr="00013BDC">
        <w:rPr>
          <w:rStyle w:val="FootnoteReference"/>
          <w:rFonts w:ascii="Times New Roman" w:hAnsi="Times New Roman" w:cs="Times New Roman"/>
          <w:noProof/>
          <w:color w:val="000000" w:themeColor="text1"/>
          <w:sz w:val="24"/>
          <w:szCs w:val="24"/>
          <w:lang w:val="en-IE"/>
        </w:rPr>
        <w:footnoteReference w:id="184"/>
      </w:r>
      <w:r w:rsidRPr="00013BDC">
        <w:rPr>
          <w:rFonts w:ascii="Times New Roman" w:hAnsi="Times New Roman" w:cs="Times New Roman"/>
          <w:noProof/>
          <w:color w:val="000000" w:themeColor="text1"/>
          <w:sz w:val="24"/>
          <w:szCs w:val="24"/>
          <w:lang w:val="en-IE"/>
        </w:rPr>
        <w:t xml:space="preserve"> Collected textiles are transported to sorting facilities, often crossing country borders.</w:t>
      </w:r>
      <w:r w:rsidRPr="00013BDC">
        <w:rPr>
          <w:rFonts w:ascii="Times New Roman" w:eastAsia="Times New Roman" w:hAnsi="Times New Roman" w:cs="Times New Roman"/>
          <w:noProof/>
          <w:color w:val="000000" w:themeColor="text1"/>
          <w:sz w:val="24"/>
          <w:szCs w:val="24"/>
          <w:lang w:val="en-IE"/>
        </w:rPr>
        <w:t xml:space="preserve"> </w:t>
      </w:r>
      <w:r w:rsidR="008B03D2" w:rsidRPr="00013BDC">
        <w:rPr>
          <w:rFonts w:ascii="Times New Roman" w:hAnsi="Times New Roman" w:cs="Times New Roman"/>
          <w:b/>
          <w:noProof/>
          <w:sz w:val="24"/>
          <w:szCs w:val="24"/>
          <w:lang w:val="en-IE"/>
        </w:rPr>
        <w:t xml:space="preserve">Textiles need to be sorted after collection to separate the </w:t>
      </w:r>
      <w:r w:rsidR="0014738B" w:rsidRPr="00013BDC">
        <w:rPr>
          <w:rFonts w:ascii="Times New Roman" w:hAnsi="Times New Roman" w:cs="Times New Roman"/>
          <w:b/>
          <w:noProof/>
          <w:sz w:val="24"/>
          <w:szCs w:val="24"/>
          <w:lang w:val="en-IE"/>
        </w:rPr>
        <w:t>reusable</w:t>
      </w:r>
      <w:r w:rsidR="008B03D2" w:rsidRPr="00013BDC">
        <w:rPr>
          <w:rFonts w:ascii="Times New Roman" w:hAnsi="Times New Roman" w:cs="Times New Roman"/>
          <w:b/>
          <w:noProof/>
          <w:sz w:val="24"/>
          <w:szCs w:val="24"/>
          <w:lang w:val="en-IE"/>
        </w:rPr>
        <w:t xml:space="preserve"> and the recyclable fractions</w:t>
      </w:r>
      <w:r w:rsidR="008B03D2" w:rsidRPr="00013BDC">
        <w:rPr>
          <w:rFonts w:ascii="Times New Roman" w:hAnsi="Times New Roman" w:cs="Times New Roman"/>
          <w:noProof/>
          <w:sz w:val="24"/>
          <w:szCs w:val="24"/>
          <w:lang w:val="en-IE"/>
        </w:rPr>
        <w:t>.</w:t>
      </w:r>
    </w:p>
    <w:p w14:paraId="775A2F37" w14:textId="0056222D" w:rsidR="006F0FE9" w:rsidRPr="00013BDC" w:rsidRDefault="006F0FE9" w:rsidP="00D57DD7">
      <w:pPr>
        <w:rPr>
          <w:b/>
          <w:i/>
          <w:noProof/>
          <w:u w:val="single"/>
          <w:lang w:val="en-IE"/>
        </w:rPr>
      </w:pPr>
      <w:bookmarkStart w:id="628" w:name="_Toc133229289"/>
      <w:bookmarkStart w:id="629" w:name="_Toc139033016"/>
      <w:r w:rsidRPr="00013BDC">
        <w:rPr>
          <w:rFonts w:eastAsia="Times New Roman"/>
          <w:i/>
          <w:noProof/>
          <w:lang w:val="en-IE"/>
        </w:rPr>
        <w:t xml:space="preserve">Figure </w:t>
      </w:r>
      <w:r w:rsidR="004C5576">
        <w:rPr>
          <w:rFonts w:eastAsia="Times New Roman"/>
          <w:i/>
          <w:noProof/>
          <w:lang w:val="en-IE"/>
        </w:rPr>
        <w:t>19</w:t>
      </w:r>
      <w:r w:rsidRPr="00013BDC">
        <w:rPr>
          <w:rFonts w:eastAsia="Times New Roman"/>
          <w:i/>
          <w:noProof/>
          <w:lang w:val="en-IE"/>
        </w:rPr>
        <w:t xml:space="preserve"> – </w:t>
      </w:r>
      <w:r w:rsidR="00FD5E52" w:rsidRPr="00013BDC">
        <w:rPr>
          <w:rFonts w:eastAsia="Times New Roman"/>
          <w:i/>
          <w:noProof/>
          <w:lang w:val="en-IE"/>
        </w:rPr>
        <w:t>Textiles sorting process</w:t>
      </w:r>
      <w:bookmarkEnd w:id="628"/>
      <w:bookmarkEnd w:id="629"/>
    </w:p>
    <w:p w14:paraId="6A36CE93" w14:textId="3944A74E" w:rsidR="00C5125D" w:rsidRPr="00013BDC" w:rsidRDefault="00C5125D" w:rsidP="00C5125D">
      <w:pPr>
        <w:pStyle w:val="WDBody"/>
        <w:spacing w:line="240" w:lineRule="auto"/>
        <w:jc w:val="center"/>
        <w:rPr>
          <w:rFonts w:ascii="Times New Roman" w:eastAsia="Times New Roman" w:hAnsi="Times New Roman" w:cs="Times New Roman"/>
          <w:noProof/>
          <w:color w:val="000000" w:themeColor="text1"/>
          <w:sz w:val="24"/>
          <w:szCs w:val="24"/>
          <w:lang w:val="en-IE"/>
        </w:rPr>
      </w:pPr>
      <w:r w:rsidRPr="00013BDC">
        <w:rPr>
          <w:rFonts w:ascii="Times New Roman" w:hAnsi="Times New Roman" w:cs="Times New Roman"/>
          <w:noProof/>
          <w:color w:val="2B579A"/>
          <w:sz w:val="24"/>
          <w:szCs w:val="24"/>
          <w:shd w:val="clear" w:color="auto" w:fill="E6E6E6"/>
          <w:lang w:eastAsia="en-GB"/>
        </w:rPr>
        <w:drawing>
          <wp:inline distT="0" distB="0" distL="0" distR="0" wp14:anchorId="1F559328" wp14:editId="30FB36AE">
            <wp:extent cx="4572000" cy="2428875"/>
            <wp:effectExtent l="0" t="0" r="0" b="0"/>
            <wp:docPr id="540538019" name="Picture 54053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5323FA70" w14:textId="6E59F9D1" w:rsidR="00411762" w:rsidRPr="00013BDC" w:rsidRDefault="00411762" w:rsidP="00C5125D">
      <w:pPr>
        <w:pStyle w:val="WDBody"/>
        <w:spacing w:line="240" w:lineRule="auto"/>
        <w:jc w:val="center"/>
        <w:rPr>
          <w:rFonts w:ascii="Times New Roman" w:eastAsia="Times New Roman" w:hAnsi="Times New Roman" w:cs="Times New Roman"/>
          <w:noProof/>
          <w:color w:val="000000" w:themeColor="text1"/>
          <w:sz w:val="22"/>
          <w:lang w:val="en-IE"/>
        </w:rPr>
      </w:pPr>
      <w:r w:rsidRPr="00013BDC">
        <w:rPr>
          <w:rFonts w:ascii="Times New Roman" w:eastAsia="Times New Roman" w:hAnsi="Times New Roman" w:cs="Times New Roman"/>
          <w:noProof/>
          <w:color w:val="000000" w:themeColor="text1"/>
          <w:sz w:val="22"/>
          <w:lang w:val="en-IE"/>
        </w:rPr>
        <w:t xml:space="preserve">Source: </w:t>
      </w:r>
      <w:r w:rsidR="00007EE4" w:rsidRPr="00013BDC">
        <w:rPr>
          <w:rFonts w:ascii="Times New Roman" w:eastAsia="Times New Roman" w:hAnsi="Times New Roman" w:cs="Times New Roman"/>
          <w:noProof/>
          <w:color w:val="000000" w:themeColor="text1"/>
          <w:sz w:val="22"/>
          <w:lang w:val="en-IE"/>
        </w:rPr>
        <w:t>Refashion, 2022</w:t>
      </w:r>
      <w:r w:rsidR="00007EE4" w:rsidRPr="00013BDC">
        <w:rPr>
          <w:rStyle w:val="FootnoteReference"/>
          <w:rFonts w:ascii="Times New Roman" w:eastAsia="Times New Roman" w:hAnsi="Times New Roman" w:cs="Times New Roman"/>
          <w:noProof/>
          <w:color w:val="000000" w:themeColor="text1"/>
          <w:sz w:val="22"/>
          <w:lang w:val="en-IE"/>
        </w:rPr>
        <w:footnoteReference w:id="185"/>
      </w:r>
    </w:p>
    <w:p w14:paraId="71418067" w14:textId="4E1C0912" w:rsidR="00424A61" w:rsidRPr="00013BDC" w:rsidRDefault="4F36D39E" w:rsidP="00EF5034">
      <w:pPr>
        <w:spacing w:after="120" w:line="240" w:lineRule="atLeast"/>
        <w:rPr>
          <w:noProof/>
          <w:color w:val="000000" w:themeColor="text1"/>
          <w:lang w:val="en-IE"/>
        </w:rPr>
      </w:pPr>
      <w:r w:rsidRPr="00013BDC">
        <w:rPr>
          <w:rFonts w:eastAsia="Times New Roman"/>
          <w:noProof/>
          <w:lang w:val="en-IE"/>
        </w:rPr>
        <w:t xml:space="preserve">The </w:t>
      </w:r>
      <w:r w:rsidR="0014738B" w:rsidRPr="00013BDC">
        <w:rPr>
          <w:rFonts w:eastAsia="Times New Roman"/>
          <w:noProof/>
          <w:lang w:val="en-IE"/>
        </w:rPr>
        <w:t>reusable</w:t>
      </w:r>
      <w:r w:rsidRPr="00013BDC">
        <w:rPr>
          <w:rFonts w:eastAsia="Times New Roman"/>
          <w:noProof/>
          <w:lang w:val="en-IE"/>
        </w:rPr>
        <w:t xml:space="preserve"> </w:t>
      </w:r>
      <w:r w:rsidR="2AC1F266" w:rsidRPr="00013BDC">
        <w:rPr>
          <w:rFonts w:eastAsia="Times New Roman"/>
          <w:noProof/>
          <w:lang w:val="en-IE"/>
        </w:rPr>
        <w:t xml:space="preserve">part is sorted into suitable for the EU market versus for the global market. </w:t>
      </w:r>
      <w:r w:rsidRPr="00013BDC">
        <w:rPr>
          <w:rFonts w:eastAsia="Times New Roman"/>
          <w:noProof/>
          <w:lang w:val="en-IE"/>
        </w:rPr>
        <w:t xml:space="preserve">In addition, the recyclable fractions need to be separated in terms of composition </w:t>
      </w:r>
      <w:r w:rsidR="2AC1F266" w:rsidRPr="00013BDC">
        <w:rPr>
          <w:rFonts w:eastAsia="Times New Roman"/>
          <w:noProof/>
          <w:lang w:val="en-IE"/>
        </w:rPr>
        <w:t xml:space="preserve">for different types of recycling </w:t>
      </w:r>
      <w:r w:rsidRPr="00013BDC">
        <w:rPr>
          <w:rFonts w:eastAsia="Times New Roman"/>
          <w:noProof/>
          <w:lang w:val="en-IE"/>
        </w:rPr>
        <w:t xml:space="preserve">and non-textile pieces such as zippers, need to be removed according to the relevant input requirements of the specific recycling technology to be used. </w:t>
      </w:r>
      <w:r w:rsidR="39CB2C65" w:rsidRPr="00013BDC">
        <w:rPr>
          <w:rFonts w:eastAsia="Times New Roman"/>
          <w:noProof/>
          <w:lang w:val="en-IE"/>
        </w:rPr>
        <w:t>The sorting facilities are typically owned by social enterprises of private companies and the sorted textiles are sold in bales</w:t>
      </w:r>
      <w:r w:rsidR="5B3795AE" w:rsidRPr="00013BDC">
        <w:rPr>
          <w:rFonts w:eastAsia="Times New Roman"/>
          <w:noProof/>
          <w:lang w:val="en-IE"/>
        </w:rPr>
        <w:t>.</w:t>
      </w:r>
      <w:r w:rsidR="76E3EC90" w:rsidRPr="00013BDC">
        <w:rPr>
          <w:rFonts w:eastAsia="Times New Roman"/>
          <w:noProof/>
          <w:lang w:val="en-IE"/>
        </w:rPr>
        <w:t xml:space="preserve"> </w:t>
      </w:r>
      <w:r w:rsidR="1B47236A" w:rsidRPr="00013BDC">
        <w:rPr>
          <w:rFonts w:eastAsia="Times New Roman"/>
          <w:noProof/>
          <w:lang w:val="en-IE"/>
        </w:rPr>
        <w:t>D</w:t>
      </w:r>
      <w:r w:rsidR="1B47236A" w:rsidRPr="00013BDC">
        <w:rPr>
          <w:noProof/>
          <w:color w:val="000000" w:themeColor="text1"/>
          <w:lang w:val="en-IE"/>
        </w:rPr>
        <w:t xml:space="preserve">ata on exactly what is being sorted and the volumes that are sorted, is not available across the EU, which is partially </w:t>
      </w:r>
      <w:r w:rsidR="1B47236A" w:rsidRPr="00013BDC">
        <w:rPr>
          <w:noProof/>
          <w:lang w:val="en-IE"/>
        </w:rPr>
        <w:t>due to the fragmented nature of the</w:t>
      </w:r>
      <w:r w:rsidR="1B47236A" w:rsidRPr="00013BDC">
        <w:rPr>
          <w:noProof/>
          <w:color w:val="000000" w:themeColor="text1"/>
          <w:lang w:val="en-IE"/>
        </w:rPr>
        <w:t xml:space="preserve"> textile sorting market in the EU. McKinsey reports in fact that around 40 to 50 percent of textile sorting is done by small companies who process less than 25</w:t>
      </w:r>
      <w:r w:rsidR="002261AC" w:rsidRPr="00013BDC">
        <w:rPr>
          <w:noProof/>
          <w:color w:val="000000" w:themeColor="text1"/>
          <w:lang w:val="en-IE"/>
        </w:rPr>
        <w:t xml:space="preserve"> </w:t>
      </w:r>
      <w:r w:rsidR="1B47236A" w:rsidRPr="00013BDC">
        <w:rPr>
          <w:noProof/>
          <w:color w:val="000000" w:themeColor="text1"/>
          <w:lang w:val="en-IE"/>
        </w:rPr>
        <w:t>000 ton</w:t>
      </w:r>
      <w:r w:rsidR="00187186" w:rsidRPr="00013BDC">
        <w:rPr>
          <w:noProof/>
          <w:color w:val="000000" w:themeColor="text1"/>
          <w:lang w:val="en-IE"/>
        </w:rPr>
        <w:t>ne</w:t>
      </w:r>
      <w:r w:rsidR="1B47236A" w:rsidRPr="00013BDC">
        <w:rPr>
          <w:noProof/>
          <w:color w:val="000000" w:themeColor="text1"/>
          <w:lang w:val="en-IE"/>
        </w:rPr>
        <w:t>s annually</w:t>
      </w:r>
      <w:r w:rsidRPr="00013BDC">
        <w:rPr>
          <w:rStyle w:val="FootnoteReference"/>
          <w:noProof/>
          <w:color w:val="000000" w:themeColor="text1"/>
          <w:lang w:val="en-IE"/>
        </w:rPr>
        <w:footnoteReference w:id="186"/>
      </w:r>
      <w:r w:rsidR="1B47236A" w:rsidRPr="00013BDC">
        <w:rPr>
          <w:noProof/>
          <w:color w:val="000000" w:themeColor="text1"/>
          <w:lang w:val="en-IE"/>
        </w:rPr>
        <w:t>.</w:t>
      </w:r>
      <w:r w:rsidR="004B3BDC" w:rsidRPr="00013BDC">
        <w:rPr>
          <w:noProof/>
          <w:color w:val="000000" w:themeColor="text1"/>
          <w:lang w:val="en-IE"/>
        </w:rPr>
        <w:t xml:space="preserve">There is significant uncertainty in relation to the sorting capacity of separately collected textiles within the EU – even more so than in relation to collection rates. </w:t>
      </w:r>
      <w:r w:rsidR="53E486DE" w:rsidRPr="00013BDC">
        <w:rPr>
          <w:noProof/>
          <w:color w:val="000000" w:themeColor="text1"/>
          <w:lang w:val="en-IE"/>
        </w:rPr>
        <w:t xml:space="preserve">Estimates </w:t>
      </w:r>
      <w:r w:rsidR="67716F5D" w:rsidRPr="00013BDC">
        <w:rPr>
          <w:noProof/>
          <w:color w:val="000000" w:themeColor="text1"/>
          <w:lang w:val="en-IE"/>
        </w:rPr>
        <w:t xml:space="preserve">based on reported data by Member States and </w:t>
      </w:r>
      <w:r w:rsidR="00D57DD7" w:rsidRPr="00013BDC">
        <w:rPr>
          <w:noProof/>
          <w:color w:val="000000" w:themeColor="text1"/>
          <w:lang w:val="en-IE"/>
        </w:rPr>
        <w:t>the</w:t>
      </w:r>
      <w:r w:rsidR="67716F5D" w:rsidRPr="00013BDC">
        <w:rPr>
          <w:noProof/>
          <w:color w:val="000000" w:themeColor="text1"/>
          <w:lang w:val="en-IE"/>
        </w:rPr>
        <w:t xml:space="preserve"> JRC </w:t>
      </w:r>
      <w:r w:rsidR="00D57DD7" w:rsidRPr="00013BDC">
        <w:rPr>
          <w:noProof/>
          <w:color w:val="000000" w:themeColor="text1"/>
          <w:lang w:val="en-IE"/>
        </w:rPr>
        <w:t>study</w:t>
      </w:r>
      <w:r w:rsidR="00D57DD7" w:rsidRPr="00013BDC">
        <w:rPr>
          <w:rStyle w:val="FootnoteReference"/>
          <w:noProof/>
          <w:color w:val="000000" w:themeColor="text1"/>
          <w:lang w:val="en-IE"/>
        </w:rPr>
        <w:footnoteReference w:id="187"/>
      </w:r>
      <w:r w:rsidR="67716F5D" w:rsidRPr="00013BDC">
        <w:rPr>
          <w:noProof/>
          <w:color w:val="000000" w:themeColor="text1"/>
          <w:lang w:val="en-IE"/>
        </w:rPr>
        <w:t xml:space="preserve"> point to </w:t>
      </w:r>
      <w:r w:rsidR="67716F5D" w:rsidRPr="00013BDC">
        <w:rPr>
          <w:b/>
          <w:noProof/>
          <w:color w:val="000000" w:themeColor="text1"/>
          <w:lang w:val="en-IE"/>
        </w:rPr>
        <w:t>a sorting capacity of about</w:t>
      </w:r>
      <w:r w:rsidR="008B2C6B" w:rsidRPr="00013BDC">
        <w:rPr>
          <w:b/>
          <w:noProof/>
          <w:color w:val="000000" w:themeColor="text1"/>
          <w:lang w:val="en-IE"/>
        </w:rPr>
        <w:t xml:space="preserve"> </w:t>
      </w:r>
      <w:r w:rsidR="001273F1" w:rsidRPr="00013BDC">
        <w:rPr>
          <w:b/>
          <w:noProof/>
          <w:color w:val="000000" w:themeColor="text1"/>
          <w:lang w:val="en-IE"/>
        </w:rPr>
        <w:t>1.8 Mt</w:t>
      </w:r>
      <w:r w:rsidR="67716F5D" w:rsidRPr="00013BDC">
        <w:rPr>
          <w:noProof/>
          <w:color w:val="000000" w:themeColor="text1"/>
          <w:lang w:val="en-IE"/>
        </w:rPr>
        <w:t>.</w:t>
      </w:r>
      <w:r w:rsidR="00007EE4" w:rsidRPr="00013BDC">
        <w:rPr>
          <w:noProof/>
          <w:color w:val="000000" w:themeColor="text1"/>
          <w:lang w:val="en-IE"/>
        </w:rPr>
        <w:t xml:space="preserve"> However, data collected directly from Member States is deemed more reliable than a value that indicates an EU sorting capacity at 100% of collected, which would not explain why textiles are being exported unsorted.</w:t>
      </w:r>
    </w:p>
    <w:p w14:paraId="6D3D98AC" w14:textId="77777777" w:rsidR="009466CE" w:rsidRPr="00013BDC" w:rsidRDefault="139B645C" w:rsidP="008B03D2">
      <w:pPr>
        <w:spacing w:after="120" w:line="240" w:lineRule="atLeast"/>
        <w:rPr>
          <w:rFonts w:eastAsia="Times New Roman"/>
          <w:noProof/>
          <w:color w:val="000000" w:themeColor="text1"/>
          <w:lang w:val="en-IE"/>
        </w:rPr>
      </w:pPr>
      <w:r w:rsidRPr="00013BDC">
        <w:rPr>
          <w:rFonts w:eastAsia="Times New Roman"/>
          <w:noProof/>
          <w:color w:val="000000" w:themeColor="text1"/>
          <w:lang w:val="en-IE"/>
        </w:rPr>
        <w:t xml:space="preserve">This implies that </w:t>
      </w:r>
      <w:r w:rsidRPr="00013BDC">
        <w:rPr>
          <w:rFonts w:eastAsia="Times New Roman"/>
          <w:b/>
          <w:noProof/>
          <w:color w:val="000000" w:themeColor="text1"/>
          <w:lang w:val="en-IE"/>
        </w:rPr>
        <w:t xml:space="preserve">a significant share of the separately collected textiles </w:t>
      </w:r>
      <w:r w:rsidR="00525213" w:rsidRPr="00013BDC">
        <w:rPr>
          <w:rFonts w:eastAsia="Times New Roman"/>
          <w:b/>
          <w:noProof/>
          <w:color w:val="000000" w:themeColor="text1"/>
          <w:lang w:val="en-IE"/>
        </w:rPr>
        <w:t xml:space="preserve">(~0.5-1.0 Mt) </w:t>
      </w:r>
      <w:r w:rsidRPr="00013BDC">
        <w:rPr>
          <w:rFonts w:eastAsia="Times New Roman"/>
          <w:b/>
          <w:noProof/>
          <w:color w:val="000000" w:themeColor="text1"/>
          <w:lang w:val="en-IE"/>
        </w:rPr>
        <w:t>is exported as unsorted textile waste</w:t>
      </w:r>
      <w:r w:rsidR="00B105CB" w:rsidRPr="00013BDC">
        <w:rPr>
          <w:rFonts w:eastAsia="Times New Roman"/>
          <w:noProof/>
          <w:color w:val="000000" w:themeColor="text1"/>
          <w:lang w:val="en-IE"/>
        </w:rPr>
        <w:t>.</w:t>
      </w:r>
      <w:r w:rsidR="6627CC65" w:rsidRPr="00013BDC">
        <w:rPr>
          <w:rFonts w:eastAsia="Times New Roman"/>
          <w:noProof/>
          <w:color w:val="000000" w:themeColor="text1"/>
          <w:lang w:val="en-IE"/>
        </w:rPr>
        <w:t xml:space="preserve"> The actual level of sorting of this material remains unknown.</w:t>
      </w:r>
      <w:r w:rsidRPr="00013BDC">
        <w:rPr>
          <w:rFonts w:eastAsia="Times New Roman"/>
          <w:noProof/>
          <w:color w:val="000000" w:themeColor="text1"/>
          <w:lang w:val="en-IE"/>
        </w:rPr>
        <w:t xml:space="preserve"> </w:t>
      </w:r>
    </w:p>
    <w:p w14:paraId="11D10C6E" w14:textId="0B161085" w:rsidR="00161E94" w:rsidRPr="00013BDC" w:rsidRDefault="139B645C" w:rsidP="008B03D2">
      <w:pPr>
        <w:spacing w:after="120" w:line="240" w:lineRule="atLeast"/>
        <w:rPr>
          <w:noProof/>
          <w:color w:val="000000" w:themeColor="text1"/>
          <w:lang w:val="en-IE"/>
        </w:rPr>
      </w:pPr>
      <w:r w:rsidRPr="00013BDC">
        <w:rPr>
          <w:rFonts w:eastAsia="Times New Roman"/>
          <w:noProof/>
          <w:color w:val="000000" w:themeColor="text1"/>
          <w:lang w:val="en-IE"/>
        </w:rPr>
        <w:t>Following sorting, the majority is</w:t>
      </w:r>
      <w:r w:rsidRPr="00013BDC">
        <w:rPr>
          <w:rFonts w:eastAsia="Times New Roman"/>
          <w:b/>
          <w:noProof/>
          <w:color w:val="000000" w:themeColor="text1"/>
          <w:lang w:val="en-IE"/>
        </w:rPr>
        <w:t xml:space="preserve"> reused in EU (</w:t>
      </w:r>
      <w:r w:rsidR="003E37ED" w:rsidRPr="00013BDC">
        <w:rPr>
          <w:rFonts w:eastAsia="Times New Roman"/>
          <w:b/>
          <w:noProof/>
          <w:color w:val="000000" w:themeColor="text1"/>
          <w:lang w:val="en-IE"/>
        </w:rPr>
        <w:t>8</w:t>
      </w:r>
      <w:r w:rsidRPr="00013BDC">
        <w:rPr>
          <w:rFonts w:eastAsia="Times New Roman"/>
          <w:b/>
          <w:noProof/>
          <w:color w:val="000000" w:themeColor="text1"/>
          <w:lang w:val="en-IE"/>
        </w:rPr>
        <w:t xml:space="preserve">%) and outside the EU </w:t>
      </w:r>
      <w:r w:rsidR="00EE08CB" w:rsidRPr="00013BDC">
        <w:rPr>
          <w:rFonts w:eastAsia="Times New Roman"/>
          <w:b/>
          <w:noProof/>
          <w:color w:val="000000" w:themeColor="text1"/>
          <w:lang w:val="en-IE"/>
        </w:rPr>
        <w:t>(</w:t>
      </w:r>
      <w:r w:rsidR="003E37ED" w:rsidRPr="00013BDC">
        <w:rPr>
          <w:rFonts w:eastAsia="Times New Roman"/>
          <w:b/>
          <w:noProof/>
          <w:color w:val="000000" w:themeColor="text1"/>
          <w:lang w:val="en-IE"/>
        </w:rPr>
        <w:t>3</w:t>
      </w:r>
      <w:r w:rsidR="00EE08CB" w:rsidRPr="00013BDC">
        <w:rPr>
          <w:rFonts w:eastAsia="Times New Roman"/>
          <w:b/>
          <w:noProof/>
          <w:color w:val="000000" w:themeColor="text1"/>
          <w:lang w:val="en-IE"/>
        </w:rPr>
        <w:t>8%)</w:t>
      </w:r>
      <w:r w:rsidRPr="00013BDC">
        <w:rPr>
          <w:rFonts w:eastAsia="Times New Roman"/>
          <w:b/>
          <w:noProof/>
          <w:color w:val="000000" w:themeColor="text1"/>
          <w:lang w:val="en-IE"/>
        </w:rPr>
        <w:t>. Of the sorted separately collected waste, 3</w:t>
      </w:r>
      <w:r w:rsidR="004B4954" w:rsidRPr="00013BDC">
        <w:rPr>
          <w:rFonts w:eastAsia="Times New Roman"/>
          <w:b/>
          <w:noProof/>
          <w:color w:val="000000" w:themeColor="text1"/>
          <w:lang w:val="en-IE"/>
        </w:rPr>
        <w:t>2</w:t>
      </w:r>
      <w:r w:rsidRPr="00013BDC">
        <w:rPr>
          <w:rFonts w:eastAsia="Times New Roman"/>
          <w:b/>
          <w:noProof/>
          <w:color w:val="000000" w:themeColor="text1"/>
          <w:lang w:val="en-IE"/>
        </w:rPr>
        <w:t xml:space="preserve">% is converted into low value products </w:t>
      </w:r>
      <w:r w:rsidRPr="00013BDC">
        <w:rPr>
          <w:rFonts w:eastAsia="Times New Roman"/>
          <w:noProof/>
          <w:color w:val="000000" w:themeColor="text1"/>
          <w:lang w:val="en-IE"/>
        </w:rPr>
        <w:t>such as wipers/cleaning cloth/insulation materials by means of mechanical recycling</w:t>
      </w:r>
      <w:r w:rsidRPr="00013BDC">
        <w:rPr>
          <w:rFonts w:eastAsia="Times New Roman"/>
          <w:b/>
          <w:noProof/>
          <w:color w:val="000000" w:themeColor="text1"/>
          <w:lang w:val="en-IE"/>
        </w:rPr>
        <w:t xml:space="preserve">; 7% is incinerated, 5% is landfilled </w:t>
      </w:r>
      <w:r w:rsidRPr="00013BDC">
        <w:rPr>
          <w:rFonts w:eastAsia="Times New Roman"/>
          <w:noProof/>
          <w:color w:val="000000" w:themeColor="text1"/>
          <w:lang w:val="en-IE"/>
        </w:rPr>
        <w:t>and only</w:t>
      </w:r>
      <w:r w:rsidRPr="00013BDC">
        <w:rPr>
          <w:rFonts w:eastAsia="Times New Roman"/>
          <w:b/>
          <w:noProof/>
          <w:color w:val="000000" w:themeColor="text1"/>
          <w:lang w:val="en-IE"/>
        </w:rPr>
        <w:t xml:space="preserve"> 2% is recycled into higher value applications </w:t>
      </w:r>
      <w:r w:rsidRPr="00013BDC">
        <w:rPr>
          <w:rFonts w:eastAsia="Times New Roman"/>
          <w:noProof/>
          <w:color w:val="000000" w:themeColor="text1"/>
          <w:lang w:val="en-IE"/>
        </w:rPr>
        <w:t>as textile fibres to make new garments.</w:t>
      </w:r>
    </w:p>
    <w:p w14:paraId="1A340A73" w14:textId="77777777" w:rsidR="006D3F37" w:rsidRPr="00013BDC" w:rsidRDefault="004B3BDC" w:rsidP="00D44B51">
      <w:pPr>
        <w:spacing w:after="120"/>
        <w:rPr>
          <w:noProof/>
          <w:color w:val="000000" w:themeColor="text1"/>
          <w:lang w:val="en-IE"/>
        </w:rPr>
      </w:pPr>
      <w:r w:rsidRPr="00013BDC">
        <w:rPr>
          <w:noProof/>
          <w:color w:val="000000" w:themeColor="text1"/>
          <w:lang w:val="en-IE"/>
        </w:rPr>
        <w:t xml:space="preserve">Within the EU national </w:t>
      </w:r>
      <w:r w:rsidRPr="00013BDC">
        <w:rPr>
          <w:b/>
          <w:noProof/>
          <w:color w:val="000000" w:themeColor="text1"/>
          <w:lang w:val="en-IE"/>
        </w:rPr>
        <w:t>sorting capacity is not solely dedicated to sorting of domestic textile</w:t>
      </w:r>
      <w:r w:rsidRPr="00013BDC">
        <w:rPr>
          <w:noProof/>
          <w:color w:val="000000" w:themeColor="text1"/>
          <w:lang w:val="en-IE"/>
        </w:rPr>
        <w:t xml:space="preserve"> waste </w:t>
      </w:r>
      <w:r w:rsidR="00CC3EC0" w:rsidRPr="00013BDC">
        <w:rPr>
          <w:noProof/>
          <w:color w:val="000000" w:themeColor="text1"/>
          <w:lang w:val="en-IE"/>
        </w:rPr>
        <w:t>–</w:t>
      </w:r>
      <w:r w:rsidRPr="00013BDC">
        <w:rPr>
          <w:noProof/>
          <w:color w:val="000000" w:themeColor="text1"/>
          <w:lang w:val="en-IE"/>
        </w:rPr>
        <w:t xml:space="preserve"> </w:t>
      </w:r>
      <w:r w:rsidRPr="00013BDC">
        <w:rPr>
          <w:b/>
          <w:noProof/>
          <w:color w:val="000000" w:themeColor="text1"/>
          <w:lang w:val="en-IE"/>
        </w:rPr>
        <w:t>some textiles are imported from other EU Member States</w:t>
      </w:r>
      <w:r w:rsidRPr="00013BDC">
        <w:rPr>
          <w:noProof/>
          <w:color w:val="000000" w:themeColor="text1"/>
          <w:lang w:val="en-IE"/>
        </w:rPr>
        <w:t xml:space="preserve"> and subsequently sorted. </w:t>
      </w:r>
    </w:p>
    <w:p w14:paraId="520DDE07" w14:textId="77777777" w:rsidR="00D9122C" w:rsidRPr="00013BDC" w:rsidRDefault="004B3BDC" w:rsidP="00D44B51">
      <w:pPr>
        <w:spacing w:after="120"/>
        <w:rPr>
          <w:noProof/>
          <w:color w:val="000000" w:themeColor="text1"/>
          <w:lang w:val="en-IE"/>
        </w:rPr>
      </w:pPr>
      <w:r w:rsidRPr="00013BDC">
        <w:rPr>
          <w:noProof/>
          <w:color w:val="000000" w:themeColor="text1"/>
          <w:lang w:val="en-IE"/>
        </w:rPr>
        <w:t xml:space="preserve">While there are also imports of textiles </w:t>
      </w:r>
      <w:r w:rsidRPr="00013BDC">
        <w:rPr>
          <w:b/>
          <w:noProof/>
          <w:color w:val="000000" w:themeColor="text1"/>
          <w:lang w:val="en-IE"/>
        </w:rPr>
        <w:t>from outside of the EU</w:t>
      </w:r>
      <w:r w:rsidRPr="00013BDC">
        <w:rPr>
          <w:noProof/>
          <w:color w:val="000000" w:themeColor="text1"/>
          <w:lang w:val="en-IE"/>
        </w:rPr>
        <w:t xml:space="preserve">, </w:t>
      </w:r>
      <w:r w:rsidR="00C13889" w:rsidRPr="00013BDC">
        <w:rPr>
          <w:noProof/>
          <w:color w:val="000000" w:themeColor="text1"/>
          <w:lang w:val="en-IE"/>
        </w:rPr>
        <w:t>most</w:t>
      </w:r>
      <w:r w:rsidRPr="00013BDC">
        <w:rPr>
          <w:noProof/>
          <w:color w:val="000000" w:themeColor="text1"/>
          <w:lang w:val="en-IE"/>
        </w:rPr>
        <w:t xml:space="preserve"> textile movement is </w:t>
      </w:r>
      <w:r w:rsidRPr="00013BDC">
        <w:rPr>
          <w:b/>
          <w:noProof/>
          <w:color w:val="000000" w:themeColor="text1"/>
          <w:lang w:val="en-IE"/>
        </w:rPr>
        <w:t>intra-EU</w:t>
      </w:r>
      <w:r w:rsidRPr="00013BDC">
        <w:rPr>
          <w:noProof/>
          <w:color w:val="000000" w:themeColor="text1"/>
          <w:lang w:val="en-IE"/>
        </w:rPr>
        <w:t>.</w:t>
      </w:r>
    </w:p>
    <w:p w14:paraId="578865E3" w14:textId="2F98B70F" w:rsidR="00AC126C" w:rsidRPr="00013BDC" w:rsidRDefault="00AC126C" w:rsidP="00AC126C">
      <w:pPr>
        <w:spacing w:after="120"/>
        <w:rPr>
          <w:noProof/>
          <w:color w:val="000000" w:themeColor="text1"/>
          <w:lang w:val="en-IE"/>
        </w:rPr>
      </w:pPr>
      <w:r w:rsidRPr="00013BDC">
        <w:rPr>
          <w:noProof/>
          <w:color w:val="000000" w:themeColor="text1"/>
          <w:lang w:val="en-IE"/>
        </w:rPr>
        <w:t>Data on shipments of used textiles in Comext</w:t>
      </w:r>
      <w:r w:rsidRPr="00013BDC">
        <w:rPr>
          <w:rStyle w:val="FootnoteReference"/>
          <w:noProof/>
          <w:color w:val="000000" w:themeColor="text1"/>
          <w:lang w:val="en-IE"/>
        </w:rPr>
        <w:footnoteReference w:id="188"/>
      </w:r>
      <w:r w:rsidRPr="00013BDC">
        <w:rPr>
          <w:noProof/>
          <w:color w:val="000000" w:themeColor="text1"/>
          <w:lang w:val="en-IE"/>
        </w:rPr>
        <w:t xml:space="preserve"> does not distinguish between used textiles that are waste and used textiles that are not categorised as waste. It is impossible to state, therefore, for the quantities reported how much in total is considered as waste and how much is not. The display of flows of used textiles presented in this study needs to be read with this shortcoming in mind. However, it is apparent in relation to both collection rates and sorting capacity data from Member States that movements of collected textiles for sorting in both non-EU and EU Member State countries takes place, meaning that the handling of textile wastes is not restricted to the country of generation only but has potentially significant transboundary impacts. This is supported by the JRC</w:t>
      </w:r>
      <w:r w:rsidRPr="00013BDC">
        <w:rPr>
          <w:rStyle w:val="FootnoteReference"/>
          <w:noProof/>
          <w:color w:val="000000" w:themeColor="text1"/>
          <w:lang w:val="en-IE"/>
        </w:rPr>
        <w:footnoteReference w:id="189"/>
      </w:r>
      <w:r w:rsidRPr="00013BDC">
        <w:rPr>
          <w:noProof/>
          <w:color w:val="000000" w:themeColor="text1"/>
          <w:lang w:val="en-IE"/>
        </w:rPr>
        <w:t xml:space="preserve"> that states that manual sorting of textiles is currently not evenly spread across Europe but is clustered in a number of countries that specialise in sorting and wholesale activities including France, Germany, Poland, the Netherlands, Belgium, Romania, Hungary and Spain. Fashion for Good</w:t>
      </w:r>
      <w:r w:rsidRPr="00013BDC">
        <w:rPr>
          <w:rStyle w:val="FootnoteReference"/>
          <w:noProof/>
          <w:color w:val="000000" w:themeColor="text1"/>
          <w:lang w:val="en-IE"/>
        </w:rPr>
        <w:footnoteReference w:id="190"/>
      </w:r>
      <w:r w:rsidRPr="00013BDC">
        <w:rPr>
          <w:noProof/>
          <w:color w:val="000000" w:themeColor="text1"/>
          <w:lang w:val="en-IE"/>
        </w:rPr>
        <w:t xml:space="preserve"> notes a similar trend with sorting capacity not always fully utilised for textiles collected domestically providing examples of the Netherlands where 55% of collected textiles are sorted abroad, and most of the local sorting capacity being used to sort textiles from Germany. Fashion for Good considers that these current intra-EU trade dynamics may be explained due to lower costs of purchasing collected textiles from other countries as a result of differences in the fees paid for collecting textiles in each geography. Consequently, they consider that for sorting facilities in countries where collected textiles are more expensive to buy, collected textiles from neighbouring countries are attractive feedstock for their operations.</w:t>
      </w:r>
    </w:p>
    <w:p w14:paraId="0E4FFCF5" w14:textId="0A058EA0" w:rsidR="00DD474B" w:rsidRPr="00013BDC" w:rsidRDefault="00ED6474" w:rsidP="00DD474B">
      <w:pPr>
        <w:pStyle w:val="Caption"/>
        <w:rPr>
          <w:noProof/>
          <w:color w:val="auto"/>
          <w:sz w:val="24"/>
          <w:szCs w:val="24"/>
          <w:lang w:val="en-IE"/>
        </w:rPr>
      </w:pPr>
      <w:bookmarkStart w:id="630" w:name="_Toc139033058"/>
      <w:r w:rsidRPr="00013BDC">
        <w:rPr>
          <w:noProof/>
          <w:color w:val="auto"/>
          <w:sz w:val="24"/>
          <w:szCs w:val="24"/>
          <w:lang w:val="en-IE"/>
        </w:rPr>
        <w:t xml:space="preserve">Table </w:t>
      </w:r>
      <w:r w:rsidR="004C5576">
        <w:rPr>
          <w:noProof/>
          <w:color w:val="auto"/>
          <w:sz w:val="24"/>
          <w:szCs w:val="24"/>
          <w:lang w:val="en-IE"/>
        </w:rPr>
        <w:t>28</w:t>
      </w:r>
      <w:r w:rsidRPr="00013BDC">
        <w:rPr>
          <w:noProof/>
          <w:color w:val="auto"/>
          <w:sz w:val="24"/>
          <w:szCs w:val="24"/>
          <w:lang w:val="en-IE"/>
        </w:rPr>
        <w:t>.</w:t>
      </w:r>
      <w:r w:rsidR="00DD474B" w:rsidRPr="00013BDC">
        <w:rPr>
          <w:noProof/>
          <w:color w:val="auto"/>
          <w:sz w:val="24"/>
          <w:szCs w:val="24"/>
          <w:lang w:val="en-IE"/>
        </w:rPr>
        <w:t xml:space="preserve"> Import and export of used textiles from and to third countries for EU Member States in 2020</w:t>
      </w:r>
      <w:bookmarkEnd w:id="630"/>
    </w:p>
    <w:p w14:paraId="674F587E" w14:textId="46282CEB" w:rsidR="005D451E" w:rsidRPr="00013BDC" w:rsidRDefault="00CD16AD" w:rsidP="005D451E">
      <w:pPr>
        <w:rPr>
          <w:i/>
          <w:noProof/>
          <w:lang w:val="en-IE"/>
        </w:rPr>
      </w:pPr>
      <w:r w:rsidRPr="00013BDC">
        <w:rPr>
          <w:i/>
          <w:noProof/>
          <w:lang w:val="en-IE"/>
        </w:rPr>
        <w:t>This table</w:t>
      </w:r>
      <w:r w:rsidR="00E57E8C" w:rsidRPr="00013BDC">
        <w:rPr>
          <w:i/>
          <w:noProof/>
          <w:lang w:val="en-IE"/>
        </w:rPr>
        <w:t xml:space="preserve"> shows</w:t>
      </w:r>
      <w:r w:rsidR="005D451E" w:rsidRPr="00013BDC">
        <w:rPr>
          <w:i/>
          <w:noProof/>
          <w:lang w:val="en-IE"/>
        </w:rPr>
        <w:t xml:space="preserve"> the nature of imports and exports to third countries from the EU according to Eurostat in 2020 in tonnes of worn clothing and clothing accessories, blankets and travelling rugs, household linen and articles for interior furnishing, of all types of textile materials, incl. all types of footwear and headgear, showing signs of appreciable wear and presented in bulk or in bales, sacks or similar packings (excl. carpets, other floor coverings and tapestries). </w:t>
      </w:r>
    </w:p>
    <w:p w14:paraId="0A880AE2" w14:textId="77777777" w:rsidR="00DD474B" w:rsidRPr="00013BDC" w:rsidRDefault="00DD474B" w:rsidP="00DD474B">
      <w:pPr>
        <w:spacing w:after="120"/>
        <w:jc w:val="center"/>
        <w:rPr>
          <w:noProof/>
          <w:color w:val="000000" w:themeColor="text1"/>
          <w:lang w:val="en-IE"/>
        </w:rPr>
      </w:pPr>
      <w:r w:rsidRPr="00013BDC">
        <w:rPr>
          <w:noProof/>
          <w:lang w:eastAsia="en-GB"/>
        </w:rPr>
        <w:drawing>
          <wp:inline distT="0" distB="0" distL="0" distR="0" wp14:anchorId="2016306F" wp14:editId="0E4CCBDF">
            <wp:extent cx="2343150" cy="4391517"/>
            <wp:effectExtent l="0" t="0" r="0" b="9525"/>
            <wp:docPr id="1200524338" name="Picture 120052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44215" cy="4393513"/>
                    </a:xfrm>
                    <a:prstGeom prst="rect">
                      <a:avLst/>
                    </a:prstGeom>
                    <a:noFill/>
                    <a:ln>
                      <a:noFill/>
                    </a:ln>
                  </pic:spPr>
                </pic:pic>
              </a:graphicData>
            </a:graphic>
          </wp:inline>
        </w:drawing>
      </w:r>
    </w:p>
    <w:p w14:paraId="463FBCB0" w14:textId="77777777" w:rsidR="00A42669" w:rsidRPr="00013BDC" w:rsidRDefault="00A42669" w:rsidP="00AC126C">
      <w:pPr>
        <w:spacing w:after="120"/>
        <w:rPr>
          <w:noProof/>
          <w:color w:val="000000" w:themeColor="text1"/>
          <w:lang w:val="en-IE"/>
        </w:rPr>
      </w:pPr>
    </w:p>
    <w:p w14:paraId="3EBA1A43" w14:textId="2936792B" w:rsidR="006D4536" w:rsidRPr="00013BDC" w:rsidRDefault="00A42669" w:rsidP="006D4536">
      <w:pPr>
        <w:spacing w:after="120"/>
        <w:rPr>
          <w:noProof/>
          <w:color w:val="000000" w:themeColor="text1"/>
          <w:lang w:val="en-IE"/>
        </w:rPr>
      </w:pPr>
      <w:r w:rsidRPr="00013BDC">
        <w:rPr>
          <w:noProof/>
          <w:color w:val="000000" w:themeColor="text1"/>
          <w:lang w:val="en-IE"/>
        </w:rPr>
        <w:t xml:space="preserve">JRC estimates </w:t>
      </w:r>
      <w:r w:rsidR="00E04C8F" w:rsidRPr="00013BDC">
        <w:rPr>
          <w:noProof/>
          <w:color w:val="000000" w:themeColor="text1"/>
          <w:lang w:val="en-IE"/>
        </w:rPr>
        <w:t>a higher share (</w:t>
      </w:r>
      <w:r w:rsidRPr="00013BDC">
        <w:rPr>
          <w:b/>
          <w:noProof/>
          <w:color w:val="000000" w:themeColor="text1"/>
          <w:lang w:val="en-IE"/>
        </w:rPr>
        <w:t>0.3 Mt</w:t>
      </w:r>
      <w:r w:rsidR="00E04C8F" w:rsidRPr="00013BDC">
        <w:rPr>
          <w:b/>
          <w:noProof/>
          <w:color w:val="000000" w:themeColor="text1"/>
          <w:lang w:val="en-IE"/>
        </w:rPr>
        <w:t xml:space="preserve">) </w:t>
      </w:r>
      <w:r w:rsidR="001F39C5" w:rsidRPr="00013BDC">
        <w:rPr>
          <w:noProof/>
          <w:color w:val="000000" w:themeColor="text1"/>
          <w:lang w:val="en-IE"/>
        </w:rPr>
        <w:t>for</w:t>
      </w:r>
      <w:r w:rsidRPr="00013BDC">
        <w:rPr>
          <w:noProof/>
          <w:color w:val="000000" w:themeColor="text1"/>
          <w:lang w:val="en-IE"/>
        </w:rPr>
        <w:t xml:space="preserve"> the amount of separately collected </w:t>
      </w:r>
      <w:r w:rsidRPr="00013BDC">
        <w:rPr>
          <w:b/>
          <w:noProof/>
          <w:color w:val="000000" w:themeColor="text1"/>
          <w:lang w:val="en-IE"/>
        </w:rPr>
        <w:t>textile fractions imported from outside</w:t>
      </w:r>
      <w:r w:rsidRPr="00013BDC">
        <w:rPr>
          <w:noProof/>
          <w:color w:val="000000" w:themeColor="text1"/>
          <w:lang w:val="en-IE"/>
        </w:rPr>
        <w:t xml:space="preserve"> EU</w:t>
      </w:r>
      <w:r w:rsidRPr="00013BDC">
        <w:rPr>
          <w:noProof/>
          <w:lang w:val="en-IE"/>
        </w:rPr>
        <w:t xml:space="preserve"> </w:t>
      </w:r>
      <w:r w:rsidRPr="00013BDC">
        <w:rPr>
          <w:noProof/>
          <w:color w:val="000000" w:themeColor="text1"/>
          <w:lang w:val="en-IE"/>
        </w:rPr>
        <w:t>mainly the UK and Turkey, for further sorting and processing at EU facilities, or to be sent to recycling operators. in 2019</w:t>
      </w:r>
      <w:r w:rsidRPr="00013BDC">
        <w:rPr>
          <w:rStyle w:val="FootnoteReference"/>
          <w:noProof/>
          <w:color w:val="000000" w:themeColor="text1"/>
          <w:lang w:val="en-IE"/>
        </w:rPr>
        <w:footnoteReference w:id="191"/>
      </w:r>
      <w:r w:rsidR="00977FCC" w:rsidRPr="00013BDC">
        <w:rPr>
          <w:noProof/>
          <w:color w:val="000000" w:themeColor="text1"/>
          <w:lang w:val="en-IE"/>
        </w:rPr>
        <w:t xml:space="preserve"> and </w:t>
      </w:r>
      <w:r w:rsidR="006D4536" w:rsidRPr="00013BDC">
        <w:rPr>
          <w:noProof/>
          <w:color w:val="000000" w:themeColor="text1"/>
          <w:lang w:val="en-IE"/>
        </w:rPr>
        <w:t xml:space="preserve">at </w:t>
      </w:r>
      <w:r w:rsidR="006D4536" w:rsidRPr="00013BDC">
        <w:rPr>
          <w:b/>
          <w:noProof/>
          <w:color w:val="000000" w:themeColor="text1"/>
          <w:lang w:val="en-IE"/>
        </w:rPr>
        <w:t>1,83 Mt</w:t>
      </w:r>
      <w:r w:rsidR="006D4536" w:rsidRPr="00013BDC">
        <w:rPr>
          <w:noProof/>
          <w:color w:val="000000" w:themeColor="text1"/>
          <w:lang w:val="en-IE"/>
        </w:rPr>
        <w:t xml:space="preserve"> the total amount of textile waste exported in the reference year 2019</w:t>
      </w:r>
      <w:r w:rsidR="006D4536" w:rsidRPr="00013BDC">
        <w:rPr>
          <w:rStyle w:val="FootnoteReference"/>
          <w:noProof/>
          <w:color w:val="000000" w:themeColor="text1"/>
          <w:lang w:val="en-IE"/>
        </w:rPr>
        <w:footnoteReference w:id="192"/>
      </w:r>
      <w:r w:rsidR="006D4536" w:rsidRPr="00013BDC">
        <w:rPr>
          <w:noProof/>
          <w:color w:val="000000" w:themeColor="text1"/>
          <w:lang w:val="en-IE"/>
        </w:rPr>
        <w:t>.</w:t>
      </w:r>
    </w:p>
    <w:p w14:paraId="41134ABD" w14:textId="77777777" w:rsidR="00816263" w:rsidRPr="00013BDC" w:rsidRDefault="00816263" w:rsidP="00816263">
      <w:pPr>
        <w:spacing w:after="120"/>
        <w:rPr>
          <w:noProof/>
          <w:color w:val="000000" w:themeColor="text1"/>
          <w:lang w:val="en-IE"/>
        </w:rPr>
      </w:pPr>
    </w:p>
    <w:p w14:paraId="3B5A19A0" w14:textId="4DC95D76" w:rsidR="00816263" w:rsidRPr="00013BDC" w:rsidRDefault="00816263" w:rsidP="00816263">
      <w:pPr>
        <w:spacing w:after="120"/>
        <w:rPr>
          <w:noProof/>
          <w:color w:val="000000" w:themeColor="text1"/>
          <w:lang w:val="en-IE"/>
        </w:rPr>
      </w:pPr>
      <w:r w:rsidRPr="00013BDC">
        <w:rPr>
          <w:noProof/>
          <w:color w:val="000000" w:themeColor="text1"/>
          <w:lang w:val="en-IE"/>
        </w:rPr>
        <w:t xml:space="preserve">In relation to </w:t>
      </w:r>
      <w:r w:rsidRPr="00013BDC">
        <w:rPr>
          <w:b/>
          <w:noProof/>
          <w:color w:val="000000" w:themeColor="text1"/>
          <w:lang w:val="en-IE"/>
        </w:rPr>
        <w:t>intra-EU shipments</w:t>
      </w:r>
      <w:r w:rsidRPr="00013BDC">
        <w:rPr>
          <w:noProof/>
          <w:color w:val="000000" w:themeColor="text1"/>
          <w:lang w:val="en-IE"/>
        </w:rPr>
        <w:t xml:space="preserve"> of the same worn clothing and used textiles using the same Eurostat dataset it is clear that a significant amount of internal movements took place in 2021 totalling almost 555 000 tonnes. However, such imports are not distribute equally with NL accounting for over 25% of received used clothing and textiles, followed by PL, HU, RO and IT.</w:t>
      </w:r>
    </w:p>
    <w:p w14:paraId="0FF4CFBD" w14:textId="55679AD7" w:rsidR="00B556F1" w:rsidRPr="00013BDC" w:rsidRDefault="00B556F1" w:rsidP="00B556F1">
      <w:pPr>
        <w:pStyle w:val="Caption"/>
        <w:rPr>
          <w:noProof/>
          <w:color w:val="auto"/>
          <w:sz w:val="24"/>
          <w:szCs w:val="24"/>
          <w:lang w:val="en-IE"/>
        </w:rPr>
      </w:pPr>
      <w:bookmarkStart w:id="631" w:name="_Toc139033059"/>
      <w:bookmarkStart w:id="632" w:name="_Toc133229291"/>
      <w:r w:rsidRPr="00013BDC">
        <w:rPr>
          <w:noProof/>
          <w:color w:val="auto"/>
          <w:sz w:val="24"/>
          <w:szCs w:val="24"/>
          <w:lang w:val="en-IE"/>
        </w:rPr>
        <w:t xml:space="preserve">Table </w:t>
      </w:r>
      <w:r w:rsidR="004C5576">
        <w:rPr>
          <w:noProof/>
          <w:color w:val="auto"/>
          <w:sz w:val="24"/>
          <w:szCs w:val="24"/>
          <w:lang w:val="en-IE"/>
        </w:rPr>
        <w:t>29</w:t>
      </w:r>
      <w:r w:rsidRPr="00013BDC">
        <w:rPr>
          <w:noProof/>
          <w:color w:val="auto"/>
          <w:sz w:val="24"/>
          <w:szCs w:val="24"/>
          <w:lang w:val="en-IE"/>
        </w:rPr>
        <w:t>. Imports of used textiles from within the EU by Member States in 2021.</w:t>
      </w:r>
      <w:bookmarkEnd w:id="631"/>
    </w:p>
    <w:bookmarkEnd w:id="632"/>
    <w:p w14:paraId="33B561CD" w14:textId="77777777" w:rsidR="00816263" w:rsidRPr="00013BDC" w:rsidRDefault="00816263" w:rsidP="00816263">
      <w:pPr>
        <w:spacing w:after="120"/>
        <w:jc w:val="center"/>
        <w:rPr>
          <w:noProof/>
          <w:color w:val="000000" w:themeColor="text1"/>
          <w:lang w:val="en-IE"/>
        </w:rPr>
      </w:pPr>
      <w:r w:rsidRPr="00013BDC">
        <w:rPr>
          <w:noProof/>
          <w:lang w:eastAsia="en-GB"/>
        </w:rPr>
        <w:drawing>
          <wp:inline distT="0" distB="0" distL="0" distR="0" wp14:anchorId="767646CD" wp14:editId="328722DB">
            <wp:extent cx="2495550" cy="5534025"/>
            <wp:effectExtent l="0" t="0" r="0" b="9525"/>
            <wp:docPr id="1200524289" name="Picture 120052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95550" cy="5534025"/>
                    </a:xfrm>
                    <a:prstGeom prst="rect">
                      <a:avLst/>
                    </a:prstGeom>
                    <a:noFill/>
                    <a:ln>
                      <a:noFill/>
                    </a:ln>
                  </pic:spPr>
                </pic:pic>
              </a:graphicData>
            </a:graphic>
          </wp:inline>
        </w:drawing>
      </w:r>
    </w:p>
    <w:p w14:paraId="74657F01" w14:textId="1E317219" w:rsidR="002F05BD" w:rsidRPr="00013BDC" w:rsidRDefault="009F3A83" w:rsidP="00D44B51">
      <w:pPr>
        <w:spacing w:after="120"/>
        <w:rPr>
          <w:i/>
          <w:noProof/>
          <w:color w:val="000000" w:themeColor="text1"/>
          <w:u w:val="single"/>
          <w:lang w:val="en-IE"/>
        </w:rPr>
      </w:pPr>
      <w:r w:rsidRPr="00013BDC">
        <w:rPr>
          <w:i/>
          <w:noProof/>
          <w:color w:val="000000" w:themeColor="text1"/>
          <w:u w:val="single"/>
          <w:lang w:val="en-IE"/>
        </w:rPr>
        <w:t>Types of sorting</w:t>
      </w:r>
    </w:p>
    <w:p w14:paraId="2D99149A" w14:textId="74958E38" w:rsidR="00096212" w:rsidRPr="00013BDC" w:rsidRDefault="001217E3" w:rsidP="00D44B51">
      <w:pPr>
        <w:spacing w:after="120"/>
        <w:rPr>
          <w:rFonts w:eastAsia="Times New Roman"/>
          <w:noProof/>
          <w:color w:val="000000" w:themeColor="text1"/>
          <w:lang w:val="en-IE"/>
        </w:rPr>
      </w:pPr>
      <w:r w:rsidRPr="00013BDC">
        <w:rPr>
          <w:rFonts w:eastAsia="Times New Roman"/>
          <w:noProof/>
          <w:color w:val="000000" w:themeColor="text1"/>
          <w:lang w:val="en-IE"/>
        </w:rPr>
        <w:t>The sorting process can potentially be an important component of economic and environmental costs of the recycling process, as the better the textiles are sorted into pure fractions (e.g.</w:t>
      </w:r>
      <w:r w:rsidR="00FE1C28" w:rsidRPr="00013BDC">
        <w:rPr>
          <w:rFonts w:eastAsia="Times New Roman"/>
          <w:noProof/>
          <w:color w:val="000000" w:themeColor="text1"/>
          <w:lang w:val="en-IE"/>
        </w:rPr>
        <w:t>,</w:t>
      </w:r>
      <w:r w:rsidRPr="00013BDC">
        <w:rPr>
          <w:rFonts w:eastAsia="Times New Roman"/>
          <w:noProof/>
          <w:color w:val="000000" w:themeColor="text1"/>
          <w:lang w:val="en-IE"/>
        </w:rPr>
        <w:t xml:space="preserve"> 100 % cotton), the bigger the chance of selling the textiles to a recycling facility where it can be recycled whereas the lower the quality of sorting the more likely</w:t>
      </w:r>
      <w:r w:rsidR="00287F74" w:rsidRPr="00013BDC">
        <w:rPr>
          <w:rFonts w:eastAsia="Times New Roman"/>
          <w:noProof/>
          <w:color w:val="000000" w:themeColor="text1"/>
          <w:lang w:val="en-IE"/>
        </w:rPr>
        <w:t xml:space="preserve"> that</w:t>
      </w:r>
      <w:r w:rsidRPr="00013BDC">
        <w:rPr>
          <w:rFonts w:eastAsia="Times New Roman"/>
          <w:noProof/>
          <w:color w:val="000000" w:themeColor="text1"/>
          <w:lang w:val="en-IE"/>
        </w:rPr>
        <w:t xml:space="preserve"> reusable and recyclable textiles will be </w:t>
      </w:r>
      <w:r w:rsidR="00B105CB" w:rsidRPr="00013BDC">
        <w:rPr>
          <w:rFonts w:eastAsia="Times New Roman"/>
          <w:noProof/>
          <w:color w:val="000000" w:themeColor="text1"/>
          <w:lang w:val="en-IE"/>
        </w:rPr>
        <w:t>‘</w:t>
      </w:r>
      <w:r w:rsidRPr="00013BDC">
        <w:rPr>
          <w:rFonts w:eastAsia="Times New Roman"/>
          <w:noProof/>
          <w:color w:val="000000" w:themeColor="text1"/>
          <w:lang w:val="en-IE"/>
        </w:rPr>
        <w:t>lost</w:t>
      </w:r>
      <w:r w:rsidR="00B105CB" w:rsidRPr="00013BDC">
        <w:rPr>
          <w:rFonts w:eastAsia="Times New Roman"/>
          <w:noProof/>
          <w:color w:val="000000" w:themeColor="text1"/>
          <w:lang w:val="en-IE"/>
        </w:rPr>
        <w:t>’</w:t>
      </w:r>
      <w:r w:rsidRPr="00013BDC">
        <w:rPr>
          <w:rFonts w:eastAsia="Times New Roman"/>
          <w:noProof/>
          <w:color w:val="000000" w:themeColor="text1"/>
          <w:lang w:val="en-IE"/>
        </w:rPr>
        <w:t xml:space="preserve"> and environmental costs will result. </w:t>
      </w:r>
      <w:r w:rsidR="008D0669" w:rsidRPr="00013BDC">
        <w:rPr>
          <w:rFonts w:eastAsia="Times New Roman"/>
          <w:noProof/>
          <w:lang w:val="en-IE"/>
        </w:rPr>
        <w:t xml:space="preserve">Manual sorting is time-consuming and costly, but essential to sort out textiles for </w:t>
      </w:r>
      <w:r w:rsidR="00D96247" w:rsidRPr="00013BDC">
        <w:rPr>
          <w:rFonts w:eastAsia="Times New Roman"/>
          <w:noProof/>
          <w:lang w:val="en-IE"/>
        </w:rPr>
        <w:t>reuse</w:t>
      </w:r>
      <w:r w:rsidR="008D0669" w:rsidRPr="00013BDC">
        <w:rPr>
          <w:rFonts w:eastAsia="Times New Roman"/>
          <w:noProof/>
          <w:lang w:val="en-IE"/>
        </w:rPr>
        <w:t>.</w:t>
      </w:r>
    </w:p>
    <w:p w14:paraId="4C41ADEE" w14:textId="091A2B96" w:rsidR="00096212" w:rsidRPr="00013BDC" w:rsidRDefault="488CCA1D" w:rsidP="001B1E6E">
      <w:pPr>
        <w:spacing w:after="0"/>
        <w:rPr>
          <w:rFonts w:eastAsia="Times New Roman"/>
          <w:noProof/>
          <w:color w:val="000000" w:themeColor="text1"/>
          <w:lang w:val="en-IE"/>
        </w:rPr>
      </w:pPr>
      <w:r w:rsidRPr="00013BDC">
        <w:rPr>
          <w:rFonts w:eastAsia="Times New Roman"/>
          <w:noProof/>
          <w:color w:val="000000" w:themeColor="text1"/>
          <w:lang w:val="en-IE"/>
        </w:rPr>
        <w:t>The JRC</w:t>
      </w:r>
      <w:r w:rsidR="00275068" w:rsidRPr="00013BDC">
        <w:rPr>
          <w:rStyle w:val="FootnoteReference"/>
          <w:rFonts w:eastAsia="Times New Roman"/>
          <w:noProof/>
          <w:color w:val="000000" w:themeColor="text1"/>
          <w:lang w:val="en-IE"/>
        </w:rPr>
        <w:footnoteReference w:id="193"/>
      </w:r>
      <w:r w:rsidRPr="00013BDC">
        <w:rPr>
          <w:rFonts w:eastAsia="Times New Roman"/>
          <w:noProof/>
          <w:color w:val="000000" w:themeColor="text1"/>
          <w:lang w:val="en-IE"/>
        </w:rPr>
        <w:t xml:space="preserve"> suggests that the sorting of textiles falls into three general types:</w:t>
      </w:r>
    </w:p>
    <w:p w14:paraId="095C29AA" w14:textId="02AE8675" w:rsidR="00096212" w:rsidRPr="00013BDC" w:rsidRDefault="48D9B5B7" w:rsidP="00CF0DFB">
      <w:pPr>
        <w:pStyle w:val="ListParagraph"/>
        <w:numPr>
          <w:ilvl w:val="0"/>
          <w:numId w:val="117"/>
        </w:numPr>
        <w:rPr>
          <w:rFonts w:eastAsia="Times New Roman"/>
          <w:noProof/>
          <w:color w:val="000000" w:themeColor="text1"/>
          <w:lang w:val="en-IE"/>
        </w:rPr>
      </w:pPr>
      <w:r w:rsidRPr="00013BDC">
        <w:rPr>
          <w:rFonts w:eastAsia="Times New Roman"/>
          <w:noProof/>
          <w:color w:val="000000" w:themeColor="text1"/>
          <w:lang w:val="en-IE"/>
        </w:rPr>
        <w:t>Manual sorting</w:t>
      </w:r>
    </w:p>
    <w:p w14:paraId="22008A4F" w14:textId="20D6CD4C" w:rsidR="00096212" w:rsidRPr="00013BDC" w:rsidRDefault="48D9B5B7" w:rsidP="00CF0DFB">
      <w:pPr>
        <w:pStyle w:val="ListParagraph"/>
        <w:numPr>
          <w:ilvl w:val="0"/>
          <w:numId w:val="117"/>
        </w:numPr>
        <w:rPr>
          <w:rFonts w:eastAsia="Times New Roman"/>
          <w:noProof/>
          <w:color w:val="000000" w:themeColor="text1"/>
          <w:lang w:val="en-IE"/>
        </w:rPr>
      </w:pPr>
      <w:r w:rsidRPr="00013BDC">
        <w:rPr>
          <w:rFonts w:eastAsia="Times New Roman"/>
          <w:noProof/>
          <w:color w:val="000000" w:themeColor="text1"/>
          <w:lang w:val="en-IE"/>
        </w:rPr>
        <w:t>Manual sorting with sophisticated aiding techniques</w:t>
      </w:r>
    </w:p>
    <w:p w14:paraId="1AC726B2" w14:textId="367EED45" w:rsidR="30CE9CDB" w:rsidRPr="00013BDC" w:rsidRDefault="30CE9CDB" w:rsidP="00CF0DFB">
      <w:pPr>
        <w:pStyle w:val="ListParagraph"/>
        <w:numPr>
          <w:ilvl w:val="0"/>
          <w:numId w:val="117"/>
        </w:numPr>
        <w:spacing w:after="120"/>
        <w:rPr>
          <w:rFonts w:eastAsia="Times New Roman"/>
          <w:noProof/>
          <w:color w:val="000000" w:themeColor="text1"/>
          <w:lang w:val="en-IE"/>
        </w:rPr>
      </w:pPr>
      <w:r w:rsidRPr="00013BDC">
        <w:rPr>
          <w:rFonts w:eastAsia="Times New Roman"/>
          <w:noProof/>
          <w:color w:val="000000" w:themeColor="text1"/>
          <w:lang w:val="en-IE"/>
        </w:rPr>
        <w:t>Automated sorting</w:t>
      </w:r>
    </w:p>
    <w:p w14:paraId="33549E94" w14:textId="535DB545" w:rsidR="00096212" w:rsidRPr="00013BDC" w:rsidRDefault="488CCA1D" w:rsidP="1F760E78">
      <w:pPr>
        <w:spacing w:after="120"/>
        <w:rPr>
          <w:rFonts w:eastAsia="Times New Roman"/>
          <w:noProof/>
          <w:color w:val="000000" w:themeColor="text1"/>
          <w:lang w:val="en-IE"/>
        </w:rPr>
      </w:pPr>
      <w:r w:rsidRPr="00013BDC">
        <w:rPr>
          <w:rFonts w:eastAsia="Times New Roman"/>
          <w:noProof/>
          <w:color w:val="000000" w:themeColor="text1"/>
          <w:lang w:val="en-IE"/>
        </w:rPr>
        <w:t>As noted by the JRC, manual sorting is not a technology as such given that it is performed by humans and usually done without technological aids apart from conveyor belts and other textile feeding technologies.</w:t>
      </w:r>
      <w:r w:rsidR="00B74FD1" w:rsidRPr="00013BDC">
        <w:rPr>
          <w:rStyle w:val="FootnoteReference"/>
          <w:rFonts w:eastAsia="Times New Roman"/>
          <w:noProof/>
          <w:color w:val="000000" w:themeColor="text1"/>
          <w:lang w:val="en-IE"/>
        </w:rPr>
        <w:footnoteReference w:id="194"/>
      </w:r>
      <w:r w:rsidRPr="00013BDC">
        <w:rPr>
          <w:rFonts w:eastAsia="Times New Roman"/>
          <w:noProof/>
          <w:color w:val="000000" w:themeColor="text1"/>
          <w:lang w:val="en-IE"/>
        </w:rPr>
        <w:t xml:space="preserve"> It is the most widespread textile sorting approach used in Europe with hundreds of sorting facilities sorting hundreds of thousands of tonnes of used textiles.</w:t>
      </w:r>
      <w:r w:rsidR="2EBB9760" w:rsidRPr="00013BDC">
        <w:rPr>
          <w:rFonts w:eastAsia="Times New Roman"/>
          <w:noProof/>
          <w:color w:val="000000" w:themeColor="text1"/>
          <w:lang w:val="en-IE"/>
        </w:rPr>
        <w:t xml:space="preserve"> </w:t>
      </w:r>
      <w:r w:rsidR="58F36FA5" w:rsidRPr="00013BDC">
        <w:rPr>
          <w:rFonts w:eastAsia="Times New Roman"/>
          <w:noProof/>
          <w:color w:val="000000" w:themeColor="text1"/>
          <w:lang w:val="en-IE"/>
        </w:rPr>
        <w:t>Indeed,</w:t>
      </w:r>
      <w:r w:rsidR="4626E083" w:rsidRPr="00013BDC">
        <w:rPr>
          <w:rFonts w:eastAsia="Times New Roman"/>
          <w:noProof/>
          <w:lang w:val="en-IE"/>
        </w:rPr>
        <w:t xml:space="preserve"> as indicated by the EuRIC</w:t>
      </w:r>
      <w:r w:rsidR="00E700D0" w:rsidRPr="00013BDC">
        <w:rPr>
          <w:rStyle w:val="FootnoteReference"/>
          <w:rFonts w:eastAsia="Times New Roman"/>
          <w:noProof/>
          <w:lang w:val="en-IE"/>
        </w:rPr>
        <w:footnoteReference w:id="195"/>
      </w:r>
      <w:r w:rsidR="2EBB9760" w:rsidRPr="00013BDC">
        <w:rPr>
          <w:rFonts w:eastAsia="Times New Roman"/>
          <w:noProof/>
          <w:color w:val="000000" w:themeColor="text1"/>
          <w:lang w:val="en-IE"/>
        </w:rPr>
        <w:t xml:space="preserve">, </w:t>
      </w:r>
      <w:r w:rsidR="2EBB9760" w:rsidRPr="00013BDC">
        <w:rPr>
          <w:rFonts w:eastAsia="Times New Roman"/>
          <w:b/>
          <w:noProof/>
          <w:lang w:val="en-IE"/>
        </w:rPr>
        <w:t xml:space="preserve">manual sorting is essential to separate the </w:t>
      </w:r>
      <w:r w:rsidR="0014738B" w:rsidRPr="00013BDC">
        <w:rPr>
          <w:rFonts w:eastAsia="Times New Roman"/>
          <w:b/>
          <w:noProof/>
          <w:lang w:val="en-IE"/>
        </w:rPr>
        <w:t>reusable</w:t>
      </w:r>
      <w:r w:rsidR="2EBB9760" w:rsidRPr="00013BDC">
        <w:rPr>
          <w:rFonts w:eastAsia="Times New Roman"/>
          <w:b/>
          <w:noProof/>
          <w:lang w:val="en-IE"/>
        </w:rPr>
        <w:t xml:space="preserve"> fraction </w:t>
      </w:r>
      <w:r w:rsidR="11CC644E" w:rsidRPr="00013BDC">
        <w:rPr>
          <w:rFonts w:eastAsia="Times New Roman"/>
          <w:b/>
          <w:noProof/>
          <w:lang w:val="en-IE"/>
        </w:rPr>
        <w:t xml:space="preserve">of post-consumer textiles </w:t>
      </w:r>
      <w:r w:rsidR="2EBB9760" w:rsidRPr="00013BDC">
        <w:rPr>
          <w:rFonts w:eastAsia="Times New Roman"/>
          <w:b/>
          <w:noProof/>
          <w:lang w:val="en-IE"/>
        </w:rPr>
        <w:t>and is very often required even for the recyclable fraction</w:t>
      </w:r>
      <w:r w:rsidR="2EBB9760" w:rsidRPr="00013BDC">
        <w:rPr>
          <w:rFonts w:eastAsia="Times New Roman"/>
          <w:noProof/>
          <w:lang w:val="en-IE"/>
        </w:rPr>
        <w:t>.</w:t>
      </w:r>
      <w:r w:rsidR="005A6F8F" w:rsidRPr="00013BDC">
        <w:rPr>
          <w:rStyle w:val="FootnoteReference"/>
          <w:rFonts w:eastAsia="Times New Roman"/>
          <w:noProof/>
          <w:color w:val="000000" w:themeColor="text1"/>
          <w:lang w:val="en-IE"/>
        </w:rPr>
        <w:footnoteReference w:id="196"/>
      </w:r>
      <w:r w:rsidR="11CC644E" w:rsidRPr="00013BDC">
        <w:rPr>
          <w:noProof/>
          <w:lang w:val="en-IE"/>
        </w:rPr>
        <w:t xml:space="preserve"> </w:t>
      </w:r>
      <w:r w:rsidR="2EBB9760" w:rsidRPr="00013BDC">
        <w:rPr>
          <w:rFonts w:eastAsia="Times New Roman"/>
          <w:noProof/>
          <w:color w:val="000000" w:themeColor="text1"/>
          <w:lang w:val="en-IE"/>
        </w:rPr>
        <w:t>T</w:t>
      </w:r>
      <w:r w:rsidR="786B5C08" w:rsidRPr="00013BDC">
        <w:rPr>
          <w:rFonts w:eastAsia="Times New Roman"/>
          <w:noProof/>
          <w:color w:val="000000" w:themeColor="text1"/>
          <w:lang w:val="en-IE"/>
        </w:rPr>
        <w:t xml:space="preserve">he JRC </w:t>
      </w:r>
      <w:r w:rsidR="5575899B" w:rsidRPr="00013BDC">
        <w:rPr>
          <w:rFonts w:eastAsia="Times New Roman"/>
          <w:noProof/>
          <w:color w:val="000000" w:themeColor="text1"/>
          <w:lang w:val="en-IE"/>
        </w:rPr>
        <w:t xml:space="preserve">also </w:t>
      </w:r>
      <w:r w:rsidR="786B5C08" w:rsidRPr="00013BDC">
        <w:rPr>
          <w:rFonts w:eastAsia="Times New Roman"/>
          <w:noProof/>
          <w:color w:val="000000" w:themeColor="text1"/>
          <w:lang w:val="en-IE"/>
        </w:rPr>
        <w:t>notes that manual sorting is often more expensive than automated sorting due to the higher labour costs, it is primarily used for sorting of textiles with an expected high percentage of reusable textiles that are sellable on global reuse markets.</w:t>
      </w:r>
      <w:r w:rsidR="00040DA0" w:rsidRPr="00013BDC">
        <w:rPr>
          <w:rStyle w:val="FootnoteReference"/>
          <w:rFonts w:eastAsia="Times New Roman"/>
          <w:noProof/>
          <w:color w:val="000000" w:themeColor="text1"/>
          <w:lang w:val="en-IE"/>
        </w:rPr>
        <w:footnoteReference w:id="197"/>
      </w:r>
      <w:r w:rsidR="786B5C08" w:rsidRPr="00013BDC">
        <w:rPr>
          <w:rFonts w:eastAsia="Times New Roman"/>
          <w:noProof/>
          <w:color w:val="000000" w:themeColor="text1"/>
          <w:lang w:val="en-IE"/>
        </w:rPr>
        <w:t xml:space="preserve"> </w:t>
      </w:r>
      <w:r w:rsidR="46896419" w:rsidRPr="00013BDC">
        <w:rPr>
          <w:rFonts w:eastAsia="Times New Roman"/>
          <w:noProof/>
          <w:color w:val="000000" w:themeColor="text1"/>
          <w:lang w:val="en-IE"/>
        </w:rPr>
        <w:t>Indeed, s</w:t>
      </w:r>
      <w:r w:rsidR="46896419" w:rsidRPr="00013BDC">
        <w:rPr>
          <w:rFonts w:eastAsia="Times New Roman"/>
          <w:noProof/>
          <w:lang w:val="en-IE"/>
        </w:rPr>
        <w:t>orters indicated that their business is profitable when maximum 20% of the received textiles are waste.</w:t>
      </w:r>
    </w:p>
    <w:p w14:paraId="3BEB3F81" w14:textId="6C5D2CF5" w:rsidR="00096212" w:rsidRPr="00013BDC" w:rsidRDefault="48D9B5B7" w:rsidP="1F760E78">
      <w:pPr>
        <w:spacing w:after="120"/>
        <w:rPr>
          <w:rFonts w:eastAsia="Times New Roman"/>
          <w:noProof/>
          <w:color w:val="000000" w:themeColor="text1"/>
          <w:lang w:val="en-IE"/>
        </w:rPr>
      </w:pPr>
      <w:r w:rsidRPr="00013BDC">
        <w:rPr>
          <w:rFonts w:eastAsia="Times New Roman"/>
          <w:noProof/>
          <w:color w:val="000000" w:themeColor="text1"/>
          <w:lang w:val="en-IE"/>
        </w:rPr>
        <w:t xml:space="preserve">Manual sorting with sophisticated aiding techniques is also often referred to as semi-automated sorting. It operates the same way as manual sorting but includes some automation for assisting in the actual sorting of fibre types and grades for reuse and recycling. </w:t>
      </w:r>
      <w:r w:rsidR="00B52471" w:rsidRPr="00013BDC">
        <w:rPr>
          <w:rFonts w:eastAsia="Times New Roman"/>
          <w:noProof/>
          <w:color w:val="000000" w:themeColor="text1"/>
          <w:lang w:val="en-IE"/>
        </w:rPr>
        <w:t>For example, hand</w:t>
      </w:r>
      <w:r w:rsidRPr="00013BDC">
        <w:rPr>
          <w:rFonts w:eastAsia="Times New Roman"/>
          <w:noProof/>
          <w:color w:val="000000" w:themeColor="text1"/>
          <w:lang w:val="en-IE"/>
        </w:rPr>
        <w:t xml:space="preserve">-held scanners can be used by the manual sorters to assist them in determining material </w:t>
      </w:r>
      <w:r w:rsidR="78A6D17A" w:rsidRPr="00013BDC">
        <w:rPr>
          <w:rFonts w:eastAsia="Times New Roman"/>
          <w:noProof/>
          <w:color w:val="000000" w:themeColor="text1"/>
          <w:lang w:val="en-IE"/>
        </w:rPr>
        <w:t>content,</w:t>
      </w:r>
      <w:r w:rsidR="002160FF" w:rsidRPr="00013BDC">
        <w:rPr>
          <w:rFonts w:eastAsia="Times New Roman"/>
          <w:noProof/>
          <w:color w:val="000000" w:themeColor="text1"/>
          <w:lang w:val="en-IE"/>
        </w:rPr>
        <w:t xml:space="preserve"> but these scanners only detect the </w:t>
      </w:r>
      <w:r w:rsidR="007662C5" w:rsidRPr="00013BDC">
        <w:rPr>
          <w:rFonts w:eastAsia="Times New Roman"/>
          <w:noProof/>
          <w:color w:val="000000" w:themeColor="text1"/>
          <w:lang w:val="en-IE"/>
        </w:rPr>
        <w:t>surface</w:t>
      </w:r>
      <w:r w:rsidR="002160FF" w:rsidRPr="00013BDC">
        <w:rPr>
          <w:rFonts w:eastAsia="Times New Roman"/>
          <w:noProof/>
          <w:color w:val="000000" w:themeColor="text1"/>
          <w:lang w:val="en-IE"/>
        </w:rPr>
        <w:t xml:space="preserve"> material so </w:t>
      </w:r>
      <w:r w:rsidR="007662C5" w:rsidRPr="00013BDC">
        <w:rPr>
          <w:rFonts w:eastAsia="Times New Roman"/>
          <w:noProof/>
          <w:color w:val="000000" w:themeColor="text1"/>
          <w:lang w:val="en-IE"/>
        </w:rPr>
        <w:t>full composition is difficult to detect.</w:t>
      </w:r>
      <w:r w:rsidR="007E3CA2" w:rsidRPr="00013BDC">
        <w:rPr>
          <w:rFonts w:eastAsia="Times New Roman"/>
          <w:noProof/>
          <w:color w:val="000000" w:themeColor="text1"/>
          <w:lang w:val="en-IE"/>
        </w:rPr>
        <w:t xml:space="preserve"> </w:t>
      </w:r>
      <w:r w:rsidR="7421B2BE" w:rsidRPr="00013BDC">
        <w:rPr>
          <w:rFonts w:eastAsia="Times New Roman"/>
          <w:noProof/>
          <w:color w:val="000000" w:themeColor="text1"/>
          <w:lang w:val="en-IE"/>
        </w:rPr>
        <w:t>The main advantage of assisted manual sorting compared to fully automated sorting of non-reusable textiles is that the sorting for high-quality recycling can be carried out at the same time as sorting for reuse rather than requiring a new facility and processing stage.</w:t>
      </w:r>
    </w:p>
    <w:p w14:paraId="37F986A8" w14:textId="040E6D68" w:rsidR="00096212" w:rsidRPr="00013BDC" w:rsidRDefault="786B5C08" w:rsidP="1F760E78">
      <w:pPr>
        <w:spacing w:after="120"/>
        <w:rPr>
          <w:rFonts w:eastAsia="Times New Roman"/>
          <w:noProof/>
          <w:color w:val="000000" w:themeColor="text1"/>
          <w:lang w:val="en-IE"/>
        </w:rPr>
      </w:pPr>
      <w:r w:rsidRPr="00013BDC">
        <w:rPr>
          <w:rFonts w:eastAsia="Times New Roman"/>
          <w:noProof/>
          <w:color w:val="000000" w:themeColor="text1"/>
          <w:lang w:val="en-IE"/>
        </w:rPr>
        <w:t xml:space="preserve">Automated systems are generally </w:t>
      </w:r>
      <w:r w:rsidR="7567B7C5" w:rsidRPr="00013BDC">
        <w:rPr>
          <w:rFonts w:eastAsia="Times New Roman"/>
          <w:noProof/>
          <w:color w:val="000000" w:themeColor="text1"/>
          <w:lang w:val="en-IE"/>
        </w:rPr>
        <w:t xml:space="preserve">used to </w:t>
      </w:r>
      <w:r w:rsidRPr="00013BDC">
        <w:rPr>
          <w:rFonts w:eastAsia="Times New Roman"/>
          <w:noProof/>
          <w:color w:val="000000" w:themeColor="text1"/>
          <w:lang w:val="en-IE"/>
        </w:rPr>
        <w:t xml:space="preserve">sort non-reusable </w:t>
      </w:r>
      <w:r w:rsidR="03200135" w:rsidRPr="00013BDC">
        <w:rPr>
          <w:rFonts w:eastAsia="Times New Roman"/>
          <w:noProof/>
          <w:color w:val="000000" w:themeColor="text1"/>
          <w:lang w:val="en-IE"/>
        </w:rPr>
        <w:t>textiles</w:t>
      </w:r>
      <w:r w:rsidR="7567B7C5" w:rsidRPr="00013BDC">
        <w:rPr>
          <w:rFonts w:eastAsia="Times New Roman"/>
          <w:noProof/>
          <w:color w:val="000000" w:themeColor="text1"/>
          <w:lang w:val="en-IE"/>
        </w:rPr>
        <w:t xml:space="preserve"> and to identify </w:t>
      </w:r>
      <w:r w:rsidRPr="00013BDC">
        <w:rPr>
          <w:rFonts w:eastAsia="Times New Roman"/>
          <w:noProof/>
          <w:color w:val="000000" w:themeColor="text1"/>
          <w:lang w:val="en-IE"/>
        </w:rPr>
        <w:t xml:space="preserve">those that are suitable for recycling. </w:t>
      </w:r>
      <w:r w:rsidR="49035ECF" w:rsidRPr="00013BDC">
        <w:rPr>
          <w:rFonts w:eastAsia="Times New Roman"/>
          <w:noProof/>
          <w:color w:val="000000" w:themeColor="text1"/>
          <w:lang w:val="en-IE"/>
        </w:rPr>
        <w:t xml:space="preserve">Automated sorting can fasten the sorting process and thus processing higher volumes of waste. </w:t>
      </w:r>
      <w:r w:rsidR="488CCA1D" w:rsidRPr="00013BDC">
        <w:rPr>
          <w:rFonts w:eastAsia="Times New Roman"/>
          <w:noProof/>
          <w:color w:val="000000" w:themeColor="text1"/>
          <w:lang w:val="en-IE"/>
        </w:rPr>
        <w:t xml:space="preserve">As noted in </w:t>
      </w:r>
      <w:r w:rsidR="002078CA" w:rsidRPr="00013BDC">
        <w:rPr>
          <w:rFonts w:eastAsia="Times New Roman"/>
          <w:noProof/>
          <w:color w:val="000000" w:themeColor="text1"/>
          <w:lang w:val="en-IE"/>
        </w:rPr>
        <w:t>a European Commission technical</w:t>
      </w:r>
      <w:r w:rsidR="488CCA1D" w:rsidRPr="00013BDC">
        <w:rPr>
          <w:rFonts w:eastAsia="Times New Roman"/>
          <w:noProof/>
          <w:color w:val="000000" w:themeColor="text1"/>
          <w:lang w:val="en-IE"/>
        </w:rPr>
        <w:t xml:space="preserve"> stud</w:t>
      </w:r>
      <w:r w:rsidR="008B7DFB" w:rsidRPr="00013BDC">
        <w:rPr>
          <w:rFonts w:eastAsia="Times New Roman"/>
          <w:noProof/>
          <w:color w:val="000000" w:themeColor="text1"/>
          <w:lang w:val="en-IE"/>
        </w:rPr>
        <w:t>y</w:t>
      </w:r>
      <w:r w:rsidR="000C73BA" w:rsidRPr="00013BDC">
        <w:rPr>
          <w:rStyle w:val="FootnoteReference"/>
          <w:rFonts w:eastAsia="Times New Roman"/>
          <w:noProof/>
          <w:color w:val="000000" w:themeColor="text1"/>
          <w:lang w:val="en-IE"/>
        </w:rPr>
        <w:footnoteReference w:id="198"/>
      </w:r>
      <w:r w:rsidR="488CCA1D" w:rsidRPr="00013BDC">
        <w:rPr>
          <w:rFonts w:eastAsia="Times New Roman"/>
          <w:noProof/>
          <w:color w:val="000000" w:themeColor="text1"/>
          <w:lang w:val="en-IE"/>
        </w:rPr>
        <w:t xml:space="preserve"> the quality of the output of all recycling processes is highly dependent on the quality of the input material. Consequently, sorting textiles according to their material content is an important pre-treatment step in the recycling process</w:t>
      </w:r>
      <w:r w:rsidR="472D4EF9" w:rsidRPr="00013BDC">
        <w:rPr>
          <w:rFonts w:eastAsia="Times New Roman"/>
          <w:noProof/>
          <w:color w:val="000000" w:themeColor="text1"/>
          <w:lang w:val="en-IE"/>
        </w:rPr>
        <w:t>.</w:t>
      </w:r>
      <w:r w:rsidR="000C73BA" w:rsidRPr="00013BDC">
        <w:rPr>
          <w:rStyle w:val="FootnoteReference"/>
          <w:rFonts w:eastAsia="Times New Roman"/>
          <w:noProof/>
          <w:color w:val="000000" w:themeColor="text1"/>
          <w:lang w:val="en-IE"/>
        </w:rPr>
        <w:footnoteReference w:id="199"/>
      </w:r>
      <w:r w:rsidR="488CCA1D" w:rsidRPr="00013BDC">
        <w:rPr>
          <w:rFonts w:eastAsia="Times New Roman"/>
          <w:noProof/>
          <w:color w:val="000000" w:themeColor="text1"/>
          <w:lang w:val="en-IE"/>
        </w:rPr>
        <w:t xml:space="preserve"> This is especially the case for post-consumer textile waste that often consists of a larger variety of fibre types and material blends than industrial or pre-consumer waste</w:t>
      </w:r>
      <w:r w:rsidR="6C851C88" w:rsidRPr="00013BDC">
        <w:rPr>
          <w:rFonts w:eastAsia="Times New Roman"/>
          <w:noProof/>
          <w:color w:val="000000" w:themeColor="text1"/>
          <w:lang w:val="en-IE"/>
        </w:rPr>
        <w:t>.</w:t>
      </w:r>
      <w:r w:rsidR="000C73BA" w:rsidRPr="00013BDC">
        <w:rPr>
          <w:rStyle w:val="FootnoteReference"/>
          <w:rFonts w:eastAsia="Times New Roman"/>
          <w:noProof/>
          <w:color w:val="000000" w:themeColor="text1"/>
          <w:lang w:val="en-IE"/>
        </w:rPr>
        <w:footnoteReference w:id="200"/>
      </w:r>
      <w:r w:rsidR="06C6819A" w:rsidRPr="00013BDC">
        <w:rPr>
          <w:rFonts w:eastAsia="Times New Roman"/>
          <w:noProof/>
          <w:color w:val="000000" w:themeColor="text1"/>
          <w:lang w:val="en-IE"/>
        </w:rPr>
        <w:t xml:space="preserve"> </w:t>
      </w:r>
      <w:r w:rsidR="488CCA1D" w:rsidRPr="00013BDC">
        <w:rPr>
          <w:rFonts w:eastAsia="Times New Roman"/>
          <w:noProof/>
          <w:color w:val="000000" w:themeColor="text1"/>
          <w:lang w:val="en-IE"/>
        </w:rPr>
        <w:t>The study also notes that there are various methods available for the accurate determination of textile material contents, but they often require sample preparation and are too time-consuming for automation.</w:t>
      </w:r>
      <w:r w:rsidR="00310349" w:rsidRPr="00013BDC">
        <w:rPr>
          <w:rStyle w:val="FootnoteReference"/>
          <w:rFonts w:eastAsia="Times New Roman"/>
          <w:noProof/>
          <w:color w:val="000000" w:themeColor="text1"/>
          <w:lang w:val="en-IE"/>
        </w:rPr>
        <w:footnoteReference w:id="201"/>
      </w:r>
      <w:r w:rsidR="2C37C52B" w:rsidRPr="00013BDC">
        <w:rPr>
          <w:rFonts w:eastAsia="Times New Roman"/>
          <w:noProof/>
          <w:color w:val="000000" w:themeColor="text1"/>
          <w:lang w:val="en-IE"/>
        </w:rPr>
        <w:t xml:space="preserve"> The study also </w:t>
      </w:r>
      <w:r w:rsidR="7CF8BC3D" w:rsidRPr="00013BDC">
        <w:rPr>
          <w:rFonts w:eastAsia="Times New Roman"/>
          <w:noProof/>
          <w:color w:val="000000" w:themeColor="text1"/>
          <w:lang w:val="en-IE"/>
        </w:rPr>
        <w:t>identifies</w:t>
      </w:r>
      <w:r w:rsidR="2C37C52B" w:rsidRPr="00013BDC">
        <w:rPr>
          <w:rFonts w:eastAsia="Times New Roman"/>
          <w:noProof/>
          <w:color w:val="000000" w:themeColor="text1"/>
          <w:lang w:val="en-IE"/>
        </w:rPr>
        <w:t xml:space="preserve"> n</w:t>
      </w:r>
      <w:r w:rsidR="488CCA1D" w:rsidRPr="00013BDC">
        <w:rPr>
          <w:rFonts w:eastAsia="Times New Roman"/>
          <w:noProof/>
          <w:color w:val="000000" w:themeColor="text1"/>
          <w:lang w:val="en-IE"/>
        </w:rPr>
        <w:t>ear infrared spectroscopy (NIR) as an interesting technique already widely for different applications, including automated sorting of paper and plastics</w:t>
      </w:r>
      <w:r w:rsidR="472D4EF9" w:rsidRPr="00013BDC">
        <w:rPr>
          <w:rFonts w:eastAsia="Times New Roman"/>
          <w:noProof/>
          <w:color w:val="000000" w:themeColor="text1"/>
          <w:lang w:val="en-IE"/>
        </w:rPr>
        <w:t>.</w:t>
      </w:r>
      <w:r w:rsidR="000C73BA" w:rsidRPr="00013BDC">
        <w:rPr>
          <w:rStyle w:val="FootnoteReference"/>
          <w:rFonts w:eastAsia="Times New Roman"/>
          <w:noProof/>
          <w:color w:val="000000" w:themeColor="text1"/>
          <w:lang w:val="en-IE"/>
        </w:rPr>
        <w:footnoteReference w:id="202"/>
      </w:r>
      <w:r w:rsidR="488CCA1D" w:rsidRPr="00013BDC">
        <w:rPr>
          <w:rFonts w:eastAsia="Times New Roman"/>
          <w:noProof/>
          <w:color w:val="000000" w:themeColor="text1"/>
          <w:lang w:val="en-IE"/>
        </w:rPr>
        <w:t xml:space="preserve"> </w:t>
      </w:r>
      <w:r w:rsidR="2C5B6353" w:rsidRPr="00013BDC">
        <w:rPr>
          <w:rFonts w:eastAsia="Times New Roman"/>
          <w:noProof/>
          <w:color w:val="000000" w:themeColor="text1"/>
          <w:lang w:val="en-IE"/>
        </w:rPr>
        <w:t xml:space="preserve">Indeed, </w:t>
      </w:r>
      <w:r w:rsidR="6DA4C156" w:rsidRPr="00013BDC">
        <w:rPr>
          <w:rFonts w:eastAsia="Times New Roman"/>
          <w:noProof/>
          <w:color w:val="000000" w:themeColor="text1"/>
          <w:lang w:val="en-IE"/>
        </w:rPr>
        <w:t xml:space="preserve">as part of the Swedish Innovation Platform for Textile Sorting (SIPTex) government-funded project, a sorting facility using </w:t>
      </w:r>
      <w:r w:rsidR="29280B33" w:rsidRPr="00013BDC">
        <w:rPr>
          <w:rFonts w:eastAsia="Times New Roman"/>
          <w:noProof/>
          <w:color w:val="000000" w:themeColor="text1"/>
          <w:lang w:val="en-IE"/>
        </w:rPr>
        <w:t xml:space="preserve">NIR technology for textile sorting was put into operation in </w:t>
      </w:r>
      <w:r w:rsidR="630E7FC4" w:rsidRPr="00013BDC">
        <w:rPr>
          <w:rFonts w:eastAsia="Times New Roman"/>
          <w:noProof/>
          <w:color w:val="000000" w:themeColor="text1"/>
          <w:lang w:val="en-IE"/>
        </w:rPr>
        <w:t>Malmö.</w:t>
      </w:r>
      <w:r w:rsidR="00A44D83" w:rsidRPr="00013BDC">
        <w:rPr>
          <w:rStyle w:val="FootnoteReference"/>
          <w:rFonts w:eastAsia="Times New Roman"/>
          <w:noProof/>
          <w:color w:val="000000" w:themeColor="text1"/>
          <w:lang w:val="en-IE"/>
        </w:rPr>
        <w:footnoteReference w:id="203"/>
      </w:r>
    </w:p>
    <w:p w14:paraId="71B5438F" w14:textId="23549314" w:rsidR="00AD2C09" w:rsidRPr="00013BDC" w:rsidRDefault="05774DD5" w:rsidP="1F760E78">
      <w:pPr>
        <w:spacing w:after="120"/>
        <w:rPr>
          <w:rFonts w:eastAsia="Times New Roman"/>
          <w:noProof/>
          <w:color w:val="000000" w:themeColor="text1"/>
          <w:lang w:val="en-IE"/>
        </w:rPr>
      </w:pPr>
      <w:r w:rsidRPr="00013BDC">
        <w:rPr>
          <w:rFonts w:eastAsia="Times New Roman"/>
          <w:noProof/>
          <w:color w:val="000000" w:themeColor="text1"/>
          <w:lang w:val="en-IE"/>
        </w:rPr>
        <w:t xml:space="preserve">Fully automated sorting has the potential to provide </w:t>
      </w:r>
      <w:r w:rsidR="008F6036" w:rsidRPr="00013BDC">
        <w:rPr>
          <w:rFonts w:eastAsia="Times New Roman"/>
          <w:noProof/>
          <w:color w:val="000000" w:themeColor="text1"/>
          <w:lang w:val="en-IE"/>
        </w:rPr>
        <w:t xml:space="preserve">accurate, </w:t>
      </w:r>
      <w:r w:rsidRPr="00013BDC">
        <w:rPr>
          <w:rFonts w:eastAsia="Times New Roman"/>
          <w:noProof/>
          <w:color w:val="000000" w:themeColor="text1"/>
          <w:lang w:val="en-IE"/>
        </w:rPr>
        <w:t>low</w:t>
      </w:r>
      <w:r w:rsidR="002160FF" w:rsidRPr="00013BDC">
        <w:rPr>
          <w:rFonts w:eastAsia="Times New Roman"/>
          <w:noProof/>
          <w:color w:val="000000" w:themeColor="text1"/>
          <w:lang w:val="en-IE"/>
        </w:rPr>
        <w:t>-</w:t>
      </w:r>
      <w:r w:rsidRPr="00013BDC">
        <w:rPr>
          <w:rFonts w:eastAsia="Times New Roman"/>
          <w:noProof/>
          <w:color w:val="000000" w:themeColor="text1"/>
          <w:lang w:val="en-IE"/>
        </w:rPr>
        <w:t xml:space="preserve">cost sorting of non-reusable textile wastes by material compositions. </w:t>
      </w:r>
      <w:r w:rsidR="00462D87" w:rsidRPr="00013BDC">
        <w:rPr>
          <w:rFonts w:eastAsia="Times New Roman"/>
          <w:noProof/>
          <w:color w:val="000000" w:themeColor="text1"/>
          <w:lang w:val="en-IE"/>
        </w:rPr>
        <w:t>Many s</w:t>
      </w:r>
      <w:r w:rsidRPr="00013BDC">
        <w:rPr>
          <w:rFonts w:eastAsia="Times New Roman"/>
          <w:noProof/>
          <w:color w:val="000000" w:themeColor="text1"/>
          <w:lang w:val="en-IE"/>
        </w:rPr>
        <w:t xml:space="preserve">uch technologies </w:t>
      </w:r>
      <w:r w:rsidR="00462D87" w:rsidRPr="00013BDC">
        <w:rPr>
          <w:rFonts w:eastAsia="Times New Roman"/>
          <w:noProof/>
          <w:color w:val="000000" w:themeColor="text1"/>
          <w:lang w:val="en-IE"/>
        </w:rPr>
        <w:t xml:space="preserve">are in development phase but </w:t>
      </w:r>
      <w:r w:rsidR="00AB35AA" w:rsidRPr="00013BDC">
        <w:rPr>
          <w:rFonts w:eastAsia="Times New Roman"/>
          <w:noProof/>
          <w:color w:val="000000" w:themeColor="text1"/>
          <w:lang w:val="en-IE"/>
        </w:rPr>
        <w:t xml:space="preserve">experience </w:t>
      </w:r>
      <w:r w:rsidR="009E3FDF" w:rsidRPr="00013BDC">
        <w:rPr>
          <w:rFonts w:eastAsia="Times New Roman"/>
          <w:noProof/>
          <w:color w:val="000000" w:themeColor="text1"/>
          <w:lang w:val="en-IE"/>
        </w:rPr>
        <w:t xml:space="preserve">difficulties </w:t>
      </w:r>
      <w:r w:rsidR="005A6F8F" w:rsidRPr="00013BDC">
        <w:rPr>
          <w:rFonts w:eastAsia="Times New Roman"/>
          <w:noProof/>
          <w:color w:val="000000" w:themeColor="text1"/>
          <w:lang w:val="en-IE"/>
        </w:rPr>
        <w:t xml:space="preserve">to </w:t>
      </w:r>
      <w:r w:rsidRPr="00013BDC">
        <w:rPr>
          <w:rFonts w:eastAsia="Times New Roman"/>
          <w:noProof/>
          <w:color w:val="000000" w:themeColor="text1"/>
          <w:lang w:val="en-IE"/>
        </w:rPr>
        <w:t>develop</w:t>
      </w:r>
      <w:r w:rsidR="005A6F8F" w:rsidRPr="00013BDC">
        <w:rPr>
          <w:rFonts w:eastAsia="Times New Roman"/>
          <w:noProof/>
          <w:color w:val="000000" w:themeColor="text1"/>
          <w:lang w:val="en-IE"/>
        </w:rPr>
        <w:t xml:space="preserve"> at industrial scale.</w:t>
      </w:r>
      <w:r w:rsidRPr="00013BDC">
        <w:rPr>
          <w:rFonts w:eastAsia="Times New Roman"/>
          <w:noProof/>
          <w:color w:val="000000" w:themeColor="text1"/>
          <w:lang w:val="en-IE"/>
        </w:rPr>
        <w:t xml:space="preserve"> </w:t>
      </w:r>
      <w:r w:rsidR="48D9B5B7" w:rsidRPr="00013BDC">
        <w:rPr>
          <w:rFonts w:eastAsia="Times New Roman"/>
          <w:noProof/>
          <w:color w:val="000000" w:themeColor="text1"/>
          <w:lang w:val="en-IE"/>
        </w:rPr>
        <w:t>Sorting for recycling can also integrate a step to remove hard or metallic accessories (zippers, etc.) or buttons to facilitate recycling. This removes the need for these contaminants to be addressed by the recycler</w:t>
      </w:r>
      <w:r w:rsidR="00C73F02" w:rsidRPr="00013BDC">
        <w:rPr>
          <w:rFonts w:eastAsia="Times New Roman"/>
          <w:noProof/>
          <w:color w:val="000000" w:themeColor="text1"/>
          <w:lang w:val="en-IE"/>
        </w:rPr>
        <w:t>s</w:t>
      </w:r>
      <w:r w:rsidR="48D9B5B7" w:rsidRPr="00013BDC">
        <w:rPr>
          <w:rFonts w:eastAsia="Times New Roman"/>
          <w:noProof/>
          <w:color w:val="000000" w:themeColor="text1"/>
          <w:lang w:val="en-IE"/>
        </w:rPr>
        <w:t xml:space="preserve"> </w:t>
      </w:r>
      <w:r w:rsidR="002749D1" w:rsidRPr="00013BDC">
        <w:rPr>
          <w:rFonts w:eastAsia="Times New Roman"/>
          <w:noProof/>
          <w:color w:val="000000" w:themeColor="text1"/>
          <w:lang w:val="en-IE"/>
        </w:rPr>
        <w:t>themselves.</w:t>
      </w:r>
    </w:p>
    <w:p w14:paraId="2289B070" w14:textId="2F79BE2E" w:rsidR="00110C08" w:rsidRPr="00013BDC" w:rsidRDefault="00AD2C09" w:rsidP="00B0335A">
      <w:pPr>
        <w:spacing w:after="120"/>
        <w:rPr>
          <w:noProof/>
          <w:color w:val="000000" w:themeColor="text1"/>
          <w:lang w:val="en-IE"/>
        </w:rPr>
      </w:pPr>
      <w:r w:rsidRPr="00013BDC">
        <w:rPr>
          <w:rFonts w:eastAsia="Times New Roman"/>
          <w:noProof/>
          <w:color w:val="000000" w:themeColor="text1"/>
          <w:lang w:val="en-IE"/>
        </w:rPr>
        <w:t xml:space="preserve">Sorting in relation to mattresses is different than for </w:t>
      </w:r>
      <w:r w:rsidR="00977DDF" w:rsidRPr="00013BDC">
        <w:rPr>
          <w:rFonts w:eastAsia="Times New Roman"/>
          <w:noProof/>
          <w:color w:val="000000" w:themeColor="text1"/>
          <w:lang w:val="en-IE"/>
        </w:rPr>
        <w:t>clothes and other household textiles</w:t>
      </w:r>
      <w:r w:rsidRPr="00013BDC">
        <w:rPr>
          <w:rFonts w:eastAsia="Times New Roman"/>
          <w:noProof/>
          <w:color w:val="000000" w:themeColor="text1"/>
          <w:lang w:val="en-IE"/>
        </w:rPr>
        <w:t xml:space="preserve"> </w:t>
      </w:r>
      <w:r w:rsidR="00B0335A" w:rsidRPr="00013BDC">
        <w:rPr>
          <w:rFonts w:eastAsia="Times New Roman"/>
          <w:noProof/>
          <w:color w:val="000000" w:themeColor="text1"/>
          <w:lang w:val="en-IE"/>
        </w:rPr>
        <w:t>because</w:t>
      </w:r>
      <w:r w:rsidRPr="00013BDC">
        <w:rPr>
          <w:rFonts w:eastAsia="Times New Roman"/>
          <w:noProof/>
          <w:color w:val="000000" w:themeColor="text1"/>
          <w:lang w:val="en-IE"/>
        </w:rPr>
        <w:t xml:space="preserve"> the sorting and removing of contaminants</w:t>
      </w:r>
      <w:r w:rsidR="00977DDF" w:rsidRPr="00013BDC">
        <w:rPr>
          <w:rFonts w:eastAsia="Times New Roman"/>
          <w:noProof/>
          <w:color w:val="000000" w:themeColor="text1"/>
          <w:lang w:val="en-IE"/>
        </w:rPr>
        <w:t xml:space="preserve"> for mattresses</w:t>
      </w:r>
      <w:r w:rsidRPr="00013BDC">
        <w:rPr>
          <w:rFonts w:eastAsia="Times New Roman"/>
          <w:noProof/>
          <w:color w:val="000000" w:themeColor="text1"/>
          <w:lang w:val="en-IE"/>
        </w:rPr>
        <w:t xml:space="preserve"> is typically undertaken by the recyclers themselves</w:t>
      </w:r>
      <w:r w:rsidR="00D832C7" w:rsidRPr="00013BDC">
        <w:rPr>
          <w:rFonts w:eastAsia="Times New Roman"/>
          <w:noProof/>
          <w:color w:val="000000" w:themeColor="text1"/>
          <w:lang w:val="en-IE"/>
        </w:rPr>
        <w:t xml:space="preserve">. </w:t>
      </w:r>
      <w:r w:rsidR="00110C08" w:rsidRPr="00013BDC">
        <w:rPr>
          <w:noProof/>
          <w:color w:val="000000" w:themeColor="text1"/>
          <w:lang w:val="en-IE"/>
        </w:rPr>
        <w:t>Steel and polyurethane foam are generally both the main contributors to the weight of the materials recovered, as well as to the revenues from selling the materials to their existing end markets, as they have a positive market value. They are followed by textile fibres which are usually grouped together, as they are difficult to separate into the different materials due to the construction of the mattress and are sold on to mixed textiles markets as low-quality fibres (short fibre length), often in the form of shredded mixture</w:t>
      </w:r>
      <w:r w:rsidR="00110C08" w:rsidRPr="00013BDC">
        <w:rPr>
          <w:rStyle w:val="FootnoteReference"/>
          <w:noProof/>
          <w:color w:val="000000" w:themeColor="text1"/>
          <w:lang w:val="en-IE"/>
        </w:rPr>
        <w:footnoteReference w:id="204"/>
      </w:r>
      <w:r w:rsidR="00110C08" w:rsidRPr="00013BDC">
        <w:rPr>
          <w:noProof/>
          <w:color w:val="000000" w:themeColor="text1"/>
          <w:lang w:val="en-IE"/>
        </w:rPr>
        <w:t>.</w:t>
      </w:r>
    </w:p>
    <w:p w14:paraId="2B348256" w14:textId="77777777" w:rsidR="00EB7C83" w:rsidRPr="00013BDC" w:rsidRDefault="00EB7C83" w:rsidP="00EB7C83">
      <w:pPr>
        <w:spacing w:after="120"/>
        <w:rPr>
          <w:rFonts w:eastAsia="Times New Roman"/>
          <w:noProof/>
          <w:color w:val="000000" w:themeColor="text1"/>
          <w:lang w:val="en-IE"/>
        </w:rPr>
      </w:pPr>
      <w:r w:rsidRPr="00013BDC">
        <w:rPr>
          <w:rFonts w:eastAsia="Times New Roman"/>
          <w:noProof/>
          <w:color w:val="000000" w:themeColor="text1"/>
          <w:lang w:val="en-IE"/>
        </w:rPr>
        <w:t>Figure 20 was developed by the JRC and displays the recycling techniques in the EU</w:t>
      </w:r>
      <w:r w:rsidRPr="00013BDC">
        <w:rPr>
          <w:rStyle w:val="FootnoteReference"/>
          <w:rFonts w:eastAsia="Times New Roman"/>
          <w:noProof/>
          <w:color w:val="000000" w:themeColor="text1"/>
          <w:lang w:val="en-IE"/>
        </w:rPr>
        <w:footnoteReference w:id="205"/>
      </w:r>
      <w:r w:rsidRPr="00013BDC">
        <w:rPr>
          <w:rFonts w:eastAsia="Times New Roman"/>
          <w:noProof/>
          <w:color w:val="000000" w:themeColor="text1"/>
          <w:lang w:val="en-IE"/>
        </w:rPr>
        <w:t>.</w:t>
      </w:r>
    </w:p>
    <w:p w14:paraId="1878F789" w14:textId="1D74CD3A" w:rsidR="00EB7C83" w:rsidRPr="00013BDC" w:rsidRDefault="00EB7C83" w:rsidP="00EB7C83">
      <w:pPr>
        <w:pStyle w:val="Caption"/>
        <w:rPr>
          <w:noProof/>
          <w:color w:val="auto"/>
          <w:sz w:val="24"/>
          <w:szCs w:val="24"/>
          <w:lang w:val="en-IE"/>
        </w:rPr>
      </w:pPr>
      <w:bookmarkStart w:id="633" w:name="_Toc139033017"/>
      <w:r w:rsidRPr="00013BDC">
        <w:rPr>
          <w:noProof/>
          <w:color w:val="auto"/>
          <w:sz w:val="24"/>
          <w:szCs w:val="24"/>
          <w:lang w:val="en-IE"/>
        </w:rPr>
        <w:t xml:space="preserve">Figure </w:t>
      </w:r>
      <w:r w:rsidR="004C5576">
        <w:rPr>
          <w:noProof/>
          <w:color w:val="auto"/>
          <w:sz w:val="24"/>
          <w:szCs w:val="24"/>
          <w:lang w:val="en-IE"/>
        </w:rPr>
        <w:t>20</w:t>
      </w:r>
      <w:r w:rsidRPr="00013BDC">
        <w:rPr>
          <w:noProof/>
          <w:color w:val="auto"/>
          <w:sz w:val="24"/>
          <w:szCs w:val="24"/>
          <w:lang w:val="en-IE"/>
        </w:rPr>
        <w:t xml:space="preserve"> - Recycling techniques in the EU</w:t>
      </w:r>
      <w:bookmarkEnd w:id="633"/>
    </w:p>
    <w:p w14:paraId="73BCF186" w14:textId="77777777" w:rsidR="00EB7C83" w:rsidRPr="00013BDC" w:rsidRDefault="00EB7C83" w:rsidP="00EB7C83">
      <w:pPr>
        <w:spacing w:after="120"/>
        <w:rPr>
          <w:rFonts w:eastAsia="Times New Roman"/>
          <w:noProof/>
          <w:color w:val="000000" w:themeColor="text1"/>
          <w:lang w:val="en-IE"/>
        </w:rPr>
      </w:pPr>
      <w:r w:rsidRPr="00013BDC">
        <w:rPr>
          <w:noProof/>
          <w:lang w:eastAsia="en-GB"/>
        </w:rPr>
        <w:drawing>
          <wp:inline distT="0" distB="0" distL="0" distR="0" wp14:anchorId="328A88B5" wp14:editId="07AB584E">
            <wp:extent cx="5731510" cy="395795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3957955"/>
                    </a:xfrm>
                    <a:prstGeom prst="rect">
                      <a:avLst/>
                    </a:prstGeom>
                  </pic:spPr>
                </pic:pic>
              </a:graphicData>
            </a:graphic>
          </wp:inline>
        </w:drawing>
      </w:r>
    </w:p>
    <w:p w14:paraId="082112A5" w14:textId="77777777" w:rsidR="00EB7C83" w:rsidRPr="00013BDC" w:rsidRDefault="00EB7C83" w:rsidP="00B0335A">
      <w:pPr>
        <w:spacing w:after="120"/>
        <w:rPr>
          <w:noProof/>
          <w:color w:val="000000" w:themeColor="text1"/>
          <w:lang w:val="en-IE"/>
        </w:rPr>
      </w:pPr>
    </w:p>
    <w:p w14:paraId="5E1EBC10" w14:textId="0BDB7DF7" w:rsidR="00823E98" w:rsidRPr="00013BDC" w:rsidRDefault="00823E98" w:rsidP="00FF28C8">
      <w:pPr>
        <w:rPr>
          <w:rFonts w:eastAsia="Times New Roman"/>
          <w:i/>
          <w:noProof/>
          <w:color w:val="000000" w:themeColor="text1"/>
          <w:u w:val="single"/>
          <w:lang w:val="en-IE"/>
        </w:rPr>
      </w:pPr>
      <w:r w:rsidRPr="00013BDC">
        <w:rPr>
          <w:rFonts w:eastAsia="Times New Roman"/>
          <w:i/>
          <w:noProof/>
          <w:color w:val="000000" w:themeColor="text1"/>
          <w:u w:val="single"/>
          <w:lang w:val="en-IE"/>
        </w:rPr>
        <w:t xml:space="preserve">Sorting </w:t>
      </w:r>
      <w:r w:rsidR="003A4CF3" w:rsidRPr="00013BDC">
        <w:rPr>
          <w:rFonts w:eastAsia="Times New Roman"/>
          <w:i/>
          <w:noProof/>
          <w:color w:val="000000" w:themeColor="text1"/>
          <w:u w:val="single"/>
          <w:lang w:val="en-IE"/>
        </w:rPr>
        <w:t>capacity</w:t>
      </w:r>
      <w:r w:rsidRPr="00013BDC">
        <w:rPr>
          <w:rFonts w:eastAsia="Times New Roman"/>
          <w:i/>
          <w:noProof/>
          <w:color w:val="000000" w:themeColor="text1"/>
          <w:u w:val="single"/>
          <w:lang w:val="en-IE"/>
        </w:rPr>
        <w:t xml:space="preserve"> in the EU</w:t>
      </w:r>
    </w:p>
    <w:p w14:paraId="33F08FAD" w14:textId="77777777" w:rsidR="00D021BA" w:rsidRPr="00013BDC" w:rsidRDefault="00FF28C8" w:rsidP="003505C6">
      <w:pPr>
        <w:rPr>
          <w:rFonts w:eastAsia="Times New Roman"/>
          <w:noProof/>
          <w:color w:val="000000" w:themeColor="text1"/>
          <w:lang w:val="en-IE"/>
        </w:rPr>
      </w:pPr>
      <w:r w:rsidRPr="00013BDC">
        <w:rPr>
          <w:rFonts w:eastAsia="Times New Roman"/>
          <w:noProof/>
          <w:color w:val="000000" w:themeColor="text1"/>
          <w:lang w:val="en-IE"/>
        </w:rPr>
        <w:t>According to information collected from the JRC, McKinsey &amp; Company, EURIC, Member State reports and a specific questionnaire table sent to Member States as part of this study, separate collection of clothing and household textiles as well as textiles</w:t>
      </w:r>
      <w:r w:rsidR="004325B8" w:rsidRPr="00013BDC">
        <w:rPr>
          <w:rFonts w:eastAsia="Times New Roman"/>
          <w:noProof/>
          <w:color w:val="000000" w:themeColor="text1"/>
          <w:lang w:val="en-IE"/>
        </w:rPr>
        <w:t>,</w:t>
      </w:r>
      <w:r w:rsidRPr="00013BDC">
        <w:rPr>
          <w:rFonts w:eastAsia="Times New Roman"/>
          <w:noProof/>
          <w:color w:val="000000" w:themeColor="text1"/>
          <w:lang w:val="en-IE"/>
        </w:rPr>
        <w:t xml:space="preserve"> sorting capacity </w:t>
      </w:r>
      <w:r w:rsidR="003505C6" w:rsidRPr="00013BDC">
        <w:rPr>
          <w:rFonts w:eastAsia="Times New Roman"/>
          <w:noProof/>
          <w:color w:val="000000" w:themeColor="text1"/>
          <w:lang w:val="en-IE"/>
        </w:rPr>
        <w:t xml:space="preserve">stands around 1.52 Mt/year, </w:t>
      </w:r>
      <w:r w:rsidRPr="00013BDC">
        <w:rPr>
          <w:rFonts w:eastAsia="Times New Roman"/>
          <w:noProof/>
          <w:color w:val="000000" w:themeColor="text1"/>
          <w:lang w:val="en-IE"/>
        </w:rPr>
        <w:t>as specified in the table below</w:t>
      </w:r>
      <w:r w:rsidR="00D021BA" w:rsidRPr="00013BDC">
        <w:rPr>
          <w:rFonts w:eastAsia="Times New Roman"/>
          <w:noProof/>
          <w:color w:val="000000" w:themeColor="text1"/>
          <w:lang w:val="en-IE"/>
        </w:rPr>
        <w:t>.</w:t>
      </w:r>
    </w:p>
    <w:p w14:paraId="7156FC29" w14:textId="094D4D17" w:rsidR="0077387C" w:rsidRPr="00013BDC" w:rsidRDefault="0077387C" w:rsidP="003505C6">
      <w:pPr>
        <w:rPr>
          <w:rFonts w:eastAsia="Times New Roman"/>
          <w:noProof/>
          <w:color w:val="000000" w:themeColor="text1"/>
          <w:lang w:val="en-IE"/>
        </w:rPr>
      </w:pPr>
      <w:r w:rsidRPr="00013BDC">
        <w:rPr>
          <w:rFonts w:eastAsia="Times New Roman"/>
          <w:noProof/>
          <w:color w:val="000000" w:themeColor="text1"/>
          <w:lang w:val="en-IE"/>
        </w:rPr>
        <w:t>I</w:t>
      </w:r>
      <w:r w:rsidRPr="00013BDC">
        <w:rPr>
          <w:rFonts w:eastAsia="Times New Roman"/>
          <w:noProof/>
          <w:lang w:val="en-IE"/>
        </w:rPr>
        <w:t xml:space="preserve">n his recent study, JRC has recently </w:t>
      </w:r>
      <w:r w:rsidR="005454B0" w:rsidRPr="00013BDC">
        <w:rPr>
          <w:rFonts w:eastAsia="Times New Roman"/>
          <w:noProof/>
          <w:lang w:val="en-IE"/>
        </w:rPr>
        <w:t xml:space="preserve">calculated a higher share, </w:t>
      </w:r>
      <w:r w:rsidRPr="00013BDC">
        <w:rPr>
          <w:rFonts w:eastAsia="Times New Roman"/>
          <w:noProof/>
          <w:lang w:val="en-IE"/>
        </w:rPr>
        <w:t>estimat</w:t>
      </w:r>
      <w:r w:rsidR="005454B0" w:rsidRPr="00013BDC">
        <w:rPr>
          <w:rFonts w:eastAsia="Times New Roman"/>
          <w:noProof/>
          <w:lang w:val="en-IE"/>
        </w:rPr>
        <w:t>ing</w:t>
      </w:r>
      <w:r w:rsidRPr="00013BDC">
        <w:rPr>
          <w:rFonts w:eastAsia="Times New Roman"/>
          <w:noProof/>
          <w:lang w:val="en-IE"/>
        </w:rPr>
        <w:t xml:space="preserve"> at </w:t>
      </w:r>
      <w:r w:rsidRPr="00013BDC">
        <w:rPr>
          <w:rFonts w:eastAsia="Times New Roman"/>
          <w:b/>
          <w:noProof/>
          <w:lang w:val="en-IE"/>
        </w:rPr>
        <w:t>1.77 the sorting capacity</w:t>
      </w:r>
      <w:r w:rsidR="00D706F8" w:rsidRPr="00013BDC">
        <w:rPr>
          <w:rFonts w:eastAsia="Times New Roman"/>
          <w:b/>
          <w:noProof/>
          <w:lang w:val="en-IE"/>
        </w:rPr>
        <w:t xml:space="preserve"> for textile waste in the EU</w:t>
      </w:r>
      <w:r w:rsidR="00D706F8" w:rsidRPr="00013BDC">
        <w:rPr>
          <w:rStyle w:val="FootnoteReference"/>
          <w:rFonts w:eastAsia="Times New Roman"/>
          <w:noProof/>
          <w:lang w:val="en-IE"/>
        </w:rPr>
        <w:footnoteReference w:id="206"/>
      </w:r>
    </w:p>
    <w:p w14:paraId="61A6A5D1" w14:textId="6EC46169" w:rsidR="00AD3112" w:rsidRPr="00013BDC" w:rsidRDefault="00AD3112" w:rsidP="00AD3112">
      <w:pPr>
        <w:pStyle w:val="Caption"/>
        <w:rPr>
          <w:noProof/>
          <w:shd w:val="clear" w:color="auto" w:fill="E6E6E6"/>
          <w:lang w:val="en-IE"/>
        </w:rPr>
      </w:pPr>
      <w:bookmarkStart w:id="634" w:name="_Toc133229436"/>
      <w:bookmarkStart w:id="635" w:name="_Toc139033060"/>
      <w:r w:rsidRPr="00013BDC">
        <w:rPr>
          <w:noProof/>
          <w:color w:val="auto"/>
          <w:sz w:val="24"/>
          <w:szCs w:val="24"/>
          <w:lang w:val="en-IE"/>
        </w:rPr>
        <w:t xml:space="preserve">Table </w:t>
      </w:r>
      <w:r w:rsidR="004C5576">
        <w:rPr>
          <w:noProof/>
          <w:color w:val="auto"/>
          <w:sz w:val="24"/>
          <w:szCs w:val="24"/>
        </w:rPr>
        <w:t>30</w:t>
      </w:r>
      <w:r w:rsidRPr="00013BDC">
        <w:rPr>
          <w:noProof/>
          <w:color w:val="auto"/>
          <w:sz w:val="24"/>
          <w:szCs w:val="24"/>
          <w:lang w:val="en-IE"/>
        </w:rPr>
        <w:t xml:space="preserve"> – Textile waste sorting capacity compared to collection in Member States, tonnes</w:t>
      </w:r>
      <w:bookmarkEnd w:id="634"/>
      <w:bookmarkEnd w:id="635"/>
    </w:p>
    <w:p w14:paraId="3901453F" w14:textId="77777777" w:rsidR="00FF28C8" w:rsidRPr="00013BDC" w:rsidRDefault="1CEFB5A3" w:rsidP="4F157807">
      <w:pPr>
        <w:pStyle w:val="WDBody"/>
        <w:spacing w:line="240" w:lineRule="auto"/>
        <w:jc w:val="center"/>
        <w:rPr>
          <w:rFonts w:ascii="Times New Roman" w:eastAsia="Times New Roman" w:hAnsi="Times New Roman" w:cs="Times New Roman"/>
          <w:noProof/>
          <w:color w:val="auto"/>
          <w:sz w:val="22"/>
          <w:lang w:val="en-IE"/>
        </w:rPr>
      </w:pPr>
      <w:r w:rsidRPr="00013BDC">
        <w:rPr>
          <w:noProof/>
          <w:lang w:eastAsia="en-GB"/>
        </w:rPr>
        <w:drawing>
          <wp:inline distT="0" distB="0" distL="0" distR="0" wp14:anchorId="74DC268A" wp14:editId="7DABD824">
            <wp:extent cx="2990850" cy="5724524"/>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103">
                      <a:extLst>
                        <a:ext uri="{28A0092B-C50C-407E-A947-70E740481C1C}">
                          <a14:useLocalDpi xmlns:a14="http://schemas.microsoft.com/office/drawing/2010/main" val="0"/>
                        </a:ext>
                      </a:extLst>
                    </a:blip>
                    <a:stretch>
                      <a:fillRect/>
                    </a:stretch>
                  </pic:blipFill>
                  <pic:spPr>
                    <a:xfrm>
                      <a:off x="0" y="0"/>
                      <a:ext cx="2990850" cy="5724524"/>
                    </a:xfrm>
                    <a:prstGeom prst="rect">
                      <a:avLst/>
                    </a:prstGeom>
                  </pic:spPr>
                </pic:pic>
              </a:graphicData>
            </a:graphic>
          </wp:inline>
        </w:drawing>
      </w:r>
    </w:p>
    <w:p w14:paraId="73A86EC6" w14:textId="01D8605E" w:rsidR="005D7CD8" w:rsidRPr="00013BDC" w:rsidRDefault="005D7CD8" w:rsidP="005D7CD8">
      <w:pPr>
        <w:pStyle w:val="WDBody"/>
        <w:spacing w:line="240" w:lineRule="auto"/>
        <w:jc w:val="center"/>
        <w:rPr>
          <w:rFonts w:ascii="Times New Roman" w:eastAsia="Times New Roman" w:hAnsi="Times New Roman" w:cs="Times New Roman"/>
          <w:noProof/>
          <w:color w:val="auto"/>
          <w:sz w:val="22"/>
          <w:lang w:val="en-IE"/>
        </w:rPr>
      </w:pPr>
      <w:r w:rsidRPr="00013BDC">
        <w:rPr>
          <w:rFonts w:ascii="Times New Roman" w:eastAsia="Times New Roman" w:hAnsi="Times New Roman" w:cs="Times New Roman"/>
          <w:noProof/>
          <w:color w:val="auto"/>
          <w:sz w:val="22"/>
          <w:lang w:val="en-IE"/>
        </w:rPr>
        <w:t>Source:</w:t>
      </w:r>
      <w:r w:rsidR="00FF28C8" w:rsidRPr="00013BDC">
        <w:rPr>
          <w:rFonts w:ascii="Times New Roman" w:eastAsia="Times New Roman" w:hAnsi="Times New Roman" w:cs="Times New Roman"/>
          <w:noProof/>
          <w:color w:val="auto"/>
          <w:sz w:val="22"/>
          <w:lang w:val="en-IE"/>
        </w:rPr>
        <w:t xml:space="preserve"> JRC, McKinsey &amp; Company, EURIC, Member State reports</w:t>
      </w:r>
    </w:p>
    <w:p w14:paraId="658865BE" w14:textId="77777777" w:rsidR="001E270C" w:rsidRPr="00013BDC" w:rsidRDefault="001E270C" w:rsidP="001E270C">
      <w:pPr>
        <w:pStyle w:val="WDBody"/>
        <w:spacing w:line="240" w:lineRule="auto"/>
        <w:rPr>
          <w:rFonts w:ascii="Times New Roman" w:eastAsia="Times New Roman" w:hAnsi="Times New Roman" w:cs="Times New Roman"/>
          <w:noProof/>
          <w:color w:val="auto"/>
          <w:sz w:val="22"/>
          <w:lang w:val="en-IE"/>
        </w:rPr>
      </w:pPr>
    </w:p>
    <w:p w14:paraId="416EAC12" w14:textId="0D6DE6F9" w:rsidR="00096212" w:rsidRPr="00013BDC" w:rsidRDefault="00D96247" w:rsidP="00FC73C0">
      <w:pPr>
        <w:pStyle w:val="WDBody"/>
        <w:spacing w:after="120" w:line="240" w:lineRule="auto"/>
        <w:rPr>
          <w:rFonts w:ascii="Times New Roman" w:eastAsia="Times New Roman" w:hAnsi="Times New Roman" w:cs="Times New Roman"/>
          <w:b/>
          <w:noProof/>
          <w:color w:val="000000" w:themeColor="text1"/>
          <w:sz w:val="24"/>
          <w:szCs w:val="24"/>
          <w:lang w:val="en-IE"/>
        </w:rPr>
      </w:pPr>
      <w:r w:rsidRPr="00013BDC">
        <w:rPr>
          <w:rFonts w:ascii="Times New Roman" w:hAnsi="Times New Roman" w:cs="Times New Roman"/>
          <w:b/>
          <w:noProof/>
          <w:sz w:val="24"/>
          <w:szCs w:val="24"/>
          <w:u w:val="single"/>
          <w:lang w:val="en-IE"/>
        </w:rPr>
        <w:t>Reuse</w:t>
      </w:r>
      <w:r w:rsidR="001E538E" w:rsidRPr="00013BDC">
        <w:rPr>
          <w:rFonts w:ascii="Times New Roman" w:hAnsi="Times New Roman" w:cs="Times New Roman"/>
          <w:b/>
          <w:noProof/>
          <w:sz w:val="24"/>
          <w:szCs w:val="24"/>
          <w:u w:val="single"/>
          <w:lang w:val="en-IE"/>
        </w:rPr>
        <w:t xml:space="preserve">d </w:t>
      </w:r>
      <w:r w:rsidR="4B8FEB54" w:rsidRPr="00013BDC">
        <w:rPr>
          <w:rFonts w:ascii="Times New Roman" w:hAnsi="Times New Roman" w:cs="Times New Roman"/>
          <w:b/>
          <w:noProof/>
          <w:sz w:val="24"/>
          <w:szCs w:val="24"/>
          <w:u w:val="single"/>
          <w:lang w:val="en-IE"/>
        </w:rPr>
        <w:t>textiles</w:t>
      </w:r>
    </w:p>
    <w:p w14:paraId="3DF04DC7" w14:textId="291DA86C" w:rsidR="00A902D5" w:rsidRPr="00013BDC" w:rsidRDefault="49F79206" w:rsidP="1F760E78">
      <w:pPr>
        <w:pStyle w:val="WDBody"/>
        <w:spacing w:after="120"/>
        <w:jc w:val="both"/>
        <w:rPr>
          <w:rFonts w:ascii="Times New Roman" w:eastAsia="Times New Roman" w:hAnsi="Times New Roman" w:cs="Times New Roman"/>
          <w:noProof/>
          <w:color w:val="000000" w:themeColor="text1"/>
          <w:sz w:val="24"/>
          <w:szCs w:val="24"/>
          <w:lang w:val="en-IE"/>
        </w:rPr>
      </w:pPr>
      <w:r w:rsidRPr="00013BDC">
        <w:rPr>
          <w:rFonts w:ascii="Times New Roman" w:eastAsia="Times New Roman" w:hAnsi="Times New Roman" w:cs="Times New Roman"/>
          <w:noProof/>
          <w:color w:val="000000" w:themeColor="text1"/>
          <w:sz w:val="24"/>
          <w:szCs w:val="24"/>
          <w:lang w:val="en-IE"/>
        </w:rPr>
        <w:t xml:space="preserve">Textile </w:t>
      </w:r>
      <w:r w:rsidR="00D96247" w:rsidRPr="00013BDC">
        <w:rPr>
          <w:rFonts w:ascii="Times New Roman" w:eastAsia="Times New Roman" w:hAnsi="Times New Roman" w:cs="Times New Roman"/>
          <w:noProof/>
          <w:color w:val="000000" w:themeColor="text1"/>
          <w:sz w:val="24"/>
          <w:szCs w:val="24"/>
          <w:lang w:val="en-IE"/>
        </w:rPr>
        <w:t>reuse</w:t>
      </w:r>
      <w:r w:rsidRPr="00013BDC">
        <w:rPr>
          <w:rFonts w:ascii="Times New Roman" w:eastAsia="Times New Roman" w:hAnsi="Times New Roman" w:cs="Times New Roman"/>
          <w:noProof/>
          <w:color w:val="000000" w:themeColor="text1"/>
          <w:sz w:val="24"/>
          <w:szCs w:val="24"/>
          <w:lang w:val="en-IE"/>
        </w:rPr>
        <w:t xml:space="preserve"> refers to various means for prolonging the life </w:t>
      </w:r>
      <w:r w:rsidR="73F491D8" w:rsidRPr="00013BDC">
        <w:rPr>
          <w:rFonts w:ascii="Times New Roman" w:eastAsia="Times New Roman" w:hAnsi="Times New Roman" w:cs="Times New Roman"/>
          <w:noProof/>
          <w:color w:val="000000" w:themeColor="text1"/>
          <w:sz w:val="24"/>
          <w:szCs w:val="24"/>
          <w:lang w:val="en-IE"/>
        </w:rPr>
        <w:t xml:space="preserve">span </w:t>
      </w:r>
      <w:r w:rsidRPr="00013BDC">
        <w:rPr>
          <w:rFonts w:ascii="Times New Roman" w:eastAsia="Times New Roman" w:hAnsi="Times New Roman" w:cs="Times New Roman"/>
          <w:noProof/>
          <w:color w:val="000000" w:themeColor="text1"/>
          <w:sz w:val="24"/>
          <w:szCs w:val="24"/>
          <w:lang w:val="en-IE"/>
        </w:rPr>
        <w:t>of textile products by transferring them to new owners</w:t>
      </w:r>
      <w:r w:rsidR="001E538E" w:rsidRPr="00013BDC">
        <w:rPr>
          <w:rStyle w:val="FootnoteReference"/>
          <w:rFonts w:ascii="Times New Roman" w:eastAsia="Times New Roman" w:hAnsi="Times New Roman" w:cs="Times New Roman"/>
          <w:noProof/>
          <w:color w:val="000000" w:themeColor="text1"/>
          <w:sz w:val="24"/>
          <w:szCs w:val="24"/>
          <w:lang w:val="en-IE"/>
        </w:rPr>
        <w:footnoteReference w:id="207"/>
      </w:r>
      <w:r w:rsidRPr="00013BDC">
        <w:rPr>
          <w:rFonts w:ascii="Times New Roman" w:eastAsia="Times New Roman" w:hAnsi="Times New Roman" w:cs="Times New Roman"/>
          <w:noProof/>
          <w:color w:val="000000" w:themeColor="text1"/>
          <w:sz w:val="24"/>
          <w:szCs w:val="24"/>
          <w:lang w:val="en-IE"/>
        </w:rPr>
        <w:t>, with or without prior modification (e.g.</w:t>
      </w:r>
      <w:r w:rsidR="009F3E63" w:rsidRPr="00013BDC">
        <w:rPr>
          <w:rFonts w:ascii="Times New Roman" w:eastAsia="Times New Roman" w:hAnsi="Times New Roman" w:cs="Times New Roman"/>
          <w:noProof/>
          <w:color w:val="000000" w:themeColor="text1"/>
          <w:sz w:val="24"/>
          <w:szCs w:val="24"/>
          <w:lang w:val="en-IE"/>
        </w:rPr>
        <w:t>,</w:t>
      </w:r>
      <w:r w:rsidRPr="00013BDC">
        <w:rPr>
          <w:rFonts w:ascii="Times New Roman" w:eastAsia="Times New Roman" w:hAnsi="Times New Roman" w:cs="Times New Roman"/>
          <w:noProof/>
          <w:color w:val="000000" w:themeColor="text1"/>
          <w:sz w:val="24"/>
          <w:szCs w:val="24"/>
          <w:lang w:val="en-IE"/>
        </w:rPr>
        <w:t xml:space="preserve"> mending). This can for example</w:t>
      </w:r>
      <w:r w:rsidRPr="00013BDC">
        <w:rPr>
          <w:rFonts w:ascii="Times New Roman" w:eastAsia="Segoe UI" w:hAnsi="Times New Roman" w:cs="Times New Roman"/>
          <w:noProof/>
          <w:color w:val="000000" w:themeColor="text1"/>
          <w:sz w:val="24"/>
          <w:szCs w:val="24"/>
          <w:lang w:val="en-IE"/>
        </w:rPr>
        <w:t xml:space="preserve"> </w:t>
      </w:r>
      <w:r w:rsidRPr="00013BDC">
        <w:rPr>
          <w:rFonts w:ascii="Times New Roman" w:eastAsia="Times New Roman" w:hAnsi="Times New Roman" w:cs="Times New Roman"/>
          <w:noProof/>
          <w:color w:val="000000" w:themeColor="text1"/>
          <w:sz w:val="24"/>
          <w:szCs w:val="24"/>
          <w:lang w:val="en-IE"/>
        </w:rPr>
        <w:t>be done through renting, trading, swapping, borrowing and inheriting, facilitated by, for example, second-hand shops, flea markets, garage sales, online marketplaces, charities and clothing libraries. In the academic literature, various forms of reuse have been conceptualised in terms such</w:t>
      </w:r>
      <w:r w:rsidRPr="00013BDC">
        <w:rPr>
          <w:rFonts w:ascii="Times New Roman" w:hAnsi="Times New Roman"/>
          <w:noProof/>
          <w:color w:val="000000" w:themeColor="text1"/>
          <w:sz w:val="24"/>
          <w:szCs w:val="24"/>
          <w:lang w:val="en-IE"/>
        </w:rPr>
        <w:t xml:space="preserve"> </w:t>
      </w:r>
      <w:r w:rsidRPr="00013BDC">
        <w:rPr>
          <w:rFonts w:ascii="Times New Roman" w:eastAsia="Times New Roman" w:hAnsi="Times New Roman" w:cs="Times New Roman"/>
          <w:noProof/>
          <w:color w:val="000000" w:themeColor="text1"/>
          <w:sz w:val="24"/>
          <w:szCs w:val="24"/>
          <w:lang w:val="en-IE"/>
        </w:rPr>
        <w:t>as collaborative consumption, product-service systems, commercial sharing systems and access-based consumption</w:t>
      </w:r>
      <w:r w:rsidR="68FCE1EA" w:rsidRPr="00013BDC">
        <w:rPr>
          <w:rFonts w:ascii="Times New Roman" w:eastAsia="Times New Roman" w:hAnsi="Times New Roman" w:cs="Times New Roman"/>
          <w:noProof/>
          <w:color w:val="000000" w:themeColor="text1"/>
          <w:sz w:val="24"/>
          <w:szCs w:val="24"/>
          <w:lang w:val="en-IE"/>
        </w:rPr>
        <w:t>.</w:t>
      </w:r>
      <w:r w:rsidR="001E538E" w:rsidRPr="00013BDC">
        <w:rPr>
          <w:rStyle w:val="FootnoteReference"/>
          <w:rFonts w:ascii="Times New Roman" w:eastAsia="Times New Roman" w:hAnsi="Times New Roman" w:cs="Times New Roman"/>
          <w:noProof/>
          <w:color w:val="000000" w:themeColor="text1"/>
          <w:sz w:val="24"/>
          <w:szCs w:val="24"/>
          <w:lang w:val="en-IE"/>
        </w:rPr>
        <w:footnoteReference w:id="208"/>
      </w:r>
      <w:r w:rsidR="3E3C14CF" w:rsidRPr="00013BDC">
        <w:rPr>
          <w:rFonts w:ascii="Times New Roman" w:eastAsia="Times New Roman" w:hAnsi="Times New Roman" w:cs="Times New Roman"/>
          <w:noProof/>
          <w:color w:val="000000" w:themeColor="text1"/>
          <w:sz w:val="24"/>
          <w:szCs w:val="24"/>
          <w:lang w:val="en-IE"/>
        </w:rPr>
        <w:t xml:space="preserve"> </w:t>
      </w:r>
    </w:p>
    <w:p w14:paraId="1B92235A" w14:textId="22E48A12" w:rsidR="00052332" w:rsidRPr="00013BDC" w:rsidRDefault="557FBD4F" w:rsidP="1F760E78">
      <w:pPr>
        <w:spacing w:after="120"/>
        <w:rPr>
          <w:noProof/>
          <w:lang w:val="en-IE"/>
        </w:rPr>
      </w:pPr>
      <w:bookmarkStart w:id="636" w:name="_Hlk126845691"/>
      <w:r w:rsidRPr="00013BDC">
        <w:rPr>
          <w:noProof/>
          <w:lang w:val="en-IE"/>
        </w:rPr>
        <w:t xml:space="preserve">There are variations in the assessment of reusability of </w:t>
      </w:r>
      <w:r w:rsidR="00E77051" w:rsidRPr="00013BDC">
        <w:rPr>
          <w:noProof/>
          <w:lang w:val="en-IE"/>
        </w:rPr>
        <w:t xml:space="preserve">discarded </w:t>
      </w:r>
      <w:r w:rsidR="2D4278F3" w:rsidRPr="00013BDC">
        <w:rPr>
          <w:noProof/>
          <w:lang w:val="en-IE"/>
        </w:rPr>
        <w:t>textiles</w:t>
      </w:r>
      <w:r w:rsidR="00E77051" w:rsidRPr="00013BDC">
        <w:rPr>
          <w:noProof/>
          <w:lang w:val="en-IE"/>
        </w:rPr>
        <w:t>,</w:t>
      </w:r>
      <w:r w:rsidR="7234E7B0" w:rsidRPr="00013BDC">
        <w:rPr>
          <w:noProof/>
          <w:lang w:val="en-IE"/>
        </w:rPr>
        <w:t xml:space="preserve"> particularly focussing on clothing and household textiles</w:t>
      </w:r>
      <w:r w:rsidR="00E77051" w:rsidRPr="00013BDC">
        <w:rPr>
          <w:noProof/>
          <w:lang w:val="en-IE"/>
        </w:rPr>
        <w:t xml:space="preserve"> </w:t>
      </w:r>
      <w:r w:rsidR="00CC3EC0" w:rsidRPr="00013BDC">
        <w:rPr>
          <w:noProof/>
          <w:lang w:val="en-IE"/>
        </w:rPr>
        <w:t>–</w:t>
      </w:r>
      <w:r w:rsidR="2D4278F3" w:rsidRPr="00013BDC">
        <w:rPr>
          <w:noProof/>
          <w:lang w:val="en-IE"/>
        </w:rPr>
        <w:t xml:space="preserve"> with values</w:t>
      </w:r>
      <w:r w:rsidR="0C666EC5" w:rsidRPr="00013BDC">
        <w:rPr>
          <w:noProof/>
          <w:lang w:val="en-IE"/>
        </w:rPr>
        <w:t xml:space="preserve"> of</w:t>
      </w:r>
      <w:r w:rsidR="2D4278F3" w:rsidRPr="00013BDC">
        <w:rPr>
          <w:noProof/>
          <w:lang w:val="en-IE"/>
        </w:rPr>
        <w:t xml:space="preserve"> </w:t>
      </w:r>
      <w:r w:rsidR="0A17AF60" w:rsidRPr="00013BDC">
        <w:rPr>
          <w:noProof/>
          <w:lang w:val="en-IE"/>
        </w:rPr>
        <w:t>45%</w:t>
      </w:r>
      <w:r w:rsidR="001E538E" w:rsidRPr="00013BDC">
        <w:rPr>
          <w:noProof/>
          <w:vertAlign w:val="superscript"/>
          <w:lang w:val="en-IE"/>
        </w:rPr>
        <w:footnoteReference w:id="209"/>
      </w:r>
      <w:r w:rsidR="0C666EC5" w:rsidRPr="00013BDC">
        <w:rPr>
          <w:noProof/>
          <w:lang w:val="en-IE"/>
        </w:rPr>
        <w:t>,</w:t>
      </w:r>
      <w:r w:rsidR="4631F0EA" w:rsidRPr="00013BDC">
        <w:rPr>
          <w:noProof/>
          <w:lang w:val="en-IE"/>
        </w:rPr>
        <w:t xml:space="preserve"> </w:t>
      </w:r>
      <w:r w:rsidR="0C666EC5" w:rsidRPr="00013BDC">
        <w:rPr>
          <w:rFonts w:eastAsia="Times New Roman"/>
          <w:noProof/>
          <w:color w:val="000000" w:themeColor="text1"/>
          <w:lang w:val="en-IE"/>
        </w:rPr>
        <w:t>50 to 60%</w:t>
      </w:r>
      <w:r w:rsidR="00E16008" w:rsidRPr="00013BDC">
        <w:rPr>
          <w:rStyle w:val="FootnoteReference"/>
          <w:rFonts w:eastAsia="Times New Roman"/>
          <w:noProof/>
          <w:color w:val="000000" w:themeColor="text1"/>
          <w:lang w:val="en-IE"/>
        </w:rPr>
        <w:footnoteReference w:id="210"/>
      </w:r>
      <w:r w:rsidR="0C666EC5" w:rsidRPr="00013BDC">
        <w:rPr>
          <w:rFonts w:eastAsia="Times New Roman"/>
          <w:noProof/>
          <w:color w:val="000000" w:themeColor="text1"/>
          <w:lang w:val="en-IE"/>
        </w:rPr>
        <w:t xml:space="preserve"> </w:t>
      </w:r>
      <w:r w:rsidR="3CD42BD8" w:rsidRPr="00013BDC">
        <w:rPr>
          <w:noProof/>
          <w:lang w:val="en-IE"/>
        </w:rPr>
        <w:t>and</w:t>
      </w:r>
      <w:r w:rsidR="43119ADE" w:rsidRPr="00013BDC">
        <w:rPr>
          <w:noProof/>
          <w:lang w:val="en-IE"/>
        </w:rPr>
        <w:t xml:space="preserve"> </w:t>
      </w:r>
      <w:r w:rsidR="4631F0EA" w:rsidRPr="00013BDC">
        <w:rPr>
          <w:noProof/>
          <w:lang w:val="en-IE"/>
        </w:rPr>
        <w:t>65%</w:t>
      </w:r>
      <w:r w:rsidR="001E538E" w:rsidRPr="00013BDC">
        <w:rPr>
          <w:noProof/>
          <w:vertAlign w:val="superscript"/>
          <w:lang w:val="en-IE"/>
        </w:rPr>
        <w:footnoteReference w:id="211"/>
      </w:r>
      <w:r w:rsidR="3CD42BD8" w:rsidRPr="00013BDC">
        <w:rPr>
          <w:noProof/>
          <w:lang w:val="en-IE"/>
        </w:rPr>
        <w:t xml:space="preserve"> quoted. </w:t>
      </w:r>
      <w:r w:rsidR="00FC73C0" w:rsidRPr="00013BDC">
        <w:rPr>
          <w:noProof/>
          <w:lang w:val="en-IE"/>
        </w:rPr>
        <w:t xml:space="preserve">A </w:t>
      </w:r>
      <w:r w:rsidR="5E412AFE" w:rsidRPr="00013BDC">
        <w:rPr>
          <w:rFonts w:eastAsia="Times New Roman"/>
          <w:noProof/>
          <w:color w:val="000000" w:themeColor="text1"/>
          <w:lang w:val="en-IE"/>
        </w:rPr>
        <w:t>JRC study</w:t>
      </w:r>
      <w:r w:rsidR="00FC73C0" w:rsidRPr="00013BDC">
        <w:rPr>
          <w:rStyle w:val="FootnoteReference"/>
          <w:rFonts w:eastAsia="Times New Roman"/>
          <w:noProof/>
          <w:color w:val="000000" w:themeColor="text1"/>
          <w:lang w:val="en-IE"/>
        </w:rPr>
        <w:footnoteReference w:id="212"/>
      </w:r>
      <w:r w:rsidR="5E412AFE" w:rsidRPr="00013BDC">
        <w:rPr>
          <w:rFonts w:eastAsia="Times New Roman"/>
          <w:noProof/>
          <w:color w:val="000000" w:themeColor="text1"/>
          <w:lang w:val="en-IE"/>
        </w:rPr>
        <w:t xml:space="preserve"> reports that </w:t>
      </w:r>
      <w:r w:rsidR="00D96247" w:rsidRPr="00013BDC">
        <w:rPr>
          <w:rFonts w:eastAsia="Times New Roman"/>
          <w:b/>
          <w:noProof/>
          <w:color w:val="000000" w:themeColor="text1"/>
          <w:lang w:val="en-IE"/>
        </w:rPr>
        <w:t>reuse</w:t>
      </w:r>
      <w:r w:rsidR="5E412AFE" w:rsidRPr="00013BDC">
        <w:rPr>
          <w:rFonts w:eastAsia="Times New Roman"/>
          <w:b/>
          <w:noProof/>
          <w:color w:val="000000" w:themeColor="text1"/>
          <w:lang w:val="en-IE"/>
        </w:rPr>
        <w:t xml:space="preserve"> shares </w:t>
      </w:r>
      <w:r w:rsidR="00E77051" w:rsidRPr="00013BDC">
        <w:rPr>
          <w:rFonts w:eastAsia="Times New Roman"/>
          <w:b/>
          <w:noProof/>
          <w:color w:val="000000" w:themeColor="text1"/>
          <w:lang w:val="en-IE"/>
        </w:rPr>
        <w:t xml:space="preserve">of separately collected textiles </w:t>
      </w:r>
      <w:r w:rsidR="5E412AFE" w:rsidRPr="00013BDC">
        <w:rPr>
          <w:rFonts w:eastAsia="Times New Roman"/>
          <w:b/>
          <w:noProof/>
          <w:color w:val="000000" w:themeColor="text1"/>
          <w:lang w:val="en-IE"/>
        </w:rPr>
        <w:t>typically range between 50 % and 75 % depending on the country</w:t>
      </w:r>
      <w:r w:rsidR="5E412AFE" w:rsidRPr="00013BDC">
        <w:rPr>
          <w:rFonts w:eastAsia="Times New Roman"/>
          <w:noProof/>
          <w:color w:val="000000" w:themeColor="text1"/>
          <w:lang w:val="en-IE"/>
        </w:rPr>
        <w:t xml:space="preserve"> where the textiles were collected</w:t>
      </w:r>
      <w:r w:rsidR="6C9BC23D" w:rsidRPr="00013BDC">
        <w:rPr>
          <w:rFonts w:eastAsia="Times New Roman"/>
          <w:noProof/>
          <w:color w:val="000000" w:themeColor="text1"/>
          <w:lang w:val="en-IE"/>
        </w:rPr>
        <w:t>.</w:t>
      </w:r>
      <w:r w:rsidR="5E412AFE" w:rsidRPr="00013BDC">
        <w:rPr>
          <w:rFonts w:eastAsia="Times New Roman"/>
          <w:noProof/>
          <w:color w:val="000000" w:themeColor="text1"/>
          <w:lang w:val="en-IE"/>
        </w:rPr>
        <w:t xml:space="preserve"> It is useful to consider that Commission Implementing Decision (EU) 2021/19 of 18 December 2020</w:t>
      </w:r>
      <w:r w:rsidR="566AC1B8" w:rsidRPr="00013BDC">
        <w:rPr>
          <w:rFonts w:eastAsia="Times New Roman"/>
          <w:noProof/>
          <w:color w:val="000000" w:themeColor="text1"/>
          <w:lang w:val="en-IE"/>
        </w:rPr>
        <w:t xml:space="preserve"> </w:t>
      </w:r>
      <w:r w:rsidR="5E412AFE" w:rsidRPr="00013BDC">
        <w:rPr>
          <w:rFonts w:eastAsia="Times New Roman"/>
          <w:noProof/>
          <w:color w:val="000000" w:themeColor="text1"/>
          <w:lang w:val="en-IE"/>
        </w:rPr>
        <w:t xml:space="preserve">lays down a common methodology and a format for reporting on reuse. This will provide data on reuse activities and subsequently allow the effects of </w:t>
      </w:r>
      <w:r w:rsidR="00D96247" w:rsidRPr="00013BDC">
        <w:rPr>
          <w:rFonts w:eastAsia="Times New Roman"/>
          <w:noProof/>
          <w:color w:val="000000" w:themeColor="text1"/>
          <w:lang w:val="en-IE"/>
        </w:rPr>
        <w:t>reuse</w:t>
      </w:r>
      <w:r w:rsidR="5E412AFE" w:rsidRPr="00013BDC">
        <w:rPr>
          <w:rFonts w:eastAsia="Times New Roman"/>
          <w:noProof/>
          <w:color w:val="000000" w:themeColor="text1"/>
          <w:lang w:val="en-IE"/>
        </w:rPr>
        <w:t xml:space="preserve"> activities on waste reduction to be assessed.</w:t>
      </w:r>
    </w:p>
    <w:bookmarkEnd w:id="636"/>
    <w:p w14:paraId="32A41AC3" w14:textId="04CF3E2E" w:rsidR="00096212" w:rsidRPr="00013BDC" w:rsidRDefault="4B8FEB54" w:rsidP="00166FFB">
      <w:pPr>
        <w:spacing w:after="120"/>
        <w:rPr>
          <w:rFonts w:eastAsia="Times New Roman"/>
          <w:noProof/>
          <w:color w:val="000000" w:themeColor="text1"/>
          <w:lang w:val="en-IE"/>
        </w:rPr>
      </w:pPr>
      <w:r w:rsidRPr="00013BDC">
        <w:rPr>
          <w:rFonts w:eastAsia="Times New Roman"/>
          <w:noProof/>
          <w:color w:val="000000" w:themeColor="text1"/>
          <w:lang w:val="en-IE"/>
        </w:rPr>
        <w:t xml:space="preserve">The </w:t>
      </w:r>
      <w:r w:rsidR="00D96247" w:rsidRPr="00013BDC">
        <w:rPr>
          <w:rFonts w:eastAsia="Times New Roman"/>
          <w:noProof/>
          <w:color w:val="000000" w:themeColor="text1"/>
          <w:lang w:val="en-IE"/>
        </w:rPr>
        <w:t>reuse</w:t>
      </w:r>
      <w:r w:rsidRPr="00013BDC">
        <w:rPr>
          <w:rFonts w:eastAsia="Times New Roman"/>
          <w:noProof/>
          <w:color w:val="000000" w:themeColor="text1"/>
          <w:lang w:val="en-IE"/>
        </w:rPr>
        <w:t xml:space="preserve"> textiles sector is highly competitive </w:t>
      </w:r>
      <w:r w:rsidR="00997412" w:rsidRPr="00013BDC">
        <w:rPr>
          <w:rFonts w:eastAsia="Times New Roman"/>
          <w:noProof/>
          <w:color w:val="000000" w:themeColor="text1"/>
          <w:lang w:val="en-IE"/>
        </w:rPr>
        <w:t>as it is the most profitable use of used textiles. D</w:t>
      </w:r>
      <w:r w:rsidRPr="00013BDC">
        <w:rPr>
          <w:rFonts w:eastAsia="Times New Roman"/>
          <w:noProof/>
          <w:color w:val="000000" w:themeColor="text1"/>
          <w:lang w:val="en-IE"/>
        </w:rPr>
        <w:t xml:space="preserve">ifferent actors are </w:t>
      </w:r>
      <w:r w:rsidR="00997412" w:rsidRPr="00013BDC">
        <w:rPr>
          <w:rFonts w:eastAsia="Times New Roman"/>
          <w:noProof/>
          <w:color w:val="000000" w:themeColor="text1"/>
          <w:lang w:val="en-IE"/>
        </w:rPr>
        <w:t>involved in this</w:t>
      </w:r>
      <w:r w:rsidRPr="00013BDC">
        <w:rPr>
          <w:rFonts w:eastAsia="Times New Roman"/>
          <w:noProof/>
          <w:color w:val="000000" w:themeColor="text1"/>
          <w:lang w:val="en-IE"/>
        </w:rPr>
        <w:t xml:space="preserve"> step:</w:t>
      </w:r>
    </w:p>
    <w:p w14:paraId="561E481D" w14:textId="6195717E" w:rsidR="00096212" w:rsidRPr="00013BDC" w:rsidRDefault="79F4D5A8"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Charities</w:t>
      </w:r>
      <w:r w:rsidRPr="00013BDC">
        <w:rPr>
          <w:rFonts w:eastAsia="Times New Roman"/>
          <w:noProof/>
          <w:color w:val="000000" w:themeColor="text1"/>
          <w:lang w:val="en-IE"/>
        </w:rPr>
        <w:t>: sort and sell used textiles for non-profit-making purposes</w:t>
      </w:r>
      <w:r w:rsidR="78908AAF" w:rsidRPr="00013BDC">
        <w:rPr>
          <w:rFonts w:eastAsia="Times New Roman"/>
          <w:noProof/>
          <w:color w:val="000000" w:themeColor="text1"/>
          <w:lang w:val="en-IE"/>
        </w:rPr>
        <w:t>.</w:t>
      </w:r>
      <w:r w:rsidRPr="00013BDC">
        <w:rPr>
          <w:rFonts w:eastAsia="Times New Roman"/>
          <w:noProof/>
          <w:color w:val="000000" w:themeColor="text1"/>
          <w:lang w:val="en-IE"/>
        </w:rPr>
        <w:t xml:space="preserve"> On average, a social enterprise creates 20-35 jobs per 1</w:t>
      </w:r>
      <w:r w:rsidR="002261AC" w:rsidRPr="00013BDC">
        <w:rPr>
          <w:rFonts w:eastAsia="Times New Roman"/>
          <w:noProof/>
          <w:color w:val="000000" w:themeColor="text1"/>
          <w:lang w:val="en-IE"/>
        </w:rPr>
        <w:t xml:space="preserve"> </w:t>
      </w:r>
      <w:r w:rsidRPr="00013BDC">
        <w:rPr>
          <w:rFonts w:eastAsia="Times New Roman"/>
          <w:noProof/>
          <w:color w:val="000000" w:themeColor="text1"/>
          <w:lang w:val="en-IE"/>
        </w:rPr>
        <w:t xml:space="preserve">000 tonnes of collected textiles with a view </w:t>
      </w:r>
      <w:r w:rsidR="008D2FF9" w:rsidRPr="00013BDC">
        <w:rPr>
          <w:rFonts w:eastAsia="Times New Roman"/>
          <w:noProof/>
          <w:color w:val="000000" w:themeColor="text1"/>
          <w:lang w:val="en-IE"/>
        </w:rPr>
        <w:t xml:space="preserve">to </w:t>
      </w:r>
      <w:r w:rsidR="00D96247" w:rsidRPr="00013BDC">
        <w:rPr>
          <w:rFonts w:eastAsia="Times New Roman"/>
          <w:noProof/>
          <w:color w:val="000000" w:themeColor="text1"/>
          <w:lang w:val="en-IE"/>
        </w:rPr>
        <w:t>reuse</w:t>
      </w:r>
      <w:r w:rsidR="005B03E0" w:rsidRPr="00013BDC">
        <w:rPr>
          <w:rStyle w:val="FootnoteReference"/>
          <w:rFonts w:eastAsia="Times New Roman"/>
          <w:noProof/>
          <w:color w:val="000000" w:themeColor="text1"/>
          <w:lang w:val="en-IE"/>
        </w:rPr>
        <w:footnoteReference w:id="213"/>
      </w:r>
      <w:r w:rsidR="78908AAF" w:rsidRPr="00013BDC">
        <w:rPr>
          <w:rFonts w:eastAsia="Times New Roman"/>
          <w:noProof/>
          <w:color w:val="000000" w:themeColor="text1"/>
          <w:lang w:val="en-IE"/>
        </w:rPr>
        <w:t>.</w:t>
      </w:r>
    </w:p>
    <w:p w14:paraId="627FCEC4" w14:textId="375D7E0E" w:rsidR="00096212" w:rsidRPr="00013BDC" w:rsidRDefault="00997412"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 xml:space="preserve">Direct </w:t>
      </w:r>
      <w:r w:rsidR="00D96247" w:rsidRPr="00013BDC">
        <w:rPr>
          <w:rFonts w:eastAsia="Times New Roman"/>
          <w:b/>
          <w:noProof/>
          <w:color w:val="000000" w:themeColor="text1"/>
          <w:lang w:val="en-IE"/>
        </w:rPr>
        <w:t>reuse</w:t>
      </w:r>
      <w:r w:rsidR="0298B440" w:rsidRPr="00013BDC">
        <w:rPr>
          <w:rFonts w:eastAsia="Times New Roman"/>
          <w:b/>
          <w:noProof/>
          <w:color w:val="000000" w:themeColor="text1"/>
          <w:lang w:val="en-IE"/>
        </w:rPr>
        <w:t xml:space="preserve"> companies</w:t>
      </w:r>
      <w:r w:rsidR="0298B440" w:rsidRPr="00013BDC">
        <w:rPr>
          <w:rFonts w:eastAsia="Times New Roman"/>
          <w:noProof/>
          <w:color w:val="000000" w:themeColor="text1"/>
          <w:lang w:val="en-IE"/>
        </w:rPr>
        <w:t xml:space="preserve"> (</w:t>
      </w:r>
      <w:r w:rsidR="00D96247" w:rsidRPr="00013BDC">
        <w:rPr>
          <w:rFonts w:eastAsia="Times New Roman"/>
          <w:noProof/>
          <w:color w:val="000000" w:themeColor="text1"/>
          <w:lang w:val="en-IE"/>
        </w:rPr>
        <w:t>reuse</w:t>
      </w:r>
      <w:r w:rsidR="0298B440" w:rsidRPr="00013BDC">
        <w:rPr>
          <w:rFonts w:eastAsia="Times New Roman"/>
          <w:noProof/>
          <w:color w:val="000000" w:themeColor="text1"/>
          <w:lang w:val="en-IE"/>
        </w:rPr>
        <w:t xml:space="preserve"> organisations, second-hand shops and retailers, etc.)</w:t>
      </w:r>
      <w:r w:rsidRPr="00013BDC">
        <w:rPr>
          <w:rFonts w:eastAsia="Times New Roman"/>
          <w:noProof/>
          <w:color w:val="000000" w:themeColor="text1"/>
          <w:lang w:val="en-IE"/>
        </w:rPr>
        <w:t xml:space="preserve"> sell used </w:t>
      </w:r>
      <w:r w:rsidR="0298B440" w:rsidRPr="00013BDC">
        <w:rPr>
          <w:rFonts w:eastAsia="Times New Roman"/>
          <w:noProof/>
          <w:color w:val="000000" w:themeColor="text1"/>
          <w:lang w:val="en-IE"/>
        </w:rPr>
        <w:t>textiles for profit making purposes.</w:t>
      </w:r>
      <w:r w:rsidR="0298B440" w:rsidRPr="00013BDC">
        <w:rPr>
          <w:rFonts w:eastAsia="Times New Roman"/>
          <w:noProof/>
          <w:color w:val="000000" w:themeColor="text1"/>
          <w:shd w:val="clear" w:color="auto" w:fill="E6E6E6"/>
          <w:lang w:val="en-IE"/>
        </w:rPr>
        <w:t xml:space="preserve"> </w:t>
      </w:r>
    </w:p>
    <w:p w14:paraId="1786AC5C" w14:textId="2477561F" w:rsidR="00096212" w:rsidRPr="00013BDC" w:rsidRDefault="0298B440" w:rsidP="00410D9F">
      <w:pPr>
        <w:pStyle w:val="ListParagraph"/>
        <w:numPr>
          <w:ilvl w:val="0"/>
          <w:numId w:val="8"/>
        </w:numPr>
        <w:rPr>
          <w:rFonts w:eastAsia="Times New Roman"/>
          <w:noProof/>
          <w:color w:val="000000" w:themeColor="text1"/>
          <w:lang w:val="en-IE"/>
        </w:rPr>
      </w:pPr>
      <w:r w:rsidRPr="00013BDC">
        <w:rPr>
          <w:rFonts w:eastAsia="Times New Roman"/>
          <w:b/>
          <w:noProof/>
          <w:color w:val="000000" w:themeColor="text1"/>
          <w:lang w:val="en-IE"/>
        </w:rPr>
        <w:t xml:space="preserve">Indirect </w:t>
      </w:r>
      <w:r w:rsidR="00D96247" w:rsidRPr="00013BDC">
        <w:rPr>
          <w:rFonts w:eastAsia="Times New Roman"/>
          <w:b/>
          <w:noProof/>
          <w:color w:val="000000" w:themeColor="text1"/>
          <w:lang w:val="en-IE"/>
        </w:rPr>
        <w:t>reuse</w:t>
      </w:r>
      <w:r w:rsidRPr="00013BDC">
        <w:rPr>
          <w:rFonts w:eastAsia="Times New Roman"/>
          <w:b/>
          <w:noProof/>
          <w:color w:val="000000" w:themeColor="text1"/>
          <w:lang w:val="en-IE"/>
        </w:rPr>
        <w:t xml:space="preserve"> companies</w:t>
      </w:r>
      <w:r w:rsidRPr="00013BDC">
        <w:rPr>
          <w:rFonts w:eastAsia="Times New Roman"/>
          <w:noProof/>
          <w:color w:val="000000" w:themeColor="text1"/>
          <w:lang w:val="en-IE"/>
        </w:rPr>
        <w:t xml:space="preserve">: </w:t>
      </w:r>
      <w:r w:rsidR="00997412" w:rsidRPr="00013BDC">
        <w:rPr>
          <w:rFonts w:eastAsia="Times New Roman"/>
          <w:noProof/>
          <w:color w:val="000000" w:themeColor="text1"/>
          <w:lang w:val="en-IE"/>
        </w:rPr>
        <w:t>online</w:t>
      </w:r>
      <w:r w:rsidRPr="00013BDC">
        <w:rPr>
          <w:rFonts w:eastAsia="Times New Roman"/>
          <w:noProof/>
          <w:color w:val="000000" w:themeColor="text1"/>
          <w:lang w:val="en-IE"/>
        </w:rPr>
        <w:t xml:space="preserve"> marketplaces such as Vinted or Vestiaire </w:t>
      </w:r>
      <w:r w:rsidR="00997412" w:rsidRPr="00013BDC">
        <w:rPr>
          <w:rFonts w:eastAsia="Times New Roman"/>
          <w:noProof/>
          <w:color w:val="000000" w:themeColor="text1"/>
          <w:lang w:val="en-IE"/>
        </w:rPr>
        <w:t>C</w:t>
      </w:r>
      <w:r w:rsidRPr="00013BDC">
        <w:rPr>
          <w:rFonts w:eastAsia="Times New Roman"/>
          <w:noProof/>
          <w:color w:val="000000" w:themeColor="text1"/>
          <w:lang w:val="en-IE"/>
        </w:rPr>
        <w:t xml:space="preserve">ollective </w:t>
      </w:r>
      <w:r w:rsidR="00997412" w:rsidRPr="00013BDC">
        <w:rPr>
          <w:rFonts w:eastAsia="Times New Roman"/>
          <w:noProof/>
          <w:color w:val="000000" w:themeColor="text1"/>
          <w:lang w:val="en-IE"/>
        </w:rPr>
        <w:t xml:space="preserve">facilitate </w:t>
      </w:r>
      <w:r w:rsidRPr="00013BDC">
        <w:rPr>
          <w:rFonts w:eastAsia="Times New Roman"/>
          <w:noProof/>
          <w:color w:val="000000" w:themeColor="text1"/>
          <w:lang w:val="en-IE"/>
        </w:rPr>
        <w:t>peer-to-peer purchase</w:t>
      </w:r>
      <w:r w:rsidR="00997412" w:rsidRPr="00013BDC">
        <w:rPr>
          <w:rFonts w:eastAsia="Times New Roman"/>
          <w:noProof/>
          <w:color w:val="000000" w:themeColor="text1"/>
          <w:lang w:val="en-IE"/>
        </w:rPr>
        <w:t>s</w:t>
      </w:r>
      <w:r w:rsidRPr="00013BDC">
        <w:rPr>
          <w:rFonts w:eastAsia="Times New Roman"/>
          <w:noProof/>
          <w:color w:val="000000" w:themeColor="text1"/>
          <w:lang w:val="en-IE"/>
        </w:rPr>
        <w:t>, sale</w:t>
      </w:r>
      <w:r w:rsidR="00997412" w:rsidRPr="00013BDC">
        <w:rPr>
          <w:rFonts w:eastAsia="Times New Roman"/>
          <w:noProof/>
          <w:color w:val="000000" w:themeColor="text1"/>
          <w:lang w:val="en-IE"/>
        </w:rPr>
        <w:t>s</w:t>
      </w:r>
      <w:r w:rsidRPr="00013BDC">
        <w:rPr>
          <w:rFonts w:eastAsia="Times New Roman"/>
          <w:noProof/>
          <w:color w:val="000000" w:themeColor="text1"/>
          <w:lang w:val="en-IE"/>
        </w:rPr>
        <w:t xml:space="preserve"> and exchange of </w:t>
      </w:r>
      <w:r w:rsidR="00997412" w:rsidRPr="00013BDC">
        <w:rPr>
          <w:rFonts w:eastAsia="Times New Roman"/>
          <w:noProof/>
          <w:color w:val="000000" w:themeColor="text1"/>
          <w:lang w:val="en-IE"/>
        </w:rPr>
        <w:t>used clothing and shoes</w:t>
      </w:r>
      <w:r w:rsidRPr="00013BDC">
        <w:rPr>
          <w:rFonts w:eastAsia="Times New Roman"/>
          <w:noProof/>
          <w:color w:val="000000" w:themeColor="text1"/>
          <w:lang w:val="en-IE"/>
        </w:rPr>
        <w:t>.</w:t>
      </w:r>
      <w:r w:rsidRPr="00013BDC">
        <w:rPr>
          <w:rFonts w:eastAsia="Times New Roman"/>
          <w:noProof/>
          <w:color w:val="000000" w:themeColor="text1"/>
          <w:shd w:val="clear" w:color="auto" w:fill="E6E6E6"/>
          <w:lang w:val="en-IE"/>
        </w:rPr>
        <w:t xml:space="preserve"> </w:t>
      </w:r>
    </w:p>
    <w:p w14:paraId="1345D6AD" w14:textId="421B6DF3" w:rsidR="00096212" w:rsidRPr="00013BDC" w:rsidRDefault="79F4D5A8" w:rsidP="00166FFB">
      <w:pPr>
        <w:spacing w:after="120"/>
        <w:rPr>
          <w:rFonts w:eastAsia="Times New Roman"/>
          <w:noProof/>
          <w:color w:val="000000" w:themeColor="text1"/>
          <w:lang w:val="en-IE"/>
        </w:rPr>
      </w:pPr>
      <w:r w:rsidRPr="00013BDC">
        <w:rPr>
          <w:rFonts w:eastAsia="Times New Roman"/>
          <w:noProof/>
          <w:color w:val="000000" w:themeColor="text1"/>
          <w:lang w:val="en-IE"/>
        </w:rPr>
        <w:t xml:space="preserve">Some organisations have been </w:t>
      </w:r>
      <w:r w:rsidR="3B117450" w:rsidRPr="00013BDC">
        <w:rPr>
          <w:rFonts w:eastAsia="Times New Roman"/>
          <w:noProof/>
          <w:color w:val="000000" w:themeColor="text1"/>
          <w:lang w:val="en-IE"/>
        </w:rPr>
        <w:t>set-up</w:t>
      </w:r>
      <w:r w:rsidRPr="00013BDC">
        <w:rPr>
          <w:rFonts w:eastAsia="Times New Roman"/>
          <w:noProof/>
          <w:color w:val="000000" w:themeColor="text1"/>
          <w:lang w:val="en-IE"/>
        </w:rPr>
        <w:t xml:space="preserve"> to </w:t>
      </w:r>
      <w:r w:rsidR="3B117450" w:rsidRPr="00013BDC">
        <w:rPr>
          <w:rFonts w:eastAsia="Times New Roman"/>
          <w:noProof/>
          <w:color w:val="000000" w:themeColor="text1"/>
          <w:lang w:val="en-IE"/>
        </w:rPr>
        <w:t>promote</w:t>
      </w:r>
      <w:r w:rsidRPr="00013BDC">
        <w:rPr>
          <w:rFonts w:eastAsia="Times New Roman"/>
          <w:noProof/>
          <w:color w:val="000000" w:themeColor="text1"/>
          <w:lang w:val="en-IE"/>
        </w:rPr>
        <w:t xml:space="preserve"> the interests of </w:t>
      </w:r>
      <w:r w:rsidR="00D96247" w:rsidRPr="00013BDC">
        <w:rPr>
          <w:rFonts w:eastAsia="Times New Roman"/>
          <w:noProof/>
          <w:color w:val="000000" w:themeColor="text1"/>
          <w:lang w:val="en-IE"/>
        </w:rPr>
        <w:t>reuse</w:t>
      </w:r>
      <w:r w:rsidRPr="00013BDC">
        <w:rPr>
          <w:rFonts w:eastAsia="Times New Roman"/>
          <w:noProof/>
          <w:color w:val="000000" w:themeColor="text1"/>
          <w:lang w:val="en-IE"/>
        </w:rPr>
        <w:t xml:space="preserve"> actors. RREUSE, for example, is the international network representing social enterprises </w:t>
      </w:r>
      <w:r w:rsidR="7BEF0E31" w:rsidRPr="00013BDC">
        <w:rPr>
          <w:rFonts w:eastAsia="Times New Roman"/>
          <w:noProof/>
          <w:color w:val="000000" w:themeColor="text1"/>
          <w:lang w:val="en-IE"/>
        </w:rPr>
        <w:t xml:space="preserve">active in </w:t>
      </w:r>
      <w:r w:rsidR="00D96247" w:rsidRPr="00013BDC">
        <w:rPr>
          <w:rFonts w:eastAsia="Times New Roman"/>
          <w:noProof/>
          <w:color w:val="000000" w:themeColor="text1"/>
          <w:lang w:val="en-IE"/>
        </w:rPr>
        <w:t>reuse</w:t>
      </w:r>
      <w:r w:rsidRPr="00013BDC">
        <w:rPr>
          <w:rFonts w:eastAsia="Times New Roman"/>
          <w:noProof/>
          <w:color w:val="000000" w:themeColor="text1"/>
          <w:lang w:val="en-IE"/>
        </w:rPr>
        <w:t>, repair and recycling products, including textiles</w:t>
      </w:r>
      <w:r w:rsidR="005B03E0" w:rsidRPr="00013BDC">
        <w:rPr>
          <w:rStyle w:val="FootnoteReference"/>
          <w:rFonts w:eastAsia="Times New Roman"/>
          <w:noProof/>
          <w:color w:val="000000" w:themeColor="text1"/>
          <w:lang w:val="en-IE"/>
        </w:rPr>
        <w:footnoteReference w:id="214"/>
      </w:r>
      <w:r w:rsidR="7BEF0E31" w:rsidRPr="00013BDC">
        <w:rPr>
          <w:rFonts w:eastAsia="Times New Roman"/>
          <w:noProof/>
          <w:color w:val="000000" w:themeColor="text1"/>
          <w:lang w:val="en-IE"/>
        </w:rPr>
        <w:t>.</w:t>
      </w:r>
      <w:r w:rsidR="5E6CB322" w:rsidRPr="00013BDC">
        <w:rPr>
          <w:rFonts w:eastAsia="Times New Roman"/>
          <w:noProof/>
          <w:color w:val="000000" w:themeColor="text1"/>
          <w:lang w:val="en-IE"/>
        </w:rPr>
        <w:t xml:space="preserve"> </w:t>
      </w:r>
      <w:r w:rsidRPr="00013BDC">
        <w:rPr>
          <w:rFonts w:eastAsia="Times New Roman"/>
          <w:noProof/>
          <w:color w:val="000000" w:themeColor="text1"/>
          <w:lang w:val="en-IE"/>
        </w:rPr>
        <w:t>Many researchers are also contributing to the improvement of textile waste recycling and its reuse</w:t>
      </w:r>
      <w:r w:rsidR="005B03E0" w:rsidRPr="00013BDC">
        <w:rPr>
          <w:rStyle w:val="FootnoteReference"/>
          <w:rFonts w:eastAsia="Times New Roman"/>
          <w:noProof/>
          <w:color w:val="000000" w:themeColor="text1"/>
          <w:lang w:val="en-IE"/>
        </w:rPr>
        <w:footnoteReference w:id="215"/>
      </w:r>
      <w:r w:rsidR="001C36F3" w:rsidRPr="00013BDC">
        <w:rPr>
          <w:rFonts w:eastAsia="Times New Roman"/>
          <w:noProof/>
          <w:color w:val="000000" w:themeColor="text1"/>
          <w:lang w:val="en-IE"/>
        </w:rPr>
        <w:t>.</w:t>
      </w:r>
    </w:p>
    <w:p w14:paraId="733FAF23" w14:textId="58E38B69" w:rsidR="001E538E" w:rsidRPr="00013BDC" w:rsidRDefault="53ACB174" w:rsidP="7F1E2A27">
      <w:pPr>
        <w:spacing w:after="120"/>
        <w:rPr>
          <w:rFonts w:eastAsia="Times New Roman"/>
          <w:noProof/>
          <w:lang w:val="en-IE"/>
        </w:rPr>
      </w:pPr>
      <w:r w:rsidRPr="00013BDC">
        <w:rPr>
          <w:rFonts w:eastAsia="Times New Roman"/>
          <w:b/>
          <w:noProof/>
          <w:lang w:val="en-IE"/>
        </w:rPr>
        <w:t xml:space="preserve">The formal </w:t>
      </w:r>
      <w:r w:rsidR="00D96247" w:rsidRPr="00013BDC">
        <w:rPr>
          <w:rFonts w:eastAsia="Times New Roman"/>
          <w:b/>
          <w:noProof/>
          <w:lang w:val="en-IE"/>
        </w:rPr>
        <w:t>reuse</w:t>
      </w:r>
      <w:r w:rsidRPr="00013BDC">
        <w:rPr>
          <w:rFonts w:eastAsia="Times New Roman"/>
          <w:b/>
          <w:noProof/>
          <w:lang w:val="en-IE"/>
        </w:rPr>
        <w:t xml:space="preserve"> sector, mainly dominated by social enterprises, is currently the most active in the separate collection and manual sorting of textiles mainly for the purpose of </w:t>
      </w:r>
      <w:r w:rsidR="00D96247" w:rsidRPr="00013BDC">
        <w:rPr>
          <w:rFonts w:eastAsia="Times New Roman"/>
          <w:b/>
          <w:noProof/>
          <w:lang w:val="en-IE"/>
        </w:rPr>
        <w:t>reuse</w:t>
      </w:r>
      <w:r w:rsidRPr="00013BDC">
        <w:rPr>
          <w:rFonts w:eastAsia="Times New Roman"/>
          <w:noProof/>
          <w:lang w:val="en-IE"/>
        </w:rPr>
        <w:t xml:space="preserve">. The textiles collected need to be in a good enough state to be </w:t>
      </w:r>
      <w:r w:rsidR="00D96247" w:rsidRPr="00013BDC">
        <w:rPr>
          <w:rFonts w:eastAsia="Times New Roman"/>
          <w:noProof/>
          <w:lang w:val="en-IE"/>
        </w:rPr>
        <w:t>reuse</w:t>
      </w:r>
      <w:r w:rsidRPr="00013BDC">
        <w:rPr>
          <w:rFonts w:eastAsia="Times New Roman"/>
          <w:noProof/>
          <w:lang w:val="en-IE"/>
        </w:rPr>
        <w:t xml:space="preserve">d (and this will depend on their initial quality) but also need to be clean, dry and marketable, i.e., meeting the demand in a particular receiving market. The </w:t>
      </w:r>
      <w:r w:rsidR="00D96247" w:rsidRPr="00013BDC">
        <w:rPr>
          <w:rFonts w:eastAsia="Times New Roman"/>
          <w:noProof/>
          <w:lang w:val="en-IE"/>
        </w:rPr>
        <w:t>reuse</w:t>
      </w:r>
      <w:r w:rsidRPr="00013BDC">
        <w:rPr>
          <w:rFonts w:eastAsia="Times New Roman"/>
          <w:noProof/>
          <w:lang w:val="en-IE"/>
        </w:rPr>
        <w:t xml:space="preserve"> sector’s business model is based on the sale of the best quality textiles, the so called ‘</w:t>
      </w:r>
      <w:r w:rsidR="00AF5FD3" w:rsidRPr="00013BDC">
        <w:rPr>
          <w:rFonts w:eastAsia="Times New Roman"/>
          <w:noProof/>
          <w:lang w:val="en-IE"/>
        </w:rPr>
        <w:t>crème’</w:t>
      </w:r>
      <w:r w:rsidRPr="00013BDC">
        <w:rPr>
          <w:rFonts w:eastAsia="Times New Roman"/>
          <w:noProof/>
          <w:lang w:val="en-IE"/>
        </w:rPr>
        <w:t>.</w:t>
      </w:r>
    </w:p>
    <w:p w14:paraId="2975ED32" w14:textId="11406719" w:rsidR="005A0A41" w:rsidRPr="00013BDC" w:rsidRDefault="5E6CB322" w:rsidP="00C61FE9">
      <w:pPr>
        <w:pStyle w:val="WDBody"/>
        <w:spacing w:after="240" w:line="240" w:lineRule="auto"/>
        <w:jc w:val="both"/>
        <w:rPr>
          <w:rFonts w:ascii="Times New Roman" w:eastAsia="Times New Roman" w:hAnsi="Times New Roman" w:cs="Times New Roman"/>
          <w:noProof/>
          <w:sz w:val="24"/>
          <w:szCs w:val="24"/>
          <w:lang w:val="en-IE"/>
        </w:rPr>
      </w:pPr>
      <w:r w:rsidRPr="00013BDC">
        <w:rPr>
          <w:rFonts w:ascii="Times New Roman" w:eastAsia="Times New Roman" w:hAnsi="Times New Roman" w:cs="Times New Roman"/>
          <w:noProof/>
          <w:sz w:val="24"/>
          <w:szCs w:val="24"/>
          <w:lang w:val="en-IE"/>
        </w:rPr>
        <w:t xml:space="preserve">It is worth noting that while </w:t>
      </w:r>
      <w:r w:rsidRPr="00013BDC">
        <w:rPr>
          <w:rFonts w:ascii="Times New Roman" w:eastAsia="Times New Roman" w:hAnsi="Times New Roman" w:cs="Times New Roman"/>
          <w:b/>
          <w:noProof/>
          <w:sz w:val="24"/>
          <w:szCs w:val="24"/>
          <w:lang w:val="en-IE"/>
        </w:rPr>
        <w:t>second-hand purchases where traditionally primarily driven by the buyers’ financial situation, motivations have evolved into more complex choices driven by different factors</w:t>
      </w:r>
      <w:r w:rsidRPr="00013BDC">
        <w:rPr>
          <w:rFonts w:ascii="Times New Roman" w:eastAsia="Times New Roman" w:hAnsi="Times New Roman" w:cs="Times New Roman"/>
          <w:noProof/>
          <w:sz w:val="24"/>
          <w:szCs w:val="24"/>
          <w:lang w:val="en-IE"/>
        </w:rPr>
        <w:t>. These include economic motivations (income, household situation, frugality and prices), psychology motivations (values, image, nostalgia, desire for uniqueness</w:t>
      </w:r>
      <w:r w:rsidR="00FF5E8F" w:rsidRPr="00013BDC">
        <w:rPr>
          <w:rFonts w:ascii="Times New Roman" w:eastAsia="Times New Roman" w:hAnsi="Times New Roman" w:cs="Times New Roman"/>
          <w:noProof/>
          <w:sz w:val="24"/>
          <w:szCs w:val="24"/>
          <w:vertAlign w:val="superscript"/>
          <w:lang w:val="en-IE"/>
        </w:rPr>
        <w:footnoteReference w:id="216"/>
      </w:r>
      <w:r w:rsidRPr="00013BDC">
        <w:rPr>
          <w:rFonts w:ascii="Times New Roman" w:eastAsia="Times New Roman" w:hAnsi="Times New Roman" w:cs="Times New Roman"/>
          <w:noProof/>
          <w:sz w:val="24"/>
          <w:szCs w:val="24"/>
          <w:lang w:val="en-IE"/>
        </w:rPr>
        <w:t>, authenticity and originality, as well as peer pressure) and situational motivations (customers, sellers and general dimensions such as cultural and ethnic ideology, the image of second-hand clothes, shops and sales staff and environmental awareness)</w:t>
      </w:r>
      <w:r w:rsidR="005A0A41" w:rsidRPr="00013BDC">
        <w:rPr>
          <w:rFonts w:ascii="Times New Roman" w:eastAsia="Times New Roman" w:hAnsi="Times New Roman" w:cs="Times New Roman"/>
          <w:noProof/>
          <w:sz w:val="24"/>
          <w:szCs w:val="24"/>
          <w:vertAlign w:val="superscript"/>
          <w:lang w:val="en-IE"/>
        </w:rPr>
        <w:footnoteReference w:id="217"/>
      </w:r>
      <w:r w:rsidRPr="00013BDC">
        <w:rPr>
          <w:rFonts w:ascii="Times New Roman" w:eastAsia="Times New Roman" w:hAnsi="Times New Roman" w:cs="Times New Roman"/>
          <w:noProof/>
          <w:sz w:val="24"/>
          <w:szCs w:val="24"/>
          <w:lang w:val="en-IE"/>
        </w:rPr>
        <w:t>. Indeed, non-second-hand clothing consumers are mainly concerned with quality, cleanliness, style, and social image</w:t>
      </w:r>
      <w:r w:rsidR="005A0A41" w:rsidRPr="00013BDC">
        <w:rPr>
          <w:rFonts w:ascii="Times New Roman" w:eastAsia="Times New Roman" w:hAnsi="Times New Roman" w:cs="Times New Roman"/>
          <w:noProof/>
          <w:sz w:val="24"/>
          <w:szCs w:val="24"/>
          <w:vertAlign w:val="superscript"/>
          <w:lang w:val="en-IE"/>
        </w:rPr>
        <w:footnoteReference w:id="218"/>
      </w:r>
      <w:r w:rsidRPr="00013BDC">
        <w:rPr>
          <w:rFonts w:ascii="Times New Roman" w:eastAsia="Times New Roman" w:hAnsi="Times New Roman" w:cs="Times New Roman"/>
          <w:noProof/>
          <w:sz w:val="24"/>
          <w:szCs w:val="24"/>
          <w:lang w:val="en-IE"/>
        </w:rPr>
        <w:t xml:space="preserve">. </w:t>
      </w:r>
    </w:p>
    <w:p w14:paraId="0AEE30CA" w14:textId="72F50D75" w:rsidR="00096212" w:rsidRPr="00013BDC" w:rsidRDefault="5A2EB31A" w:rsidP="00C61FE9">
      <w:pPr>
        <w:spacing w:after="120"/>
        <w:rPr>
          <w:b/>
          <w:noProof/>
          <w:color w:val="000000" w:themeColor="text1"/>
          <w:lang w:val="en-IE"/>
        </w:rPr>
      </w:pPr>
      <w:r w:rsidRPr="00013BDC">
        <w:rPr>
          <w:b/>
          <w:noProof/>
          <w:u w:val="single"/>
          <w:lang w:val="en-IE"/>
        </w:rPr>
        <w:t>Recycling</w:t>
      </w:r>
    </w:p>
    <w:p w14:paraId="5CC8B4CF" w14:textId="3E028E18" w:rsidR="00100487" w:rsidRPr="00013BDC" w:rsidRDefault="7F0BCCC8" w:rsidP="37873745">
      <w:pPr>
        <w:spacing w:after="120"/>
        <w:rPr>
          <w:noProof/>
          <w:lang w:val="en-IE"/>
        </w:rPr>
      </w:pPr>
      <w:r w:rsidRPr="00013BDC">
        <w:rPr>
          <w:rFonts w:eastAsia="Times New Roman"/>
          <w:noProof/>
          <w:color w:val="000000" w:themeColor="text1"/>
          <w:lang w:val="en-IE"/>
        </w:rPr>
        <w:t xml:space="preserve">Textile recycling is the action of reprocessing pre- or post-consumer textile waste </w:t>
      </w:r>
      <w:r w:rsidR="2CEA58D8" w:rsidRPr="00013BDC">
        <w:rPr>
          <w:rFonts w:eastAsia="Times New Roman"/>
          <w:noProof/>
          <w:color w:val="000000" w:themeColor="text1"/>
          <w:lang w:val="en-IE"/>
        </w:rPr>
        <w:t>to obtain</w:t>
      </w:r>
      <w:r w:rsidRPr="00013BDC">
        <w:rPr>
          <w:rFonts w:eastAsia="Times New Roman"/>
          <w:noProof/>
          <w:color w:val="000000" w:themeColor="text1"/>
          <w:lang w:val="en-IE"/>
        </w:rPr>
        <w:t xml:space="preserve"> a </w:t>
      </w:r>
      <w:r w:rsidR="2CEA58D8" w:rsidRPr="00013BDC">
        <w:rPr>
          <w:rFonts w:eastAsia="Times New Roman"/>
          <w:noProof/>
          <w:color w:val="000000" w:themeColor="text1"/>
          <w:lang w:val="en-IE"/>
        </w:rPr>
        <w:t>recycled material.</w:t>
      </w:r>
      <w:r w:rsidRPr="00013BDC">
        <w:rPr>
          <w:rFonts w:eastAsia="Times New Roman"/>
          <w:noProof/>
          <w:color w:val="000000" w:themeColor="text1"/>
          <w:lang w:val="en-IE"/>
        </w:rPr>
        <w:t xml:space="preserve"> Recycled materials from non-textile products such as polyethylene terephthalate from bottles for example, can also be added in new textile products</w:t>
      </w:r>
      <w:r w:rsidR="005B03E0" w:rsidRPr="00013BDC">
        <w:rPr>
          <w:rStyle w:val="FootnoteReference"/>
          <w:rFonts w:eastAsia="Times New Roman"/>
          <w:noProof/>
          <w:color w:val="000000" w:themeColor="text1"/>
          <w:lang w:val="en-IE"/>
        </w:rPr>
        <w:footnoteReference w:id="219"/>
      </w:r>
      <w:r w:rsidR="001C36F3" w:rsidRPr="00013BDC">
        <w:rPr>
          <w:rFonts w:eastAsia="Times New Roman"/>
          <w:noProof/>
          <w:color w:val="000000" w:themeColor="text1"/>
          <w:lang w:val="en-IE"/>
        </w:rPr>
        <w:t>.</w:t>
      </w:r>
      <w:r w:rsidRPr="00013BDC">
        <w:rPr>
          <w:rFonts w:eastAsia="Times New Roman"/>
          <w:noProof/>
          <w:color w:val="000000" w:themeColor="text1"/>
          <w:lang w:val="en-IE"/>
        </w:rPr>
        <w:t xml:space="preserve"> The process of </w:t>
      </w:r>
      <w:r w:rsidRPr="00013BDC">
        <w:rPr>
          <w:rFonts w:eastAsia="Times New Roman"/>
          <w:b/>
          <w:noProof/>
          <w:color w:val="000000" w:themeColor="text1"/>
          <w:lang w:val="en-IE"/>
        </w:rPr>
        <w:t>recycling</w:t>
      </w:r>
      <w:r w:rsidRPr="00013BDC">
        <w:rPr>
          <w:rFonts w:eastAsia="Times New Roman"/>
          <w:noProof/>
          <w:color w:val="000000" w:themeColor="text1"/>
          <w:lang w:val="en-IE"/>
        </w:rPr>
        <w:t xml:space="preserve"> converts a material into something of roughly the same value as it originally was. If the quality or the value of the recycled material is lower than the original product, the recycling route is called </w:t>
      </w:r>
      <w:r w:rsidRPr="00013BDC">
        <w:rPr>
          <w:rFonts w:eastAsia="Times New Roman"/>
          <w:b/>
          <w:noProof/>
          <w:color w:val="000000" w:themeColor="text1"/>
          <w:lang w:val="en-IE"/>
        </w:rPr>
        <w:t>downcycling</w:t>
      </w:r>
      <w:r w:rsidRPr="00013BDC">
        <w:rPr>
          <w:rFonts w:eastAsia="Times New Roman"/>
          <w:noProof/>
          <w:color w:val="000000" w:themeColor="text1"/>
          <w:lang w:val="en-IE"/>
        </w:rPr>
        <w:t xml:space="preserve">. Most textiles recycling routes are downcycling because fibres are damaged by wear and laundry. If it is the opposite and if the new product from recycled material has a </w:t>
      </w:r>
      <w:r w:rsidR="4B39CADF" w:rsidRPr="00013BDC">
        <w:rPr>
          <w:rFonts w:eastAsia="Times New Roman"/>
          <w:noProof/>
          <w:color w:val="000000" w:themeColor="text1"/>
          <w:lang w:val="en-IE"/>
        </w:rPr>
        <w:t xml:space="preserve">similar or </w:t>
      </w:r>
      <w:r w:rsidRPr="00013BDC">
        <w:rPr>
          <w:rFonts w:eastAsia="Times New Roman"/>
          <w:noProof/>
          <w:color w:val="000000" w:themeColor="text1"/>
          <w:lang w:val="en-IE"/>
        </w:rPr>
        <w:t>higher value or quality</w:t>
      </w:r>
      <w:r w:rsidR="136CB1AE" w:rsidRPr="00013BDC">
        <w:rPr>
          <w:rFonts w:eastAsia="Times New Roman"/>
          <w:noProof/>
          <w:color w:val="000000" w:themeColor="text1"/>
          <w:lang w:val="en-IE"/>
        </w:rPr>
        <w:t xml:space="preserve"> than the origina</w:t>
      </w:r>
      <w:r w:rsidR="16219C16" w:rsidRPr="00013BDC">
        <w:rPr>
          <w:rFonts w:eastAsia="Times New Roman"/>
          <w:noProof/>
          <w:color w:val="000000" w:themeColor="text1"/>
          <w:lang w:val="en-IE"/>
        </w:rPr>
        <w:t>l</w:t>
      </w:r>
      <w:r w:rsidR="136CB1AE" w:rsidRPr="00013BDC">
        <w:rPr>
          <w:rFonts w:eastAsia="Times New Roman"/>
          <w:noProof/>
          <w:color w:val="000000" w:themeColor="text1"/>
          <w:lang w:val="en-IE"/>
        </w:rPr>
        <w:t xml:space="preserve"> product</w:t>
      </w:r>
      <w:r w:rsidRPr="00013BDC">
        <w:rPr>
          <w:rFonts w:eastAsia="Times New Roman"/>
          <w:noProof/>
          <w:color w:val="000000" w:themeColor="text1"/>
          <w:lang w:val="en-IE"/>
        </w:rPr>
        <w:t xml:space="preserve">, the recycling route is called </w:t>
      </w:r>
      <w:r w:rsidRPr="00013BDC">
        <w:rPr>
          <w:rFonts w:eastAsia="Times New Roman"/>
          <w:b/>
          <w:noProof/>
          <w:color w:val="000000" w:themeColor="text1"/>
          <w:lang w:val="en-IE"/>
        </w:rPr>
        <w:t>upcycling</w:t>
      </w:r>
      <w:r w:rsidR="005B03E0" w:rsidRPr="00013BDC">
        <w:rPr>
          <w:rStyle w:val="FootnoteReference"/>
          <w:rFonts w:eastAsia="Times New Roman"/>
          <w:noProof/>
          <w:color w:val="000000" w:themeColor="text1"/>
          <w:lang w:val="en-IE"/>
        </w:rPr>
        <w:footnoteReference w:id="220"/>
      </w:r>
      <w:r w:rsidR="001C36F3" w:rsidRPr="00013BDC">
        <w:rPr>
          <w:rFonts w:eastAsia="Times New Roman"/>
          <w:noProof/>
          <w:color w:val="000000" w:themeColor="text1"/>
          <w:lang w:val="en-IE"/>
        </w:rPr>
        <w:t>.</w:t>
      </w:r>
      <w:r w:rsidRPr="00013BDC">
        <w:rPr>
          <w:noProof/>
          <w:lang w:val="en-IE"/>
        </w:rPr>
        <w:t xml:space="preserve"> </w:t>
      </w:r>
      <w:r w:rsidR="2C6D0FBB" w:rsidRPr="00013BDC">
        <w:rPr>
          <w:noProof/>
          <w:lang w:val="en-IE"/>
        </w:rPr>
        <w:t>Recyclability is affected by the products characteristics, the presence of hard and soft parts, coatings and colours, fabric constructions, and oil stains</w:t>
      </w:r>
      <w:r w:rsidR="00100487" w:rsidRPr="00013BDC">
        <w:rPr>
          <w:rStyle w:val="FootnoteReference"/>
          <w:noProof/>
          <w:lang w:val="en-IE"/>
        </w:rPr>
        <w:footnoteReference w:id="221"/>
      </w:r>
      <w:r w:rsidR="001C36F3" w:rsidRPr="00013BDC">
        <w:rPr>
          <w:noProof/>
          <w:lang w:val="en-IE"/>
        </w:rPr>
        <w:t>.</w:t>
      </w:r>
    </w:p>
    <w:p w14:paraId="7799B654" w14:textId="5932A91A" w:rsidR="00096212" w:rsidRPr="00013BDC" w:rsidRDefault="4B8FEB54" w:rsidP="37873745">
      <w:pPr>
        <w:spacing w:after="120"/>
        <w:rPr>
          <w:rFonts w:eastAsia="Times New Roman"/>
          <w:noProof/>
          <w:lang w:val="en-IE"/>
        </w:rPr>
      </w:pPr>
      <w:r w:rsidRPr="00013BDC">
        <w:rPr>
          <w:rFonts w:eastAsia="Times New Roman"/>
          <w:noProof/>
          <w:lang w:val="en-IE"/>
        </w:rPr>
        <w:t>There are three types of recycling technologies.</w:t>
      </w:r>
    </w:p>
    <w:p w14:paraId="39BD1DFF" w14:textId="2275A5A1" w:rsidR="007571B8" w:rsidRPr="00013BDC" w:rsidRDefault="29576763" w:rsidP="37873745">
      <w:pPr>
        <w:spacing w:after="120"/>
        <w:rPr>
          <w:rFonts w:eastAsia="Times New Roman"/>
          <w:noProof/>
          <w:lang w:val="en-IE"/>
        </w:rPr>
      </w:pPr>
      <w:r w:rsidRPr="00013BDC">
        <w:rPr>
          <w:rFonts w:eastAsia="Times New Roman"/>
          <w:b/>
          <w:noProof/>
          <w:lang w:val="en-IE"/>
        </w:rPr>
        <w:t>Mechanical recycling</w:t>
      </w:r>
      <w:r w:rsidRPr="00013BDC">
        <w:rPr>
          <w:rFonts w:eastAsia="Times New Roman"/>
          <w:noProof/>
          <w:lang w:val="en-IE"/>
        </w:rPr>
        <w:t xml:space="preserve"> is a process based on physical forces which may be used in isolation for fabric or fibre recycling or as pre-processing for chemical or biochemical recycling. </w:t>
      </w:r>
      <w:r w:rsidR="1BB6D20E" w:rsidRPr="00013BDC">
        <w:rPr>
          <w:rFonts w:eastAsia="Times New Roman"/>
          <w:noProof/>
          <w:lang w:val="en-IE"/>
        </w:rPr>
        <w:t xml:space="preserve">Mechanical recycling </w:t>
      </w:r>
      <w:r w:rsidR="1BB6D20E" w:rsidRPr="00013BDC">
        <w:rPr>
          <w:noProof/>
          <w:lang w:val="en-IE"/>
        </w:rPr>
        <w:t>consists in cutting, rearing and needling textiles and leads mainly to lower quality textiles which are used as wipes, padding, filling, insulation and non-woven mats.</w:t>
      </w:r>
      <w:r w:rsidR="30964008" w:rsidRPr="00013BDC">
        <w:rPr>
          <w:noProof/>
          <w:lang w:val="en-IE"/>
        </w:rPr>
        <w:t xml:space="preserve"> </w:t>
      </w:r>
      <w:r w:rsidR="1BB6D20E" w:rsidRPr="00013BDC">
        <w:rPr>
          <w:noProof/>
          <w:lang w:val="en-IE"/>
        </w:rPr>
        <w:t>Mechanical recycling can address all types of fibres, as the material composition of the textile waste will become the composition of the recycled product.</w:t>
      </w:r>
      <w:r w:rsidR="1BB6D20E" w:rsidRPr="00013BDC">
        <w:rPr>
          <w:rFonts w:eastAsia="Times New Roman"/>
          <w:noProof/>
          <w:lang w:val="en-IE"/>
        </w:rPr>
        <w:t xml:space="preserve"> </w:t>
      </w:r>
      <w:r w:rsidRPr="00013BDC">
        <w:rPr>
          <w:rFonts w:eastAsia="Times New Roman"/>
          <w:noProof/>
          <w:lang w:val="en-IE"/>
        </w:rPr>
        <w:t>Mechanical recycling is currently at Technology Readiness Level 9 (TRL 9) and is an established technology. The survey conducted by DG G</w:t>
      </w:r>
      <w:r w:rsidR="1E8E1248" w:rsidRPr="00013BDC">
        <w:rPr>
          <w:rFonts w:eastAsia="Times New Roman"/>
          <w:noProof/>
          <w:lang w:val="en-IE"/>
        </w:rPr>
        <w:t xml:space="preserve">ROW </w:t>
      </w:r>
      <w:r w:rsidRPr="00013BDC">
        <w:rPr>
          <w:rFonts w:eastAsia="Times New Roman"/>
          <w:noProof/>
          <w:lang w:val="en-IE"/>
        </w:rPr>
        <w:t>among technology holders revealed a wide range in production capacities, going from 5 000 to 10 000 tonnes/year to as much as 36 000 tonnes per year.</w:t>
      </w:r>
      <w:r w:rsidR="5695209B" w:rsidRPr="00013BDC">
        <w:rPr>
          <w:rFonts w:eastAsia="Times New Roman"/>
          <w:noProof/>
          <w:lang w:val="en-IE"/>
        </w:rPr>
        <w:t xml:space="preserve"> </w:t>
      </w:r>
      <w:r w:rsidR="24B47502" w:rsidRPr="00013BDC">
        <w:rPr>
          <w:noProof/>
          <w:lang w:val="en-IE"/>
        </w:rPr>
        <w:t>Small shares of textile waste (&lt;1%-2%) are fibre-to-fibre recycled following mechanical recycling, because the current capacity for these processes as well as Technology Readiness Level of such process is very limited</w:t>
      </w:r>
      <w:r w:rsidRPr="00013BDC">
        <w:rPr>
          <w:rStyle w:val="FootnoteReference"/>
          <w:noProof/>
          <w:lang w:val="en-IE"/>
        </w:rPr>
        <w:footnoteReference w:id="222"/>
      </w:r>
      <w:r w:rsidR="24B47502" w:rsidRPr="00013BDC">
        <w:rPr>
          <w:noProof/>
          <w:lang w:val="en-IE"/>
        </w:rPr>
        <w:t>.</w:t>
      </w:r>
    </w:p>
    <w:p w14:paraId="35E7754C" w14:textId="1982FD28" w:rsidR="00096212" w:rsidRPr="00013BDC" w:rsidRDefault="79F4D5A8" w:rsidP="00DC797A">
      <w:pPr>
        <w:spacing w:after="120"/>
        <w:rPr>
          <w:rFonts w:eastAsia="Times New Roman"/>
          <w:noProof/>
          <w:lang w:val="en-IE"/>
        </w:rPr>
      </w:pPr>
      <w:r w:rsidRPr="00013BDC">
        <w:rPr>
          <w:rFonts w:eastAsia="Times New Roman"/>
          <w:b/>
          <w:noProof/>
          <w:lang w:val="en-IE"/>
        </w:rPr>
        <w:t>Chemical recycling</w:t>
      </w:r>
      <w:r w:rsidRPr="00013BDC">
        <w:rPr>
          <w:rFonts w:eastAsia="Times New Roman"/>
          <w:noProof/>
          <w:lang w:val="en-IE"/>
        </w:rPr>
        <w:t xml:space="preserve"> is a process using chemical dissolution or chemical reactions </w:t>
      </w:r>
      <w:r w:rsidR="4CC9451D" w:rsidRPr="00013BDC">
        <w:rPr>
          <w:rFonts w:eastAsia="Times New Roman"/>
          <w:noProof/>
          <w:lang w:val="en-IE"/>
        </w:rPr>
        <w:t>that</w:t>
      </w:r>
      <w:r w:rsidRPr="00013BDC">
        <w:rPr>
          <w:rFonts w:eastAsia="Times New Roman"/>
          <w:noProof/>
          <w:lang w:val="en-IE"/>
        </w:rPr>
        <w:t xml:space="preserve"> is employed in polymer recycling (system for disassembling used fibres, extracting polymers and re-spinning them for new uses) or monomer recycling (system for breaking down polymeric textile materials into their constituent monomers and rebuilding polymeric fibres for new uses). </w:t>
      </w:r>
      <w:r w:rsidR="5438B1B5" w:rsidRPr="00013BDC">
        <w:rPr>
          <w:rFonts w:eastAsia="Times New Roman"/>
          <w:noProof/>
          <w:lang w:val="en-IE"/>
        </w:rPr>
        <w:t xml:space="preserve">It can process manmade cellulosic fibres into a pulp used to produce other fibres, polyester and polycotton fibres into PET, and polyester and polyamide into fibres at monomer level. </w:t>
      </w:r>
      <w:r w:rsidRPr="00013BDC">
        <w:rPr>
          <w:rFonts w:eastAsia="Times New Roman"/>
          <w:noProof/>
          <w:lang w:val="en-IE"/>
        </w:rPr>
        <w:t xml:space="preserve">Chemical recycling </w:t>
      </w:r>
      <w:r w:rsidR="5695209B" w:rsidRPr="00013BDC">
        <w:rPr>
          <w:rFonts w:eastAsia="Times New Roman"/>
          <w:noProof/>
          <w:lang w:val="en-IE"/>
        </w:rPr>
        <w:t>uses fibre-to-fibre recycling techniques possibly</w:t>
      </w:r>
      <w:r w:rsidR="5695209B" w:rsidRPr="00013BDC">
        <w:rPr>
          <w:noProof/>
          <w:lang w:val="en-IE"/>
        </w:rPr>
        <w:t xml:space="preserve"> resulting in re-spun fibres, yarns and textiles that can be remade into </w:t>
      </w:r>
      <w:r w:rsidR="5695209B" w:rsidRPr="00013BDC">
        <w:rPr>
          <w:rFonts w:eastAsia="Times New Roman"/>
          <w:noProof/>
          <w:lang w:val="en-IE"/>
        </w:rPr>
        <w:t>high quality</w:t>
      </w:r>
      <w:r w:rsidR="5695209B" w:rsidRPr="00013BDC">
        <w:rPr>
          <w:noProof/>
          <w:lang w:val="en-IE"/>
        </w:rPr>
        <w:t xml:space="preserve"> finished textile products. The technologies to process closed-loop recycling currently require minimum levels of fibre purity to operate</w:t>
      </w:r>
      <w:r w:rsidR="598C70AD" w:rsidRPr="00013BDC">
        <w:rPr>
          <w:noProof/>
          <w:lang w:val="en-IE"/>
        </w:rPr>
        <w:t xml:space="preserve"> and are </w:t>
      </w:r>
      <w:r w:rsidRPr="00013BDC">
        <w:rPr>
          <w:rFonts w:eastAsia="Times New Roman"/>
          <w:noProof/>
          <w:lang w:val="en-IE"/>
        </w:rPr>
        <w:t xml:space="preserve">at a very early </w:t>
      </w:r>
      <w:r w:rsidR="4CC9451D" w:rsidRPr="00013BDC">
        <w:rPr>
          <w:rFonts w:eastAsia="Times New Roman"/>
          <w:noProof/>
          <w:lang w:val="en-IE"/>
        </w:rPr>
        <w:t>develop</w:t>
      </w:r>
      <w:r w:rsidR="598C70AD" w:rsidRPr="00013BDC">
        <w:rPr>
          <w:rFonts w:eastAsia="Times New Roman"/>
          <w:noProof/>
          <w:lang w:val="en-IE"/>
        </w:rPr>
        <w:t>ment</w:t>
      </w:r>
      <w:r w:rsidR="4CC9451D" w:rsidRPr="00013BDC">
        <w:rPr>
          <w:rFonts w:eastAsia="Times New Roman"/>
          <w:noProof/>
          <w:lang w:val="en-IE"/>
        </w:rPr>
        <w:t xml:space="preserve"> </w:t>
      </w:r>
      <w:r w:rsidRPr="00013BDC">
        <w:rPr>
          <w:rFonts w:eastAsia="Times New Roman"/>
          <w:noProof/>
          <w:lang w:val="en-IE"/>
        </w:rPr>
        <w:t>stage</w:t>
      </w:r>
      <w:r w:rsidR="41599E58" w:rsidRPr="00013BDC">
        <w:rPr>
          <w:rFonts w:eastAsia="Times New Roman"/>
          <w:noProof/>
          <w:lang w:val="en-IE"/>
        </w:rPr>
        <w:t xml:space="preserve">. </w:t>
      </w:r>
      <w:r w:rsidR="005B03E0" w:rsidRPr="00013BDC">
        <w:rPr>
          <w:rStyle w:val="FootnoteReference"/>
          <w:rFonts w:eastAsia="Times New Roman"/>
          <w:noProof/>
          <w:lang w:val="en-IE"/>
        </w:rPr>
        <w:footnoteReference w:id="223"/>
      </w:r>
      <w:r w:rsidRPr="00013BDC">
        <w:rPr>
          <w:rFonts w:eastAsia="Times New Roman"/>
          <w:noProof/>
          <w:lang w:val="en-IE"/>
        </w:rPr>
        <w:t xml:space="preserve"> Chemical recycling</w:t>
      </w:r>
      <w:r w:rsidRPr="00013BDC">
        <w:rPr>
          <w:rFonts w:eastAsia="Times New Roman"/>
          <w:b/>
          <w:noProof/>
          <w:lang w:val="en-IE"/>
        </w:rPr>
        <w:t xml:space="preserve"> </w:t>
      </w:r>
      <w:r w:rsidRPr="00013BDC">
        <w:rPr>
          <w:rFonts w:eastAsia="Times New Roman"/>
          <w:noProof/>
          <w:lang w:val="en-IE"/>
        </w:rPr>
        <w:t>can be realised with different processes, but three major technologies have been identified</w:t>
      </w:r>
      <w:r w:rsidR="006637AB" w:rsidRPr="00013BDC">
        <w:rPr>
          <w:rFonts w:eastAsia="Times New Roman"/>
          <w:noProof/>
          <w:lang w:val="en-IE"/>
        </w:rPr>
        <w:t xml:space="preserve"> as described below.</w:t>
      </w:r>
    </w:p>
    <w:p w14:paraId="72E03E6E" w14:textId="62BB974C" w:rsidR="00D1067C" w:rsidRPr="00013BDC" w:rsidRDefault="4B8FEB54" w:rsidP="00CF0DFB">
      <w:pPr>
        <w:pStyle w:val="ListParagraph"/>
        <w:numPr>
          <w:ilvl w:val="0"/>
          <w:numId w:val="31"/>
        </w:numPr>
        <w:rPr>
          <w:rFonts w:eastAsia="Times New Roman"/>
          <w:noProof/>
          <w:lang w:val="en-IE"/>
        </w:rPr>
      </w:pPr>
      <w:r w:rsidRPr="00013BDC">
        <w:rPr>
          <w:rFonts w:eastAsia="Times New Roman"/>
          <w:b/>
          <w:noProof/>
          <w:lang w:val="en-IE"/>
        </w:rPr>
        <w:t xml:space="preserve">Polymer recycling of cotton via a pulping process </w:t>
      </w:r>
      <w:r w:rsidRPr="00013BDC">
        <w:rPr>
          <w:rFonts w:eastAsia="Times New Roman"/>
          <w:noProof/>
          <w:lang w:val="en-IE"/>
        </w:rPr>
        <w:t>is a process that generates cellulosic pulp which can be obtained via different types of pulping processes. This process can recycle cellulose from different sources (e.g., wood, cotton, viscose, cardboard) but as they differ in chemical structure and viscosity, most technology holders indicated that changing the source would require adaptations to the pulping process or pre-treatment. Most technologies have already reached a high TRL of 7 to 9, at least for pure cotton textiles as input material. The TRL 7-8 technologies are</w:t>
      </w:r>
      <w:r w:rsidRPr="00013BDC">
        <w:rPr>
          <w:rFonts w:eastAsia="Times New Roman"/>
          <w:noProof/>
          <w:shd w:val="clear" w:color="auto" w:fill="E6E6E6"/>
          <w:lang w:val="en-IE"/>
        </w:rPr>
        <w:t xml:space="preserve"> </w:t>
      </w:r>
      <w:r w:rsidRPr="00013BDC">
        <w:rPr>
          <w:rFonts w:eastAsia="Times New Roman"/>
          <w:noProof/>
          <w:lang w:val="en-IE"/>
        </w:rPr>
        <w:t xml:space="preserve">expected to reach TRL 9 by 2025 at the latest. </w:t>
      </w:r>
      <w:r w:rsidRPr="00013BDC">
        <w:rPr>
          <w:rFonts w:eastAsia="Times New Roman"/>
          <w:b/>
          <w:noProof/>
          <w:lang w:val="en-IE"/>
        </w:rPr>
        <w:t>Process capacities range from 10 kg/day to thousands of tonnes</w:t>
      </w:r>
      <w:r w:rsidR="0033266E" w:rsidRPr="00013BDC">
        <w:rPr>
          <w:rFonts w:eastAsia="Times New Roman"/>
          <w:b/>
          <w:noProof/>
          <w:lang w:val="en-IE"/>
        </w:rPr>
        <w:t xml:space="preserve"> per </w:t>
      </w:r>
      <w:r w:rsidRPr="00013BDC">
        <w:rPr>
          <w:rFonts w:eastAsia="Times New Roman"/>
          <w:b/>
          <w:noProof/>
          <w:lang w:val="en-IE"/>
        </w:rPr>
        <w:t>year</w:t>
      </w:r>
      <w:r w:rsidRPr="00013BDC">
        <w:rPr>
          <w:rFonts w:eastAsia="Times New Roman"/>
          <w:noProof/>
          <w:lang w:val="en-IE"/>
        </w:rPr>
        <w:t>.</w:t>
      </w:r>
    </w:p>
    <w:p w14:paraId="0B679A69" w14:textId="0545827D" w:rsidR="00D1067C" w:rsidRPr="00013BDC" w:rsidRDefault="4B8FEB54" w:rsidP="00CF0DFB">
      <w:pPr>
        <w:pStyle w:val="ListParagraph"/>
        <w:numPr>
          <w:ilvl w:val="0"/>
          <w:numId w:val="31"/>
        </w:numPr>
        <w:rPr>
          <w:rFonts w:eastAsia="Times New Roman"/>
          <w:noProof/>
          <w:lang w:val="en-IE"/>
        </w:rPr>
      </w:pPr>
      <w:r w:rsidRPr="00013BDC">
        <w:rPr>
          <w:rFonts w:eastAsia="Times New Roman"/>
          <w:b/>
          <w:noProof/>
          <w:lang w:val="en-IE"/>
        </w:rPr>
        <w:t>Monomer recycling of PA6 and PET (biochemical recycling)</w:t>
      </w:r>
      <w:r w:rsidRPr="00013BDC">
        <w:rPr>
          <w:rFonts w:eastAsia="Times New Roman"/>
          <w:noProof/>
          <w:lang w:val="en-IE"/>
        </w:rPr>
        <w:t xml:space="preserve"> is a depolymerisation process where the polymer chains are broken down into monomers. Chemical recycling of PA6 textiles via depolymerisation is already an established technology</w:t>
      </w:r>
      <w:r w:rsidR="00D1067C" w:rsidRPr="00013BDC">
        <w:rPr>
          <w:rFonts w:eastAsia="Times New Roman"/>
          <w:noProof/>
          <w:lang w:val="en-IE"/>
        </w:rPr>
        <w:t xml:space="preserve"> with </w:t>
      </w:r>
      <w:r w:rsidRPr="00013BDC">
        <w:rPr>
          <w:rFonts w:eastAsia="Times New Roman"/>
          <w:noProof/>
          <w:lang w:val="en-IE"/>
        </w:rPr>
        <w:t>TRL 9</w:t>
      </w:r>
      <w:r w:rsidR="00D1067C" w:rsidRPr="00013BDC">
        <w:rPr>
          <w:rFonts w:eastAsia="Times New Roman"/>
          <w:noProof/>
          <w:lang w:val="en-IE"/>
        </w:rPr>
        <w:t>.</w:t>
      </w:r>
      <w:r w:rsidRPr="00013BDC">
        <w:rPr>
          <w:rFonts w:eastAsia="Times New Roman"/>
          <w:noProof/>
          <w:lang w:val="en-IE"/>
        </w:rPr>
        <w:t xml:space="preserve"> For PET textiles</w:t>
      </w:r>
      <w:r w:rsidR="00D1067C" w:rsidRPr="00013BDC">
        <w:rPr>
          <w:rFonts w:eastAsia="Times New Roman"/>
          <w:noProof/>
          <w:lang w:val="en-IE"/>
        </w:rPr>
        <w:t>,</w:t>
      </w:r>
      <w:r w:rsidRPr="00013BDC">
        <w:rPr>
          <w:rFonts w:eastAsia="Times New Roman"/>
          <w:noProof/>
          <w:lang w:val="en-IE"/>
        </w:rPr>
        <w:t xml:space="preserve"> the TRL-levels vary from 4 to 7, with </w:t>
      </w:r>
      <w:r w:rsidRPr="00013BDC">
        <w:rPr>
          <w:rFonts w:eastAsia="Times New Roman"/>
          <w:b/>
          <w:noProof/>
          <w:lang w:val="en-IE"/>
        </w:rPr>
        <w:t>500 tonnes/year</w:t>
      </w:r>
      <w:r w:rsidRPr="00013BDC">
        <w:rPr>
          <w:rFonts w:eastAsia="Times New Roman"/>
          <w:noProof/>
          <w:lang w:val="en-IE"/>
        </w:rPr>
        <w:t xml:space="preserve"> being the largest available production capacity to date. The first technologies are expected to reach TRL 9 by 2023 as an industrial production line is </w:t>
      </w:r>
      <w:r w:rsidR="00D1067C" w:rsidRPr="00013BDC">
        <w:rPr>
          <w:rFonts w:eastAsia="Times New Roman"/>
          <w:noProof/>
          <w:lang w:val="en-IE"/>
        </w:rPr>
        <w:t xml:space="preserve">currently </w:t>
      </w:r>
      <w:r w:rsidRPr="00013BDC">
        <w:rPr>
          <w:rFonts w:eastAsia="Times New Roman"/>
          <w:noProof/>
          <w:lang w:val="en-IE"/>
        </w:rPr>
        <w:t>being built.</w:t>
      </w:r>
    </w:p>
    <w:p w14:paraId="415198D1" w14:textId="0518EBAE" w:rsidR="00096212" w:rsidRPr="00013BDC" w:rsidRDefault="0298B440" w:rsidP="00CF0DFB">
      <w:pPr>
        <w:pStyle w:val="ListParagraph"/>
        <w:numPr>
          <w:ilvl w:val="0"/>
          <w:numId w:val="31"/>
        </w:numPr>
        <w:spacing w:after="120"/>
        <w:rPr>
          <w:rFonts w:eastAsia="Times New Roman"/>
          <w:b/>
          <w:noProof/>
          <w:lang w:val="en-IE"/>
        </w:rPr>
      </w:pPr>
      <w:r w:rsidRPr="00013BDC">
        <w:rPr>
          <w:rFonts w:eastAsia="Times New Roman"/>
          <w:b/>
          <w:noProof/>
          <w:lang w:val="en-IE"/>
        </w:rPr>
        <w:t>Recycling of polycotton blends</w:t>
      </w:r>
      <w:r w:rsidRPr="00013BDC">
        <w:rPr>
          <w:rFonts w:eastAsia="Times New Roman"/>
          <w:noProof/>
          <w:lang w:val="en-IE"/>
        </w:rPr>
        <w:t xml:space="preserve"> can be done via different methods as several technologies (can) focus on recycling of both cotton and PET from polycotton blends. For example, a method applies solvent-based dissolution and filtration processes to separate different materials and extract the desired components (polymer recycling). This technology is currently at TRL 5 and is expected to reach TRL 6 in 2022 and TRL 9 in 2024/2025. Sorting of textiles waste is required as knowledge of the composition is required for a good process efficiency. Current process </w:t>
      </w:r>
      <w:r w:rsidRPr="00013BDC">
        <w:rPr>
          <w:rFonts w:eastAsia="Times New Roman"/>
          <w:b/>
          <w:noProof/>
          <w:lang w:val="en-IE"/>
        </w:rPr>
        <w:t>capacities range from 15 to 2800 tonnes/year</w:t>
      </w:r>
      <w:r w:rsidRPr="00013BDC">
        <w:rPr>
          <w:rFonts w:eastAsia="Times New Roman"/>
          <w:noProof/>
          <w:lang w:val="en-IE"/>
        </w:rPr>
        <w:t>.</w:t>
      </w:r>
    </w:p>
    <w:p w14:paraId="3D117913" w14:textId="5136B156" w:rsidR="00096212" w:rsidRPr="00013BDC" w:rsidRDefault="4B8FEB54" w:rsidP="00DC797A">
      <w:pPr>
        <w:spacing w:after="120"/>
        <w:rPr>
          <w:rFonts w:eastAsia="Times New Roman"/>
          <w:noProof/>
          <w:lang w:val="en-IE"/>
        </w:rPr>
      </w:pPr>
      <w:r w:rsidRPr="00013BDC">
        <w:rPr>
          <w:rFonts w:eastAsia="Times New Roman"/>
          <w:b/>
          <w:noProof/>
          <w:lang w:val="en-IE"/>
        </w:rPr>
        <w:t>Thermal recycling</w:t>
      </w:r>
      <w:r w:rsidRPr="00013BDC">
        <w:rPr>
          <w:rFonts w:eastAsia="Times New Roman"/>
          <w:noProof/>
          <w:lang w:val="en-IE"/>
        </w:rPr>
        <w:t xml:space="preserve"> </w:t>
      </w:r>
      <w:r w:rsidR="00DC797A" w:rsidRPr="00013BDC">
        <w:rPr>
          <w:rFonts w:eastAsia="Times New Roman"/>
          <w:noProof/>
          <w:lang w:val="en-IE"/>
        </w:rPr>
        <w:t>is a</w:t>
      </w:r>
      <w:r w:rsidRPr="00013BDC">
        <w:rPr>
          <w:rFonts w:eastAsia="Times New Roman"/>
          <w:noProof/>
          <w:lang w:val="en-IE"/>
        </w:rPr>
        <w:t xml:space="preserve"> process based on heating with the aim to recover either polymers or low molecular weight building blocks. </w:t>
      </w:r>
      <w:r w:rsidR="00DC797A" w:rsidRPr="00013BDC">
        <w:rPr>
          <w:rFonts w:eastAsia="Times New Roman"/>
          <w:noProof/>
          <w:lang w:val="en-IE"/>
        </w:rPr>
        <w:t>There are two thermal</w:t>
      </w:r>
      <w:r w:rsidRPr="00013BDC">
        <w:rPr>
          <w:rFonts w:eastAsia="Times New Roman"/>
          <w:noProof/>
          <w:lang w:val="en-IE"/>
        </w:rPr>
        <w:t xml:space="preserve"> recycling </w:t>
      </w:r>
      <w:r w:rsidR="00DC797A" w:rsidRPr="00013BDC">
        <w:rPr>
          <w:rFonts w:eastAsia="Times New Roman"/>
          <w:noProof/>
          <w:lang w:val="en-IE"/>
        </w:rPr>
        <w:t>technologies</w:t>
      </w:r>
      <w:r w:rsidR="006637AB" w:rsidRPr="00013BDC">
        <w:rPr>
          <w:rFonts w:eastAsia="Times New Roman"/>
          <w:noProof/>
          <w:lang w:val="en-IE"/>
        </w:rPr>
        <w:t xml:space="preserve"> as detailed below.</w:t>
      </w:r>
    </w:p>
    <w:p w14:paraId="2561DD4E" w14:textId="4F898AAC" w:rsidR="003C5266" w:rsidRPr="00013BDC" w:rsidRDefault="4B8FEB54" w:rsidP="00CF0DFB">
      <w:pPr>
        <w:pStyle w:val="ListParagraph"/>
        <w:numPr>
          <w:ilvl w:val="0"/>
          <w:numId w:val="32"/>
        </w:numPr>
        <w:rPr>
          <w:rFonts w:eastAsia="Times New Roman"/>
          <w:noProof/>
          <w:lang w:val="en-IE"/>
        </w:rPr>
      </w:pPr>
      <w:r w:rsidRPr="00013BDC">
        <w:rPr>
          <w:rFonts w:eastAsia="Times New Roman"/>
          <w:b/>
          <w:noProof/>
          <w:lang w:val="en-IE"/>
        </w:rPr>
        <w:t>Thermo-mechanical recycling</w:t>
      </w:r>
      <w:r w:rsidRPr="00013BDC">
        <w:rPr>
          <w:rFonts w:eastAsia="Times New Roman"/>
          <w:noProof/>
          <w:lang w:val="en-IE"/>
        </w:rPr>
        <w:t xml:space="preserve"> is a process used in a recycling system that melts a polymer.</w:t>
      </w:r>
      <w:r w:rsidR="00DC797A" w:rsidRPr="00013BDC">
        <w:rPr>
          <w:rFonts w:eastAsia="Times New Roman"/>
          <w:noProof/>
          <w:lang w:val="en-IE"/>
        </w:rPr>
        <w:t xml:space="preserve"> It is used to </w:t>
      </w:r>
      <w:r w:rsidRPr="00013BDC">
        <w:rPr>
          <w:rFonts w:eastAsia="Times New Roman"/>
          <w:noProof/>
          <w:lang w:val="en-IE"/>
        </w:rPr>
        <w:t>recycl</w:t>
      </w:r>
      <w:r w:rsidR="00DC797A" w:rsidRPr="00013BDC">
        <w:rPr>
          <w:rFonts w:eastAsia="Times New Roman"/>
          <w:noProof/>
          <w:lang w:val="en-IE"/>
        </w:rPr>
        <w:t>e</w:t>
      </w:r>
      <w:r w:rsidRPr="00013BDC">
        <w:rPr>
          <w:rFonts w:eastAsia="Times New Roman"/>
          <w:noProof/>
          <w:lang w:val="en-IE"/>
        </w:rPr>
        <w:t xml:space="preserve"> thermoplastic textiles, </w:t>
      </w:r>
      <w:r w:rsidR="008E4FC8" w:rsidRPr="00013BDC">
        <w:rPr>
          <w:rFonts w:eastAsia="Times New Roman"/>
          <w:noProof/>
          <w:lang w:val="en-IE"/>
        </w:rPr>
        <w:t>e.g.,</w:t>
      </w:r>
      <w:r w:rsidRPr="00013BDC">
        <w:rPr>
          <w:rFonts w:eastAsia="Times New Roman"/>
          <w:noProof/>
          <w:lang w:val="en-IE"/>
        </w:rPr>
        <w:t xml:space="preserve"> polyester, polyamide, polypropylene, etc. by melt</w:t>
      </w:r>
      <w:r w:rsidR="00077FD3" w:rsidRPr="00013BDC">
        <w:rPr>
          <w:rFonts w:eastAsia="Times New Roman"/>
          <w:noProof/>
          <w:lang w:val="en-IE"/>
        </w:rPr>
        <w:t>ing</w:t>
      </w:r>
      <w:r w:rsidRPr="00013BDC">
        <w:rPr>
          <w:rFonts w:eastAsia="Times New Roman"/>
          <w:noProof/>
          <w:lang w:val="en-IE"/>
        </w:rPr>
        <w:t xml:space="preserve"> them into a regranulate and/or new</w:t>
      </w:r>
      <w:r w:rsidRPr="00013BDC">
        <w:rPr>
          <w:rFonts w:eastAsia="Times New Roman"/>
          <w:noProof/>
          <w:color w:val="2B579A"/>
          <w:lang w:val="en-IE"/>
        </w:rPr>
        <w:t xml:space="preserve"> </w:t>
      </w:r>
      <w:r w:rsidRPr="00013BDC">
        <w:rPr>
          <w:rFonts w:eastAsia="Times New Roman"/>
          <w:noProof/>
          <w:lang w:val="en-IE"/>
        </w:rPr>
        <w:t xml:space="preserve">fibres. This recycling process is particularly interesting for the recycling of </w:t>
      </w:r>
      <w:r w:rsidR="00077FD3" w:rsidRPr="00013BDC">
        <w:rPr>
          <w:rFonts w:eastAsia="Times New Roman"/>
          <w:noProof/>
          <w:lang w:val="en-IE"/>
        </w:rPr>
        <w:t>post-industrial</w:t>
      </w:r>
      <w:r w:rsidRPr="00013BDC">
        <w:rPr>
          <w:rFonts w:eastAsia="Times New Roman"/>
          <w:noProof/>
          <w:lang w:val="en-IE"/>
        </w:rPr>
        <w:t xml:space="preserve"> waste and some specific </w:t>
      </w:r>
      <w:r w:rsidR="00077FD3" w:rsidRPr="00013BDC">
        <w:rPr>
          <w:rFonts w:eastAsia="Times New Roman"/>
          <w:noProof/>
          <w:lang w:val="en-IE"/>
        </w:rPr>
        <w:t>post-</w:t>
      </w:r>
      <w:r w:rsidRPr="00013BDC">
        <w:rPr>
          <w:rFonts w:eastAsia="Times New Roman"/>
          <w:noProof/>
          <w:lang w:val="en-IE"/>
        </w:rPr>
        <w:t>consumer waste that has been collected in specialised centres. However, the addition of virgin material is required and only a limited amount of recycled material will be present in the final fibre. TRL 9 is expected to be reached by 2022/2023, with still a limited percentage of recycled cont</w:t>
      </w:r>
      <w:r w:rsidR="00562643" w:rsidRPr="00013BDC">
        <w:rPr>
          <w:rFonts w:eastAsia="Times New Roman"/>
          <w:noProof/>
          <w:lang w:val="en-IE"/>
        </w:rPr>
        <w:t xml:space="preserve">ent and the same input material </w:t>
      </w:r>
      <w:r w:rsidRPr="00013BDC">
        <w:rPr>
          <w:rFonts w:eastAsia="Times New Roman"/>
          <w:noProof/>
          <w:lang w:val="en-IE"/>
        </w:rPr>
        <w:t>limitations.</w:t>
      </w:r>
    </w:p>
    <w:p w14:paraId="093E5843" w14:textId="34B1B02B" w:rsidR="00096212" w:rsidRPr="00013BDC" w:rsidRDefault="320BBCA2" w:rsidP="00CF0DFB">
      <w:pPr>
        <w:pStyle w:val="ListParagraph"/>
        <w:numPr>
          <w:ilvl w:val="0"/>
          <w:numId w:val="32"/>
        </w:numPr>
        <w:spacing w:after="120"/>
        <w:rPr>
          <w:rFonts w:eastAsia="Times New Roman"/>
          <w:noProof/>
          <w:lang w:val="en-IE"/>
        </w:rPr>
      </w:pPr>
      <w:r w:rsidRPr="00013BDC">
        <w:rPr>
          <w:rFonts w:eastAsia="Times New Roman"/>
          <w:b/>
          <w:noProof/>
          <w:lang w:val="en-IE"/>
        </w:rPr>
        <w:t>Thermo-chemical recycling</w:t>
      </w:r>
      <w:r w:rsidRPr="00013BDC">
        <w:rPr>
          <w:rFonts w:eastAsia="Times New Roman"/>
          <w:noProof/>
          <w:lang w:val="en-IE"/>
        </w:rPr>
        <w:t xml:space="preserve"> is a process using partial oxidation reaction of polymers to produce low molar mass components or heat to degrade polymers to monomers that can be used as feedstock for the chemical industry, with the exclusion of fuels used for energy production or other combustion or energy recovery processes. It is considered a mature technology, although developments to allow the production of raw materials for the chemical industry (as opposed to energy recovery or fuel production) are very recent. </w:t>
      </w:r>
      <w:r w:rsidR="003C5266" w:rsidRPr="00013BDC">
        <w:rPr>
          <w:rFonts w:eastAsia="Times New Roman"/>
          <w:noProof/>
          <w:lang w:val="en-IE"/>
        </w:rPr>
        <w:t>Not</w:t>
      </w:r>
      <w:r w:rsidRPr="00013BDC">
        <w:rPr>
          <w:rFonts w:eastAsia="Times New Roman"/>
          <w:noProof/>
          <w:lang w:val="en-IE"/>
        </w:rPr>
        <w:t xml:space="preserve"> many waste gasification processes ha</w:t>
      </w:r>
      <w:r w:rsidR="003C5266" w:rsidRPr="00013BDC">
        <w:rPr>
          <w:rFonts w:eastAsia="Times New Roman"/>
          <w:noProof/>
          <w:lang w:val="en-IE"/>
        </w:rPr>
        <w:t>d</w:t>
      </w:r>
      <w:r w:rsidRPr="00013BDC">
        <w:rPr>
          <w:rFonts w:eastAsia="Times New Roman"/>
          <w:noProof/>
          <w:lang w:val="en-IE"/>
        </w:rPr>
        <w:t xml:space="preserve"> been piloted and tested </w:t>
      </w:r>
      <w:r w:rsidR="003C5266" w:rsidRPr="00013BDC">
        <w:rPr>
          <w:rFonts w:eastAsia="Times New Roman"/>
          <w:noProof/>
          <w:lang w:val="en-IE"/>
        </w:rPr>
        <w:t xml:space="preserve">in 2021 </w:t>
      </w:r>
      <w:r w:rsidRPr="00013BDC">
        <w:rPr>
          <w:rFonts w:eastAsia="Times New Roman"/>
          <w:noProof/>
          <w:lang w:val="en-IE"/>
        </w:rPr>
        <w:t xml:space="preserve">but a few </w:t>
      </w:r>
      <w:r w:rsidR="003C5266" w:rsidRPr="00013BDC">
        <w:rPr>
          <w:rFonts w:eastAsia="Times New Roman"/>
          <w:noProof/>
          <w:lang w:val="en-IE"/>
        </w:rPr>
        <w:t>had</w:t>
      </w:r>
      <w:r w:rsidRPr="00013BDC">
        <w:rPr>
          <w:rFonts w:eastAsia="Times New Roman"/>
          <w:noProof/>
          <w:lang w:val="en-IE"/>
        </w:rPr>
        <w:t xml:space="preserve"> already been implemented as industrial plants (TRL 9) processing actual waste. </w:t>
      </w:r>
    </w:p>
    <w:p w14:paraId="3C13D3FB" w14:textId="2F41E17F" w:rsidR="00096212" w:rsidRPr="00013BDC" w:rsidRDefault="79F4D5A8" w:rsidP="003C5266">
      <w:pPr>
        <w:spacing w:after="120"/>
        <w:rPr>
          <w:rFonts w:eastAsia="Times New Roman"/>
          <w:noProof/>
          <w:lang w:val="en-IE"/>
        </w:rPr>
      </w:pPr>
      <w:r w:rsidRPr="00013BDC">
        <w:rPr>
          <w:rFonts w:eastAsia="Times New Roman"/>
          <w:noProof/>
          <w:lang w:val="en-IE"/>
        </w:rPr>
        <w:t>Recycling routes are often made up of a mix of these three processes. For instance, before chemical depolymerisation (chemical recycling), textile material is often treated mechanically</w:t>
      </w:r>
      <w:r w:rsidR="2653DB02" w:rsidRPr="00013BDC">
        <w:rPr>
          <w:rFonts w:eastAsia="Times New Roman"/>
          <w:noProof/>
          <w:lang w:val="en-IE"/>
        </w:rPr>
        <w:t xml:space="preserve">. </w:t>
      </w:r>
      <w:r w:rsidR="00EC2452" w:rsidRPr="00013BDC">
        <w:rPr>
          <w:rStyle w:val="FootnoteReference"/>
          <w:rFonts w:eastAsia="Times New Roman"/>
          <w:noProof/>
          <w:lang w:val="en-IE"/>
        </w:rPr>
        <w:footnoteReference w:id="224"/>
      </w:r>
      <w:r w:rsidRPr="00013BDC">
        <w:rPr>
          <w:rFonts w:eastAsia="Times New Roman"/>
          <w:noProof/>
          <w:lang w:val="en-IE"/>
        </w:rPr>
        <w:t xml:space="preserve"> Recycling can be defined by the type of routes used and technologies (mechanical, chemical or thermal) but also by the type of recovered materials: </w:t>
      </w:r>
      <w:r w:rsidRPr="00013BDC">
        <w:rPr>
          <w:rFonts w:eastAsia="Times New Roman"/>
          <w:b/>
          <w:noProof/>
          <w:lang w:val="en-IE"/>
        </w:rPr>
        <w:t>fabric recycling</w:t>
      </w:r>
      <w:r w:rsidRPr="00013BDC">
        <w:rPr>
          <w:rFonts w:eastAsia="Times New Roman"/>
          <w:noProof/>
          <w:lang w:val="en-IE"/>
        </w:rPr>
        <w:t xml:space="preserve"> (material </w:t>
      </w:r>
      <w:r w:rsidR="00D96247" w:rsidRPr="00013BDC">
        <w:rPr>
          <w:rFonts w:eastAsia="Times New Roman"/>
          <w:noProof/>
          <w:lang w:val="en-IE"/>
        </w:rPr>
        <w:t>reuse</w:t>
      </w:r>
      <w:r w:rsidRPr="00013BDC">
        <w:rPr>
          <w:rFonts w:eastAsia="Times New Roman"/>
          <w:noProof/>
          <w:lang w:val="en-IE"/>
        </w:rPr>
        <w:t xml:space="preserve">), </w:t>
      </w:r>
      <w:r w:rsidRPr="00013BDC">
        <w:rPr>
          <w:rFonts w:eastAsia="Times New Roman"/>
          <w:b/>
          <w:noProof/>
          <w:lang w:val="en-IE"/>
        </w:rPr>
        <w:t>fibre recycling</w:t>
      </w:r>
      <w:r w:rsidRPr="00013BDC">
        <w:rPr>
          <w:rFonts w:eastAsia="Times New Roman"/>
          <w:noProof/>
          <w:lang w:val="en-IE"/>
        </w:rPr>
        <w:t xml:space="preserve"> (if the original fibres are preserved), </w:t>
      </w:r>
      <w:r w:rsidRPr="00013BDC">
        <w:rPr>
          <w:rFonts w:eastAsia="Times New Roman"/>
          <w:b/>
          <w:noProof/>
          <w:lang w:val="en-IE"/>
        </w:rPr>
        <w:t>polymer/oligomer recycling</w:t>
      </w:r>
      <w:r w:rsidRPr="00013BDC">
        <w:rPr>
          <w:rFonts w:eastAsia="Times New Roman"/>
          <w:noProof/>
          <w:lang w:val="en-IE"/>
        </w:rPr>
        <w:t xml:space="preserve"> (if polymers are preserved) or monomer recycling</w:t>
      </w:r>
      <w:r w:rsidR="5D17AC85" w:rsidRPr="00013BDC">
        <w:rPr>
          <w:rFonts w:eastAsia="Times New Roman"/>
          <w:noProof/>
          <w:lang w:val="en-IE"/>
        </w:rPr>
        <w:t xml:space="preserve">. </w:t>
      </w:r>
      <w:r w:rsidR="00EC2452" w:rsidRPr="00013BDC">
        <w:rPr>
          <w:rStyle w:val="FootnoteReference"/>
          <w:rFonts w:eastAsia="Times New Roman"/>
          <w:noProof/>
          <w:lang w:val="en-IE"/>
        </w:rPr>
        <w:footnoteReference w:id="225"/>
      </w:r>
    </w:p>
    <w:p w14:paraId="2EDB5E70" w14:textId="2EC15D71" w:rsidR="00C76328" w:rsidRPr="00013BDC" w:rsidRDefault="79F4D5A8" w:rsidP="00C76328">
      <w:pPr>
        <w:rPr>
          <w:rFonts w:eastAsia="Times New Roman"/>
          <w:noProof/>
          <w:lang w:val="en-IE"/>
        </w:rPr>
      </w:pPr>
      <w:r w:rsidRPr="00013BDC">
        <w:rPr>
          <w:rFonts w:eastAsia="Times New Roman"/>
          <w:noProof/>
          <w:lang w:val="en-IE"/>
        </w:rPr>
        <w:t xml:space="preserve">Another classification for recycling routes is into </w:t>
      </w:r>
      <w:r w:rsidRPr="00013BDC">
        <w:rPr>
          <w:rFonts w:eastAsia="Times New Roman"/>
          <w:b/>
          <w:noProof/>
          <w:lang w:val="en-IE"/>
        </w:rPr>
        <w:t>closed- or open-loop recycling</w:t>
      </w:r>
      <w:r w:rsidRPr="00013BDC">
        <w:rPr>
          <w:rFonts w:eastAsia="Times New Roman"/>
          <w:noProof/>
          <w:lang w:val="en-IE"/>
        </w:rPr>
        <w:t>. Closed-loop recycling refers to when the material from a product is recycled and used in a (more or less) identical product, whereas open-loop recycling (also called cascade recycling) refers to processes in which the material from a product is recycled and used in another product</w:t>
      </w:r>
      <w:r w:rsidR="41599E58" w:rsidRPr="00013BDC">
        <w:rPr>
          <w:rFonts w:eastAsia="Times New Roman"/>
          <w:noProof/>
          <w:lang w:val="en-IE"/>
        </w:rPr>
        <w:t xml:space="preserve">. </w:t>
      </w:r>
      <w:r w:rsidR="00EC2452" w:rsidRPr="00013BDC">
        <w:rPr>
          <w:rStyle w:val="FootnoteReference"/>
          <w:rFonts w:eastAsia="Times New Roman"/>
          <w:noProof/>
          <w:lang w:val="en-IE"/>
        </w:rPr>
        <w:footnoteReference w:id="226"/>
      </w:r>
      <w:r w:rsidR="59690F36" w:rsidRPr="00013BDC">
        <w:rPr>
          <w:rFonts w:eastAsia="Times New Roman"/>
          <w:noProof/>
          <w:lang w:val="en-IE"/>
        </w:rPr>
        <w:t xml:space="preserve"> </w:t>
      </w:r>
      <w:r w:rsidR="00C76328" w:rsidRPr="00013BDC">
        <w:rPr>
          <w:rFonts w:eastAsia="Times New Roman"/>
          <w:noProof/>
          <w:lang w:val="en-IE"/>
        </w:rPr>
        <w:t xml:space="preserve">The support study estimated that </w:t>
      </w:r>
      <w:r w:rsidR="00721847" w:rsidRPr="00013BDC">
        <w:rPr>
          <w:rFonts w:eastAsia="Times New Roman"/>
          <w:noProof/>
          <w:lang w:val="en-IE"/>
        </w:rPr>
        <w:t>around 51 thousand tonnes were recycled closed-loop in 2021 and over 460 thousand were recycled open-loop.</w:t>
      </w:r>
    </w:p>
    <w:p w14:paraId="68159665" w14:textId="0873DD5C" w:rsidR="001C36F3" w:rsidRPr="00013BDC" w:rsidRDefault="00E17343" w:rsidP="001C36F3">
      <w:pPr>
        <w:rPr>
          <w:i/>
          <w:noProof/>
          <w:lang w:val="en-IE"/>
        </w:rPr>
      </w:pPr>
      <w:bookmarkStart w:id="637" w:name="_Toc133229292"/>
      <w:bookmarkStart w:id="638" w:name="_Toc139033018"/>
      <w:r w:rsidRPr="00013BDC">
        <w:rPr>
          <w:rFonts w:eastAsia="Times New Roman"/>
          <w:i/>
          <w:noProof/>
          <w:lang w:val="en-IE"/>
        </w:rPr>
        <w:t xml:space="preserve">Figure </w:t>
      </w:r>
      <w:r w:rsidR="004C5576">
        <w:rPr>
          <w:rFonts w:eastAsia="Times New Roman"/>
          <w:noProof/>
        </w:rPr>
        <w:t>21</w:t>
      </w:r>
      <w:r w:rsidR="001C36F3" w:rsidRPr="00013BDC">
        <w:rPr>
          <w:rFonts w:eastAsia="Times New Roman"/>
          <w:i/>
          <w:noProof/>
          <w:lang w:val="en-IE"/>
        </w:rPr>
        <w:t xml:space="preserve"> –</w:t>
      </w:r>
      <w:r w:rsidR="001C36F3" w:rsidRPr="00013BDC">
        <w:rPr>
          <w:i/>
          <w:noProof/>
          <w:lang w:val="en-IE"/>
        </w:rPr>
        <w:t xml:space="preserve"> Classification of textile reuse and recycling routes</w:t>
      </w:r>
      <w:bookmarkEnd w:id="637"/>
      <w:bookmarkEnd w:id="638"/>
    </w:p>
    <w:p w14:paraId="73ECA7B5" w14:textId="3B5312B9" w:rsidR="00096212" w:rsidRPr="00013BDC" w:rsidRDefault="35467268" w:rsidP="001C36F3">
      <w:pPr>
        <w:jc w:val="center"/>
        <w:rPr>
          <w:rFonts w:eastAsia="Times New Roman"/>
          <w:noProof/>
          <w:color w:val="2B579A"/>
          <w:shd w:val="clear" w:color="auto" w:fill="E6E6E6"/>
          <w:lang w:val="en-IE"/>
        </w:rPr>
      </w:pPr>
      <w:r w:rsidRPr="00013BDC">
        <w:rPr>
          <w:noProof/>
          <w:color w:val="2B579A"/>
          <w:shd w:val="clear" w:color="auto" w:fill="E6E6E6"/>
          <w:lang w:eastAsia="en-GB"/>
        </w:rPr>
        <w:drawing>
          <wp:inline distT="0" distB="0" distL="0" distR="0" wp14:anchorId="2F980AB8" wp14:editId="4CEF6B95">
            <wp:extent cx="4572000" cy="3524250"/>
            <wp:effectExtent l="0" t="0" r="0" b="0"/>
            <wp:docPr id="509954217" name="Picture 50995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4572000" cy="3524250"/>
                    </a:xfrm>
                    <a:prstGeom prst="rect">
                      <a:avLst/>
                    </a:prstGeom>
                  </pic:spPr>
                </pic:pic>
              </a:graphicData>
            </a:graphic>
          </wp:inline>
        </w:drawing>
      </w:r>
    </w:p>
    <w:p w14:paraId="5AAC2115" w14:textId="77777777" w:rsidR="001C36F3" w:rsidRPr="00013BDC" w:rsidRDefault="001C36F3" w:rsidP="001C36F3">
      <w:pPr>
        <w:spacing w:after="0"/>
        <w:jc w:val="center"/>
        <w:rPr>
          <w:noProof/>
          <w:sz w:val="22"/>
          <w:szCs w:val="22"/>
          <w:lang w:val="en-IE"/>
        </w:rPr>
      </w:pPr>
      <w:r w:rsidRPr="00013BDC">
        <w:rPr>
          <w:rFonts w:eastAsia="Times New Roman"/>
          <w:noProof/>
          <w:sz w:val="22"/>
          <w:szCs w:val="22"/>
          <w:lang w:val="en-IE"/>
        </w:rPr>
        <w:t xml:space="preserve">Source: </w:t>
      </w:r>
      <w:r w:rsidRPr="00013BDC">
        <w:rPr>
          <w:noProof/>
          <w:sz w:val="22"/>
          <w:szCs w:val="22"/>
          <w:lang w:val="en-IE"/>
        </w:rPr>
        <w:t>Sandin, G. and M. Peters, G., 2018,</w:t>
      </w:r>
    </w:p>
    <w:p w14:paraId="6D0FC023" w14:textId="2C1166F3" w:rsidR="00C61FE9" w:rsidRPr="00013BDC" w:rsidRDefault="00393BF7" w:rsidP="001C36F3">
      <w:pPr>
        <w:jc w:val="center"/>
        <w:rPr>
          <w:rFonts w:eastAsia="Times New Roman"/>
          <w:noProof/>
          <w:sz w:val="22"/>
          <w:szCs w:val="22"/>
          <w:lang w:val="en-IE"/>
        </w:rPr>
      </w:pPr>
      <w:hyperlink r:id="rId105" w:anchor="bib21" w:history="1">
        <w:r w:rsidR="001C36F3" w:rsidRPr="00013BDC">
          <w:rPr>
            <w:rStyle w:val="Hyperlink"/>
            <w:noProof/>
            <w:sz w:val="22"/>
            <w:szCs w:val="22"/>
            <w:lang w:val="en-IE"/>
          </w:rPr>
          <w:t>https://www.sciencedirect.com/science/article/pii/S0959652618305985#bib21</w:t>
        </w:r>
      </w:hyperlink>
    </w:p>
    <w:p w14:paraId="2D908074" w14:textId="7F7CFA09" w:rsidR="00EE6D12" w:rsidRPr="00013BDC" w:rsidRDefault="00824E32" w:rsidP="001B1E6E">
      <w:pPr>
        <w:rPr>
          <w:rFonts w:eastAsia="Times New Roman"/>
          <w:noProof/>
          <w:lang w:val="en-IE"/>
        </w:rPr>
      </w:pPr>
      <w:r w:rsidRPr="00013BDC">
        <w:rPr>
          <w:rFonts w:eastAsia="Times New Roman"/>
          <w:noProof/>
          <w:lang w:val="en-IE"/>
        </w:rPr>
        <w:t xml:space="preserve">The recycling capacity of Member States </w:t>
      </w:r>
      <w:r w:rsidR="00755638" w:rsidRPr="00013BDC">
        <w:rPr>
          <w:rFonts w:eastAsia="Times New Roman"/>
          <w:noProof/>
          <w:lang w:val="en-IE"/>
        </w:rPr>
        <w:t xml:space="preserve">is based on data published by </w:t>
      </w:r>
      <w:r w:rsidR="00027730" w:rsidRPr="00013BDC">
        <w:rPr>
          <w:rFonts w:eastAsia="Times New Roman"/>
          <w:noProof/>
          <w:lang w:val="en-IE"/>
        </w:rPr>
        <w:t>Eurostat</w:t>
      </w:r>
      <w:r w:rsidR="007541C7" w:rsidRPr="00013BDC">
        <w:rPr>
          <w:rStyle w:val="FootnoteReference"/>
          <w:rFonts w:eastAsia="Times New Roman"/>
          <w:noProof/>
          <w:lang w:val="en-IE"/>
        </w:rPr>
        <w:footnoteReference w:id="227"/>
      </w:r>
      <w:r w:rsidR="00027730" w:rsidRPr="00013BDC">
        <w:rPr>
          <w:rFonts w:eastAsia="Times New Roman"/>
          <w:noProof/>
          <w:lang w:val="en-IE"/>
        </w:rPr>
        <w:t xml:space="preserve">. It should be noted that the volumes indicated are the actual volumes of textiles </w:t>
      </w:r>
      <w:r w:rsidR="00225C35" w:rsidRPr="00013BDC">
        <w:rPr>
          <w:rFonts w:eastAsia="Times New Roman"/>
          <w:noProof/>
          <w:lang w:val="en-IE"/>
        </w:rPr>
        <w:t xml:space="preserve">reported as </w:t>
      </w:r>
      <w:r w:rsidR="00027730" w:rsidRPr="00013BDC">
        <w:rPr>
          <w:rFonts w:eastAsia="Times New Roman"/>
          <w:noProof/>
          <w:lang w:val="en-IE"/>
        </w:rPr>
        <w:t xml:space="preserve">recycled </w:t>
      </w:r>
      <w:r w:rsidR="00225C35" w:rsidRPr="00013BDC">
        <w:rPr>
          <w:rFonts w:eastAsia="Times New Roman"/>
          <w:noProof/>
          <w:lang w:val="en-IE"/>
        </w:rPr>
        <w:t xml:space="preserve">in 2020 </w:t>
      </w:r>
      <w:r w:rsidR="00D77FFE" w:rsidRPr="00013BDC">
        <w:rPr>
          <w:rFonts w:eastAsia="Times New Roman"/>
          <w:noProof/>
          <w:lang w:val="en-IE"/>
        </w:rPr>
        <w:t xml:space="preserve">which are </w:t>
      </w:r>
      <w:r w:rsidR="00027730" w:rsidRPr="00013BDC">
        <w:rPr>
          <w:rFonts w:eastAsia="Times New Roman"/>
          <w:noProof/>
          <w:lang w:val="en-IE"/>
        </w:rPr>
        <w:t xml:space="preserve">likely </w:t>
      </w:r>
      <w:r w:rsidR="00D77FFE" w:rsidRPr="00013BDC">
        <w:rPr>
          <w:rFonts w:eastAsia="Times New Roman"/>
          <w:noProof/>
          <w:lang w:val="en-IE"/>
        </w:rPr>
        <w:t>overestimated, as under Waste Statistics Regulation these volumes include also textiles prepared for re-use. Moreover,</w:t>
      </w:r>
      <w:r w:rsidR="00027730" w:rsidRPr="00013BDC">
        <w:rPr>
          <w:rFonts w:eastAsia="Times New Roman"/>
          <w:noProof/>
          <w:lang w:val="en-IE"/>
        </w:rPr>
        <w:t xml:space="preserve"> the </w:t>
      </w:r>
      <w:r w:rsidR="00D77FFE" w:rsidRPr="00013BDC">
        <w:rPr>
          <w:rFonts w:eastAsia="Times New Roman"/>
          <w:noProof/>
          <w:lang w:val="en-IE"/>
        </w:rPr>
        <w:t xml:space="preserve">documented </w:t>
      </w:r>
      <w:r w:rsidR="00D77FFE" w:rsidRPr="00013BDC">
        <w:rPr>
          <w:noProof/>
          <w:lang w:val="en-IE"/>
        </w:rPr>
        <w:t>"landfill" and "incineration" are likely underestimating the real values</w:t>
      </w:r>
      <w:r w:rsidR="00027730" w:rsidRPr="00013BDC">
        <w:rPr>
          <w:rFonts w:eastAsia="Times New Roman"/>
          <w:noProof/>
          <w:lang w:val="en-IE"/>
        </w:rPr>
        <w:t xml:space="preserve">. Additionally, as a result of the types of textiles that are captured under this dataset </w:t>
      </w:r>
      <w:r w:rsidR="00675F48" w:rsidRPr="00013BDC">
        <w:rPr>
          <w:rFonts w:eastAsia="Times New Roman"/>
          <w:noProof/>
          <w:lang w:val="en-IE"/>
        </w:rPr>
        <w:t xml:space="preserve">leather and </w:t>
      </w:r>
      <w:r w:rsidR="007541C7" w:rsidRPr="00013BDC">
        <w:rPr>
          <w:rFonts w:eastAsia="Times New Roman"/>
          <w:noProof/>
          <w:lang w:val="en-IE"/>
        </w:rPr>
        <w:t>other wastes from textile production are included</w:t>
      </w:r>
      <w:r w:rsidR="004F642D" w:rsidRPr="00013BDC">
        <w:rPr>
          <w:rFonts w:eastAsia="Times New Roman"/>
          <w:noProof/>
          <w:lang w:val="en-IE"/>
        </w:rPr>
        <w:t xml:space="preserve"> that accounts for the higher volumes reported to Eurostat than </w:t>
      </w:r>
      <w:r w:rsidR="00652223" w:rsidRPr="00013BDC">
        <w:rPr>
          <w:rFonts w:eastAsia="Times New Roman"/>
          <w:noProof/>
          <w:lang w:val="en-IE"/>
        </w:rPr>
        <w:t>the volumes of clothing and household textiles that are recycled within the EU at present</w:t>
      </w:r>
      <w:r w:rsidR="007541C7" w:rsidRPr="00013BDC">
        <w:rPr>
          <w:rFonts w:eastAsia="Times New Roman"/>
          <w:noProof/>
          <w:lang w:val="en-IE"/>
        </w:rPr>
        <w:t xml:space="preserve">. </w:t>
      </w:r>
      <w:r w:rsidR="00652223" w:rsidRPr="00013BDC">
        <w:rPr>
          <w:rFonts w:eastAsia="Times New Roman"/>
          <w:noProof/>
          <w:lang w:val="en-IE"/>
        </w:rPr>
        <w:t>However, the figure gives an idea of the scale of recycling at present.</w:t>
      </w:r>
    </w:p>
    <w:p w14:paraId="3A419778" w14:textId="72ED5380" w:rsidR="001C36F3" w:rsidRPr="00013BDC" w:rsidRDefault="00CE4457" w:rsidP="001C36F3">
      <w:pPr>
        <w:rPr>
          <w:i/>
          <w:noProof/>
          <w:lang w:val="en-IE"/>
        </w:rPr>
      </w:pPr>
      <w:bookmarkStart w:id="639" w:name="_Toc133229293"/>
      <w:bookmarkStart w:id="640" w:name="_Toc139033019"/>
      <w:r w:rsidRPr="00013BDC">
        <w:rPr>
          <w:rFonts w:eastAsia="Times New Roman"/>
          <w:i/>
          <w:noProof/>
          <w:lang w:val="en-IE"/>
        </w:rPr>
        <w:t xml:space="preserve">Figure </w:t>
      </w:r>
      <w:r w:rsidR="004C5576">
        <w:rPr>
          <w:rFonts w:eastAsia="Times New Roman"/>
          <w:i/>
          <w:noProof/>
        </w:rPr>
        <w:t>22</w:t>
      </w:r>
      <w:r w:rsidR="001C36F3" w:rsidRPr="00013BDC">
        <w:rPr>
          <w:rFonts w:eastAsia="Times New Roman"/>
          <w:i/>
          <w:noProof/>
          <w:lang w:val="en-IE"/>
        </w:rPr>
        <w:t xml:space="preserve"> –</w:t>
      </w:r>
      <w:r w:rsidR="001C36F3" w:rsidRPr="00013BDC">
        <w:rPr>
          <w:i/>
          <w:noProof/>
          <w:lang w:val="en-IE"/>
        </w:rPr>
        <w:t xml:space="preserve"> Map of textile recycling in 2020</w:t>
      </w:r>
      <w:bookmarkEnd w:id="639"/>
      <w:bookmarkEnd w:id="640"/>
    </w:p>
    <w:p w14:paraId="66950D0F" w14:textId="0BF76B88" w:rsidR="00EE6D12" w:rsidRPr="00013BDC" w:rsidRDefault="009346AA" w:rsidP="001C36F3">
      <w:pPr>
        <w:spacing w:after="120"/>
        <w:jc w:val="center"/>
        <w:rPr>
          <w:rFonts w:eastAsia="Times New Roman"/>
          <w:noProof/>
          <w:lang w:val="en-IE"/>
        </w:rPr>
      </w:pPr>
      <w:r w:rsidRPr="00013BDC">
        <w:rPr>
          <w:noProof/>
          <w:color w:val="2B579A"/>
          <w:shd w:val="clear" w:color="auto" w:fill="E6E6E6"/>
          <w:lang w:eastAsia="en-GB"/>
        </w:rPr>
        <w:drawing>
          <wp:inline distT="0" distB="0" distL="0" distR="0" wp14:anchorId="7FB2D889" wp14:editId="214E1B1B">
            <wp:extent cx="4716780" cy="2922026"/>
            <wp:effectExtent l="0" t="0" r="7620" b="0"/>
            <wp:docPr id="210007952" name="Picture 2100079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07952"/>
                    <pic:cNvPicPr/>
                  </pic:nvPicPr>
                  <pic:blipFill>
                    <a:blip r:embed="rId106">
                      <a:extLst>
                        <a:ext uri="{28A0092B-C50C-407E-A947-70E740481C1C}">
                          <a14:useLocalDpi xmlns:a14="http://schemas.microsoft.com/office/drawing/2010/main" val="0"/>
                        </a:ext>
                      </a:extLst>
                    </a:blip>
                    <a:stretch>
                      <a:fillRect/>
                    </a:stretch>
                  </pic:blipFill>
                  <pic:spPr>
                    <a:xfrm>
                      <a:off x="0" y="0"/>
                      <a:ext cx="4734390" cy="2932935"/>
                    </a:xfrm>
                    <a:prstGeom prst="rect">
                      <a:avLst/>
                    </a:prstGeom>
                  </pic:spPr>
                </pic:pic>
              </a:graphicData>
            </a:graphic>
          </wp:inline>
        </w:drawing>
      </w:r>
    </w:p>
    <w:p w14:paraId="4D86469C" w14:textId="55CA378B" w:rsidR="00CE4457" w:rsidRPr="00013BDC" w:rsidRDefault="00CE4457" w:rsidP="001A6546">
      <w:pPr>
        <w:jc w:val="center"/>
        <w:rPr>
          <w:rFonts w:eastAsia="Times New Roman"/>
          <w:noProof/>
          <w:color w:val="333333"/>
          <w:sz w:val="22"/>
          <w:szCs w:val="22"/>
          <w:lang w:val="en-IE"/>
        </w:rPr>
      </w:pPr>
      <w:r w:rsidRPr="00013BDC">
        <w:rPr>
          <w:rFonts w:eastAsia="Times New Roman"/>
          <w:noProof/>
          <w:color w:val="333333"/>
          <w:sz w:val="22"/>
          <w:szCs w:val="22"/>
          <w:lang w:val="en-IE"/>
        </w:rPr>
        <w:t>Source: Eurostat 2023.</w:t>
      </w:r>
    </w:p>
    <w:p w14:paraId="484F7E9B" w14:textId="2DF4F0CF" w:rsidR="009346AA" w:rsidRPr="00013BDC" w:rsidRDefault="008B5817" w:rsidP="00755638">
      <w:pPr>
        <w:spacing w:after="120"/>
        <w:rPr>
          <w:rFonts w:eastAsia="Times New Roman"/>
          <w:noProof/>
          <w:color w:val="333333"/>
          <w:lang w:val="en-IE"/>
        </w:rPr>
      </w:pPr>
      <w:r w:rsidRPr="00013BDC">
        <w:rPr>
          <w:rFonts w:eastAsia="Times New Roman"/>
          <w:noProof/>
          <w:color w:val="333333"/>
          <w:lang w:val="en-IE"/>
        </w:rPr>
        <w:t xml:space="preserve">As noted above, </w:t>
      </w:r>
      <w:r w:rsidR="185AF859" w:rsidRPr="00013BDC">
        <w:rPr>
          <w:rFonts w:eastAsia="Times New Roman"/>
          <w:noProof/>
          <w:color w:val="333333"/>
          <w:lang w:val="en-IE"/>
        </w:rPr>
        <w:t>most</w:t>
      </w:r>
      <w:r w:rsidRPr="00013BDC">
        <w:rPr>
          <w:rFonts w:eastAsia="Times New Roman"/>
          <w:noProof/>
          <w:color w:val="333333"/>
          <w:lang w:val="en-IE"/>
        </w:rPr>
        <w:t xml:space="preserve"> of the </w:t>
      </w:r>
      <w:r w:rsidR="00652223" w:rsidRPr="00013BDC">
        <w:rPr>
          <w:rFonts w:eastAsia="Times New Roman"/>
          <w:noProof/>
          <w:color w:val="333333"/>
          <w:lang w:val="en-IE"/>
        </w:rPr>
        <w:t xml:space="preserve">textile </w:t>
      </w:r>
      <w:r w:rsidRPr="00013BDC">
        <w:rPr>
          <w:rFonts w:eastAsia="Times New Roman"/>
          <w:noProof/>
          <w:color w:val="333333"/>
          <w:lang w:val="en-IE"/>
        </w:rPr>
        <w:t>recycling undertaken at present is open-loop recycling.</w:t>
      </w:r>
      <w:r w:rsidR="004520D2" w:rsidRPr="00013BDC">
        <w:rPr>
          <w:rFonts w:eastAsia="Times New Roman"/>
          <w:noProof/>
          <w:color w:val="333333"/>
          <w:lang w:val="en-IE"/>
        </w:rPr>
        <w:t xml:space="preserve">  </w:t>
      </w:r>
      <w:r w:rsidR="005A07E5" w:rsidRPr="00013BDC">
        <w:rPr>
          <w:rFonts w:eastAsia="Times New Roman"/>
          <w:noProof/>
          <w:color w:val="333333"/>
          <w:lang w:val="en-IE"/>
        </w:rPr>
        <w:t>Four Member States recycled 100 000 tonnes of more of textiles in 2020 (BE 100</w:t>
      </w:r>
      <w:r w:rsidR="00EF2B58" w:rsidRPr="00013BDC">
        <w:rPr>
          <w:rFonts w:eastAsia="Times New Roman"/>
          <w:noProof/>
          <w:color w:val="333333"/>
          <w:lang w:val="en-IE"/>
        </w:rPr>
        <w:t>k tonnes</w:t>
      </w:r>
      <w:r w:rsidR="005A07E5" w:rsidRPr="00013BDC">
        <w:rPr>
          <w:rFonts w:eastAsia="Times New Roman"/>
          <w:noProof/>
          <w:color w:val="333333"/>
          <w:lang w:val="en-IE"/>
        </w:rPr>
        <w:t xml:space="preserve">, </w:t>
      </w:r>
      <w:r w:rsidR="00EF2B58" w:rsidRPr="00013BDC">
        <w:rPr>
          <w:rFonts w:eastAsia="Times New Roman"/>
          <w:noProof/>
          <w:color w:val="333333"/>
          <w:lang w:val="en-IE"/>
        </w:rPr>
        <w:t>FR 173k tonnes, DE 1</w:t>
      </w:r>
      <w:r w:rsidR="00C31825" w:rsidRPr="00013BDC">
        <w:rPr>
          <w:rFonts w:eastAsia="Times New Roman"/>
          <w:noProof/>
          <w:color w:val="333333"/>
          <w:lang w:val="en-IE"/>
        </w:rPr>
        <w:t>91k tonnes and IT 271k tonnes) comprising</w:t>
      </w:r>
      <w:r w:rsidR="00CE4457" w:rsidRPr="00013BDC">
        <w:rPr>
          <w:rFonts w:eastAsia="Times New Roman"/>
          <w:noProof/>
          <w:color w:val="333333"/>
          <w:lang w:val="en-IE"/>
        </w:rPr>
        <w:t xml:space="preserve"> 72% of all textiles recycling in the EU.</w:t>
      </w:r>
    </w:p>
    <w:p w14:paraId="62C121CB" w14:textId="54FA2922" w:rsidR="00B67A9E" w:rsidRPr="00013BDC" w:rsidRDefault="0248DCB2" w:rsidP="00B67A9E">
      <w:pPr>
        <w:rPr>
          <w:rFonts w:eastAsia="Times New Roman"/>
          <w:noProof/>
          <w:lang w:val="en-IE"/>
        </w:rPr>
      </w:pPr>
      <w:r w:rsidRPr="00013BDC">
        <w:rPr>
          <w:rFonts w:eastAsia="Times New Roman"/>
          <w:b/>
          <w:noProof/>
          <w:lang w:val="en-IE"/>
        </w:rPr>
        <w:t>Recycling mainly focuses on cotton-rich products.</w:t>
      </w:r>
      <w:r w:rsidRPr="00013BDC">
        <w:rPr>
          <w:rFonts w:eastAsia="Times New Roman"/>
          <w:noProof/>
          <w:lang w:val="en-IE"/>
        </w:rPr>
        <w:t xml:space="preserve"> Currently, there is no significant recycling of synthetic textiles and the limited fibre-to-fibre recycling that does occur is mainly mechanical recycling of 100 % cotton products</w:t>
      </w:r>
      <w:r w:rsidR="00B67A9E" w:rsidRPr="00013BDC">
        <w:rPr>
          <w:rStyle w:val="FootnoteReference"/>
          <w:rFonts w:eastAsia="Times New Roman"/>
          <w:noProof/>
          <w:lang w:val="en-IE"/>
        </w:rPr>
        <w:footnoteReference w:id="228"/>
      </w:r>
      <w:r w:rsidRPr="00013BDC">
        <w:rPr>
          <w:rFonts w:eastAsia="Times New Roman"/>
          <w:noProof/>
          <w:lang w:val="en-IE"/>
        </w:rPr>
        <w:t xml:space="preserve">. Mechanical recycling technologies, where the waste textile is physically manipulated to recover materials, fibres or fabrics, are currently the most prevalent. </w:t>
      </w:r>
      <w:r w:rsidR="001C458E" w:rsidRPr="00013BDC">
        <w:rPr>
          <w:rStyle w:val="FootnoteReference"/>
          <w:rFonts w:eastAsia="Times New Roman"/>
          <w:noProof/>
          <w:lang w:val="en-IE"/>
        </w:rPr>
        <w:footnoteReference w:id="229"/>
      </w:r>
      <w:r w:rsidR="008E4FC8" w:rsidRPr="00013BDC">
        <w:rPr>
          <w:rFonts w:eastAsia="Times New Roman"/>
          <w:noProof/>
          <w:lang w:val="en-IE"/>
        </w:rPr>
        <w:t xml:space="preserve"> The market value for these materials is indicated in Annex 4.</w:t>
      </w:r>
    </w:p>
    <w:p w14:paraId="1F309571" w14:textId="18DA13B7" w:rsidR="00F043F3" w:rsidRPr="00013BDC" w:rsidRDefault="00F043F3" w:rsidP="00F043F3">
      <w:pPr>
        <w:pStyle w:val="Caption"/>
        <w:rPr>
          <w:noProof/>
          <w:color w:val="auto"/>
          <w:sz w:val="24"/>
          <w:szCs w:val="24"/>
          <w:lang w:val="en-IE"/>
        </w:rPr>
      </w:pPr>
      <w:bookmarkStart w:id="641" w:name="_Toc133229437"/>
      <w:bookmarkStart w:id="642" w:name="_Toc139033061"/>
      <w:r w:rsidRPr="00013BDC">
        <w:rPr>
          <w:noProof/>
          <w:color w:val="auto"/>
          <w:sz w:val="24"/>
          <w:szCs w:val="24"/>
          <w:lang w:val="en-IE"/>
        </w:rPr>
        <w:t xml:space="preserve">Table </w:t>
      </w:r>
      <w:r w:rsidR="004C5576">
        <w:rPr>
          <w:noProof/>
          <w:color w:val="auto"/>
          <w:sz w:val="24"/>
          <w:szCs w:val="24"/>
        </w:rPr>
        <w:t>31</w:t>
      </w:r>
      <w:r w:rsidRPr="00013BDC">
        <w:rPr>
          <w:noProof/>
          <w:color w:val="auto"/>
          <w:sz w:val="24"/>
          <w:szCs w:val="24"/>
          <w:lang w:val="en-IE"/>
        </w:rPr>
        <w:t xml:space="preserve"> – Recycling processes for major fibres/recycling</w:t>
      </w:r>
      <w:r w:rsidRPr="00013BDC">
        <w:rPr>
          <w:rStyle w:val="FootnoteReference"/>
          <w:rFonts w:eastAsia="Calibri"/>
          <w:noProof/>
          <w:color w:val="auto"/>
          <w:sz w:val="24"/>
          <w:szCs w:val="24"/>
          <w:lang w:val="en-IE"/>
        </w:rPr>
        <w:footnoteReference w:id="230"/>
      </w:r>
      <w:bookmarkEnd w:id="641"/>
      <w:bookmarkEnd w:id="642"/>
    </w:p>
    <w:p w14:paraId="4CB00D3E" w14:textId="36F1C924" w:rsidR="00B67A9E" w:rsidRPr="00013BDC" w:rsidRDefault="00B67A9E" w:rsidP="00703B40">
      <w:pPr>
        <w:spacing w:after="0"/>
        <w:jc w:val="center"/>
        <w:rPr>
          <w:rFonts w:eastAsia="Times New Roman"/>
          <w:noProof/>
          <w:lang w:val="en-IE"/>
        </w:rPr>
      </w:pPr>
      <w:r w:rsidRPr="00013BDC">
        <w:rPr>
          <w:noProof/>
          <w:lang w:eastAsia="en-GB"/>
        </w:rPr>
        <w:drawing>
          <wp:inline distT="0" distB="0" distL="0" distR="0" wp14:anchorId="1CFAF9D9" wp14:editId="634FCAE7">
            <wp:extent cx="5148776" cy="2284769"/>
            <wp:effectExtent l="0" t="0" r="0" b="1270"/>
            <wp:docPr id="1409635165" name="Picture 140963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635165"/>
                    <pic:cNvPicPr/>
                  </pic:nvPicPr>
                  <pic:blipFill>
                    <a:blip r:embed="rId107">
                      <a:extLst>
                        <a:ext uri="{28A0092B-C50C-407E-A947-70E740481C1C}">
                          <a14:useLocalDpi xmlns:a14="http://schemas.microsoft.com/office/drawing/2010/main" val="0"/>
                        </a:ext>
                      </a:extLst>
                    </a:blip>
                    <a:stretch>
                      <a:fillRect/>
                    </a:stretch>
                  </pic:blipFill>
                  <pic:spPr>
                    <a:xfrm>
                      <a:off x="0" y="0"/>
                      <a:ext cx="5148776" cy="2284769"/>
                    </a:xfrm>
                    <a:prstGeom prst="rect">
                      <a:avLst/>
                    </a:prstGeom>
                  </pic:spPr>
                </pic:pic>
              </a:graphicData>
            </a:graphic>
          </wp:inline>
        </w:drawing>
      </w:r>
    </w:p>
    <w:p w14:paraId="47FB3953" w14:textId="657511B2" w:rsidR="002E1C47" w:rsidRPr="00013BDC" w:rsidRDefault="002E1C47" w:rsidP="001B1E6E">
      <w:pPr>
        <w:spacing w:after="120"/>
        <w:rPr>
          <w:rFonts w:eastAsia="Segoe UI"/>
          <w:noProof/>
          <w:lang w:val="en-IE"/>
        </w:rPr>
      </w:pPr>
    </w:p>
    <w:p w14:paraId="49DFFBC0" w14:textId="03073EA7" w:rsidR="00096212" w:rsidRPr="00013BDC" w:rsidRDefault="7C83F178" w:rsidP="001B1E6E">
      <w:pPr>
        <w:spacing w:after="120"/>
        <w:rPr>
          <w:rFonts w:eastAsia="Segoe UI"/>
          <w:noProof/>
          <w:lang w:val="en-IE"/>
        </w:rPr>
      </w:pPr>
      <w:r w:rsidRPr="00013BDC">
        <w:rPr>
          <w:rFonts w:eastAsia="Segoe UI"/>
          <w:noProof/>
          <w:lang w:val="en-IE"/>
        </w:rPr>
        <w:t xml:space="preserve">Textile recycling companies (small, </w:t>
      </w:r>
      <w:r w:rsidR="0014738B" w:rsidRPr="00013BDC">
        <w:rPr>
          <w:rFonts w:eastAsia="Segoe UI"/>
          <w:noProof/>
          <w:lang w:val="en-IE"/>
        </w:rPr>
        <w:t xml:space="preserve">medium </w:t>
      </w:r>
      <w:r w:rsidRPr="00013BDC">
        <w:rPr>
          <w:rFonts w:eastAsia="Segoe UI"/>
          <w:noProof/>
          <w:lang w:val="en-IE"/>
        </w:rPr>
        <w:t>and large companies) involved in recycling and trade of textile resource stream are key actors for the industrial uptake of textile fibre recycling technologies. Recyclers are gathered in federations that represent their interests at the international, European, and national levels:</w:t>
      </w:r>
    </w:p>
    <w:p w14:paraId="2DD46011" w14:textId="2FAA75D5" w:rsidR="006E1F1A" w:rsidRPr="00013BDC" w:rsidRDefault="006E1F1A" w:rsidP="006E1F1A">
      <w:pPr>
        <w:spacing w:after="120"/>
        <w:rPr>
          <w:rFonts w:eastAsia="Segoe UI"/>
          <w:noProof/>
          <w:lang w:val="en-IE"/>
        </w:rPr>
      </w:pPr>
      <w:r w:rsidRPr="00013BDC">
        <w:rPr>
          <w:rFonts w:eastAsia="Segoe UI"/>
          <w:b/>
          <w:noProof/>
          <w:lang w:val="en-IE"/>
        </w:rPr>
        <w:t>EuRIC (European Recycling Industries Confederation</w:t>
      </w:r>
      <w:r w:rsidRPr="00013BDC">
        <w:rPr>
          <w:rFonts w:eastAsia="Segoe UI"/>
          <w:noProof/>
          <w:lang w:val="en-IE"/>
        </w:rPr>
        <w:t>), textiles branch, is the Confederation representing the interests of the European recycling industries at EU level.</w:t>
      </w:r>
    </w:p>
    <w:p w14:paraId="69B1356C" w14:textId="0F01FABA" w:rsidR="00096212" w:rsidRPr="00013BDC" w:rsidRDefault="7A4E3502" w:rsidP="00410D9F">
      <w:pPr>
        <w:pStyle w:val="ListParagraph"/>
        <w:numPr>
          <w:ilvl w:val="1"/>
          <w:numId w:val="5"/>
        </w:numPr>
        <w:ind w:left="851" w:hanging="567"/>
        <w:rPr>
          <w:rFonts w:eastAsia="Segoe UI"/>
          <w:noProof/>
          <w:lang w:val="en-IE"/>
        </w:rPr>
      </w:pPr>
      <w:r w:rsidRPr="00013BDC">
        <w:rPr>
          <w:rFonts w:eastAsia="Segoe UI"/>
          <w:noProof/>
          <w:lang w:val="en-IE"/>
        </w:rPr>
        <w:t xml:space="preserve">The </w:t>
      </w:r>
      <w:r w:rsidRPr="00013BDC">
        <w:rPr>
          <w:rFonts w:eastAsia="Segoe UI"/>
          <w:b/>
          <w:noProof/>
          <w:lang w:val="en-IE"/>
        </w:rPr>
        <w:t>Bureau of International Recycling (BIR)</w:t>
      </w:r>
      <w:r w:rsidR="006E1F1A" w:rsidRPr="00013BDC">
        <w:rPr>
          <w:rStyle w:val="FootnoteReference"/>
          <w:rFonts w:eastAsia="Segoe UI"/>
          <w:noProof/>
          <w:lang w:val="en-IE"/>
        </w:rPr>
        <w:footnoteReference w:id="231"/>
      </w:r>
      <w:r w:rsidRPr="00013BDC">
        <w:rPr>
          <w:rFonts w:eastAsia="Segoe UI"/>
          <w:noProof/>
          <w:lang w:val="en-IE"/>
        </w:rPr>
        <w:t xml:space="preserve"> is the only global recycling industry federation representing more than 30</w:t>
      </w:r>
      <w:r w:rsidR="002261AC" w:rsidRPr="00013BDC">
        <w:rPr>
          <w:rFonts w:eastAsia="Segoe UI"/>
          <w:noProof/>
          <w:lang w:val="en-IE"/>
        </w:rPr>
        <w:t xml:space="preserve"> </w:t>
      </w:r>
      <w:r w:rsidRPr="00013BDC">
        <w:rPr>
          <w:rFonts w:eastAsia="Segoe UI"/>
          <w:noProof/>
          <w:lang w:val="en-IE"/>
        </w:rPr>
        <w:t>000 companies around the globe</w:t>
      </w:r>
      <w:r w:rsidR="543FBBAC" w:rsidRPr="00013BDC">
        <w:rPr>
          <w:rFonts w:eastAsia="Segoe UI"/>
          <w:noProof/>
          <w:lang w:val="en-IE"/>
        </w:rPr>
        <w:t>.</w:t>
      </w:r>
    </w:p>
    <w:p w14:paraId="129DD9CA" w14:textId="423748B3" w:rsidR="00096212" w:rsidRPr="00013BDC" w:rsidRDefault="006E1F1A" w:rsidP="00410D9F">
      <w:pPr>
        <w:pStyle w:val="ListParagraph"/>
        <w:numPr>
          <w:ilvl w:val="1"/>
          <w:numId w:val="5"/>
        </w:numPr>
        <w:ind w:left="851" w:hanging="567"/>
        <w:rPr>
          <w:rFonts w:eastAsia="Segoe UI"/>
          <w:noProof/>
          <w:lang w:val="en-IE"/>
        </w:rPr>
      </w:pPr>
      <w:r w:rsidRPr="00013BDC">
        <w:rPr>
          <w:rFonts w:eastAsia="Segoe UI"/>
          <w:noProof/>
          <w:lang w:val="en-IE"/>
        </w:rPr>
        <w:t xml:space="preserve">The </w:t>
      </w:r>
      <w:r w:rsidR="1997866F" w:rsidRPr="00013BDC">
        <w:rPr>
          <w:rFonts w:eastAsia="Segoe UI"/>
          <w:b/>
          <w:noProof/>
          <w:lang w:val="en-IE"/>
        </w:rPr>
        <w:t>European Recycling Industries Confederation (</w:t>
      </w:r>
      <w:r w:rsidRPr="00013BDC">
        <w:rPr>
          <w:rFonts w:eastAsia="Segoe UI"/>
          <w:b/>
          <w:noProof/>
          <w:lang w:val="en-IE"/>
        </w:rPr>
        <w:t>EuRIC</w:t>
      </w:r>
      <w:r w:rsidR="1997866F" w:rsidRPr="00013BDC">
        <w:rPr>
          <w:rFonts w:eastAsia="Segoe UI"/>
          <w:noProof/>
          <w:lang w:val="en-IE"/>
        </w:rPr>
        <w:t>)</w:t>
      </w:r>
      <w:r w:rsidRPr="00013BDC">
        <w:rPr>
          <w:rStyle w:val="FootnoteReference"/>
          <w:rFonts w:eastAsia="Segoe UI"/>
          <w:noProof/>
          <w:lang w:val="en-IE"/>
        </w:rPr>
        <w:footnoteReference w:id="232"/>
      </w:r>
      <w:r w:rsidR="1997866F" w:rsidRPr="00013BDC">
        <w:rPr>
          <w:rFonts w:eastAsia="Segoe UI"/>
          <w:noProof/>
          <w:lang w:val="en-IE"/>
        </w:rPr>
        <w:t>, textiles branch, is the Confederation representing the interests of the European recycling industries at EU level</w:t>
      </w:r>
      <w:r w:rsidR="543FBBAC" w:rsidRPr="00013BDC">
        <w:rPr>
          <w:rFonts w:eastAsia="Segoe UI"/>
          <w:noProof/>
          <w:lang w:val="en-IE"/>
        </w:rPr>
        <w:t>.</w:t>
      </w:r>
    </w:p>
    <w:p w14:paraId="63E6472E" w14:textId="2FAA75D5" w:rsidR="00096212" w:rsidRPr="00013BDC" w:rsidRDefault="7C83F178" w:rsidP="00410D9F">
      <w:pPr>
        <w:pStyle w:val="ListParagraph"/>
        <w:numPr>
          <w:ilvl w:val="1"/>
          <w:numId w:val="5"/>
        </w:numPr>
        <w:ind w:left="851" w:hanging="567"/>
        <w:rPr>
          <w:rFonts w:eastAsia="Segoe UI"/>
          <w:noProof/>
          <w:lang w:val="en-IE"/>
        </w:rPr>
      </w:pPr>
      <w:r w:rsidRPr="00013BDC">
        <w:rPr>
          <w:rFonts w:eastAsia="Segoe UI"/>
          <w:noProof/>
          <w:lang w:val="en-IE"/>
        </w:rPr>
        <w:t xml:space="preserve">Each country has </w:t>
      </w:r>
      <w:r w:rsidRPr="00013BDC">
        <w:rPr>
          <w:rFonts w:eastAsia="Segoe UI"/>
          <w:b/>
          <w:noProof/>
          <w:lang w:val="en-IE"/>
        </w:rPr>
        <w:t>one or several associations</w:t>
      </w:r>
      <w:r w:rsidRPr="00013BDC">
        <w:rPr>
          <w:rFonts w:eastAsia="Segoe UI"/>
          <w:noProof/>
          <w:lang w:val="en-IE"/>
        </w:rPr>
        <w:t>, for instance: Association of Recyclers and Traders of Second-Hand Clothes in Bulgaria, Assorecuperi in Italy, FEDEREC in France, Textrade in Hungary, Trasborg in Denmark, etc.</w:t>
      </w:r>
    </w:p>
    <w:p w14:paraId="65645401" w14:textId="67CF3559" w:rsidR="00096212" w:rsidRPr="00013BDC" w:rsidRDefault="235FB50D" w:rsidP="37873745">
      <w:pPr>
        <w:spacing w:after="120"/>
        <w:rPr>
          <w:rFonts w:eastAsia="Segoe UI"/>
          <w:noProof/>
          <w:lang w:val="en-IE"/>
        </w:rPr>
      </w:pPr>
      <w:r w:rsidRPr="00013BDC">
        <w:rPr>
          <w:rFonts w:eastAsia="Segoe UI"/>
          <w:noProof/>
          <w:lang w:val="en-IE"/>
        </w:rPr>
        <w:t>In 2021, t</w:t>
      </w:r>
      <w:r w:rsidR="47BC5B07" w:rsidRPr="00013BDC">
        <w:rPr>
          <w:rFonts w:eastAsia="Segoe UI"/>
          <w:noProof/>
          <w:lang w:val="en-IE"/>
        </w:rPr>
        <w:t xml:space="preserve">he French PRO, Refashion, as part of its mission to accelerate the recycling of textiles and footwear, created a digital platform to connect recycling actors. This free networking tool is for recycling professionals and presents a mapping of the </w:t>
      </w:r>
      <w:r w:rsidR="546EED40" w:rsidRPr="00013BDC">
        <w:rPr>
          <w:rFonts w:eastAsia="Segoe UI"/>
          <w:noProof/>
          <w:lang w:val="en-IE"/>
        </w:rPr>
        <w:t xml:space="preserve">materials available after recycling </w:t>
      </w:r>
      <w:r w:rsidR="47BC5B07" w:rsidRPr="00013BDC">
        <w:rPr>
          <w:rFonts w:eastAsia="Segoe UI"/>
          <w:noProof/>
          <w:lang w:val="en-IE"/>
        </w:rPr>
        <w:t xml:space="preserve">of </w:t>
      </w:r>
      <w:r w:rsidR="546EED40" w:rsidRPr="00013BDC">
        <w:rPr>
          <w:rFonts w:eastAsia="Segoe UI"/>
          <w:noProof/>
          <w:lang w:val="en-IE"/>
        </w:rPr>
        <w:t xml:space="preserve">textile </w:t>
      </w:r>
      <w:r w:rsidR="5AD83C41" w:rsidRPr="00013BDC">
        <w:rPr>
          <w:rFonts w:eastAsia="Segoe UI"/>
          <w:noProof/>
          <w:lang w:val="en-IE"/>
        </w:rPr>
        <w:t>and footwear</w:t>
      </w:r>
      <w:r w:rsidR="58372031" w:rsidRPr="00013BDC">
        <w:rPr>
          <w:rFonts w:eastAsia="Segoe UI"/>
          <w:noProof/>
          <w:lang w:val="en-IE"/>
        </w:rPr>
        <w:t>.</w:t>
      </w:r>
      <w:r w:rsidR="47BC5B07" w:rsidRPr="00013BDC">
        <w:rPr>
          <w:rFonts w:eastAsia="Segoe UI"/>
          <w:noProof/>
          <w:lang w:val="en-IE"/>
        </w:rPr>
        <w:t xml:space="preserve"> It </w:t>
      </w:r>
      <w:r w:rsidR="58372031" w:rsidRPr="00013BDC">
        <w:rPr>
          <w:rFonts w:eastAsia="Segoe UI"/>
          <w:noProof/>
          <w:lang w:val="en-IE"/>
        </w:rPr>
        <w:t>aims</w:t>
      </w:r>
      <w:r w:rsidR="47BC5B07" w:rsidRPr="00013BDC">
        <w:rPr>
          <w:rFonts w:eastAsia="Segoe UI"/>
          <w:noProof/>
          <w:lang w:val="en-IE"/>
        </w:rPr>
        <w:t xml:space="preserve"> to </w:t>
      </w:r>
      <w:r w:rsidR="5AD83C41" w:rsidRPr="00013BDC">
        <w:rPr>
          <w:rFonts w:eastAsia="Segoe UI"/>
          <w:noProof/>
          <w:lang w:val="en-IE"/>
        </w:rPr>
        <w:t>promote</w:t>
      </w:r>
      <w:r w:rsidR="47BC5B07" w:rsidRPr="00013BDC">
        <w:rPr>
          <w:rFonts w:eastAsia="Segoe UI"/>
          <w:noProof/>
          <w:lang w:val="en-IE"/>
        </w:rPr>
        <w:t xml:space="preserve"> transformation processes and incorporation of the </w:t>
      </w:r>
      <w:r w:rsidR="0B7EFC7B" w:rsidRPr="00013BDC">
        <w:rPr>
          <w:rFonts w:eastAsia="Segoe UI"/>
          <w:noProof/>
          <w:lang w:val="en-IE"/>
        </w:rPr>
        <w:t>recycled</w:t>
      </w:r>
      <w:r w:rsidR="47BC5B07" w:rsidRPr="00013BDC">
        <w:rPr>
          <w:rFonts w:eastAsia="Segoe UI"/>
          <w:noProof/>
          <w:lang w:val="en-IE"/>
        </w:rPr>
        <w:t xml:space="preserve"> materials into new products</w:t>
      </w:r>
      <w:r w:rsidR="1B78DE2A" w:rsidRPr="00013BDC">
        <w:rPr>
          <w:rFonts w:eastAsia="Segoe UI"/>
          <w:noProof/>
          <w:lang w:val="en-IE"/>
        </w:rPr>
        <w:t xml:space="preserve"> by connecting the different actors</w:t>
      </w:r>
      <w:r w:rsidR="00124E5F" w:rsidRPr="00013BDC">
        <w:rPr>
          <w:rStyle w:val="FootnoteReference"/>
          <w:rFonts w:eastAsia="Segoe UI"/>
          <w:noProof/>
          <w:lang w:val="en-IE"/>
        </w:rPr>
        <w:footnoteReference w:id="233"/>
      </w:r>
      <w:r w:rsidR="09F8BE8D" w:rsidRPr="00013BDC">
        <w:rPr>
          <w:rFonts w:eastAsia="Segoe UI"/>
          <w:noProof/>
          <w:lang w:val="en-IE"/>
        </w:rPr>
        <w:t>.</w:t>
      </w:r>
      <w:r w:rsidR="47BC5B07" w:rsidRPr="00013BDC">
        <w:rPr>
          <w:rFonts w:eastAsia="Segoe UI"/>
          <w:noProof/>
          <w:lang w:val="en-IE"/>
        </w:rPr>
        <w:t xml:space="preserve"> In </w:t>
      </w:r>
      <w:r w:rsidR="4DA03813" w:rsidRPr="00013BDC">
        <w:rPr>
          <w:rFonts w:eastAsia="Segoe UI"/>
          <w:noProof/>
          <w:lang w:val="en-IE"/>
        </w:rPr>
        <w:t>November</w:t>
      </w:r>
      <w:r w:rsidR="47BC5B07" w:rsidRPr="00013BDC">
        <w:rPr>
          <w:rFonts w:eastAsia="Segoe UI"/>
          <w:noProof/>
          <w:lang w:val="en-IE"/>
        </w:rPr>
        <w:t xml:space="preserve"> 2022, 2</w:t>
      </w:r>
      <w:r w:rsidR="4DA03813" w:rsidRPr="00013BDC">
        <w:rPr>
          <w:rFonts w:eastAsia="Segoe UI"/>
          <w:noProof/>
          <w:lang w:val="en-IE"/>
        </w:rPr>
        <w:t>80</w:t>
      </w:r>
      <w:r w:rsidR="47BC5B07" w:rsidRPr="00013BDC">
        <w:rPr>
          <w:rFonts w:eastAsia="Segoe UI"/>
          <w:noProof/>
          <w:lang w:val="en-IE"/>
        </w:rPr>
        <w:t xml:space="preserve"> stakeholders </w:t>
      </w:r>
      <w:r w:rsidR="34473D80" w:rsidRPr="00013BDC">
        <w:rPr>
          <w:rFonts w:eastAsia="Segoe UI"/>
          <w:noProof/>
          <w:lang w:val="en-IE"/>
        </w:rPr>
        <w:t>were</w:t>
      </w:r>
      <w:r w:rsidR="47BC5B07" w:rsidRPr="00013BDC">
        <w:rPr>
          <w:rFonts w:eastAsia="Segoe UI"/>
          <w:noProof/>
          <w:lang w:val="en-IE"/>
        </w:rPr>
        <w:t xml:space="preserve"> registered </w:t>
      </w:r>
      <w:r w:rsidR="464E6718" w:rsidRPr="00013BDC">
        <w:rPr>
          <w:rFonts w:eastAsia="Segoe UI"/>
          <w:noProof/>
          <w:lang w:val="en-IE"/>
        </w:rPr>
        <w:t>and provided</w:t>
      </w:r>
      <w:r w:rsidR="47BC5B07" w:rsidRPr="00013BDC">
        <w:rPr>
          <w:rFonts w:eastAsia="Segoe UI"/>
          <w:noProof/>
          <w:lang w:val="en-IE"/>
        </w:rPr>
        <w:t xml:space="preserve"> 52 recycling solutions in France and in Europe</w:t>
      </w:r>
      <w:r w:rsidR="63B973AA" w:rsidRPr="00013BDC">
        <w:rPr>
          <w:rFonts w:eastAsia="Segoe UI"/>
          <w:noProof/>
          <w:lang w:val="en-IE"/>
        </w:rPr>
        <w:t>.</w:t>
      </w:r>
      <w:r w:rsidR="00124E5F" w:rsidRPr="00013BDC">
        <w:rPr>
          <w:rStyle w:val="FootnoteReference"/>
          <w:rFonts w:eastAsia="Segoe UI"/>
          <w:noProof/>
          <w:lang w:val="en-IE"/>
        </w:rPr>
        <w:footnoteReference w:id="234"/>
      </w:r>
    </w:p>
    <w:p w14:paraId="3823DE25" w14:textId="5D16E199" w:rsidR="009B69D7" w:rsidRPr="00013BDC" w:rsidRDefault="009B69D7" w:rsidP="37873745">
      <w:pPr>
        <w:spacing w:after="120"/>
        <w:rPr>
          <w:rFonts w:eastAsia="Segoe UI"/>
          <w:noProof/>
          <w:lang w:val="en-IE"/>
        </w:rPr>
      </w:pPr>
      <w:r w:rsidRPr="00013BDC">
        <w:rPr>
          <w:rFonts w:eastAsia="Segoe UI"/>
          <w:noProof/>
          <w:lang w:val="en-IE"/>
        </w:rPr>
        <w:fldChar w:fldCharType="begin"/>
      </w:r>
      <w:r w:rsidRPr="00013BDC">
        <w:rPr>
          <w:rFonts w:eastAsia="Segoe UI"/>
          <w:noProof/>
          <w:lang w:val="en-IE"/>
        </w:rPr>
        <w:instrText xml:space="preserve"> REF _Ref132972277 \h </w:instrText>
      </w:r>
      <w:r w:rsidR="00013BDC">
        <w:rPr>
          <w:rFonts w:eastAsia="Segoe UI"/>
          <w:noProof/>
          <w:lang w:val="en-IE"/>
        </w:rPr>
        <w:instrText xml:space="preserve"> \* MERGEFORMAT </w:instrText>
      </w:r>
      <w:r w:rsidRPr="00013BDC">
        <w:rPr>
          <w:rFonts w:eastAsia="Segoe UI"/>
          <w:noProof/>
          <w:lang w:val="en-IE"/>
        </w:rPr>
      </w:r>
      <w:r w:rsidRPr="00013BDC">
        <w:rPr>
          <w:rFonts w:eastAsia="Segoe UI"/>
          <w:noProof/>
          <w:lang w:val="en-IE"/>
        </w:rPr>
        <w:fldChar w:fldCharType="separate"/>
      </w:r>
      <w:r w:rsidR="004C5576" w:rsidRPr="00013BDC">
        <w:rPr>
          <w:noProof/>
          <w:lang w:val="en-IE"/>
        </w:rPr>
        <w:t xml:space="preserve">Figure </w:t>
      </w:r>
      <w:r w:rsidR="004C5576">
        <w:rPr>
          <w:noProof/>
          <w:lang w:val="en-IE"/>
        </w:rPr>
        <w:t>23</w:t>
      </w:r>
      <w:r w:rsidRPr="00013BDC">
        <w:rPr>
          <w:rFonts w:eastAsia="Segoe UI"/>
          <w:noProof/>
          <w:lang w:val="en-IE"/>
        </w:rPr>
        <w:fldChar w:fldCharType="end"/>
      </w:r>
      <w:r w:rsidRPr="00013BDC">
        <w:rPr>
          <w:rFonts w:eastAsia="Segoe UI"/>
          <w:noProof/>
          <w:lang w:val="en-IE"/>
        </w:rPr>
        <w:t xml:space="preserve"> summarises the mass flows </w:t>
      </w:r>
      <w:r w:rsidR="00C559D6" w:rsidRPr="00013BDC">
        <w:rPr>
          <w:rFonts w:eastAsia="Segoe UI"/>
          <w:noProof/>
          <w:lang w:val="en-IE"/>
        </w:rPr>
        <w:t>analysis</w:t>
      </w:r>
      <w:r w:rsidR="00A87CCB" w:rsidRPr="00013BDC">
        <w:rPr>
          <w:rFonts w:eastAsia="Segoe UI"/>
          <w:noProof/>
          <w:lang w:val="en-IE"/>
        </w:rPr>
        <w:t xml:space="preserve"> for textile generation and waste management in the EU-27 (for the reference year 2019) that has been detailed within this section.</w:t>
      </w:r>
      <w:r w:rsidR="00067D61" w:rsidRPr="00013BDC">
        <w:rPr>
          <w:rFonts w:eastAsia="Segoe UI"/>
          <w:noProof/>
          <w:lang w:val="en-IE"/>
        </w:rPr>
        <w:t xml:space="preserve"> It rests on the results of an ongoing JRC study</w:t>
      </w:r>
      <w:r w:rsidR="00067D61" w:rsidRPr="00013BDC">
        <w:rPr>
          <w:rFonts w:eastAsia="Segoe UI"/>
          <w:noProof/>
          <w:vertAlign w:val="superscript"/>
          <w:lang w:val="en-IE"/>
        </w:rPr>
        <w:footnoteReference w:id="235"/>
      </w:r>
      <w:r w:rsidR="00067D61" w:rsidRPr="00013BDC">
        <w:rPr>
          <w:rFonts w:eastAsia="Segoe UI"/>
          <w:noProof/>
          <w:lang w:val="en-IE"/>
        </w:rPr>
        <w:t xml:space="preserve"> for the reference year 2019, which covers all kinds of textiles along the whole value chain, starting from fibres production to the end-of-life of textile products.</w:t>
      </w:r>
    </w:p>
    <w:p w14:paraId="68554574" w14:textId="2FAA75D5" w:rsidR="005017FB" w:rsidRPr="00013BDC" w:rsidRDefault="005017FB" w:rsidP="37873745">
      <w:pPr>
        <w:spacing w:after="120"/>
        <w:rPr>
          <w:rFonts w:eastAsia="Segoe UI"/>
          <w:noProof/>
          <w:lang w:val="en-IE"/>
        </w:rPr>
      </w:pPr>
    </w:p>
    <w:p w14:paraId="0407DC01" w14:textId="2FAA75D5" w:rsidR="00627FFE" w:rsidRPr="00013BDC" w:rsidRDefault="00627FFE" w:rsidP="37873745">
      <w:pPr>
        <w:spacing w:after="120"/>
        <w:rPr>
          <w:rFonts w:eastAsia="Segoe UI"/>
          <w:noProof/>
          <w:lang w:val="en-IE"/>
        </w:rPr>
        <w:sectPr w:rsidR="00627FFE" w:rsidRPr="00013BDC">
          <w:headerReference w:type="even" r:id="rId108"/>
          <w:headerReference w:type="default" r:id="rId109"/>
          <w:footerReference w:type="even" r:id="rId110"/>
          <w:footerReference w:type="default" r:id="rId111"/>
          <w:headerReference w:type="first" r:id="rId112"/>
          <w:footerReference w:type="first" r:id="rId113"/>
          <w:pgSz w:w="11906" w:h="16838"/>
          <w:pgMar w:top="1440" w:right="1440" w:bottom="1440" w:left="1440" w:header="708" w:footer="708" w:gutter="0"/>
          <w:cols w:space="708"/>
          <w:docGrid w:linePitch="360"/>
        </w:sectPr>
      </w:pPr>
    </w:p>
    <w:p w14:paraId="6BD7A495" w14:textId="77777777" w:rsidR="00D6115D" w:rsidRPr="00013BDC" w:rsidRDefault="00D6115D" w:rsidP="37873745">
      <w:pPr>
        <w:spacing w:after="120"/>
        <w:rPr>
          <w:rFonts w:eastAsia="Segoe UI"/>
          <w:noProof/>
          <w:lang w:val="en-IE"/>
        </w:rPr>
      </w:pPr>
    </w:p>
    <w:p w14:paraId="01ED2180" w14:textId="1DDB13F6" w:rsidR="009F5445" w:rsidRPr="00013BDC" w:rsidRDefault="009B69D7" w:rsidP="009F5445">
      <w:pPr>
        <w:pStyle w:val="Caption"/>
        <w:rPr>
          <w:i w:val="0"/>
          <w:noProof/>
          <w:szCs w:val="24"/>
          <w:lang w:val="en-IE" w:eastAsia="en-GB"/>
        </w:rPr>
      </w:pPr>
      <w:bookmarkStart w:id="643" w:name="_Ref132972277"/>
      <w:bookmarkStart w:id="644" w:name="_Toc133229294"/>
      <w:bookmarkStart w:id="645" w:name="_Toc139033020"/>
      <w:r w:rsidRPr="00013BDC">
        <w:rPr>
          <w:noProof/>
          <w:lang w:val="en-IE"/>
        </w:rPr>
        <w:t xml:space="preserve">Figure </w:t>
      </w:r>
      <w:r w:rsidR="004C5576">
        <w:rPr>
          <w:noProof/>
          <w:lang w:val="en-IE"/>
        </w:rPr>
        <w:t>23</w:t>
      </w:r>
      <w:bookmarkEnd w:id="643"/>
      <w:r w:rsidR="005017FB" w:rsidRPr="00013BDC">
        <w:rPr>
          <w:noProof/>
          <w:lang w:val="en-IE" w:eastAsia="en-GB"/>
        </w:rPr>
        <w:t xml:space="preserve">– </w:t>
      </w:r>
      <w:r w:rsidR="00C559D6" w:rsidRPr="00013BDC">
        <w:rPr>
          <w:noProof/>
          <w:lang w:val="en-IE" w:eastAsia="en-GB"/>
        </w:rPr>
        <w:t>Mass flow analysis for textile generation and waste management in the EU-27 (for the status quo reference year 2019) The mass flows in each node are expressed in Mt/year</w:t>
      </w:r>
      <w:r w:rsidR="005017FB" w:rsidRPr="00013BDC">
        <w:rPr>
          <w:noProof/>
          <w:lang w:val="en-IE" w:eastAsia="en-GB"/>
        </w:rPr>
        <w:t>.</w:t>
      </w:r>
      <w:bookmarkEnd w:id="644"/>
      <w:r w:rsidR="009F5445" w:rsidRPr="00013BDC">
        <w:rPr>
          <w:i w:val="0"/>
          <w:noProof/>
          <w:lang w:val="en-IE"/>
        </w:rPr>
        <w:t xml:space="preserve"> The mass flows in each node are expressed in Mt/year</w:t>
      </w:r>
      <w:bookmarkEnd w:id="645"/>
    </w:p>
    <w:p w14:paraId="3D53F490" w14:textId="012ADFA7" w:rsidR="005017FB" w:rsidRPr="00013BDC" w:rsidRDefault="005017FB" w:rsidP="009B69D7">
      <w:pPr>
        <w:pStyle w:val="Caption"/>
        <w:rPr>
          <w:noProof/>
          <w:lang w:val="en-IE" w:eastAsia="en-GB"/>
        </w:rPr>
      </w:pPr>
    </w:p>
    <w:p w14:paraId="20FD57BD" w14:textId="013D397D" w:rsidR="00627FFE" w:rsidRPr="00013BDC" w:rsidRDefault="005017FB" w:rsidP="37873745">
      <w:pPr>
        <w:spacing w:after="120"/>
        <w:rPr>
          <w:rFonts w:eastAsia="Segoe UI"/>
          <w:b/>
          <w:noProof/>
          <w:color w:val="000000" w:themeColor="text1"/>
          <w:lang w:val="en-IE"/>
        </w:rPr>
        <w:sectPr w:rsidR="00627FFE" w:rsidRPr="00013BDC" w:rsidSect="00627FFE">
          <w:headerReference w:type="even" r:id="rId114"/>
          <w:headerReference w:type="default" r:id="rId115"/>
          <w:footerReference w:type="even" r:id="rId116"/>
          <w:footerReference w:type="default" r:id="rId117"/>
          <w:headerReference w:type="first" r:id="rId118"/>
          <w:footerReference w:type="first" r:id="rId119"/>
          <w:pgSz w:w="16838" w:h="11906" w:orient="landscape"/>
          <w:pgMar w:top="1440" w:right="1440" w:bottom="1440" w:left="1440" w:header="708" w:footer="708" w:gutter="0"/>
          <w:cols w:space="708"/>
          <w:docGrid w:linePitch="360"/>
        </w:sectPr>
      </w:pPr>
      <w:r w:rsidRPr="00013BDC">
        <w:rPr>
          <w:noProof/>
          <w:lang w:eastAsia="en-GB"/>
        </w:rPr>
        <w:drawing>
          <wp:inline distT="0" distB="0" distL="0" distR="0" wp14:anchorId="24D323F6" wp14:editId="41EF56E7">
            <wp:extent cx="8863330" cy="2757067"/>
            <wp:effectExtent l="0" t="0" r="0" b="5715"/>
            <wp:docPr id="1200524334" name="Picture 1200524334" descr="C:\Users\huygedr\AppData\Local\Microsoft\Windows\INetCache\Content.MSO\56C8C4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uygedr\AppData\Local\Microsoft\Windows\INetCache\Content.MSO\56C8C49E.tm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863330" cy="2757067"/>
                    </a:xfrm>
                    <a:prstGeom prst="rect">
                      <a:avLst/>
                    </a:prstGeom>
                    <a:noFill/>
                    <a:ln>
                      <a:noFill/>
                    </a:ln>
                  </pic:spPr>
                </pic:pic>
              </a:graphicData>
            </a:graphic>
          </wp:inline>
        </w:drawing>
      </w:r>
    </w:p>
    <w:p w14:paraId="622B3DC2" w14:textId="697F1DB5" w:rsidR="00096212" w:rsidRPr="00013BDC" w:rsidRDefault="7C83F178" w:rsidP="37873745">
      <w:pPr>
        <w:spacing w:after="120"/>
        <w:rPr>
          <w:rFonts w:eastAsia="Segoe UI"/>
          <w:b/>
          <w:noProof/>
          <w:color w:val="000000" w:themeColor="text1"/>
          <w:lang w:val="en-IE"/>
        </w:rPr>
      </w:pPr>
      <w:r w:rsidRPr="00013BDC">
        <w:rPr>
          <w:rFonts w:eastAsia="Segoe UI"/>
          <w:b/>
          <w:noProof/>
          <w:color w:val="000000" w:themeColor="text1"/>
          <w:lang w:val="en-IE"/>
        </w:rPr>
        <w:t>EPR schemes for textile</w:t>
      </w:r>
      <w:r w:rsidR="5BE4E365" w:rsidRPr="00013BDC">
        <w:rPr>
          <w:rFonts w:eastAsia="Segoe UI"/>
          <w:b/>
          <w:noProof/>
          <w:color w:val="000000" w:themeColor="text1"/>
          <w:lang w:val="en-IE"/>
        </w:rPr>
        <w:t>s</w:t>
      </w:r>
    </w:p>
    <w:p w14:paraId="1C2159DF" w14:textId="2BE7A638" w:rsidR="00DE76F5" w:rsidRPr="00013BDC" w:rsidRDefault="00271FDD" w:rsidP="37873745">
      <w:pPr>
        <w:spacing w:after="120"/>
        <w:rPr>
          <w:rFonts w:eastAsia="Segoe UI"/>
          <w:noProof/>
          <w:color w:val="000000" w:themeColor="text1"/>
          <w:lang w:val="en-IE"/>
        </w:rPr>
      </w:pPr>
      <w:r w:rsidRPr="00013BDC">
        <w:rPr>
          <w:rFonts w:eastAsia="Segoe UI"/>
          <w:b/>
          <w:noProof/>
          <w:color w:val="000000" w:themeColor="text1"/>
          <w:lang w:val="en-IE"/>
        </w:rPr>
        <w:t xml:space="preserve">The Netherlands </w:t>
      </w:r>
      <w:r w:rsidRPr="00013BDC">
        <w:rPr>
          <w:rFonts w:eastAsia="Segoe UI"/>
          <w:noProof/>
          <w:color w:val="000000" w:themeColor="text1"/>
          <w:lang w:val="en-IE"/>
        </w:rPr>
        <w:t xml:space="preserve">(from summer 2023) and </w:t>
      </w:r>
      <w:r w:rsidRPr="00013BDC">
        <w:rPr>
          <w:rFonts w:eastAsia="Segoe UI"/>
          <w:b/>
          <w:noProof/>
          <w:color w:val="000000" w:themeColor="text1"/>
          <w:lang w:val="en-IE"/>
        </w:rPr>
        <w:t xml:space="preserve">France </w:t>
      </w:r>
      <w:r w:rsidRPr="00013BDC">
        <w:rPr>
          <w:rFonts w:eastAsia="Segoe UI"/>
          <w:noProof/>
          <w:color w:val="000000" w:themeColor="text1"/>
          <w:lang w:val="en-IE"/>
        </w:rPr>
        <w:t xml:space="preserve">(from 2008) have established mandatory EPR schemes for textiles. </w:t>
      </w:r>
      <w:r w:rsidR="47BC5B07" w:rsidRPr="00013BDC">
        <w:rPr>
          <w:rFonts w:eastAsia="Segoe UI"/>
          <w:noProof/>
          <w:color w:val="000000" w:themeColor="text1"/>
          <w:lang w:val="en-IE"/>
        </w:rPr>
        <w:t>Th</w:t>
      </w:r>
      <w:r w:rsidR="0014738B" w:rsidRPr="00013BDC">
        <w:rPr>
          <w:rFonts w:eastAsia="Segoe UI"/>
          <w:noProof/>
          <w:color w:val="000000" w:themeColor="text1"/>
          <w:lang w:val="en-IE"/>
        </w:rPr>
        <w:t>e French</w:t>
      </w:r>
      <w:r w:rsidR="47BC5B07" w:rsidRPr="00013BDC">
        <w:rPr>
          <w:rFonts w:eastAsia="Segoe UI"/>
          <w:noProof/>
          <w:color w:val="000000" w:themeColor="text1"/>
          <w:lang w:val="en-IE"/>
        </w:rPr>
        <w:t xml:space="preserve"> scheme was implemented to increase collected </w:t>
      </w:r>
      <w:r w:rsidR="46A4A095" w:rsidRPr="00013BDC">
        <w:rPr>
          <w:rFonts w:eastAsia="Segoe UI"/>
          <w:noProof/>
          <w:color w:val="000000" w:themeColor="text1"/>
          <w:lang w:val="en-IE"/>
        </w:rPr>
        <w:t>amounts</w:t>
      </w:r>
      <w:r w:rsidR="47014CE1" w:rsidRPr="00013BDC">
        <w:rPr>
          <w:rFonts w:eastAsia="Segoe UI"/>
          <w:noProof/>
          <w:color w:val="000000" w:themeColor="text1"/>
          <w:lang w:val="en-IE"/>
        </w:rPr>
        <w:t xml:space="preserve"> of both reusable and waste textiles</w:t>
      </w:r>
      <w:r w:rsidR="47BC5B07" w:rsidRPr="00013BDC">
        <w:rPr>
          <w:rFonts w:eastAsia="Segoe UI"/>
          <w:noProof/>
          <w:color w:val="000000" w:themeColor="text1"/>
          <w:lang w:val="en-IE"/>
        </w:rPr>
        <w:t>, to support the sustainable development of the sector and to respect the polluter-pays principle for the management of end-of-life textile.</w:t>
      </w:r>
    </w:p>
    <w:p w14:paraId="3EC91754" w14:textId="3FA9A0F6" w:rsidR="00DE76F5" w:rsidRPr="00013BDC" w:rsidRDefault="00DE76F5" w:rsidP="00DE76F5">
      <w:pPr>
        <w:spacing w:after="120"/>
        <w:rPr>
          <w:rFonts w:eastAsia="Segoe UI"/>
          <w:noProof/>
          <w:color w:val="000000" w:themeColor="text1"/>
          <w:lang w:val="en-IE"/>
        </w:rPr>
      </w:pPr>
      <w:r w:rsidRPr="00013BDC">
        <w:rPr>
          <w:rFonts w:eastAsia="Segoe UI"/>
          <w:noProof/>
          <w:color w:val="000000" w:themeColor="text1"/>
          <w:lang w:val="en-IE"/>
        </w:rPr>
        <w:t xml:space="preserve">In the context of the EPR, textile waste is subject to separate collection, through </w:t>
      </w:r>
      <w:r w:rsidR="006B3A36" w:rsidRPr="00013BDC">
        <w:rPr>
          <w:rFonts w:eastAsia="Segoe UI"/>
          <w:noProof/>
          <w:color w:val="000000" w:themeColor="text1"/>
          <w:lang w:val="en-IE"/>
        </w:rPr>
        <w:t xml:space="preserve">the </w:t>
      </w:r>
      <w:r w:rsidRPr="00013BDC">
        <w:rPr>
          <w:rFonts w:eastAsia="Segoe UI"/>
          <w:noProof/>
          <w:color w:val="000000" w:themeColor="text1"/>
          <w:lang w:val="en-IE"/>
        </w:rPr>
        <w:t>four main channels of voluntary collection points (VCP)</w:t>
      </w:r>
      <w:r w:rsidR="006B3A36" w:rsidRPr="00013BDC">
        <w:rPr>
          <w:rFonts w:eastAsia="Segoe UI"/>
          <w:noProof/>
          <w:color w:val="000000" w:themeColor="text1"/>
          <w:lang w:val="en-IE"/>
        </w:rPr>
        <w:t xml:space="preserve"> listed below.</w:t>
      </w:r>
    </w:p>
    <w:p w14:paraId="4390C61C" w14:textId="0ED7B84B" w:rsidR="00DE76F5" w:rsidRPr="00013BDC" w:rsidRDefault="00DE76F5" w:rsidP="00410D9F">
      <w:pPr>
        <w:pStyle w:val="ListParagraph"/>
        <w:numPr>
          <w:ilvl w:val="0"/>
          <w:numId w:val="4"/>
        </w:numPr>
        <w:rPr>
          <w:rFonts w:eastAsia="Calibri"/>
          <w:noProof/>
          <w:lang w:val="en-IE"/>
        </w:rPr>
      </w:pPr>
      <w:r w:rsidRPr="00013BDC">
        <w:rPr>
          <w:rFonts w:eastAsia="Calibri"/>
          <w:noProof/>
          <w:lang w:val="en-IE"/>
        </w:rPr>
        <w:t xml:space="preserve">Over the counter collection in </w:t>
      </w:r>
      <w:r w:rsidR="00D96247" w:rsidRPr="00013BDC">
        <w:rPr>
          <w:rFonts w:eastAsia="Calibri"/>
          <w:noProof/>
          <w:lang w:val="en-IE"/>
        </w:rPr>
        <w:t>reuse</w:t>
      </w:r>
      <w:r w:rsidR="00746BA0" w:rsidRPr="00013BDC">
        <w:rPr>
          <w:rFonts w:eastAsia="Calibri"/>
          <w:noProof/>
          <w:lang w:val="en-IE"/>
        </w:rPr>
        <w:t xml:space="preserve"> shops or </w:t>
      </w:r>
      <w:r w:rsidR="001C6DE0" w:rsidRPr="00013BDC">
        <w:rPr>
          <w:rFonts w:eastAsia="Calibri"/>
          <w:noProof/>
          <w:lang w:val="en-IE"/>
        </w:rPr>
        <w:t>other organisations’ premises</w:t>
      </w:r>
      <w:r w:rsidR="006B3A36" w:rsidRPr="00013BDC">
        <w:rPr>
          <w:rFonts w:eastAsia="Calibri"/>
          <w:noProof/>
          <w:lang w:val="en-IE"/>
        </w:rPr>
        <w:t>.</w:t>
      </w:r>
    </w:p>
    <w:p w14:paraId="7B2FE21D" w14:textId="007C6094" w:rsidR="00EC2D90" w:rsidRPr="00013BDC" w:rsidRDefault="00DE76F5" w:rsidP="00410D9F">
      <w:pPr>
        <w:pStyle w:val="ListParagraph"/>
        <w:numPr>
          <w:ilvl w:val="0"/>
          <w:numId w:val="4"/>
        </w:numPr>
        <w:rPr>
          <w:rFonts w:eastAsia="Calibri"/>
          <w:noProof/>
          <w:lang w:val="en-IE"/>
        </w:rPr>
      </w:pPr>
      <w:r w:rsidRPr="00013BDC">
        <w:rPr>
          <w:rFonts w:eastAsia="Calibri"/>
          <w:noProof/>
          <w:lang w:val="en-IE"/>
        </w:rPr>
        <w:t>Via containers/bring banks, located</w:t>
      </w:r>
      <w:r w:rsidR="00C5734C" w:rsidRPr="00013BDC">
        <w:rPr>
          <w:rFonts w:eastAsia="Calibri"/>
          <w:noProof/>
          <w:lang w:val="en-IE"/>
        </w:rPr>
        <w:t xml:space="preserve"> in private or public spaces</w:t>
      </w:r>
      <w:r w:rsidR="006B3A36" w:rsidRPr="00013BDC">
        <w:rPr>
          <w:rFonts w:eastAsia="Calibri"/>
          <w:noProof/>
          <w:lang w:val="en-IE"/>
        </w:rPr>
        <w:t>.</w:t>
      </w:r>
    </w:p>
    <w:p w14:paraId="5C410D29" w14:textId="7AA64290" w:rsidR="00DE76F5" w:rsidRPr="00013BDC" w:rsidRDefault="00DE76F5" w:rsidP="00410D9F">
      <w:pPr>
        <w:pStyle w:val="ListParagraph"/>
        <w:numPr>
          <w:ilvl w:val="0"/>
          <w:numId w:val="4"/>
        </w:numPr>
        <w:rPr>
          <w:rFonts w:eastAsia="Calibri"/>
          <w:noProof/>
          <w:lang w:val="en-IE"/>
        </w:rPr>
      </w:pPr>
      <w:r w:rsidRPr="00013BDC">
        <w:rPr>
          <w:rFonts w:eastAsia="Calibri"/>
          <w:noProof/>
          <w:lang w:val="en-IE"/>
        </w:rPr>
        <w:t>Via take-back systems in stores</w:t>
      </w:r>
      <w:r w:rsidR="006B3A36" w:rsidRPr="00013BDC">
        <w:rPr>
          <w:rFonts w:eastAsia="Calibri"/>
          <w:noProof/>
          <w:lang w:val="en-IE"/>
        </w:rPr>
        <w:t>.</w:t>
      </w:r>
    </w:p>
    <w:p w14:paraId="46A2C0CD" w14:textId="54AEE3C1" w:rsidR="00DE76F5" w:rsidRPr="00013BDC" w:rsidRDefault="00DE76F5" w:rsidP="00410D9F">
      <w:pPr>
        <w:pStyle w:val="ListParagraph"/>
        <w:numPr>
          <w:ilvl w:val="0"/>
          <w:numId w:val="4"/>
        </w:numPr>
        <w:rPr>
          <w:rFonts w:eastAsia="Calibri"/>
          <w:noProof/>
          <w:lang w:val="en-IE"/>
        </w:rPr>
      </w:pPr>
      <w:r w:rsidRPr="00013BDC">
        <w:rPr>
          <w:rFonts w:eastAsia="Calibri"/>
          <w:noProof/>
          <w:lang w:val="en-IE"/>
        </w:rPr>
        <w:t>Via occasional collection campaigns (</w:t>
      </w:r>
      <w:r w:rsidR="00C5734C" w:rsidRPr="00013BDC">
        <w:rPr>
          <w:rFonts w:eastAsia="Calibri"/>
          <w:noProof/>
          <w:lang w:val="en-IE"/>
        </w:rPr>
        <w:t>e.g.,</w:t>
      </w:r>
      <w:r w:rsidRPr="00013BDC">
        <w:rPr>
          <w:rFonts w:eastAsia="Calibri"/>
          <w:noProof/>
          <w:lang w:val="en-IE"/>
        </w:rPr>
        <w:t xml:space="preserve"> during events, garage sales, door-to-door).</w:t>
      </w:r>
    </w:p>
    <w:p w14:paraId="3B4A07C5" w14:textId="5FB36ADA" w:rsidR="003D5D70" w:rsidRPr="00013BDC" w:rsidRDefault="0802BB4C" w:rsidP="006D4C0A">
      <w:pPr>
        <w:spacing w:after="120"/>
        <w:rPr>
          <w:rFonts w:eastAsia="Calibri"/>
          <w:noProof/>
          <w:lang w:val="en-IE" w:eastAsia="en-GB"/>
        </w:rPr>
      </w:pPr>
      <w:r w:rsidRPr="00013BDC">
        <w:rPr>
          <w:rFonts w:eastAsia="Segoe UI"/>
          <w:noProof/>
          <w:color w:val="000000" w:themeColor="text1"/>
          <w:lang w:val="en-IE"/>
        </w:rPr>
        <w:t xml:space="preserve">Refashion is the sole French </w:t>
      </w:r>
      <w:r w:rsidR="08FBC5D4" w:rsidRPr="00013BDC">
        <w:rPr>
          <w:rFonts w:eastAsia="Segoe UI"/>
          <w:noProof/>
          <w:color w:val="000000" w:themeColor="text1"/>
          <w:lang w:val="en-IE"/>
        </w:rPr>
        <w:t>producer responsibility organisation (</w:t>
      </w:r>
      <w:r w:rsidRPr="00013BDC">
        <w:rPr>
          <w:rFonts w:eastAsia="Segoe UI"/>
          <w:noProof/>
          <w:color w:val="000000" w:themeColor="text1"/>
          <w:lang w:val="en-IE"/>
        </w:rPr>
        <w:t>PRO</w:t>
      </w:r>
      <w:r w:rsidR="32B7E622" w:rsidRPr="00013BDC">
        <w:rPr>
          <w:rFonts w:eastAsia="Segoe UI"/>
          <w:noProof/>
          <w:color w:val="000000" w:themeColor="text1"/>
          <w:lang w:val="en-IE"/>
        </w:rPr>
        <w:t>)</w:t>
      </w:r>
      <w:r w:rsidRPr="00013BDC">
        <w:rPr>
          <w:rFonts w:eastAsia="Segoe UI"/>
          <w:noProof/>
          <w:color w:val="000000" w:themeColor="text1"/>
          <w:lang w:val="en-IE"/>
        </w:rPr>
        <w:t xml:space="preserve"> </w:t>
      </w:r>
      <w:r w:rsidR="003165F8" w:rsidRPr="00013BDC">
        <w:rPr>
          <w:rFonts w:eastAsia="Segoe UI"/>
          <w:noProof/>
          <w:color w:val="000000" w:themeColor="text1"/>
          <w:lang w:val="en-IE"/>
        </w:rPr>
        <w:t xml:space="preserve">for textiles </w:t>
      </w:r>
      <w:r w:rsidRPr="00013BDC">
        <w:rPr>
          <w:rFonts w:eastAsia="Segoe UI"/>
          <w:noProof/>
          <w:color w:val="000000" w:themeColor="text1"/>
          <w:lang w:val="en-IE"/>
        </w:rPr>
        <w:t>and the following EPR and modulated fees for textiles apply</w:t>
      </w:r>
      <w:r w:rsidR="00087EBF" w:rsidRPr="00013BDC">
        <w:rPr>
          <w:rFonts w:eastAsia="Segoe UI"/>
          <w:noProof/>
          <w:color w:val="000000" w:themeColor="text1"/>
          <w:lang w:val="en-IE"/>
        </w:rPr>
        <w:t xml:space="preserve">. </w:t>
      </w:r>
      <w:r w:rsidR="00946478" w:rsidRPr="00013BDC">
        <w:rPr>
          <w:rFonts w:eastAsia="Segoe UI"/>
          <w:noProof/>
          <w:color w:val="000000" w:themeColor="text1"/>
          <w:lang w:val="en-IE"/>
        </w:rPr>
        <w:t>L</w:t>
      </w:r>
      <w:r w:rsidR="00946478" w:rsidRPr="00013BDC">
        <w:rPr>
          <w:rFonts w:eastAsia="Calibri"/>
          <w:noProof/>
          <w:lang w:val="en-IE"/>
        </w:rPr>
        <w:t xml:space="preserve">ocal authorities </w:t>
      </w:r>
      <w:r w:rsidR="00946478" w:rsidRPr="00013BDC">
        <w:rPr>
          <w:noProof/>
          <w:lang w:val="en-IE"/>
        </w:rPr>
        <w:t xml:space="preserve">are </w:t>
      </w:r>
      <w:r w:rsidR="00946478" w:rsidRPr="00013BDC">
        <w:rPr>
          <w:rFonts w:eastAsia="Calibri"/>
          <w:noProof/>
          <w:lang w:val="en-IE"/>
        </w:rPr>
        <w:t xml:space="preserve">also </w:t>
      </w:r>
      <w:r w:rsidR="00946478" w:rsidRPr="00013BDC">
        <w:rPr>
          <w:noProof/>
          <w:lang w:val="en-IE"/>
        </w:rPr>
        <w:t xml:space="preserve">involved </w:t>
      </w:r>
      <w:r w:rsidR="00DC1AC5" w:rsidRPr="00013BDC">
        <w:rPr>
          <w:rFonts w:eastAsia="Segoe UI"/>
          <w:noProof/>
          <w:color w:val="000000" w:themeColor="text1"/>
          <w:lang w:val="en-IE"/>
        </w:rPr>
        <w:t>in the French EPR</w:t>
      </w:r>
      <w:r w:rsidR="00D04F0C" w:rsidRPr="00013BDC">
        <w:rPr>
          <w:rFonts w:eastAsia="Segoe UI"/>
          <w:noProof/>
          <w:color w:val="000000" w:themeColor="text1"/>
          <w:lang w:val="en-IE"/>
        </w:rPr>
        <w:t>. T</w:t>
      </w:r>
      <w:r w:rsidR="00946478" w:rsidRPr="00013BDC">
        <w:rPr>
          <w:rFonts w:eastAsia="Calibri"/>
          <w:noProof/>
          <w:lang w:val="en-IE"/>
        </w:rPr>
        <w:t>hey</w:t>
      </w:r>
      <w:r w:rsidR="00946478" w:rsidRPr="00013BDC">
        <w:rPr>
          <w:noProof/>
          <w:lang w:val="en-IE"/>
        </w:rPr>
        <w:t xml:space="preserve"> are </w:t>
      </w:r>
      <w:r w:rsidR="00DC1AC5" w:rsidRPr="00013BDC">
        <w:rPr>
          <w:rFonts w:eastAsia="Calibri"/>
          <w:noProof/>
          <w:lang w:val="en-IE"/>
        </w:rPr>
        <w:t>responsible for household waste collection</w:t>
      </w:r>
      <w:r w:rsidR="00D04F0C" w:rsidRPr="00013BDC">
        <w:rPr>
          <w:rFonts w:eastAsia="Calibri"/>
          <w:noProof/>
          <w:lang w:val="en-IE"/>
        </w:rPr>
        <w:t xml:space="preserve"> and </w:t>
      </w:r>
      <w:r w:rsidR="00DC1AC5" w:rsidRPr="00013BDC">
        <w:rPr>
          <w:rFonts w:eastAsia="Calibri"/>
          <w:noProof/>
          <w:lang w:val="en-IE"/>
        </w:rPr>
        <w:t xml:space="preserve">receive financial support from Refashion to raise awareness amongst citizens </w:t>
      </w:r>
      <w:r w:rsidR="00554417" w:rsidRPr="00013BDC">
        <w:rPr>
          <w:rFonts w:eastAsia="Calibri"/>
          <w:noProof/>
          <w:lang w:val="en-IE"/>
        </w:rPr>
        <w:t>on how to give/discard</w:t>
      </w:r>
      <w:r w:rsidR="00DC1AC5" w:rsidRPr="00013BDC">
        <w:rPr>
          <w:rFonts w:eastAsia="Calibri"/>
          <w:noProof/>
          <w:lang w:val="en-IE"/>
        </w:rPr>
        <w:t xml:space="preserve"> textile</w:t>
      </w:r>
      <w:r w:rsidR="00411546" w:rsidRPr="00013BDC">
        <w:rPr>
          <w:rFonts w:eastAsia="Calibri"/>
          <w:noProof/>
          <w:lang w:val="en-IE"/>
        </w:rPr>
        <w:t>s</w:t>
      </w:r>
      <w:r w:rsidR="00DC1AC5" w:rsidRPr="00013BDC">
        <w:rPr>
          <w:rFonts w:eastAsia="Calibri"/>
          <w:noProof/>
          <w:lang w:val="en-IE"/>
        </w:rPr>
        <w:t xml:space="preserve"> </w:t>
      </w:r>
      <w:r w:rsidR="00554417" w:rsidRPr="00013BDC">
        <w:rPr>
          <w:rFonts w:eastAsia="Calibri"/>
          <w:noProof/>
          <w:lang w:val="en-IE"/>
        </w:rPr>
        <w:t xml:space="preserve">and not to </w:t>
      </w:r>
      <w:r w:rsidR="00DC1AC5" w:rsidRPr="00013BDC">
        <w:rPr>
          <w:rFonts w:eastAsia="Calibri"/>
          <w:noProof/>
          <w:lang w:val="en-IE"/>
        </w:rPr>
        <w:t xml:space="preserve">throw </w:t>
      </w:r>
      <w:r w:rsidR="00554417" w:rsidRPr="00013BDC">
        <w:rPr>
          <w:rFonts w:eastAsia="Calibri"/>
          <w:noProof/>
          <w:lang w:val="en-IE"/>
        </w:rPr>
        <w:t>them</w:t>
      </w:r>
      <w:r w:rsidR="00DC1AC5" w:rsidRPr="00013BDC">
        <w:rPr>
          <w:rFonts w:eastAsia="Calibri"/>
          <w:noProof/>
          <w:lang w:val="en-IE"/>
        </w:rPr>
        <w:t xml:space="preserve"> in household </w:t>
      </w:r>
      <w:r w:rsidR="00411546" w:rsidRPr="00013BDC">
        <w:rPr>
          <w:rFonts w:eastAsia="Calibri"/>
          <w:noProof/>
          <w:lang w:val="en-IE"/>
        </w:rPr>
        <w:t xml:space="preserve">mixed </w:t>
      </w:r>
      <w:r w:rsidR="00DC1AC5" w:rsidRPr="00013BDC">
        <w:rPr>
          <w:rFonts w:eastAsia="Calibri"/>
          <w:noProof/>
          <w:lang w:val="en-IE"/>
        </w:rPr>
        <w:t>waste</w:t>
      </w:r>
      <w:r w:rsidR="004C44BD" w:rsidRPr="00013BDC">
        <w:rPr>
          <w:rFonts w:eastAsia="Calibri"/>
          <w:noProof/>
          <w:lang w:val="en-IE"/>
        </w:rPr>
        <w:t>.</w:t>
      </w:r>
      <w:r w:rsidR="00DC1AC5" w:rsidRPr="00013BDC">
        <w:rPr>
          <w:rFonts w:eastAsia="Calibri"/>
          <w:noProof/>
          <w:lang w:val="en-IE"/>
        </w:rPr>
        <w:t xml:space="preserve"> </w:t>
      </w:r>
      <w:r w:rsidR="004C44BD" w:rsidRPr="00013BDC">
        <w:rPr>
          <w:rFonts w:eastAsia="Segoe UI"/>
          <w:noProof/>
          <w:color w:val="000000" w:themeColor="text1"/>
          <w:lang w:val="en-IE"/>
        </w:rPr>
        <w:t xml:space="preserve">In 2020, 535 local authorities </w:t>
      </w:r>
      <w:r w:rsidR="005553F1" w:rsidRPr="00013BDC">
        <w:rPr>
          <w:rFonts w:eastAsia="Segoe UI"/>
          <w:noProof/>
          <w:color w:val="000000" w:themeColor="text1"/>
          <w:lang w:val="en-IE"/>
        </w:rPr>
        <w:t xml:space="preserve">had </w:t>
      </w:r>
      <w:r w:rsidR="004C44BD" w:rsidRPr="00013BDC">
        <w:rPr>
          <w:rFonts w:eastAsia="Segoe UI"/>
          <w:noProof/>
          <w:color w:val="000000" w:themeColor="text1"/>
          <w:lang w:val="en-IE"/>
        </w:rPr>
        <w:t xml:space="preserve">committed to working with Refashion in a nationwide drive towards greater recovery rates for used textiles. </w:t>
      </w:r>
      <w:r w:rsidR="00856322" w:rsidRPr="00013BDC">
        <w:rPr>
          <w:rFonts w:eastAsia="Segoe UI"/>
          <w:noProof/>
          <w:color w:val="000000" w:themeColor="text1"/>
          <w:lang w:val="en-IE"/>
        </w:rPr>
        <w:t>The</w:t>
      </w:r>
      <w:r w:rsidR="00DC1AC5" w:rsidRPr="00013BDC">
        <w:rPr>
          <w:rFonts w:eastAsia="Segoe UI"/>
          <w:noProof/>
          <w:color w:val="000000" w:themeColor="text1"/>
          <w:lang w:val="en-IE"/>
        </w:rPr>
        <w:t xml:space="preserve"> </w:t>
      </w:r>
      <w:r w:rsidR="00DC1AC5" w:rsidRPr="00013BDC">
        <w:rPr>
          <w:noProof/>
          <w:lang w:val="en-IE"/>
        </w:rPr>
        <w:t>sorting</w:t>
      </w:r>
      <w:r w:rsidR="00DC1AC5" w:rsidRPr="00013BDC">
        <w:rPr>
          <w:rFonts w:eastAsia="Calibri"/>
          <w:noProof/>
          <w:lang w:val="en-IE" w:eastAsia="en-GB"/>
        </w:rPr>
        <w:t xml:space="preserve"> </w:t>
      </w:r>
      <w:r w:rsidR="004C44BD" w:rsidRPr="00013BDC">
        <w:rPr>
          <w:rFonts w:eastAsia="Calibri"/>
          <w:noProof/>
          <w:lang w:val="en-IE" w:eastAsia="en-GB"/>
        </w:rPr>
        <w:t>centres</w:t>
      </w:r>
      <w:r w:rsidR="00DC1AC5" w:rsidRPr="00013BDC">
        <w:rPr>
          <w:rFonts w:eastAsia="Calibri"/>
          <w:noProof/>
          <w:lang w:val="en-IE" w:eastAsia="en-GB"/>
        </w:rPr>
        <w:t xml:space="preserve"> contracted by the PRO</w:t>
      </w:r>
      <w:r w:rsidR="00DB234C" w:rsidRPr="00013BDC">
        <w:rPr>
          <w:rFonts w:eastAsia="Calibri"/>
          <w:noProof/>
          <w:lang w:val="en-IE" w:eastAsia="en-GB"/>
        </w:rPr>
        <w:t xml:space="preserve">, </w:t>
      </w:r>
      <w:r w:rsidR="003D5D70" w:rsidRPr="00013BDC">
        <w:rPr>
          <w:rFonts w:eastAsia="Calibri"/>
          <w:noProof/>
          <w:lang w:val="en-IE" w:eastAsia="en-GB"/>
        </w:rPr>
        <w:t xml:space="preserve">are partly financed through the </w:t>
      </w:r>
      <w:r w:rsidR="00182E2B" w:rsidRPr="00013BDC">
        <w:rPr>
          <w:rFonts w:eastAsia="Calibri"/>
          <w:noProof/>
          <w:lang w:val="en-IE" w:eastAsia="en-GB"/>
        </w:rPr>
        <w:t xml:space="preserve">EPR </w:t>
      </w:r>
      <w:r w:rsidR="00040B25" w:rsidRPr="00013BDC">
        <w:rPr>
          <w:rFonts w:eastAsia="Calibri"/>
          <w:noProof/>
          <w:lang w:val="en-IE" w:eastAsia="en-GB"/>
        </w:rPr>
        <w:t>fees.</w:t>
      </w:r>
      <w:r w:rsidR="003D5D70" w:rsidRPr="00013BDC">
        <w:rPr>
          <w:rFonts w:eastAsia="Calibri"/>
          <w:noProof/>
          <w:lang w:val="en-IE" w:eastAsia="en-GB"/>
        </w:rPr>
        <w:t xml:space="preserve"> The</w:t>
      </w:r>
      <w:r w:rsidR="00CD510D" w:rsidRPr="00013BDC">
        <w:rPr>
          <w:rFonts w:eastAsia="Calibri"/>
          <w:noProof/>
          <w:lang w:val="en-IE" w:eastAsia="en-GB"/>
        </w:rPr>
        <w:t xml:space="preserve"> collection points</w:t>
      </w:r>
      <w:r w:rsidR="003D5D70" w:rsidRPr="00013BDC">
        <w:rPr>
          <w:rFonts w:eastAsia="Calibri"/>
          <w:noProof/>
          <w:lang w:val="en-IE" w:eastAsia="en-GB"/>
        </w:rPr>
        <w:t xml:space="preserve"> can be </w:t>
      </w:r>
      <w:r w:rsidR="00CD510D" w:rsidRPr="00013BDC">
        <w:rPr>
          <w:rFonts w:eastAsia="Calibri"/>
          <w:noProof/>
          <w:lang w:val="en-IE" w:eastAsia="en-GB"/>
        </w:rPr>
        <w:t xml:space="preserve">managed by </w:t>
      </w:r>
      <w:r w:rsidR="003D5D70" w:rsidRPr="00013BDC">
        <w:rPr>
          <w:rFonts w:eastAsia="Calibri"/>
          <w:noProof/>
          <w:lang w:val="en-IE" w:eastAsia="en-GB"/>
        </w:rPr>
        <w:t xml:space="preserve">businesses, associations or social enterprises active in the </w:t>
      </w:r>
      <w:r w:rsidR="00D96247" w:rsidRPr="00013BDC">
        <w:rPr>
          <w:rFonts w:eastAsia="Calibri"/>
          <w:noProof/>
          <w:lang w:val="en-IE" w:eastAsia="en-GB"/>
        </w:rPr>
        <w:t>reuse</w:t>
      </w:r>
      <w:r w:rsidR="003D5D70" w:rsidRPr="00013BDC">
        <w:rPr>
          <w:rFonts w:eastAsia="Calibri"/>
          <w:noProof/>
          <w:lang w:val="en-IE" w:eastAsia="en-GB"/>
        </w:rPr>
        <w:t xml:space="preserve"> market. In most cases the </w:t>
      </w:r>
      <w:r w:rsidR="00CD510D" w:rsidRPr="00013BDC">
        <w:rPr>
          <w:rFonts w:eastAsia="Calibri"/>
          <w:noProof/>
          <w:lang w:val="en-IE" w:eastAsia="en-GB"/>
        </w:rPr>
        <w:t>collection points</w:t>
      </w:r>
      <w:r w:rsidR="003D5D70" w:rsidRPr="00013BDC">
        <w:rPr>
          <w:rFonts w:eastAsia="Calibri"/>
          <w:noProof/>
          <w:lang w:val="en-IE" w:eastAsia="en-GB"/>
        </w:rPr>
        <w:t xml:space="preserve"> are located on public ground, hence the local authority is the responsible party. A particular priority of the French scheme is to create jobs to reintegrate people in the labour market, and the system is designed so that most of the sorting takes place in France. The higher costs of domestic sorting means that in F</w:t>
      </w:r>
      <w:r w:rsidR="502B0BCA" w:rsidRPr="00013BDC">
        <w:rPr>
          <w:rFonts w:eastAsia="Calibri"/>
          <w:noProof/>
          <w:lang w:val="en-IE" w:eastAsia="en-GB"/>
        </w:rPr>
        <w:t>rance</w:t>
      </w:r>
      <w:r w:rsidR="003D5D70" w:rsidRPr="00013BDC">
        <w:rPr>
          <w:rFonts w:eastAsia="Calibri"/>
          <w:noProof/>
          <w:lang w:val="en-IE" w:eastAsia="en-GB"/>
        </w:rPr>
        <w:t xml:space="preserve"> only small funds can be dedicated to research and development of new recycling technologies</w:t>
      </w:r>
      <w:r w:rsidR="003E5AB2" w:rsidRPr="00013BDC">
        <w:rPr>
          <w:rFonts w:eastAsia="Calibri"/>
          <w:noProof/>
          <w:lang w:val="en-IE" w:eastAsia="en-GB"/>
        </w:rPr>
        <w:t>.</w:t>
      </w:r>
    </w:p>
    <w:p w14:paraId="76829CEC" w14:textId="5A670F8B" w:rsidR="00A03602" w:rsidRPr="00013BDC" w:rsidRDefault="005D552F" w:rsidP="005D552F">
      <w:pPr>
        <w:spacing w:after="120"/>
        <w:rPr>
          <w:rFonts w:eastAsia="Segoe UI"/>
          <w:noProof/>
          <w:color w:val="000000" w:themeColor="text1"/>
          <w:lang w:val="en-IE"/>
        </w:rPr>
      </w:pPr>
      <w:r w:rsidRPr="00013BDC">
        <w:rPr>
          <w:rFonts w:eastAsia="Segoe UI"/>
          <w:noProof/>
          <w:color w:val="000000" w:themeColor="text1"/>
          <w:lang w:val="en-IE"/>
        </w:rPr>
        <w:t>W</w:t>
      </w:r>
      <w:r w:rsidR="00A03602" w:rsidRPr="00013BDC">
        <w:rPr>
          <w:rFonts w:eastAsia="Segoe UI"/>
          <w:noProof/>
          <w:color w:val="000000" w:themeColor="text1"/>
          <w:lang w:val="en-IE"/>
        </w:rPr>
        <w:t>hile</w:t>
      </w:r>
      <w:r w:rsidR="00DC1AC5" w:rsidRPr="00013BDC">
        <w:rPr>
          <w:rFonts w:eastAsia="Segoe UI"/>
          <w:noProof/>
          <w:color w:val="000000" w:themeColor="text1"/>
          <w:lang w:val="en-IE"/>
        </w:rPr>
        <w:t xml:space="preserve"> the </w:t>
      </w:r>
      <w:r w:rsidRPr="00013BDC">
        <w:rPr>
          <w:rFonts w:eastAsia="Segoe UI"/>
          <w:noProof/>
          <w:color w:val="000000" w:themeColor="text1"/>
          <w:lang w:val="en-IE"/>
        </w:rPr>
        <w:t>French</w:t>
      </w:r>
      <w:r w:rsidR="00A03602" w:rsidRPr="00013BDC">
        <w:rPr>
          <w:rFonts w:eastAsia="Segoe UI"/>
          <w:noProof/>
          <w:color w:val="000000" w:themeColor="text1"/>
          <w:lang w:val="en-IE"/>
        </w:rPr>
        <w:t xml:space="preserve"> EPR model is seen under many aspects as a forerunner, underlying difficulties have been </w:t>
      </w:r>
      <w:r w:rsidR="006E60CB" w:rsidRPr="00013BDC">
        <w:rPr>
          <w:rFonts w:eastAsia="Segoe UI"/>
          <w:noProof/>
          <w:color w:val="000000" w:themeColor="text1"/>
          <w:lang w:val="en-IE"/>
        </w:rPr>
        <w:t>experienced:</w:t>
      </w:r>
    </w:p>
    <w:p w14:paraId="0BCAEEBE" w14:textId="0F251A15" w:rsidR="00A03602" w:rsidRPr="00013BDC" w:rsidRDefault="00A03602" w:rsidP="00410D9F">
      <w:pPr>
        <w:pStyle w:val="ListParagraph"/>
        <w:numPr>
          <w:ilvl w:val="0"/>
          <w:numId w:val="3"/>
        </w:numPr>
        <w:rPr>
          <w:noProof/>
          <w:lang w:val="en-IE"/>
        </w:rPr>
      </w:pPr>
      <w:r w:rsidRPr="00013BDC">
        <w:rPr>
          <w:noProof/>
          <w:lang w:val="en-IE"/>
        </w:rPr>
        <w:t>Free</w:t>
      </w:r>
      <w:r w:rsidR="0017747F" w:rsidRPr="00013BDC">
        <w:rPr>
          <w:noProof/>
          <w:lang w:val="en-IE"/>
        </w:rPr>
        <w:t xml:space="preserve"> </w:t>
      </w:r>
      <w:r w:rsidRPr="00013BDC">
        <w:rPr>
          <w:noProof/>
          <w:lang w:val="en-IE"/>
        </w:rPr>
        <w:t xml:space="preserve">riding, especially </w:t>
      </w:r>
      <w:r w:rsidR="0017747F" w:rsidRPr="00013BDC">
        <w:rPr>
          <w:noProof/>
          <w:lang w:val="en-IE"/>
        </w:rPr>
        <w:t xml:space="preserve">by </w:t>
      </w:r>
      <w:r w:rsidRPr="00013BDC">
        <w:rPr>
          <w:noProof/>
          <w:lang w:val="en-IE"/>
        </w:rPr>
        <w:t>“ultra-fast fashion” online brands.</w:t>
      </w:r>
    </w:p>
    <w:p w14:paraId="72254989" w14:textId="77777777" w:rsidR="00CF0706" w:rsidRPr="00013BDC" w:rsidRDefault="00CF0706" w:rsidP="00410D9F">
      <w:pPr>
        <w:pStyle w:val="ListParagraph"/>
        <w:numPr>
          <w:ilvl w:val="0"/>
          <w:numId w:val="3"/>
        </w:numPr>
        <w:rPr>
          <w:noProof/>
          <w:lang w:val="en-IE"/>
        </w:rPr>
      </w:pPr>
      <w:r w:rsidRPr="00013BDC">
        <w:rPr>
          <w:noProof/>
          <w:lang w:val="en-IE"/>
        </w:rPr>
        <w:t>Enforcement difficulties to bring actors to pay their eco-fees (some producers refuse to submit to the EPR scheme).</w:t>
      </w:r>
    </w:p>
    <w:p w14:paraId="5AFB0F8D" w14:textId="7B2A5AD6" w:rsidR="00CF0706" w:rsidRPr="00013BDC" w:rsidRDefault="00CF0706" w:rsidP="00410D9F">
      <w:pPr>
        <w:pStyle w:val="ListParagraph"/>
        <w:numPr>
          <w:ilvl w:val="0"/>
          <w:numId w:val="3"/>
        </w:numPr>
        <w:rPr>
          <w:noProof/>
          <w:lang w:val="en-IE"/>
        </w:rPr>
      </w:pPr>
      <w:r w:rsidRPr="00013BDC">
        <w:rPr>
          <w:noProof/>
          <w:lang w:val="en-IE"/>
        </w:rPr>
        <w:t>Growing but still relatively limited collection rates.</w:t>
      </w:r>
    </w:p>
    <w:p w14:paraId="60A1ACD7" w14:textId="196DCAEC" w:rsidR="00096212" w:rsidRPr="00013BDC" w:rsidRDefault="004B4F99" w:rsidP="004B4F99">
      <w:pPr>
        <w:rPr>
          <w:rFonts w:eastAsia="Segoe UI"/>
          <w:noProof/>
          <w:color w:val="000000" w:themeColor="text1"/>
          <w:lang w:val="en-IE"/>
        </w:rPr>
      </w:pPr>
      <w:r w:rsidRPr="00013BDC">
        <w:rPr>
          <w:rFonts w:eastAsia="Segoe UI"/>
          <w:noProof/>
          <w:color w:val="000000" w:themeColor="text1"/>
          <w:lang w:val="en-IE"/>
        </w:rPr>
        <w:t xml:space="preserve">Several EU Member States </w:t>
      </w:r>
      <w:r w:rsidR="002C5221" w:rsidRPr="00013BDC">
        <w:rPr>
          <w:rFonts w:eastAsia="Segoe UI"/>
          <w:noProof/>
          <w:color w:val="000000" w:themeColor="text1"/>
          <w:lang w:val="en-IE"/>
        </w:rPr>
        <w:t>(i.e.</w:t>
      </w:r>
      <w:r w:rsidR="000D0C2C" w:rsidRPr="00013BDC">
        <w:rPr>
          <w:rFonts w:eastAsia="Segoe UI"/>
          <w:noProof/>
          <w:color w:val="000000" w:themeColor="text1"/>
          <w:lang w:val="en-IE"/>
        </w:rPr>
        <w:t>,</w:t>
      </w:r>
      <w:r w:rsidR="002C5221" w:rsidRPr="00013BDC">
        <w:rPr>
          <w:rFonts w:eastAsia="Segoe UI"/>
          <w:noProof/>
          <w:color w:val="000000" w:themeColor="text1"/>
          <w:lang w:val="en-IE"/>
        </w:rPr>
        <w:t xml:space="preserve"> Sweden, </w:t>
      </w:r>
      <w:r w:rsidR="1D521F7B" w:rsidRPr="00013BDC">
        <w:rPr>
          <w:rFonts w:eastAsia="Segoe UI"/>
          <w:noProof/>
          <w:color w:val="000000" w:themeColor="text1"/>
          <w:lang w:val="en-IE"/>
        </w:rPr>
        <w:t>Germany</w:t>
      </w:r>
      <w:r w:rsidR="002C5221" w:rsidRPr="00013BDC">
        <w:rPr>
          <w:rFonts w:eastAsia="Segoe UI"/>
          <w:noProof/>
          <w:color w:val="000000" w:themeColor="text1"/>
          <w:lang w:val="en-IE"/>
        </w:rPr>
        <w:t>, Bulgaria, Belgium, Italy, Spain and Slovakia) are planning to adopt EPR schemes within the next years. These schemes mainly intend to include clothing and household textiles, while some of the proposals also include other textiles such as professional textiles or footw</w:t>
      </w:r>
      <w:r w:rsidRPr="00013BDC">
        <w:rPr>
          <w:rFonts w:eastAsia="Segoe UI"/>
          <w:noProof/>
          <w:color w:val="000000" w:themeColor="text1"/>
          <w:lang w:val="en-IE"/>
        </w:rPr>
        <w:t>ear</w:t>
      </w:r>
      <w:r w:rsidR="002C5221" w:rsidRPr="00013BDC">
        <w:rPr>
          <w:rFonts w:eastAsia="Segoe UI"/>
          <w:noProof/>
          <w:color w:val="000000" w:themeColor="text1"/>
          <w:lang w:val="en-IE"/>
        </w:rPr>
        <w:t xml:space="preserve">. The specific features of the EPR schemes that each country envisages are different. Some Member States are focusing on stimulating textile to textile recycling and </w:t>
      </w:r>
      <w:r w:rsidR="00D96247" w:rsidRPr="00013BDC">
        <w:rPr>
          <w:rFonts w:eastAsia="Segoe UI"/>
          <w:noProof/>
          <w:color w:val="000000" w:themeColor="text1"/>
          <w:lang w:val="en-IE"/>
        </w:rPr>
        <w:t>reuse</w:t>
      </w:r>
      <w:r w:rsidR="002C5221" w:rsidRPr="00013BDC">
        <w:rPr>
          <w:rFonts w:eastAsia="Segoe UI"/>
          <w:noProof/>
          <w:color w:val="000000" w:themeColor="text1"/>
          <w:lang w:val="en-IE"/>
        </w:rPr>
        <w:t xml:space="preserve"> through targets for textiles prepared for </w:t>
      </w:r>
      <w:r w:rsidR="00D96247" w:rsidRPr="00013BDC">
        <w:rPr>
          <w:rFonts w:eastAsia="Segoe UI"/>
          <w:noProof/>
          <w:color w:val="000000" w:themeColor="text1"/>
          <w:lang w:val="en-IE"/>
        </w:rPr>
        <w:t>reuse</w:t>
      </w:r>
      <w:r w:rsidR="002C5221" w:rsidRPr="00013BDC">
        <w:rPr>
          <w:rFonts w:eastAsia="Segoe UI"/>
          <w:noProof/>
          <w:color w:val="000000" w:themeColor="text1"/>
          <w:lang w:val="en-IE"/>
        </w:rPr>
        <w:t xml:space="preserve"> and recycled, some </w:t>
      </w:r>
      <w:r w:rsidR="001946BE" w:rsidRPr="00013BDC">
        <w:rPr>
          <w:rFonts w:eastAsia="Segoe UI"/>
          <w:noProof/>
          <w:color w:val="000000" w:themeColor="text1"/>
          <w:lang w:val="en-IE"/>
        </w:rPr>
        <w:t xml:space="preserve">on the separate collection for </w:t>
      </w:r>
      <w:r w:rsidR="00D96247" w:rsidRPr="00013BDC">
        <w:rPr>
          <w:rFonts w:eastAsia="Segoe UI"/>
          <w:noProof/>
          <w:color w:val="000000" w:themeColor="text1"/>
          <w:lang w:val="en-IE"/>
        </w:rPr>
        <w:t>reuse</w:t>
      </w:r>
      <w:r w:rsidR="001946BE" w:rsidRPr="00013BDC">
        <w:rPr>
          <w:rFonts w:eastAsia="Segoe UI"/>
          <w:noProof/>
          <w:color w:val="000000" w:themeColor="text1"/>
          <w:lang w:val="en-IE"/>
        </w:rPr>
        <w:t xml:space="preserve"> and recycling, </w:t>
      </w:r>
      <w:r w:rsidR="002C5221" w:rsidRPr="00013BDC">
        <w:rPr>
          <w:rFonts w:eastAsia="Segoe UI"/>
          <w:noProof/>
          <w:color w:val="000000" w:themeColor="text1"/>
          <w:lang w:val="en-IE"/>
        </w:rPr>
        <w:t xml:space="preserve">some are imposing obligations for producers and </w:t>
      </w:r>
      <w:r w:rsidR="53900ADC" w:rsidRPr="00013BDC">
        <w:rPr>
          <w:rFonts w:eastAsia="Segoe UI"/>
          <w:noProof/>
          <w:color w:val="000000" w:themeColor="text1"/>
          <w:lang w:val="en-IE"/>
        </w:rPr>
        <w:t>other stakeholders</w:t>
      </w:r>
      <w:r w:rsidR="002C5221" w:rsidRPr="00013BDC">
        <w:rPr>
          <w:rFonts w:eastAsia="Segoe UI"/>
          <w:noProof/>
          <w:color w:val="000000" w:themeColor="text1"/>
          <w:lang w:val="en-IE"/>
        </w:rPr>
        <w:t xml:space="preserve">, others are considering to set a minimum financial guarantee which will be required from each </w:t>
      </w:r>
      <w:r w:rsidR="4091C8F4" w:rsidRPr="00013BDC">
        <w:rPr>
          <w:rFonts w:eastAsia="Segoe UI"/>
          <w:noProof/>
          <w:color w:val="000000" w:themeColor="text1"/>
          <w:lang w:val="en-IE"/>
        </w:rPr>
        <w:t>producer responsibility</w:t>
      </w:r>
      <w:r w:rsidR="002C5221" w:rsidRPr="00013BDC">
        <w:rPr>
          <w:rFonts w:eastAsia="Segoe UI"/>
          <w:noProof/>
          <w:color w:val="000000" w:themeColor="text1"/>
          <w:lang w:val="en-IE"/>
        </w:rPr>
        <w:t xml:space="preserve"> organization at the start of its operations, while others have set up voluntary systems </w:t>
      </w:r>
      <w:r w:rsidR="00CA33C5" w:rsidRPr="00013BDC">
        <w:rPr>
          <w:rFonts w:eastAsia="Segoe UI"/>
          <w:noProof/>
          <w:color w:val="000000" w:themeColor="text1"/>
          <w:lang w:val="en-IE"/>
        </w:rPr>
        <w:t xml:space="preserve">to </w:t>
      </w:r>
      <w:r w:rsidR="007B3DF3" w:rsidRPr="00013BDC">
        <w:rPr>
          <w:rFonts w:eastAsia="Segoe UI"/>
          <w:noProof/>
          <w:color w:val="000000" w:themeColor="text1"/>
          <w:lang w:val="en-IE"/>
        </w:rPr>
        <w:t xml:space="preserve">facilitate </w:t>
      </w:r>
      <w:r w:rsidR="00CA33C5" w:rsidRPr="00013BDC">
        <w:rPr>
          <w:rFonts w:eastAsia="Segoe UI"/>
          <w:noProof/>
          <w:color w:val="000000" w:themeColor="text1"/>
          <w:lang w:val="en-IE"/>
        </w:rPr>
        <w:t xml:space="preserve">waste prevention, </w:t>
      </w:r>
      <w:r w:rsidR="007B3DF3" w:rsidRPr="00013BDC">
        <w:rPr>
          <w:rFonts w:eastAsia="Segoe UI"/>
          <w:noProof/>
          <w:color w:val="000000" w:themeColor="text1"/>
          <w:lang w:val="en-IE"/>
        </w:rPr>
        <w:t>separate collection, sorting and valorisation of pre-consumer and post-consumer textile flows</w:t>
      </w:r>
      <w:r w:rsidR="002C5221" w:rsidRPr="00013BDC">
        <w:rPr>
          <w:rFonts w:eastAsia="Segoe UI"/>
          <w:noProof/>
          <w:color w:val="000000" w:themeColor="text1"/>
          <w:lang w:val="en-IE"/>
        </w:rPr>
        <w:t xml:space="preserve"> or organisation-based initiatives. On the contrary, Finland </w:t>
      </w:r>
      <w:r w:rsidR="47B5D8E0" w:rsidRPr="00013BDC">
        <w:rPr>
          <w:rFonts w:eastAsia="Segoe UI"/>
          <w:noProof/>
          <w:color w:val="000000" w:themeColor="text1"/>
          <w:lang w:val="en-IE"/>
        </w:rPr>
        <w:t xml:space="preserve">has proceeded with the implementation of the </w:t>
      </w:r>
      <w:r w:rsidR="002C5221" w:rsidRPr="00013BDC">
        <w:rPr>
          <w:rFonts w:eastAsia="Segoe UI"/>
          <w:noProof/>
          <w:color w:val="000000" w:themeColor="text1"/>
          <w:lang w:val="en-IE"/>
        </w:rPr>
        <w:t xml:space="preserve">separate collection </w:t>
      </w:r>
      <w:r w:rsidR="47B5D8E0" w:rsidRPr="00013BDC">
        <w:rPr>
          <w:rFonts w:eastAsia="Segoe UI"/>
          <w:noProof/>
          <w:color w:val="000000" w:themeColor="text1"/>
          <w:lang w:val="en-IE"/>
        </w:rPr>
        <w:t>organisation through municipal services which would become effective by</w:t>
      </w:r>
      <w:r w:rsidR="4E8B37EE" w:rsidRPr="00013BDC">
        <w:rPr>
          <w:rFonts w:eastAsia="Segoe UI"/>
          <w:noProof/>
          <w:color w:val="000000" w:themeColor="text1"/>
          <w:lang w:val="en-IE"/>
        </w:rPr>
        <w:t xml:space="preserve"> 2023</w:t>
      </w:r>
      <w:r w:rsidR="002C5221" w:rsidRPr="00013BDC">
        <w:rPr>
          <w:rFonts w:eastAsia="Segoe UI"/>
          <w:noProof/>
          <w:color w:val="000000" w:themeColor="text1"/>
          <w:lang w:val="en-IE"/>
        </w:rPr>
        <w:t>.</w:t>
      </w:r>
      <w:r w:rsidRPr="00013BDC">
        <w:rPr>
          <w:rFonts w:eastAsia="Segoe UI"/>
          <w:noProof/>
          <w:color w:val="000000" w:themeColor="text1"/>
          <w:lang w:val="en-IE"/>
        </w:rPr>
        <w:t xml:space="preserve"> However, none have yet been implemented and the information on their impacts is, therefore, unavailable. A summary of the available details is provided below. </w:t>
      </w:r>
      <w:r w:rsidR="4AAC8F26" w:rsidRPr="00013BDC">
        <w:rPr>
          <w:rFonts w:eastAsia="Segoe UI"/>
          <w:noProof/>
          <w:color w:val="000000" w:themeColor="text1"/>
          <w:lang w:val="en-IE"/>
        </w:rPr>
        <w:t>Little information is available at this stage on other countries and their perspectives on EPR schemes</w:t>
      </w:r>
      <w:r w:rsidR="4EA0A166" w:rsidRPr="00013BDC">
        <w:rPr>
          <w:rFonts w:eastAsia="Segoe UI"/>
          <w:noProof/>
          <w:color w:val="000000" w:themeColor="text1"/>
          <w:lang w:val="en-IE"/>
        </w:rPr>
        <w:t xml:space="preserve"> which is also in part due to the uncertainty linked to the announcement by the Commission that it is assessing the feasibility of mandating EPR at EU level</w:t>
      </w:r>
      <w:r w:rsidR="4AAC8F26" w:rsidRPr="00013BDC">
        <w:rPr>
          <w:rFonts w:eastAsia="Segoe UI"/>
          <w:noProof/>
          <w:color w:val="000000" w:themeColor="text1"/>
          <w:lang w:val="en-IE"/>
        </w:rPr>
        <w:t xml:space="preserve">. </w:t>
      </w:r>
    </w:p>
    <w:p w14:paraId="1D969C06" w14:textId="15718B3A" w:rsidR="7026E808" w:rsidRPr="00013BDC" w:rsidRDefault="7026E808" w:rsidP="403A4896">
      <w:pPr>
        <w:rPr>
          <w:rFonts w:eastAsia="Segoe UI"/>
          <w:noProof/>
          <w:color w:val="000000" w:themeColor="text1"/>
          <w:vertAlign w:val="superscript"/>
          <w:lang w:val="en-IE"/>
        </w:rPr>
      </w:pPr>
      <w:r w:rsidRPr="00013BDC">
        <w:rPr>
          <w:rFonts w:eastAsia="Segoe UI"/>
          <w:noProof/>
          <w:color w:val="000000" w:themeColor="text1"/>
          <w:lang w:val="en-IE"/>
        </w:rPr>
        <w:t xml:space="preserve">In comparison to other jurisdictions, the EU can be considered a frontrunner in the textile waste management with regard to the collection and subsequent re-use and treatment practices and scale. </w:t>
      </w:r>
      <w:r w:rsidR="45B95ADF" w:rsidRPr="00013BDC">
        <w:rPr>
          <w:rFonts w:eastAsia="Segoe UI"/>
          <w:noProof/>
          <w:color w:val="000000" w:themeColor="text1"/>
          <w:lang w:val="en-IE"/>
        </w:rPr>
        <w:t>Parts of USA</w:t>
      </w:r>
      <w:r w:rsidRPr="00013BDC">
        <w:rPr>
          <w:rFonts w:eastAsia="Segoe UI"/>
          <w:noProof/>
          <w:color w:val="000000" w:themeColor="text1"/>
          <w:vertAlign w:val="superscript"/>
          <w:lang w:val="en-IE"/>
        </w:rPr>
        <w:footnoteReference w:id="236"/>
      </w:r>
      <w:r w:rsidR="45B95ADF" w:rsidRPr="00013BDC">
        <w:rPr>
          <w:rFonts w:eastAsia="Segoe UI"/>
          <w:noProof/>
          <w:color w:val="000000" w:themeColor="text1"/>
          <w:lang w:val="en-IE"/>
        </w:rPr>
        <w:t xml:space="preserve">, </w:t>
      </w:r>
      <w:r w:rsidR="5B1F2186" w:rsidRPr="00013BDC">
        <w:rPr>
          <w:rFonts w:eastAsia="Segoe UI"/>
          <w:noProof/>
          <w:color w:val="000000" w:themeColor="text1"/>
          <w:lang w:val="en-IE"/>
        </w:rPr>
        <w:t>Nordic countries, including Norway,</w:t>
      </w:r>
      <w:r w:rsidRPr="00013BDC">
        <w:rPr>
          <w:rFonts w:eastAsia="Segoe UI"/>
          <w:noProof/>
          <w:color w:val="000000" w:themeColor="text1"/>
          <w:vertAlign w:val="superscript"/>
          <w:lang w:val="en-IE"/>
        </w:rPr>
        <w:footnoteReference w:id="237"/>
      </w:r>
      <w:r w:rsidR="5B1F2186" w:rsidRPr="00013BDC">
        <w:rPr>
          <w:rFonts w:eastAsia="Segoe UI"/>
          <w:noProof/>
          <w:color w:val="000000" w:themeColor="text1"/>
          <w:lang w:val="en-IE"/>
        </w:rPr>
        <w:t xml:space="preserve"> and </w:t>
      </w:r>
      <w:r w:rsidR="1CB5D7CA" w:rsidRPr="00013BDC">
        <w:rPr>
          <w:rFonts w:eastAsia="Segoe UI"/>
          <w:noProof/>
          <w:color w:val="000000" w:themeColor="text1"/>
          <w:lang w:val="en-IE"/>
        </w:rPr>
        <w:t>UK</w:t>
      </w:r>
      <w:r w:rsidRPr="00013BDC">
        <w:rPr>
          <w:rFonts w:eastAsia="Segoe UI"/>
          <w:noProof/>
          <w:color w:val="000000" w:themeColor="text1"/>
          <w:vertAlign w:val="superscript"/>
          <w:lang w:val="en-IE"/>
        </w:rPr>
        <w:footnoteReference w:id="238"/>
      </w:r>
      <w:r w:rsidR="5BA755BF" w:rsidRPr="00013BDC">
        <w:rPr>
          <w:rFonts w:eastAsia="Segoe UI"/>
          <w:noProof/>
          <w:color w:val="000000" w:themeColor="text1"/>
          <w:lang w:val="en-IE"/>
        </w:rPr>
        <w:t xml:space="preserve"> are also considering measures to scale up re-use and recycling and the introduction of an extended producer responsibility.</w:t>
      </w:r>
    </w:p>
    <w:p w14:paraId="796ECA82" w14:textId="66F6EBBF" w:rsidR="6972131E" w:rsidRPr="00013BDC" w:rsidRDefault="6972131E" w:rsidP="00635C07">
      <w:pPr>
        <w:pStyle w:val="Heading3"/>
        <w:spacing w:after="120"/>
        <w:rPr>
          <w:rFonts w:eastAsia="Calibri"/>
          <w:noProof/>
          <w:lang w:val="en-IE"/>
        </w:rPr>
      </w:pPr>
      <w:bookmarkStart w:id="646" w:name="_Toc1325134978"/>
      <w:bookmarkStart w:id="647" w:name="_Toc1473973832"/>
      <w:bookmarkStart w:id="648" w:name="_Toc1789285597"/>
      <w:bookmarkStart w:id="649" w:name="_Toc1525756380"/>
      <w:bookmarkStart w:id="650" w:name="_Toc1393664047"/>
      <w:bookmarkStart w:id="651" w:name="_Toc1558346588"/>
      <w:bookmarkStart w:id="652" w:name="_Toc1871020347"/>
      <w:bookmarkStart w:id="653" w:name="_Toc1706380697"/>
      <w:bookmarkStart w:id="654" w:name="_Toc139032987"/>
      <w:r w:rsidRPr="00013BDC">
        <w:rPr>
          <w:rFonts w:eastAsia="Calibri"/>
          <w:noProof/>
          <w:lang w:val="en-IE"/>
        </w:rPr>
        <w:t>EU funded projects on sustainable management of textiles</w:t>
      </w:r>
      <w:bookmarkEnd w:id="646"/>
      <w:bookmarkEnd w:id="647"/>
      <w:bookmarkEnd w:id="648"/>
      <w:bookmarkEnd w:id="649"/>
      <w:bookmarkEnd w:id="650"/>
      <w:bookmarkEnd w:id="651"/>
      <w:bookmarkEnd w:id="652"/>
      <w:bookmarkEnd w:id="653"/>
      <w:bookmarkEnd w:id="654"/>
    </w:p>
    <w:p w14:paraId="7C052DB9" w14:textId="54096220" w:rsidR="001A65F5" w:rsidRPr="00013BDC" w:rsidRDefault="001A65F5" w:rsidP="001A65F5">
      <w:pPr>
        <w:spacing w:after="120"/>
        <w:rPr>
          <w:rFonts w:eastAsiaTheme="minorEastAsia"/>
          <w:noProof/>
          <w:lang w:val="en-IE"/>
        </w:rPr>
      </w:pPr>
      <w:r w:rsidRPr="00013BDC">
        <w:rPr>
          <w:rFonts w:eastAsiaTheme="minorEastAsia"/>
          <w:noProof/>
          <w:lang w:val="en-IE"/>
        </w:rPr>
        <w:t xml:space="preserve">Different EU resources were used to </w:t>
      </w:r>
      <w:r w:rsidR="2C50219D" w:rsidRPr="00013BDC">
        <w:rPr>
          <w:rFonts w:eastAsiaTheme="minorEastAsia"/>
          <w:noProof/>
          <w:lang w:val="en-IE"/>
        </w:rPr>
        <w:t>fund</w:t>
      </w:r>
      <w:r w:rsidRPr="00013BDC">
        <w:rPr>
          <w:rFonts w:eastAsiaTheme="minorEastAsia"/>
          <w:noProof/>
          <w:lang w:val="en-IE"/>
        </w:rPr>
        <w:t xml:space="preserve"> related projects:</w:t>
      </w:r>
    </w:p>
    <w:p w14:paraId="7735C461" w14:textId="3E41949D" w:rsidR="00DC6981" w:rsidRPr="00013BDC" w:rsidRDefault="00DC6981" w:rsidP="00CF0DFB">
      <w:pPr>
        <w:pStyle w:val="ListParagraph"/>
        <w:numPr>
          <w:ilvl w:val="0"/>
          <w:numId w:val="124"/>
        </w:numPr>
        <w:spacing w:after="0"/>
        <w:rPr>
          <w:rFonts w:eastAsia="Times New Roman"/>
          <w:noProof/>
          <w:sz w:val="22"/>
          <w:szCs w:val="22"/>
          <w:lang w:val="en-IE"/>
        </w:rPr>
      </w:pPr>
      <w:bookmarkStart w:id="655" w:name="_Hlk126921520"/>
      <w:r w:rsidRPr="00013BDC">
        <w:rPr>
          <w:rFonts w:eastAsia="Times New Roman"/>
          <w:noProof/>
          <w:lang w:val="en-IE"/>
        </w:rPr>
        <w:t>For recycling activities alone, in the period 2014-2020 LIFE financed a total of 86 projects with an overall investment of around 350 million</w:t>
      </w:r>
      <w:r w:rsidR="00745056" w:rsidRPr="00013BDC">
        <w:rPr>
          <w:rFonts w:eastAsia="Times New Roman"/>
          <w:noProof/>
          <w:lang w:val="en-IE"/>
        </w:rPr>
        <w:t xml:space="preserve"> euro</w:t>
      </w:r>
      <w:r w:rsidRPr="00013BDC">
        <w:rPr>
          <w:rFonts w:eastAsia="Times New Roman"/>
          <w:noProof/>
          <w:lang w:val="en-IE"/>
        </w:rPr>
        <w:t>. LIFE contribution was around 160 million</w:t>
      </w:r>
      <w:r w:rsidR="00745056" w:rsidRPr="00013BDC">
        <w:rPr>
          <w:rFonts w:eastAsia="Times New Roman"/>
          <w:noProof/>
          <w:lang w:val="en-IE"/>
        </w:rPr>
        <w:t xml:space="preserve"> euro</w:t>
      </w:r>
      <w:r w:rsidRPr="00013BDC">
        <w:rPr>
          <w:rFonts w:eastAsia="Times New Roman"/>
          <w:noProof/>
          <w:lang w:val="en-IE"/>
        </w:rPr>
        <w:t>.</w:t>
      </w:r>
    </w:p>
    <w:p w14:paraId="64BBC2FC" w14:textId="2713B050" w:rsidR="00DC6981" w:rsidRPr="00013BDC" w:rsidRDefault="00DC6981" w:rsidP="00CF0DFB">
      <w:pPr>
        <w:pStyle w:val="ListParagraph"/>
        <w:numPr>
          <w:ilvl w:val="0"/>
          <w:numId w:val="124"/>
        </w:numPr>
        <w:spacing w:after="0"/>
        <w:rPr>
          <w:rFonts w:eastAsia="Times New Roman"/>
          <w:noProof/>
          <w:lang w:val="en-IE"/>
        </w:rPr>
      </w:pPr>
      <w:r w:rsidRPr="00013BDC">
        <w:rPr>
          <w:rFonts w:eastAsia="Times New Roman"/>
          <w:noProof/>
          <w:lang w:val="en-IE"/>
        </w:rPr>
        <w:t xml:space="preserve">If we include </w:t>
      </w:r>
      <w:r w:rsidR="00D96247" w:rsidRPr="00013BDC">
        <w:rPr>
          <w:rFonts w:eastAsia="Times New Roman"/>
          <w:noProof/>
          <w:lang w:val="en-IE"/>
        </w:rPr>
        <w:t>reuse</w:t>
      </w:r>
      <w:r w:rsidRPr="00013BDC">
        <w:rPr>
          <w:rFonts w:eastAsia="Times New Roman"/>
          <w:noProof/>
          <w:lang w:val="en-IE"/>
        </w:rPr>
        <w:t xml:space="preserve"> operations, the number of projects increases to 113 with an overall investment of 410 million </w:t>
      </w:r>
      <w:r w:rsidR="00745056" w:rsidRPr="00013BDC">
        <w:rPr>
          <w:rFonts w:eastAsia="Times New Roman"/>
          <w:noProof/>
          <w:lang w:val="en-IE"/>
        </w:rPr>
        <w:t xml:space="preserve">euro </w:t>
      </w:r>
      <w:r w:rsidRPr="00013BDC">
        <w:rPr>
          <w:rFonts w:eastAsia="Times New Roman"/>
          <w:noProof/>
          <w:lang w:val="en-IE"/>
        </w:rPr>
        <w:t>and our contribution being approximately 190 million</w:t>
      </w:r>
      <w:r w:rsidR="00745056" w:rsidRPr="00013BDC">
        <w:rPr>
          <w:rFonts w:eastAsia="Times New Roman"/>
          <w:noProof/>
          <w:lang w:val="en-IE"/>
        </w:rPr>
        <w:t xml:space="preserve"> euro</w:t>
      </w:r>
      <w:r w:rsidRPr="00013BDC">
        <w:rPr>
          <w:rFonts w:eastAsia="Times New Roman"/>
          <w:noProof/>
          <w:lang w:val="en-IE"/>
        </w:rPr>
        <w:t>.</w:t>
      </w:r>
    </w:p>
    <w:p w14:paraId="1234203B" w14:textId="31540FF0" w:rsidR="00DC6981" w:rsidRPr="00013BDC" w:rsidRDefault="00DC6981" w:rsidP="00CF0DFB">
      <w:pPr>
        <w:pStyle w:val="ListParagraph"/>
        <w:numPr>
          <w:ilvl w:val="0"/>
          <w:numId w:val="124"/>
        </w:numPr>
        <w:spacing w:after="0"/>
        <w:rPr>
          <w:rFonts w:eastAsia="Times New Roman"/>
          <w:noProof/>
          <w:lang w:val="en-IE"/>
        </w:rPr>
      </w:pPr>
      <w:r w:rsidRPr="00013BDC">
        <w:rPr>
          <w:rFonts w:eastAsia="Times New Roman"/>
          <w:noProof/>
          <w:lang w:val="en-IE"/>
        </w:rPr>
        <w:t xml:space="preserve">Finally, if we include projects that contribute to resource efficiency (reducing resource usage and thus waste), we have a total of 144 projects with a global investment of almost 0.5 billion </w:t>
      </w:r>
      <w:r w:rsidR="00745056" w:rsidRPr="00013BDC">
        <w:rPr>
          <w:rFonts w:eastAsia="Times New Roman"/>
          <w:noProof/>
          <w:lang w:val="en-IE"/>
        </w:rPr>
        <w:t xml:space="preserve">euro </w:t>
      </w:r>
      <w:r w:rsidRPr="00013BDC">
        <w:rPr>
          <w:rFonts w:eastAsia="Times New Roman"/>
          <w:noProof/>
          <w:lang w:val="en-IE"/>
        </w:rPr>
        <w:t>and an EU contribution of approximately 230 million</w:t>
      </w:r>
      <w:r w:rsidR="00745056" w:rsidRPr="00013BDC">
        <w:rPr>
          <w:rFonts w:eastAsia="Times New Roman"/>
          <w:noProof/>
          <w:lang w:val="en-IE"/>
        </w:rPr>
        <w:t xml:space="preserve"> euro</w:t>
      </w:r>
      <w:r w:rsidRPr="00013BDC">
        <w:rPr>
          <w:rFonts w:eastAsia="Times New Roman"/>
          <w:noProof/>
          <w:lang w:val="en-IE"/>
        </w:rPr>
        <w:t>.</w:t>
      </w:r>
    </w:p>
    <w:bookmarkEnd w:id="655"/>
    <w:p w14:paraId="468DBB96" w14:textId="77777777" w:rsidR="001A65F5" w:rsidRPr="00013BDC" w:rsidRDefault="001A65F5" w:rsidP="00CF0DFB">
      <w:pPr>
        <w:pStyle w:val="ListParagraph"/>
        <w:numPr>
          <w:ilvl w:val="0"/>
          <w:numId w:val="124"/>
        </w:numPr>
        <w:spacing w:after="120"/>
        <w:rPr>
          <w:rFonts w:eastAsiaTheme="minorEastAsia"/>
          <w:noProof/>
          <w:lang w:val="en-IE"/>
        </w:rPr>
      </w:pPr>
      <w:r w:rsidRPr="00013BDC">
        <w:rPr>
          <w:rFonts w:eastAsiaTheme="minorEastAsia"/>
          <w:noProof/>
          <w:lang w:val="en-IE"/>
        </w:rPr>
        <w:t xml:space="preserve">In 2014-2020, Horizon 2020 financed 1737 projects dedicated to circular waste management. Up to 2018, 1.4 billion euro from Horizon 2020 was targeted towards areas such as sustainable process industries, waste and resource management, closed loop manufacturing systems or the circular bio-economy. </w:t>
      </w:r>
    </w:p>
    <w:p w14:paraId="46623C70" w14:textId="33478969" w:rsidR="001A65F5" w:rsidRPr="00013BDC" w:rsidRDefault="001A65F5" w:rsidP="00CF0DFB">
      <w:pPr>
        <w:pStyle w:val="ListParagraph"/>
        <w:numPr>
          <w:ilvl w:val="0"/>
          <w:numId w:val="124"/>
        </w:numPr>
        <w:spacing w:after="120"/>
        <w:rPr>
          <w:rFonts w:eastAsiaTheme="minorEastAsia"/>
          <w:noProof/>
          <w:lang w:val="en-IE"/>
        </w:rPr>
      </w:pPr>
      <w:r w:rsidRPr="00013BDC">
        <w:rPr>
          <w:rFonts w:eastAsiaTheme="minorEastAsia"/>
          <w:noProof/>
          <w:lang w:val="en-IE"/>
        </w:rPr>
        <w:t xml:space="preserve">In 2016-2020, over 7 billion euro from </w:t>
      </w:r>
      <w:r w:rsidRPr="00013BDC">
        <w:rPr>
          <w:rFonts w:eastAsiaTheme="minorEastAsia"/>
          <w:b/>
          <w:noProof/>
          <w:lang w:val="en-IE"/>
        </w:rPr>
        <w:t>Cohesion policy</w:t>
      </w:r>
      <w:r w:rsidRPr="00013BDC">
        <w:rPr>
          <w:rFonts w:eastAsiaTheme="minorEastAsia"/>
          <w:noProof/>
          <w:lang w:val="en-IE"/>
        </w:rPr>
        <w:t xml:space="preserve"> have been used towards the transition to circular economy, of which 1.8 billion </w:t>
      </w:r>
      <w:r w:rsidR="00745056" w:rsidRPr="00013BDC">
        <w:rPr>
          <w:rFonts w:eastAsiaTheme="minorEastAsia"/>
          <w:noProof/>
          <w:lang w:val="en-IE"/>
        </w:rPr>
        <w:t>euro</w:t>
      </w:r>
      <w:r w:rsidRPr="00013BDC">
        <w:rPr>
          <w:rFonts w:eastAsiaTheme="minorEastAsia"/>
          <w:noProof/>
          <w:lang w:val="en-IE"/>
        </w:rPr>
        <w:t xml:space="preserve"> for uptake of eco-innovative technologies among SMEs and 5.3 billion euro to support the implementation of the EU waste legislation</w:t>
      </w:r>
      <w:r w:rsidR="33B4D581" w:rsidRPr="00013BDC">
        <w:rPr>
          <w:rFonts w:eastAsiaTheme="minorEastAsia"/>
          <w:noProof/>
          <w:lang w:val="en-IE"/>
        </w:rPr>
        <w:t xml:space="preserve">. The new programming period under the Cohesion policy </w:t>
      </w:r>
      <w:r w:rsidR="5D44D65B" w:rsidRPr="00013BDC">
        <w:rPr>
          <w:rFonts w:eastAsiaTheme="minorEastAsia"/>
          <w:noProof/>
          <w:lang w:val="en-IE"/>
        </w:rPr>
        <w:t xml:space="preserve">(2021-2027) </w:t>
      </w:r>
      <w:r w:rsidR="33B4D581" w:rsidRPr="00013BDC">
        <w:rPr>
          <w:rFonts w:eastAsiaTheme="minorEastAsia"/>
          <w:noProof/>
          <w:lang w:val="en-IE"/>
        </w:rPr>
        <w:t xml:space="preserve">also envisages significant financial resources for the </w:t>
      </w:r>
      <w:r w:rsidR="58FE8E1D" w:rsidRPr="00013BDC">
        <w:rPr>
          <w:rFonts w:eastAsiaTheme="minorEastAsia"/>
          <w:noProof/>
          <w:lang w:val="en-IE"/>
        </w:rPr>
        <w:t xml:space="preserve">improvements in waste management practices, </w:t>
      </w:r>
      <w:r w:rsidR="72254510" w:rsidRPr="00013BDC">
        <w:rPr>
          <w:rFonts w:eastAsiaTheme="minorEastAsia"/>
          <w:noProof/>
          <w:lang w:val="en-IE"/>
        </w:rPr>
        <w:t xml:space="preserve">including textiles, </w:t>
      </w:r>
      <w:r w:rsidR="58FE8E1D" w:rsidRPr="00013BDC">
        <w:rPr>
          <w:rFonts w:eastAsiaTheme="minorEastAsia"/>
          <w:noProof/>
          <w:lang w:val="en-IE"/>
        </w:rPr>
        <w:t>namely, for the improvements in separate collection and waste treatment capacity expansion</w:t>
      </w:r>
      <w:r w:rsidR="1C15DB01" w:rsidRPr="00013BDC">
        <w:rPr>
          <w:rFonts w:eastAsiaTheme="minorEastAsia"/>
          <w:noProof/>
          <w:lang w:val="en-IE"/>
        </w:rPr>
        <w:t xml:space="preserve"> with focus on preparation for re-use and recycling</w:t>
      </w:r>
      <w:r w:rsidR="3BFF761D" w:rsidRPr="00013BDC">
        <w:rPr>
          <w:rFonts w:eastAsiaTheme="minorEastAsia"/>
          <w:noProof/>
          <w:lang w:val="en-IE"/>
        </w:rPr>
        <w:t xml:space="preserve"> as well as promotion and use of recycled materials</w:t>
      </w:r>
      <w:r w:rsidR="58FE8E1D" w:rsidRPr="00013BDC">
        <w:rPr>
          <w:rFonts w:eastAsiaTheme="minorEastAsia"/>
          <w:noProof/>
          <w:lang w:val="en-IE"/>
        </w:rPr>
        <w:t>.</w:t>
      </w:r>
      <w:r w:rsidR="1176D76B" w:rsidRPr="00013BDC">
        <w:rPr>
          <w:rFonts w:eastAsiaTheme="minorEastAsia"/>
          <w:noProof/>
          <w:lang w:val="en-IE"/>
        </w:rPr>
        <w:t xml:space="preserve"> Textiles sector figures in the national programmes for several countries such as Latvia, Lithuania, Croatia.</w:t>
      </w:r>
    </w:p>
    <w:p w14:paraId="6098B7A2" w14:textId="31CCF392" w:rsidR="7A00FFEB" w:rsidRPr="00013BDC" w:rsidRDefault="7A00FFEB" w:rsidP="00CF0DFB">
      <w:pPr>
        <w:pStyle w:val="ListParagraph"/>
        <w:numPr>
          <w:ilvl w:val="0"/>
          <w:numId w:val="124"/>
        </w:numPr>
        <w:spacing w:after="120"/>
        <w:rPr>
          <w:rFonts w:eastAsiaTheme="minorEastAsia"/>
          <w:noProof/>
          <w:lang w:val="en-IE"/>
        </w:rPr>
      </w:pPr>
      <w:r w:rsidRPr="00013BDC">
        <w:rPr>
          <w:rFonts w:eastAsiaTheme="minorEastAsia"/>
          <w:noProof/>
          <w:lang w:val="en-IE"/>
        </w:rPr>
        <w:t>Financing for waste management improvement</w:t>
      </w:r>
      <w:r w:rsidR="1E696739" w:rsidRPr="00013BDC">
        <w:rPr>
          <w:rFonts w:eastAsiaTheme="minorEastAsia"/>
          <w:noProof/>
          <w:lang w:val="en-IE"/>
        </w:rPr>
        <w:t xml:space="preserve"> and specifically for the collection, sorting and </w:t>
      </w:r>
      <w:r w:rsidR="43B6F66E" w:rsidRPr="00013BDC">
        <w:rPr>
          <w:rFonts w:eastAsiaTheme="minorEastAsia"/>
          <w:noProof/>
          <w:lang w:val="en-IE"/>
        </w:rPr>
        <w:t>recycling</w:t>
      </w:r>
      <w:r w:rsidR="1E696739" w:rsidRPr="00013BDC">
        <w:rPr>
          <w:rFonts w:eastAsiaTheme="minorEastAsia"/>
          <w:noProof/>
          <w:lang w:val="en-IE"/>
        </w:rPr>
        <w:t xml:space="preserve"> and reuse of</w:t>
      </w:r>
      <w:r w:rsidRPr="00013BDC">
        <w:rPr>
          <w:rFonts w:eastAsiaTheme="minorEastAsia"/>
          <w:noProof/>
          <w:lang w:val="en-IE"/>
        </w:rPr>
        <w:t xml:space="preserve"> textiles is also covered by </w:t>
      </w:r>
      <w:r w:rsidRPr="00013BDC">
        <w:rPr>
          <w:rFonts w:eastAsiaTheme="minorEastAsia"/>
          <w:b/>
          <w:noProof/>
          <w:lang w:val="en-IE"/>
        </w:rPr>
        <w:t>the Recovery and Resilience Facility</w:t>
      </w:r>
      <w:r w:rsidRPr="00013BDC">
        <w:rPr>
          <w:rFonts w:eastAsiaTheme="minorEastAsia"/>
          <w:noProof/>
          <w:lang w:val="en-IE"/>
        </w:rPr>
        <w:t xml:space="preserve"> regulation.</w:t>
      </w:r>
      <w:r w:rsidR="50372D9A" w:rsidRPr="00013BDC">
        <w:rPr>
          <w:rFonts w:eastAsiaTheme="minorEastAsia"/>
          <w:noProof/>
          <w:lang w:val="en-IE"/>
        </w:rPr>
        <w:t xml:space="preserve"> Four countries (Denmark, Italy, Portugal and Hungary) have identified projects for inve</w:t>
      </w:r>
      <w:r w:rsidR="06C631FE" w:rsidRPr="00013BDC">
        <w:rPr>
          <w:rFonts w:eastAsiaTheme="minorEastAsia"/>
          <w:noProof/>
          <w:lang w:val="en-IE"/>
        </w:rPr>
        <w:t>s</w:t>
      </w:r>
      <w:r w:rsidR="50372D9A" w:rsidRPr="00013BDC">
        <w:rPr>
          <w:rFonts w:eastAsiaTheme="minorEastAsia"/>
          <w:noProof/>
          <w:lang w:val="en-IE"/>
        </w:rPr>
        <w:t>ting in th</w:t>
      </w:r>
      <w:r w:rsidR="017578FC" w:rsidRPr="00013BDC">
        <w:rPr>
          <w:rFonts w:eastAsiaTheme="minorEastAsia"/>
          <w:noProof/>
          <w:lang w:val="en-IE"/>
        </w:rPr>
        <w:t>e</w:t>
      </w:r>
      <w:r w:rsidR="50372D9A" w:rsidRPr="00013BDC">
        <w:rPr>
          <w:rFonts w:eastAsiaTheme="minorEastAsia"/>
          <w:noProof/>
          <w:lang w:val="en-IE"/>
        </w:rPr>
        <w:t xml:space="preserve"> development of separate collection</w:t>
      </w:r>
      <w:r w:rsidR="05615A02" w:rsidRPr="00013BDC">
        <w:rPr>
          <w:rFonts w:eastAsiaTheme="minorEastAsia"/>
          <w:noProof/>
          <w:lang w:val="en-IE"/>
        </w:rPr>
        <w:t xml:space="preserve"> network as well as</w:t>
      </w:r>
      <w:r w:rsidR="4D1CF286" w:rsidRPr="00013BDC">
        <w:rPr>
          <w:rFonts w:eastAsiaTheme="minorEastAsia"/>
          <w:noProof/>
          <w:lang w:val="en-IE"/>
        </w:rPr>
        <w:t xml:space="preserve"> in research to develop sustainable solutions for resource productivity, waste reduction and use of reu</w:t>
      </w:r>
      <w:r w:rsidR="003069D6" w:rsidRPr="00013BDC">
        <w:rPr>
          <w:rFonts w:eastAsiaTheme="minorEastAsia"/>
          <w:noProof/>
          <w:lang w:val="en-IE"/>
        </w:rPr>
        <w:t>s</w:t>
      </w:r>
      <w:r w:rsidR="4D1CF286" w:rsidRPr="00013BDC">
        <w:rPr>
          <w:rFonts w:eastAsiaTheme="minorEastAsia"/>
          <w:noProof/>
          <w:lang w:val="en-IE"/>
        </w:rPr>
        <w:t>able materials in the textile value chain.</w:t>
      </w:r>
      <w:r w:rsidR="05615A02" w:rsidRPr="00013BDC">
        <w:rPr>
          <w:rFonts w:eastAsiaTheme="minorEastAsia"/>
          <w:noProof/>
          <w:lang w:val="en-IE"/>
        </w:rPr>
        <w:t xml:space="preserve"> </w:t>
      </w:r>
    </w:p>
    <w:p w14:paraId="41B57173" w14:textId="77777777" w:rsidR="001A65F5" w:rsidRPr="00013BDC" w:rsidRDefault="001A65F5" w:rsidP="00CF0DFB">
      <w:pPr>
        <w:pStyle w:val="ListParagraph"/>
        <w:numPr>
          <w:ilvl w:val="0"/>
          <w:numId w:val="124"/>
        </w:numPr>
        <w:rPr>
          <w:rFonts w:eastAsiaTheme="minorEastAsia"/>
          <w:noProof/>
          <w:lang w:val="en-IE"/>
        </w:rPr>
      </w:pPr>
      <w:r w:rsidRPr="00013BDC">
        <w:rPr>
          <w:rFonts w:eastAsiaTheme="minorEastAsia"/>
          <w:noProof/>
          <w:lang w:val="en-IE"/>
        </w:rPr>
        <w:t xml:space="preserve">Financing facilities such as </w:t>
      </w:r>
      <w:r w:rsidRPr="00013BDC">
        <w:rPr>
          <w:rFonts w:eastAsiaTheme="minorEastAsia"/>
          <w:b/>
          <w:noProof/>
          <w:lang w:val="en-IE"/>
        </w:rPr>
        <w:t>the European Fund for Strategic Investments and Innovfin</w:t>
      </w:r>
      <w:r w:rsidRPr="00013BDC">
        <w:rPr>
          <w:rFonts w:eastAsiaTheme="minorEastAsia"/>
          <w:noProof/>
          <w:lang w:val="en-IE"/>
        </w:rPr>
        <w:t xml:space="preserve"> granted 2.1 billion euro towards the transition to circular economy.</w:t>
      </w:r>
    </w:p>
    <w:p w14:paraId="197701B8" w14:textId="2D8528F5" w:rsidR="002D535A" w:rsidRPr="00013BDC" w:rsidRDefault="003336E3" w:rsidP="37873745">
      <w:pPr>
        <w:spacing w:after="120"/>
        <w:rPr>
          <w:rFonts w:eastAsia="Calibri"/>
          <w:noProof/>
          <w:lang w:val="en-IE"/>
        </w:rPr>
      </w:pPr>
      <w:r w:rsidRPr="00013BDC">
        <w:rPr>
          <w:rFonts w:eastAsia="Calibri"/>
          <w:noProof/>
          <w:lang w:val="en-IE"/>
        </w:rPr>
        <w:t>More specifically,</w:t>
      </w:r>
      <w:r w:rsidR="007571B8" w:rsidRPr="00013BDC">
        <w:rPr>
          <w:rFonts w:eastAsia="Calibri"/>
          <w:noProof/>
          <w:lang w:val="en-IE"/>
        </w:rPr>
        <w:t xml:space="preserve"> the</w:t>
      </w:r>
      <w:r w:rsidRPr="00013BDC">
        <w:rPr>
          <w:rFonts w:eastAsia="Calibri"/>
          <w:noProof/>
          <w:lang w:val="en-IE"/>
        </w:rPr>
        <w:t xml:space="preserve"> LIFE programme financed the following three (3) projects with regard to textile waste:</w:t>
      </w:r>
    </w:p>
    <w:p w14:paraId="281EE76B" w14:textId="47DF1B5F" w:rsidR="003336E3" w:rsidRPr="00013BDC" w:rsidRDefault="00393BF7" w:rsidP="00CF0DFB">
      <w:pPr>
        <w:pStyle w:val="ListParagraph"/>
        <w:numPr>
          <w:ilvl w:val="0"/>
          <w:numId w:val="124"/>
        </w:numPr>
        <w:spacing w:after="120"/>
        <w:rPr>
          <w:rFonts w:eastAsiaTheme="minorEastAsia"/>
          <w:noProof/>
          <w:lang w:val="en-IE"/>
        </w:rPr>
      </w:pPr>
      <w:hyperlink r:id="rId121">
        <w:r w:rsidR="66A8A12B" w:rsidRPr="00013BDC">
          <w:rPr>
            <w:rFonts w:eastAsiaTheme="minorEastAsia"/>
            <w:noProof/>
            <w:lang w:val="en-IE"/>
          </w:rPr>
          <w:t>Project</w:t>
        </w:r>
      </w:hyperlink>
      <w:r w:rsidR="003336E3" w:rsidRPr="00013BDC">
        <w:rPr>
          <w:rFonts w:eastAsiaTheme="minorEastAsia"/>
          <w:noProof/>
          <w:lang w:val="en-IE"/>
        </w:rPr>
        <w:t xml:space="preserve"> LIFE ECOTEX</w:t>
      </w:r>
      <w:r w:rsidR="003563F6" w:rsidRPr="00013BDC">
        <w:rPr>
          <w:rFonts w:eastAsiaTheme="minorEastAsia"/>
          <w:noProof/>
          <w:lang w:val="en-IE"/>
        </w:rPr>
        <w:t xml:space="preserve"> (LIFE20 ENV/FR/000596)</w:t>
      </w:r>
      <w:r w:rsidR="004140F5" w:rsidRPr="00013BDC">
        <w:rPr>
          <w:rStyle w:val="FootnoteReference"/>
          <w:rFonts w:eastAsiaTheme="minorEastAsia"/>
          <w:noProof/>
          <w:lang w:val="en-IE"/>
        </w:rPr>
        <w:footnoteReference w:id="239"/>
      </w:r>
      <w:r w:rsidR="00467862" w:rsidRPr="00013BDC">
        <w:rPr>
          <w:rFonts w:eastAsiaTheme="minorEastAsia"/>
          <w:noProof/>
          <w:lang w:val="en-IE"/>
        </w:rPr>
        <w:t>, with reference to EU</w:t>
      </w:r>
      <w:r w:rsidR="003336E3" w:rsidRPr="00013BDC">
        <w:rPr>
          <w:rFonts w:eastAsiaTheme="minorEastAsia"/>
          <w:noProof/>
          <w:lang w:val="en-IE"/>
        </w:rPr>
        <w:t xml:space="preserve"> </w:t>
      </w:r>
      <w:r w:rsidR="00467862" w:rsidRPr="00013BDC">
        <w:rPr>
          <w:rFonts w:eastAsiaTheme="minorEastAsia"/>
          <w:noProof/>
          <w:lang w:val="en-IE"/>
        </w:rPr>
        <w:t xml:space="preserve">WFD, </w:t>
      </w:r>
      <w:r w:rsidR="003336E3" w:rsidRPr="00013BDC">
        <w:rPr>
          <w:rFonts w:eastAsiaTheme="minorEastAsia"/>
          <w:noProof/>
          <w:lang w:val="en-IE"/>
        </w:rPr>
        <w:t xml:space="preserve">concerning the </w:t>
      </w:r>
      <w:r w:rsidR="23E85F61" w:rsidRPr="00013BDC">
        <w:rPr>
          <w:rFonts w:eastAsiaTheme="minorEastAsia"/>
          <w:noProof/>
          <w:lang w:val="en-IE"/>
        </w:rPr>
        <w:t xml:space="preserve">recycling </w:t>
      </w:r>
      <w:r w:rsidR="003336E3" w:rsidRPr="00013BDC">
        <w:rPr>
          <w:rFonts w:eastAsiaTheme="minorEastAsia"/>
          <w:noProof/>
          <w:lang w:val="en-IE"/>
        </w:rPr>
        <w:t>of polyester of footwear waste into new textile products using glycolysis technology. The project took place in 2015 with a total budget of 1</w:t>
      </w:r>
      <w:r w:rsidR="00375F3C" w:rsidRPr="00013BDC">
        <w:rPr>
          <w:rFonts w:eastAsiaTheme="minorEastAsia"/>
          <w:noProof/>
          <w:lang w:val="en-IE"/>
        </w:rPr>
        <w:t xml:space="preserve"> </w:t>
      </w:r>
      <w:r w:rsidR="003336E3" w:rsidRPr="00013BDC">
        <w:rPr>
          <w:rFonts w:eastAsiaTheme="minorEastAsia"/>
          <w:noProof/>
          <w:lang w:val="en-IE"/>
        </w:rPr>
        <w:t>246</w:t>
      </w:r>
      <w:r w:rsidR="00375F3C" w:rsidRPr="00013BDC">
        <w:rPr>
          <w:rFonts w:eastAsiaTheme="minorEastAsia"/>
          <w:noProof/>
          <w:lang w:val="en-IE"/>
        </w:rPr>
        <w:t xml:space="preserve"> </w:t>
      </w:r>
      <w:r w:rsidR="003336E3" w:rsidRPr="00013BDC">
        <w:rPr>
          <w:rFonts w:eastAsiaTheme="minorEastAsia"/>
          <w:noProof/>
          <w:lang w:val="en-IE"/>
        </w:rPr>
        <w:t>048</w:t>
      </w:r>
      <w:r w:rsidR="00DC3DEC" w:rsidRPr="00013BDC">
        <w:rPr>
          <w:rFonts w:eastAsiaTheme="minorEastAsia"/>
          <w:noProof/>
          <w:lang w:val="en-IE"/>
        </w:rPr>
        <w:t xml:space="preserve"> euro</w:t>
      </w:r>
      <w:r w:rsidR="003336E3" w:rsidRPr="00013BDC">
        <w:rPr>
          <w:rFonts w:eastAsiaTheme="minorEastAsia"/>
          <w:noProof/>
          <w:lang w:val="en-IE"/>
        </w:rPr>
        <w:t>, the EU contribution to it being 735</w:t>
      </w:r>
      <w:r w:rsidR="00375F3C" w:rsidRPr="00013BDC">
        <w:rPr>
          <w:rFonts w:eastAsiaTheme="minorEastAsia"/>
          <w:noProof/>
          <w:lang w:val="en-IE"/>
        </w:rPr>
        <w:t xml:space="preserve"> </w:t>
      </w:r>
      <w:r w:rsidR="003336E3" w:rsidRPr="00013BDC">
        <w:rPr>
          <w:rFonts w:eastAsiaTheme="minorEastAsia"/>
          <w:noProof/>
          <w:lang w:val="en-IE"/>
        </w:rPr>
        <w:t>827</w:t>
      </w:r>
      <w:r w:rsidR="00DC3DEC" w:rsidRPr="00013BDC">
        <w:rPr>
          <w:rFonts w:eastAsiaTheme="minorEastAsia"/>
          <w:noProof/>
          <w:lang w:val="en-IE"/>
        </w:rPr>
        <w:t xml:space="preserve"> euro</w:t>
      </w:r>
      <w:r w:rsidR="003336E3" w:rsidRPr="00013BDC">
        <w:rPr>
          <w:rFonts w:eastAsiaTheme="minorEastAsia"/>
          <w:noProof/>
          <w:lang w:val="en-IE"/>
        </w:rPr>
        <w:t xml:space="preserve">. </w:t>
      </w:r>
    </w:p>
    <w:p w14:paraId="1CD14104" w14:textId="287B88D0" w:rsidR="003336E3" w:rsidRPr="00013BDC" w:rsidRDefault="00393BF7" w:rsidP="00CF0DFB">
      <w:pPr>
        <w:pStyle w:val="ListParagraph"/>
        <w:numPr>
          <w:ilvl w:val="0"/>
          <w:numId w:val="124"/>
        </w:numPr>
        <w:spacing w:after="120"/>
        <w:rPr>
          <w:rFonts w:eastAsiaTheme="minorEastAsia"/>
          <w:noProof/>
          <w:lang w:val="en-IE"/>
        </w:rPr>
      </w:pPr>
      <w:hyperlink r:id="rId122">
        <w:r w:rsidR="00467862" w:rsidRPr="00013BDC">
          <w:rPr>
            <w:rFonts w:eastAsiaTheme="minorEastAsia"/>
            <w:noProof/>
            <w:lang w:val="en-IE"/>
          </w:rPr>
          <w:t>Project LIFE CYCLE OF PET</w:t>
        </w:r>
        <w:r w:rsidR="00CB400E" w:rsidRPr="00013BDC">
          <w:rPr>
            <w:rFonts w:eastAsiaTheme="minorEastAsia"/>
            <w:noProof/>
            <w:lang w:val="en-IE"/>
          </w:rPr>
          <w:t xml:space="preserve"> (LIFE20 ENV/FR/000596)</w:t>
        </w:r>
        <w:r w:rsidR="004459DD" w:rsidRPr="00013BDC">
          <w:rPr>
            <w:rStyle w:val="FootnoteReference"/>
            <w:rFonts w:eastAsiaTheme="minorEastAsia"/>
            <w:noProof/>
            <w:lang w:val="en-IE"/>
          </w:rPr>
          <w:footnoteReference w:id="240"/>
        </w:r>
        <w:r w:rsidR="00467862" w:rsidRPr="00013BDC">
          <w:rPr>
            <w:rFonts w:eastAsiaTheme="minorEastAsia"/>
            <w:noProof/>
            <w:lang w:val="en-IE"/>
          </w:rPr>
          <w:t>,</w:t>
        </w:r>
      </w:hyperlink>
      <w:r w:rsidR="00467862" w:rsidRPr="00013BDC">
        <w:rPr>
          <w:rFonts w:eastAsiaTheme="minorEastAsia"/>
          <w:noProof/>
          <w:lang w:val="en-IE"/>
        </w:rPr>
        <w:t xml:space="preserve"> with reference to EU PPWD, regarding the way towards</w:t>
      </w:r>
      <w:r w:rsidR="003336E3" w:rsidRPr="00013BDC">
        <w:rPr>
          <w:rFonts w:eastAsiaTheme="minorEastAsia"/>
          <w:noProof/>
          <w:lang w:val="en-IE"/>
        </w:rPr>
        <w:t xml:space="preserve"> a true circular economy of PET plastics and textiles thanks to enzymatic recycling of waste</w:t>
      </w:r>
      <w:r w:rsidR="00467862" w:rsidRPr="00013BDC">
        <w:rPr>
          <w:rFonts w:eastAsiaTheme="minorEastAsia"/>
          <w:noProof/>
          <w:lang w:val="en-IE"/>
        </w:rPr>
        <w:t>. The project was l</w:t>
      </w:r>
      <w:r w:rsidR="593C624A" w:rsidRPr="00013BDC">
        <w:rPr>
          <w:rFonts w:eastAsiaTheme="minorEastAsia"/>
          <w:noProof/>
          <w:lang w:val="en-IE"/>
        </w:rPr>
        <w:t>a</w:t>
      </w:r>
      <w:r w:rsidR="00467862" w:rsidRPr="00013BDC">
        <w:rPr>
          <w:rFonts w:eastAsiaTheme="minorEastAsia"/>
          <w:noProof/>
          <w:lang w:val="en-IE"/>
        </w:rPr>
        <w:t xml:space="preserve">unched in </w:t>
      </w:r>
      <w:r w:rsidR="003336E3" w:rsidRPr="00013BDC">
        <w:rPr>
          <w:rFonts w:eastAsiaTheme="minorEastAsia"/>
          <w:noProof/>
          <w:lang w:val="en-IE"/>
        </w:rPr>
        <w:t>2020</w:t>
      </w:r>
      <w:r w:rsidR="00467862" w:rsidRPr="00013BDC">
        <w:rPr>
          <w:rFonts w:eastAsiaTheme="minorEastAsia"/>
          <w:noProof/>
          <w:lang w:val="en-IE"/>
        </w:rPr>
        <w:t xml:space="preserve">, with a total budget of </w:t>
      </w:r>
      <w:r w:rsidR="003336E3" w:rsidRPr="00013BDC">
        <w:rPr>
          <w:rFonts w:eastAsiaTheme="minorEastAsia"/>
          <w:noProof/>
          <w:lang w:val="en-IE"/>
        </w:rPr>
        <w:t>10</w:t>
      </w:r>
      <w:r w:rsidR="00375F3C" w:rsidRPr="00013BDC">
        <w:rPr>
          <w:rFonts w:eastAsiaTheme="minorEastAsia"/>
          <w:noProof/>
          <w:lang w:val="en-IE"/>
        </w:rPr>
        <w:t xml:space="preserve"> </w:t>
      </w:r>
      <w:r w:rsidR="003336E3" w:rsidRPr="00013BDC">
        <w:rPr>
          <w:rFonts w:eastAsiaTheme="minorEastAsia"/>
          <w:noProof/>
          <w:lang w:val="en-IE"/>
        </w:rPr>
        <w:t>316</w:t>
      </w:r>
      <w:r w:rsidR="00375F3C" w:rsidRPr="00013BDC">
        <w:rPr>
          <w:rFonts w:eastAsiaTheme="minorEastAsia"/>
          <w:noProof/>
          <w:lang w:val="en-IE"/>
        </w:rPr>
        <w:t xml:space="preserve"> </w:t>
      </w:r>
      <w:r w:rsidR="003336E3" w:rsidRPr="00013BDC">
        <w:rPr>
          <w:rFonts w:eastAsiaTheme="minorEastAsia"/>
          <w:noProof/>
          <w:lang w:val="en-IE"/>
        </w:rPr>
        <w:t>239</w:t>
      </w:r>
      <w:r w:rsidR="00DC3DEC" w:rsidRPr="00013BDC">
        <w:rPr>
          <w:rFonts w:eastAsiaTheme="minorEastAsia"/>
          <w:noProof/>
          <w:lang w:val="en-IE"/>
        </w:rPr>
        <w:t xml:space="preserve"> euro</w:t>
      </w:r>
      <w:r w:rsidR="00467862" w:rsidRPr="00013BDC">
        <w:rPr>
          <w:rFonts w:eastAsiaTheme="minorEastAsia"/>
          <w:noProof/>
          <w:lang w:val="en-IE"/>
        </w:rPr>
        <w:t xml:space="preserve">, the </w:t>
      </w:r>
      <w:r w:rsidR="003336E3" w:rsidRPr="00013BDC">
        <w:rPr>
          <w:rFonts w:eastAsiaTheme="minorEastAsia"/>
          <w:noProof/>
          <w:lang w:val="en-IE"/>
        </w:rPr>
        <w:t>EU cont</w:t>
      </w:r>
      <w:r w:rsidR="00467862" w:rsidRPr="00013BDC">
        <w:rPr>
          <w:rFonts w:eastAsiaTheme="minorEastAsia"/>
          <w:noProof/>
          <w:lang w:val="en-IE"/>
        </w:rPr>
        <w:t>ribution to it being</w:t>
      </w:r>
      <w:r w:rsidR="003336E3" w:rsidRPr="00013BDC">
        <w:rPr>
          <w:rFonts w:eastAsiaTheme="minorEastAsia"/>
          <w:noProof/>
          <w:lang w:val="en-IE"/>
        </w:rPr>
        <w:t xml:space="preserve"> 3</w:t>
      </w:r>
      <w:r w:rsidR="002261AC" w:rsidRPr="00013BDC">
        <w:rPr>
          <w:rFonts w:eastAsiaTheme="minorEastAsia"/>
          <w:noProof/>
          <w:lang w:val="en-IE"/>
        </w:rPr>
        <w:t xml:space="preserve"> </w:t>
      </w:r>
      <w:r w:rsidR="003336E3" w:rsidRPr="00013BDC">
        <w:rPr>
          <w:rFonts w:eastAsiaTheme="minorEastAsia"/>
          <w:noProof/>
          <w:lang w:val="en-IE"/>
        </w:rPr>
        <w:t>300</w:t>
      </w:r>
      <w:r w:rsidR="002261AC" w:rsidRPr="00013BDC">
        <w:rPr>
          <w:rFonts w:eastAsiaTheme="minorEastAsia"/>
          <w:noProof/>
          <w:lang w:val="en-IE"/>
        </w:rPr>
        <w:t xml:space="preserve"> </w:t>
      </w:r>
      <w:r w:rsidR="003336E3" w:rsidRPr="00013BDC">
        <w:rPr>
          <w:rFonts w:eastAsiaTheme="minorEastAsia"/>
          <w:noProof/>
          <w:lang w:val="en-IE"/>
        </w:rPr>
        <w:t>000</w:t>
      </w:r>
      <w:r w:rsidR="00DC3DEC" w:rsidRPr="00013BDC">
        <w:rPr>
          <w:rFonts w:eastAsiaTheme="minorEastAsia"/>
          <w:noProof/>
          <w:lang w:val="en-IE"/>
        </w:rPr>
        <w:t xml:space="preserve"> euro</w:t>
      </w:r>
      <w:r w:rsidR="00467862" w:rsidRPr="00013BDC">
        <w:rPr>
          <w:rFonts w:eastAsiaTheme="minorEastAsia"/>
          <w:noProof/>
          <w:lang w:val="en-IE"/>
        </w:rPr>
        <w:t>.</w:t>
      </w:r>
    </w:p>
    <w:p w14:paraId="629D106E" w14:textId="3A70438C" w:rsidR="003336E3" w:rsidRPr="00013BDC" w:rsidRDefault="00393BF7" w:rsidP="00CF0DFB">
      <w:pPr>
        <w:pStyle w:val="ListParagraph"/>
        <w:numPr>
          <w:ilvl w:val="0"/>
          <w:numId w:val="124"/>
        </w:numPr>
        <w:spacing w:after="120"/>
        <w:rPr>
          <w:rFonts w:eastAsiaTheme="minorEastAsia"/>
          <w:noProof/>
          <w:lang w:val="en-IE"/>
        </w:rPr>
      </w:pPr>
      <w:hyperlink r:id="rId123">
        <w:r w:rsidR="00467862" w:rsidRPr="00013BDC">
          <w:rPr>
            <w:rFonts w:eastAsiaTheme="minorEastAsia"/>
            <w:noProof/>
            <w:lang w:val="en-IE"/>
          </w:rPr>
          <w:t>Project LIFE RE</w:t>
        </w:r>
        <w:r w:rsidR="003336E3" w:rsidRPr="00013BDC">
          <w:rPr>
            <w:rFonts w:eastAsiaTheme="minorEastAsia"/>
            <w:noProof/>
            <w:lang w:val="en-IE"/>
          </w:rPr>
          <w:t>:</w:t>
        </w:r>
      </w:hyperlink>
      <w:r w:rsidR="00467862" w:rsidRPr="00013BDC">
        <w:rPr>
          <w:rFonts w:eastAsiaTheme="minorEastAsia"/>
          <w:noProof/>
          <w:lang w:val="en-IE"/>
        </w:rPr>
        <w:t xml:space="preserve"> NEWTEXTILE</w:t>
      </w:r>
      <w:r w:rsidR="008064A0" w:rsidRPr="00013BDC">
        <w:rPr>
          <w:rFonts w:eastAsiaTheme="minorEastAsia"/>
          <w:noProof/>
          <w:lang w:val="en-IE"/>
        </w:rPr>
        <w:t xml:space="preserve"> (LIFE18 ENV/SE/000489)</w:t>
      </w:r>
      <w:r w:rsidR="008064A0" w:rsidRPr="00013BDC">
        <w:rPr>
          <w:rStyle w:val="FootnoteReference"/>
          <w:rFonts w:eastAsiaTheme="minorEastAsia"/>
          <w:noProof/>
          <w:lang w:val="en-IE"/>
        </w:rPr>
        <w:footnoteReference w:id="241"/>
      </w:r>
      <w:r w:rsidR="00467862" w:rsidRPr="00013BDC">
        <w:rPr>
          <w:rFonts w:eastAsiaTheme="minorEastAsia"/>
          <w:noProof/>
          <w:lang w:val="en-IE"/>
        </w:rPr>
        <w:t>, with reference to EU legislative text on Landfill of waste, concerning an innovative</w:t>
      </w:r>
      <w:r w:rsidR="003336E3" w:rsidRPr="00013BDC">
        <w:rPr>
          <w:rFonts w:eastAsiaTheme="minorEastAsia"/>
          <w:noProof/>
          <w:lang w:val="en-IE"/>
        </w:rPr>
        <w:t xml:space="preserve"> process for sustainable recycling and reuse of cellulosic textile waste</w:t>
      </w:r>
      <w:r w:rsidR="00467862" w:rsidRPr="00013BDC">
        <w:rPr>
          <w:rFonts w:eastAsiaTheme="minorEastAsia"/>
          <w:noProof/>
          <w:lang w:val="en-IE"/>
        </w:rPr>
        <w:t xml:space="preserve">. The project was held on </w:t>
      </w:r>
      <w:r w:rsidR="003336E3" w:rsidRPr="00013BDC">
        <w:rPr>
          <w:rFonts w:eastAsiaTheme="minorEastAsia"/>
          <w:noProof/>
          <w:lang w:val="en-IE"/>
        </w:rPr>
        <w:t>2018</w:t>
      </w:r>
      <w:r w:rsidR="00467862" w:rsidRPr="00013BDC">
        <w:rPr>
          <w:rFonts w:eastAsiaTheme="minorEastAsia"/>
          <w:noProof/>
          <w:lang w:val="en-IE"/>
        </w:rPr>
        <w:t>, with a total</w:t>
      </w:r>
      <w:r w:rsidR="003336E3" w:rsidRPr="00013BDC">
        <w:rPr>
          <w:rFonts w:eastAsiaTheme="minorEastAsia"/>
          <w:noProof/>
          <w:lang w:val="en-IE"/>
        </w:rPr>
        <w:t xml:space="preserve"> </w:t>
      </w:r>
      <w:r w:rsidR="00467862" w:rsidRPr="00013BDC">
        <w:rPr>
          <w:rFonts w:eastAsiaTheme="minorEastAsia"/>
          <w:noProof/>
          <w:lang w:val="en-IE"/>
        </w:rPr>
        <w:t>budget of</w:t>
      </w:r>
      <w:r w:rsidR="003336E3" w:rsidRPr="00013BDC">
        <w:rPr>
          <w:rFonts w:eastAsiaTheme="minorEastAsia"/>
          <w:noProof/>
          <w:lang w:val="en-IE"/>
        </w:rPr>
        <w:t xml:space="preserve"> 4</w:t>
      </w:r>
      <w:r w:rsidR="00375F3C" w:rsidRPr="00013BDC">
        <w:rPr>
          <w:rFonts w:eastAsiaTheme="minorEastAsia"/>
          <w:noProof/>
          <w:lang w:val="en-IE"/>
        </w:rPr>
        <w:t xml:space="preserve"> </w:t>
      </w:r>
      <w:r w:rsidR="003336E3" w:rsidRPr="00013BDC">
        <w:rPr>
          <w:rFonts w:eastAsiaTheme="minorEastAsia"/>
          <w:noProof/>
          <w:lang w:val="en-IE"/>
        </w:rPr>
        <w:t>242</w:t>
      </w:r>
      <w:r w:rsidR="00375F3C" w:rsidRPr="00013BDC">
        <w:rPr>
          <w:rFonts w:eastAsiaTheme="minorEastAsia"/>
          <w:noProof/>
          <w:lang w:val="en-IE"/>
        </w:rPr>
        <w:t xml:space="preserve"> </w:t>
      </w:r>
      <w:r w:rsidR="003336E3" w:rsidRPr="00013BDC">
        <w:rPr>
          <w:rFonts w:eastAsiaTheme="minorEastAsia"/>
          <w:noProof/>
          <w:lang w:val="en-IE"/>
        </w:rPr>
        <w:t>210</w:t>
      </w:r>
      <w:r w:rsidR="00DC3DEC" w:rsidRPr="00013BDC">
        <w:rPr>
          <w:rFonts w:eastAsiaTheme="minorEastAsia"/>
          <w:noProof/>
          <w:lang w:val="en-IE"/>
        </w:rPr>
        <w:t xml:space="preserve"> euro</w:t>
      </w:r>
      <w:r w:rsidR="00467862" w:rsidRPr="00013BDC">
        <w:rPr>
          <w:rFonts w:eastAsiaTheme="minorEastAsia"/>
          <w:noProof/>
          <w:lang w:val="en-IE"/>
        </w:rPr>
        <w:t>, the EU contribution to it being</w:t>
      </w:r>
      <w:r w:rsidR="003336E3" w:rsidRPr="00013BDC">
        <w:rPr>
          <w:rFonts w:eastAsiaTheme="minorEastAsia"/>
          <w:noProof/>
          <w:lang w:val="en-IE"/>
        </w:rPr>
        <w:t xml:space="preserve"> 1</w:t>
      </w:r>
      <w:r w:rsidR="00375F3C" w:rsidRPr="00013BDC">
        <w:rPr>
          <w:rFonts w:eastAsiaTheme="minorEastAsia"/>
          <w:noProof/>
          <w:lang w:val="en-IE"/>
        </w:rPr>
        <w:t xml:space="preserve"> </w:t>
      </w:r>
      <w:r w:rsidR="003336E3" w:rsidRPr="00013BDC">
        <w:rPr>
          <w:rFonts w:eastAsiaTheme="minorEastAsia"/>
          <w:noProof/>
          <w:lang w:val="en-IE"/>
        </w:rPr>
        <w:t>719</w:t>
      </w:r>
      <w:r w:rsidR="00375F3C" w:rsidRPr="00013BDC">
        <w:rPr>
          <w:rFonts w:eastAsiaTheme="minorEastAsia"/>
          <w:noProof/>
          <w:lang w:val="en-IE"/>
        </w:rPr>
        <w:t xml:space="preserve"> </w:t>
      </w:r>
      <w:r w:rsidR="003336E3" w:rsidRPr="00013BDC">
        <w:rPr>
          <w:rFonts w:eastAsiaTheme="minorEastAsia"/>
          <w:noProof/>
          <w:lang w:val="en-IE"/>
        </w:rPr>
        <w:t>943</w:t>
      </w:r>
      <w:r w:rsidR="00DC3DEC" w:rsidRPr="00013BDC">
        <w:rPr>
          <w:rFonts w:eastAsiaTheme="minorEastAsia"/>
          <w:noProof/>
          <w:lang w:val="en-IE"/>
        </w:rPr>
        <w:t xml:space="preserve"> euro</w:t>
      </w:r>
      <w:r w:rsidR="00467862" w:rsidRPr="00013BDC">
        <w:rPr>
          <w:rFonts w:eastAsiaTheme="minorEastAsia"/>
          <w:noProof/>
          <w:lang w:val="en-IE"/>
        </w:rPr>
        <w:t>.</w:t>
      </w:r>
    </w:p>
    <w:p w14:paraId="31510371" w14:textId="5F3272D7" w:rsidR="0053286C" w:rsidRPr="00013BDC" w:rsidRDefault="0053286C" w:rsidP="37873745">
      <w:pPr>
        <w:spacing w:before="240" w:after="120"/>
        <w:rPr>
          <w:noProof/>
          <w:sz w:val="22"/>
          <w:szCs w:val="22"/>
          <w:lang w:val="en-IE"/>
        </w:rPr>
      </w:pPr>
      <w:r w:rsidRPr="00013BDC">
        <w:rPr>
          <w:noProof/>
          <w:lang w:val="en-IE"/>
        </w:rPr>
        <w:t xml:space="preserve">As regards the </w:t>
      </w:r>
      <w:r w:rsidRPr="00013BDC">
        <w:rPr>
          <w:b/>
          <w:bCs/>
          <w:noProof/>
          <w:lang w:val="en-IE"/>
        </w:rPr>
        <w:t>Horizon Programme</w:t>
      </w:r>
      <w:r w:rsidRPr="00013BDC">
        <w:rPr>
          <w:noProof/>
          <w:lang w:val="en-IE"/>
        </w:rPr>
        <w:t xml:space="preserve">, a few projects have already been funded by Horizon 2020, while other projects </w:t>
      </w:r>
      <w:r w:rsidR="00F15BD5" w:rsidRPr="00013BDC">
        <w:rPr>
          <w:noProof/>
          <w:lang w:val="en-IE"/>
        </w:rPr>
        <w:t>will now be</w:t>
      </w:r>
      <w:r w:rsidRPr="00013BDC">
        <w:rPr>
          <w:noProof/>
          <w:lang w:val="en-IE"/>
        </w:rPr>
        <w:t xml:space="preserve"> funded under Horizon Europe </w:t>
      </w:r>
      <w:r w:rsidR="00BA0D6F" w:rsidRPr="00013BDC">
        <w:rPr>
          <w:noProof/>
          <w:lang w:val="en-IE"/>
        </w:rPr>
        <w:t>through</w:t>
      </w:r>
      <w:r w:rsidRPr="00013BDC">
        <w:rPr>
          <w:noProof/>
          <w:lang w:val="en-IE"/>
        </w:rPr>
        <w:t xml:space="preserve"> both the Work Programme 2021/2022 and Work Programme 2023/2024. </w:t>
      </w:r>
    </w:p>
    <w:p w14:paraId="0BFDC90A" w14:textId="5966B76F" w:rsidR="0053286C" w:rsidRPr="00013BDC" w:rsidRDefault="0053286C" w:rsidP="007571B8">
      <w:pPr>
        <w:spacing w:after="120"/>
        <w:rPr>
          <w:noProof/>
          <w:lang w:val="en-IE"/>
        </w:rPr>
      </w:pPr>
      <w:r w:rsidRPr="00013BDC">
        <w:rPr>
          <w:noProof/>
          <w:lang w:val="en-IE"/>
        </w:rPr>
        <w:t xml:space="preserve">On </w:t>
      </w:r>
      <w:r w:rsidRPr="00013BDC">
        <w:rPr>
          <w:b/>
          <w:bCs/>
          <w:noProof/>
          <w:lang w:val="en-IE"/>
        </w:rPr>
        <w:t>Horizon 2020</w:t>
      </w:r>
      <w:r w:rsidRPr="00013BDC">
        <w:rPr>
          <w:noProof/>
          <w:lang w:val="en-IE"/>
        </w:rPr>
        <w:t xml:space="preserve">, the following projects have already been funded by the EU. </w:t>
      </w:r>
    </w:p>
    <w:p w14:paraId="788C3C4B" w14:textId="122B83AA" w:rsidR="0053286C" w:rsidRPr="00013BDC" w:rsidRDefault="00830293" w:rsidP="00CF0DFB">
      <w:pPr>
        <w:numPr>
          <w:ilvl w:val="0"/>
          <w:numId w:val="34"/>
        </w:numPr>
        <w:spacing w:after="0"/>
        <w:contextualSpacing/>
        <w:rPr>
          <w:rFonts w:eastAsia="Times New Roman"/>
          <w:noProof/>
          <w:lang w:val="en-IE"/>
        </w:rPr>
      </w:pPr>
      <w:r w:rsidRPr="00013BDC">
        <w:rPr>
          <w:rFonts w:eastAsia="Times New Roman"/>
          <w:noProof/>
          <w:u w:val="single"/>
          <w:lang w:val="en-IE"/>
        </w:rPr>
        <w:t xml:space="preserve">Project </w:t>
      </w:r>
      <w:r w:rsidR="0053286C" w:rsidRPr="00013BDC">
        <w:rPr>
          <w:rFonts w:eastAsia="Times New Roman"/>
          <w:noProof/>
          <w:u w:val="single"/>
          <w:lang w:val="en-IE"/>
        </w:rPr>
        <w:t>RESYNTEX</w:t>
      </w:r>
      <w:r w:rsidR="000A0956" w:rsidRPr="00013BDC">
        <w:rPr>
          <w:rStyle w:val="FootnoteReference"/>
          <w:rFonts w:eastAsia="Times New Roman"/>
          <w:noProof/>
          <w:u w:val="single"/>
          <w:lang w:val="en-IE"/>
        </w:rPr>
        <w:footnoteReference w:id="242"/>
      </w:r>
      <w:r w:rsidRPr="00013BDC">
        <w:rPr>
          <w:rFonts w:eastAsia="Times New Roman"/>
          <w:noProof/>
          <w:lang w:val="en-IE"/>
        </w:rPr>
        <w:t xml:space="preserve"> (2014-2015)</w:t>
      </w:r>
      <w:r w:rsidR="0053286C" w:rsidRPr="00013BDC">
        <w:rPr>
          <w:rFonts w:eastAsia="Times New Roman"/>
          <w:noProof/>
          <w:lang w:val="en-IE"/>
        </w:rPr>
        <w:t xml:space="preserve"> </w:t>
      </w:r>
      <w:r w:rsidRPr="00013BDC">
        <w:rPr>
          <w:rFonts w:eastAsia="Times New Roman"/>
          <w:noProof/>
          <w:lang w:val="en-IE"/>
        </w:rPr>
        <w:t>relating to a</w:t>
      </w:r>
      <w:r w:rsidR="0053286C" w:rsidRPr="00013BDC">
        <w:rPr>
          <w:rFonts w:eastAsia="Times New Roman"/>
          <w:noProof/>
          <w:lang w:val="en-IE"/>
        </w:rPr>
        <w:t xml:space="preserve"> new circular economy concept: from textile waste towards chemical and textile industries feedstock</w:t>
      </w:r>
      <w:r w:rsidRPr="00013BDC">
        <w:rPr>
          <w:rFonts w:eastAsia="Times New Roman"/>
          <w:noProof/>
          <w:lang w:val="en-IE"/>
        </w:rPr>
        <w:t xml:space="preserve">. Its specific topic is: “WASTE-1-2014 </w:t>
      </w:r>
      <w:r w:rsidR="00CC3EC0" w:rsidRPr="00013BDC">
        <w:rPr>
          <w:rFonts w:eastAsia="Times New Roman"/>
          <w:noProof/>
          <w:lang w:val="en-IE"/>
        </w:rPr>
        <w:t>–</w:t>
      </w:r>
      <w:r w:rsidRPr="00013BDC">
        <w:rPr>
          <w:rFonts w:eastAsia="Times New Roman"/>
          <w:noProof/>
          <w:lang w:val="en-IE"/>
        </w:rPr>
        <w:t xml:space="preserve"> Moving towards a circular economy through industrial symbiosis” and its total budget</w:t>
      </w:r>
      <w:r w:rsidR="0053286C" w:rsidRPr="00013BDC">
        <w:rPr>
          <w:rFonts w:eastAsia="Times New Roman"/>
          <w:noProof/>
          <w:lang w:val="en-IE"/>
        </w:rPr>
        <w:t xml:space="preserve"> 11 478 761</w:t>
      </w:r>
      <w:r w:rsidR="00375F3C" w:rsidRPr="00013BDC">
        <w:rPr>
          <w:rFonts w:eastAsia="Times New Roman"/>
          <w:noProof/>
          <w:lang w:val="en-IE"/>
        </w:rPr>
        <w:t>.</w:t>
      </w:r>
      <w:r w:rsidR="0053286C" w:rsidRPr="00013BDC">
        <w:rPr>
          <w:rFonts w:eastAsia="Times New Roman"/>
          <w:noProof/>
          <w:lang w:val="en-IE"/>
        </w:rPr>
        <w:t xml:space="preserve">97 </w:t>
      </w:r>
      <w:r w:rsidR="00DC3DEC" w:rsidRPr="00013BDC">
        <w:rPr>
          <w:rFonts w:eastAsia="Times New Roman"/>
          <w:noProof/>
          <w:lang w:val="en-IE"/>
        </w:rPr>
        <w:t>euro</w:t>
      </w:r>
      <w:r w:rsidRPr="00013BDC">
        <w:rPr>
          <w:rFonts w:eastAsia="Times New Roman"/>
          <w:noProof/>
          <w:lang w:val="en-IE"/>
        </w:rPr>
        <w:t xml:space="preserve"> the </w:t>
      </w:r>
      <w:r w:rsidR="0053286C" w:rsidRPr="00013BDC">
        <w:rPr>
          <w:rFonts w:eastAsia="Times New Roman"/>
          <w:noProof/>
          <w:lang w:val="en-IE"/>
        </w:rPr>
        <w:t>EU contrib</w:t>
      </w:r>
      <w:r w:rsidRPr="00013BDC">
        <w:rPr>
          <w:rFonts w:eastAsia="Times New Roman"/>
          <w:noProof/>
          <w:lang w:val="en-IE"/>
        </w:rPr>
        <w:t>ution to it being</w:t>
      </w:r>
      <w:r w:rsidR="0053286C" w:rsidRPr="00013BDC">
        <w:rPr>
          <w:rFonts w:eastAsia="Times New Roman"/>
          <w:noProof/>
          <w:lang w:val="en-IE"/>
        </w:rPr>
        <w:t xml:space="preserve"> 8 787 749</w:t>
      </w:r>
      <w:r w:rsidR="00375F3C" w:rsidRPr="00013BDC">
        <w:rPr>
          <w:rFonts w:eastAsia="Times New Roman"/>
          <w:noProof/>
          <w:lang w:val="en-IE"/>
        </w:rPr>
        <w:t>.</w:t>
      </w:r>
      <w:r w:rsidR="0053286C" w:rsidRPr="00013BDC">
        <w:rPr>
          <w:rFonts w:eastAsia="Times New Roman"/>
          <w:noProof/>
          <w:lang w:val="en-IE"/>
        </w:rPr>
        <w:t>25 €</w:t>
      </w:r>
      <w:r w:rsidRPr="00013BDC">
        <w:rPr>
          <w:rFonts w:eastAsia="Times New Roman"/>
          <w:noProof/>
          <w:lang w:val="en-IE"/>
        </w:rPr>
        <w:t>.</w:t>
      </w:r>
    </w:p>
    <w:p w14:paraId="0779945F" w14:textId="476FABED" w:rsidR="0053286C" w:rsidRPr="00013BDC" w:rsidRDefault="00830293" w:rsidP="00CF0DFB">
      <w:pPr>
        <w:numPr>
          <w:ilvl w:val="0"/>
          <w:numId w:val="34"/>
        </w:numPr>
        <w:spacing w:after="0"/>
        <w:contextualSpacing/>
        <w:rPr>
          <w:rFonts w:eastAsia="Times New Roman"/>
          <w:noProof/>
          <w:lang w:val="en-IE"/>
        </w:rPr>
      </w:pPr>
      <w:r w:rsidRPr="00013BDC">
        <w:rPr>
          <w:rFonts w:eastAsia="Times New Roman"/>
          <w:noProof/>
          <w:u w:val="single"/>
          <w:lang w:val="en-IE"/>
        </w:rPr>
        <w:t>Project</w:t>
      </w:r>
      <w:r w:rsidR="0053286C" w:rsidRPr="00013BDC">
        <w:rPr>
          <w:rFonts w:eastAsia="Times New Roman"/>
          <w:noProof/>
          <w:u w:val="single"/>
          <w:lang w:val="en-IE"/>
        </w:rPr>
        <w:t xml:space="preserve"> Trash-2-Cash</w:t>
      </w:r>
      <w:r w:rsidR="00F87F78" w:rsidRPr="00013BDC">
        <w:rPr>
          <w:rStyle w:val="FootnoteReference"/>
          <w:rFonts w:eastAsia="Times New Roman"/>
          <w:noProof/>
          <w:u w:val="single"/>
          <w:lang w:val="en-IE"/>
        </w:rPr>
        <w:footnoteReference w:id="243"/>
      </w:r>
      <w:r w:rsidRPr="00013BDC">
        <w:rPr>
          <w:rFonts w:eastAsia="Times New Roman"/>
          <w:noProof/>
          <w:lang w:val="en-IE"/>
        </w:rPr>
        <w:t xml:space="preserve"> (2014-2015) concerning</w:t>
      </w:r>
      <w:r w:rsidR="0053286C" w:rsidRPr="00013BDC">
        <w:rPr>
          <w:rFonts w:eastAsia="Times New Roman"/>
          <w:noProof/>
          <w:lang w:val="en-IE"/>
        </w:rPr>
        <w:t xml:space="preserve"> </w:t>
      </w:r>
      <w:r w:rsidRPr="00013BDC">
        <w:rPr>
          <w:rFonts w:eastAsia="Times New Roman"/>
          <w:noProof/>
          <w:lang w:val="en-IE"/>
        </w:rPr>
        <w:t>the designed</w:t>
      </w:r>
      <w:r w:rsidR="0053286C" w:rsidRPr="00013BDC">
        <w:rPr>
          <w:rFonts w:eastAsia="Times New Roman"/>
          <w:noProof/>
          <w:lang w:val="en-IE"/>
        </w:rPr>
        <w:t xml:space="preserve"> high-value products from zero-value waste textiles and fibres via design driven technologies</w:t>
      </w:r>
      <w:r w:rsidRPr="00013BDC">
        <w:rPr>
          <w:rFonts w:eastAsia="Times New Roman"/>
          <w:noProof/>
          <w:lang w:val="en-IE"/>
        </w:rPr>
        <w:t>. Its specific topic is:</w:t>
      </w:r>
      <w:r w:rsidR="0053286C" w:rsidRPr="00013BDC">
        <w:rPr>
          <w:rFonts w:eastAsia="Times New Roman"/>
          <w:noProof/>
          <w:lang w:val="en-IE"/>
        </w:rPr>
        <w:t xml:space="preserve"> </w:t>
      </w:r>
      <w:r w:rsidRPr="00013BDC">
        <w:rPr>
          <w:rFonts w:eastAsia="Times New Roman"/>
          <w:noProof/>
          <w:lang w:val="en-IE"/>
        </w:rPr>
        <w:t>“</w:t>
      </w:r>
      <w:r w:rsidR="0053286C" w:rsidRPr="00013BDC">
        <w:rPr>
          <w:rFonts w:eastAsia="Times New Roman"/>
          <w:noProof/>
          <w:lang w:val="en-IE"/>
        </w:rPr>
        <w:t xml:space="preserve">NMP-18-2014 </w:t>
      </w:r>
      <w:r w:rsidR="00CC3EC0" w:rsidRPr="00013BDC">
        <w:rPr>
          <w:rFonts w:eastAsia="Times New Roman"/>
          <w:noProof/>
          <w:lang w:val="en-IE"/>
        </w:rPr>
        <w:t>–</w:t>
      </w:r>
      <w:r w:rsidR="0053286C" w:rsidRPr="00013BDC">
        <w:rPr>
          <w:rFonts w:eastAsia="Times New Roman"/>
          <w:noProof/>
          <w:lang w:val="en-IE"/>
        </w:rPr>
        <w:t xml:space="preserve"> Materials solutions for use in the creative industry sector</w:t>
      </w:r>
      <w:r w:rsidRPr="00013BDC">
        <w:rPr>
          <w:rFonts w:eastAsia="Times New Roman"/>
          <w:noProof/>
          <w:lang w:val="en-IE"/>
        </w:rPr>
        <w:t xml:space="preserve">”, while its total budget is </w:t>
      </w:r>
      <w:r w:rsidR="0053286C" w:rsidRPr="00013BDC">
        <w:rPr>
          <w:rFonts w:eastAsia="Times New Roman"/>
          <w:noProof/>
          <w:lang w:val="en-IE"/>
        </w:rPr>
        <w:t>8 890 559</w:t>
      </w:r>
      <w:r w:rsidR="00375F3C" w:rsidRPr="00013BDC">
        <w:rPr>
          <w:rFonts w:eastAsia="Times New Roman"/>
          <w:noProof/>
          <w:lang w:val="en-IE"/>
        </w:rPr>
        <w:t>.</w:t>
      </w:r>
      <w:r w:rsidR="0053286C" w:rsidRPr="00013BDC">
        <w:rPr>
          <w:rFonts w:eastAsia="Times New Roman"/>
          <w:noProof/>
          <w:lang w:val="en-IE"/>
        </w:rPr>
        <w:t xml:space="preserve">80 </w:t>
      </w:r>
      <w:r w:rsidR="00DC3DEC" w:rsidRPr="00013BDC">
        <w:rPr>
          <w:rFonts w:eastAsia="Times New Roman"/>
          <w:noProof/>
          <w:lang w:val="en-IE"/>
        </w:rPr>
        <w:t>euro</w:t>
      </w:r>
      <w:r w:rsidRPr="00013BDC">
        <w:rPr>
          <w:rFonts w:eastAsia="Times New Roman"/>
          <w:noProof/>
          <w:lang w:val="en-IE"/>
        </w:rPr>
        <w:t xml:space="preserve"> the </w:t>
      </w:r>
      <w:r w:rsidR="0053286C" w:rsidRPr="00013BDC">
        <w:rPr>
          <w:rFonts w:eastAsia="Times New Roman"/>
          <w:noProof/>
          <w:lang w:val="en-IE"/>
        </w:rPr>
        <w:t>EU con</w:t>
      </w:r>
      <w:r w:rsidRPr="00013BDC">
        <w:rPr>
          <w:rFonts w:eastAsia="Times New Roman"/>
          <w:noProof/>
          <w:lang w:val="en-IE"/>
        </w:rPr>
        <w:t>tribution to it being</w:t>
      </w:r>
      <w:r w:rsidR="0053286C" w:rsidRPr="00013BDC">
        <w:rPr>
          <w:rFonts w:eastAsia="Times New Roman"/>
          <w:noProof/>
          <w:lang w:val="en-IE"/>
        </w:rPr>
        <w:t xml:space="preserve"> 7 933 461</w:t>
      </w:r>
      <w:r w:rsidR="00375F3C" w:rsidRPr="00013BDC">
        <w:rPr>
          <w:rFonts w:eastAsia="Times New Roman"/>
          <w:noProof/>
          <w:lang w:val="en-IE"/>
        </w:rPr>
        <w:t xml:space="preserve"> euro.</w:t>
      </w:r>
    </w:p>
    <w:p w14:paraId="29446860" w14:textId="061CA9BD" w:rsidR="0053286C" w:rsidRPr="00013BDC" w:rsidRDefault="00A83075" w:rsidP="00CF0DFB">
      <w:pPr>
        <w:numPr>
          <w:ilvl w:val="0"/>
          <w:numId w:val="34"/>
        </w:numPr>
        <w:spacing w:after="0"/>
        <w:contextualSpacing/>
        <w:rPr>
          <w:rFonts w:eastAsia="Times New Roman"/>
          <w:noProof/>
          <w:u w:val="single"/>
          <w:lang w:val="en-IE"/>
        </w:rPr>
      </w:pPr>
      <w:r w:rsidRPr="00013BDC">
        <w:rPr>
          <w:rFonts w:eastAsia="Times New Roman"/>
          <w:noProof/>
          <w:u w:val="single"/>
          <w:lang w:val="en-IE"/>
        </w:rPr>
        <w:t>Project</w:t>
      </w:r>
      <w:r w:rsidR="0053286C" w:rsidRPr="00013BDC">
        <w:rPr>
          <w:rFonts w:eastAsia="Times New Roman"/>
          <w:noProof/>
          <w:u w:val="single"/>
          <w:lang w:val="en-IE"/>
        </w:rPr>
        <w:t xml:space="preserve"> </w:t>
      </w:r>
      <w:r w:rsidR="00BA0D6F" w:rsidRPr="00013BDC">
        <w:rPr>
          <w:rFonts w:eastAsia="Times New Roman"/>
          <w:noProof/>
          <w:u w:val="single"/>
          <w:lang w:val="en-IE"/>
        </w:rPr>
        <w:t>REACT REcycling</w:t>
      </w:r>
      <w:r w:rsidR="0053286C" w:rsidRPr="00013BDC">
        <w:rPr>
          <w:rFonts w:eastAsia="Times New Roman"/>
          <w:noProof/>
          <w:u w:val="single"/>
          <w:lang w:val="en-IE"/>
        </w:rPr>
        <w:t xml:space="preserve"> of waste </w:t>
      </w:r>
      <w:r w:rsidR="00BA0D6F" w:rsidRPr="00013BDC">
        <w:rPr>
          <w:rFonts w:eastAsia="Times New Roman"/>
          <w:noProof/>
          <w:u w:val="single"/>
          <w:lang w:val="en-IE"/>
        </w:rPr>
        <w:t>ACrylic</w:t>
      </w:r>
      <w:r w:rsidR="0053286C" w:rsidRPr="00013BDC">
        <w:rPr>
          <w:rFonts w:eastAsia="Times New Roman"/>
          <w:noProof/>
          <w:u w:val="single"/>
          <w:lang w:val="en-IE"/>
        </w:rPr>
        <w:t>Textiles</w:t>
      </w:r>
      <w:r w:rsidR="00B067EB" w:rsidRPr="00013BDC">
        <w:rPr>
          <w:rStyle w:val="FootnoteReference"/>
          <w:rFonts w:eastAsia="Times New Roman"/>
          <w:noProof/>
          <w:u w:val="single"/>
          <w:lang w:val="en-IE"/>
        </w:rPr>
        <w:footnoteReference w:id="244"/>
      </w:r>
      <w:r w:rsidRPr="00013BDC">
        <w:rPr>
          <w:rFonts w:eastAsia="Times New Roman"/>
          <w:noProof/>
          <w:u w:val="single"/>
          <w:lang w:val="en-IE"/>
        </w:rPr>
        <w:t xml:space="preserve"> (2018-2019-2020)</w:t>
      </w:r>
      <w:r w:rsidRPr="00013BDC">
        <w:rPr>
          <w:rFonts w:eastAsia="Times New Roman"/>
          <w:noProof/>
          <w:lang w:val="en-IE"/>
        </w:rPr>
        <w:t xml:space="preserve"> with the following topic</w:t>
      </w:r>
      <w:r w:rsidR="0053286C" w:rsidRPr="00013BDC">
        <w:rPr>
          <w:rFonts w:eastAsia="Times New Roman"/>
          <w:noProof/>
          <w:lang w:val="en-IE"/>
        </w:rPr>
        <w:t xml:space="preserve">: </w:t>
      </w:r>
      <w:r w:rsidRPr="00013BDC">
        <w:rPr>
          <w:rFonts w:eastAsia="Times New Roman"/>
          <w:noProof/>
          <w:lang w:val="en-IE"/>
        </w:rPr>
        <w:t>“</w:t>
      </w:r>
      <w:r w:rsidR="0053286C" w:rsidRPr="00013BDC">
        <w:rPr>
          <w:rFonts w:eastAsia="Times New Roman"/>
          <w:noProof/>
          <w:lang w:val="en-IE"/>
        </w:rPr>
        <w:t xml:space="preserve">CE-SC5-01-2018 </w:t>
      </w:r>
      <w:r w:rsidR="00CC3EC0" w:rsidRPr="00013BDC">
        <w:rPr>
          <w:rFonts w:eastAsia="Times New Roman"/>
          <w:noProof/>
          <w:lang w:val="en-IE"/>
        </w:rPr>
        <w:t>–</w:t>
      </w:r>
      <w:r w:rsidR="0053286C" w:rsidRPr="00013BDC">
        <w:rPr>
          <w:rFonts w:eastAsia="Times New Roman"/>
          <w:noProof/>
          <w:lang w:val="en-IE"/>
        </w:rPr>
        <w:t xml:space="preserve"> Methods to remove hazardous substances and contaminants from secondary raw materials</w:t>
      </w:r>
      <w:r w:rsidRPr="00013BDC">
        <w:rPr>
          <w:rFonts w:eastAsia="Times New Roman"/>
          <w:noProof/>
          <w:lang w:val="en-IE"/>
        </w:rPr>
        <w:t>”. The project’s total budget is</w:t>
      </w:r>
      <w:r w:rsidR="0053286C" w:rsidRPr="00013BDC">
        <w:rPr>
          <w:rFonts w:eastAsia="Times New Roman"/>
          <w:noProof/>
          <w:lang w:val="en-IE"/>
        </w:rPr>
        <w:t xml:space="preserve"> 3 267 696</w:t>
      </w:r>
      <w:r w:rsidR="005A31E9" w:rsidRPr="00013BDC">
        <w:rPr>
          <w:rFonts w:eastAsia="Times New Roman"/>
          <w:noProof/>
          <w:lang w:val="en-IE"/>
        </w:rPr>
        <w:t>.</w:t>
      </w:r>
      <w:r w:rsidR="0053286C" w:rsidRPr="00013BDC">
        <w:rPr>
          <w:rFonts w:eastAsia="Times New Roman"/>
          <w:noProof/>
          <w:lang w:val="en-IE"/>
        </w:rPr>
        <w:t xml:space="preserve">25 </w:t>
      </w:r>
      <w:r w:rsidR="00DC3DEC" w:rsidRPr="00013BDC">
        <w:rPr>
          <w:rFonts w:eastAsia="Times New Roman"/>
          <w:noProof/>
          <w:lang w:val="en-IE"/>
        </w:rPr>
        <w:t>euro</w:t>
      </w:r>
      <w:r w:rsidRPr="00013BDC">
        <w:rPr>
          <w:rFonts w:eastAsia="Times New Roman"/>
          <w:noProof/>
          <w:lang w:val="en-IE"/>
        </w:rPr>
        <w:t xml:space="preserve"> and the EU contribution is </w:t>
      </w:r>
      <w:r w:rsidR="0053286C" w:rsidRPr="00013BDC">
        <w:rPr>
          <w:rFonts w:eastAsia="Times New Roman"/>
          <w:noProof/>
          <w:lang w:val="en-IE"/>
        </w:rPr>
        <w:t>3 267 696</w:t>
      </w:r>
      <w:r w:rsidR="005A31E9" w:rsidRPr="00013BDC">
        <w:rPr>
          <w:rFonts w:eastAsia="Times New Roman"/>
          <w:noProof/>
          <w:lang w:val="en-IE"/>
        </w:rPr>
        <w:t>.</w:t>
      </w:r>
      <w:r w:rsidR="0053286C" w:rsidRPr="00013BDC">
        <w:rPr>
          <w:rFonts w:eastAsia="Times New Roman"/>
          <w:noProof/>
          <w:lang w:val="en-IE"/>
        </w:rPr>
        <w:t xml:space="preserve">25 </w:t>
      </w:r>
      <w:r w:rsidR="00DC3DEC" w:rsidRPr="00013BDC">
        <w:rPr>
          <w:rFonts w:eastAsia="Times New Roman"/>
          <w:noProof/>
          <w:lang w:val="en-IE"/>
        </w:rPr>
        <w:t>euro</w:t>
      </w:r>
      <w:r w:rsidRPr="00013BDC">
        <w:rPr>
          <w:rFonts w:eastAsia="Times New Roman"/>
          <w:noProof/>
          <w:lang w:val="en-IE"/>
        </w:rPr>
        <w:t>.</w:t>
      </w:r>
    </w:p>
    <w:p w14:paraId="71BC03DF" w14:textId="54217434" w:rsidR="0053286C" w:rsidRPr="00013BDC" w:rsidRDefault="00393BF7" w:rsidP="00CF0DFB">
      <w:pPr>
        <w:numPr>
          <w:ilvl w:val="0"/>
          <w:numId w:val="34"/>
        </w:numPr>
        <w:spacing w:after="0"/>
        <w:contextualSpacing/>
        <w:rPr>
          <w:rFonts w:eastAsia="Times New Roman"/>
          <w:noProof/>
          <w:lang w:val="en-IE"/>
        </w:rPr>
      </w:pPr>
      <w:hyperlink r:id="rId124">
        <w:r w:rsidR="00117FC6" w:rsidRPr="00013BDC">
          <w:rPr>
            <w:rStyle w:val="Hyperlink"/>
            <w:noProof/>
            <w:color w:val="auto"/>
            <w:lang w:val="en-IE"/>
          </w:rPr>
          <w:t xml:space="preserve">Project </w:t>
        </w:r>
        <w:r w:rsidR="00BA0D6F" w:rsidRPr="00013BDC">
          <w:rPr>
            <w:rStyle w:val="Hyperlink"/>
            <w:noProof/>
            <w:color w:val="auto"/>
            <w:lang w:val="en-IE"/>
          </w:rPr>
          <w:t xml:space="preserve">ECWRTI </w:t>
        </w:r>
        <w:r w:rsidR="00117FC6" w:rsidRPr="00013BDC">
          <w:rPr>
            <w:rFonts w:eastAsia="Times New Roman"/>
            <w:noProof/>
            <w:u w:val="single"/>
            <w:lang w:val="en-IE"/>
          </w:rPr>
          <w:t>ECOLORO</w:t>
        </w:r>
        <w:r w:rsidR="00FA1B9F" w:rsidRPr="00013BDC">
          <w:rPr>
            <w:rStyle w:val="FootnoteReference"/>
            <w:rFonts w:eastAsia="Times New Roman"/>
            <w:noProof/>
            <w:u w:val="single"/>
            <w:lang w:val="en-IE"/>
          </w:rPr>
          <w:footnoteReference w:id="245"/>
        </w:r>
        <w:r w:rsidR="00117FC6" w:rsidRPr="00013BDC">
          <w:rPr>
            <w:rStyle w:val="Hyperlink"/>
            <w:noProof/>
            <w:color w:val="auto"/>
            <w:lang w:val="en-IE"/>
          </w:rPr>
          <w:t xml:space="preserve"> (</w:t>
        </w:r>
        <w:r w:rsidR="0053286C" w:rsidRPr="00013BDC">
          <w:rPr>
            <w:rStyle w:val="Hyperlink"/>
            <w:noProof/>
            <w:color w:val="auto"/>
            <w:lang w:val="en-IE"/>
          </w:rPr>
          <w:t>2014-2015</w:t>
        </w:r>
      </w:hyperlink>
      <w:r w:rsidR="00117FC6" w:rsidRPr="00013BDC">
        <w:rPr>
          <w:rFonts w:eastAsia="Times New Roman"/>
          <w:noProof/>
          <w:lang w:val="en-IE"/>
        </w:rPr>
        <w:t>) concer</w:t>
      </w:r>
      <w:r w:rsidR="2567142B" w:rsidRPr="00013BDC">
        <w:rPr>
          <w:rFonts w:eastAsia="Times New Roman"/>
          <w:noProof/>
          <w:lang w:val="en-IE"/>
        </w:rPr>
        <w:t>n</w:t>
      </w:r>
      <w:r w:rsidR="00117FC6" w:rsidRPr="00013BDC">
        <w:rPr>
          <w:rFonts w:eastAsia="Times New Roman"/>
          <w:noProof/>
          <w:lang w:val="en-IE"/>
        </w:rPr>
        <w:t xml:space="preserve">ing the reuse </w:t>
      </w:r>
      <w:r w:rsidR="0053286C" w:rsidRPr="00013BDC">
        <w:rPr>
          <w:rFonts w:eastAsia="Times New Roman"/>
          <w:noProof/>
          <w:lang w:val="en-IE"/>
        </w:rPr>
        <w:t xml:space="preserve">of </w:t>
      </w:r>
      <w:r w:rsidR="00584965" w:rsidRPr="00013BDC">
        <w:rPr>
          <w:rFonts w:eastAsia="Times New Roman"/>
          <w:noProof/>
          <w:lang w:val="en-IE"/>
        </w:rPr>
        <w:t>wastewater</w:t>
      </w:r>
      <w:r w:rsidR="0053286C" w:rsidRPr="00013BDC">
        <w:rPr>
          <w:rFonts w:eastAsia="Times New Roman"/>
          <w:noProof/>
          <w:lang w:val="en-IE"/>
        </w:rPr>
        <w:t xml:space="preserve"> from the Textile Industry</w:t>
      </w:r>
      <w:r w:rsidR="00117FC6" w:rsidRPr="00013BDC">
        <w:rPr>
          <w:rFonts w:eastAsia="Times New Roman"/>
          <w:noProof/>
          <w:lang w:val="en-IE"/>
        </w:rPr>
        <w:t xml:space="preserve"> with the following topic</w:t>
      </w:r>
      <w:r w:rsidR="0053286C" w:rsidRPr="00013BDC">
        <w:rPr>
          <w:rFonts w:eastAsia="Times New Roman"/>
          <w:noProof/>
          <w:lang w:val="en-IE"/>
        </w:rPr>
        <w:t xml:space="preserve">: </w:t>
      </w:r>
      <w:r w:rsidR="00117FC6" w:rsidRPr="00013BDC">
        <w:rPr>
          <w:rFonts w:eastAsia="Times New Roman"/>
          <w:noProof/>
          <w:lang w:val="en-IE"/>
        </w:rPr>
        <w:t>“</w:t>
      </w:r>
      <w:r w:rsidR="0053286C" w:rsidRPr="00013BDC">
        <w:rPr>
          <w:rFonts w:eastAsia="Times New Roman"/>
          <w:noProof/>
          <w:lang w:val="en-IE"/>
        </w:rPr>
        <w:t xml:space="preserve">WATER-1a-2014 </w:t>
      </w:r>
      <w:r w:rsidR="00CC3EC0" w:rsidRPr="00013BDC">
        <w:rPr>
          <w:rFonts w:eastAsia="Times New Roman"/>
          <w:noProof/>
          <w:lang w:val="en-IE"/>
        </w:rPr>
        <w:t>–</w:t>
      </w:r>
      <w:r w:rsidR="0053286C" w:rsidRPr="00013BDC">
        <w:rPr>
          <w:rFonts w:eastAsia="Times New Roman"/>
          <w:noProof/>
          <w:lang w:val="en-IE"/>
        </w:rPr>
        <w:t xml:space="preserve"> First application and market replication</w:t>
      </w:r>
      <w:r w:rsidR="00117FC6" w:rsidRPr="00013BDC">
        <w:rPr>
          <w:rFonts w:eastAsia="Times New Roman"/>
          <w:noProof/>
          <w:lang w:val="en-IE"/>
        </w:rPr>
        <w:t xml:space="preserve">”. The project’s total </w:t>
      </w:r>
      <w:r w:rsidR="0053286C" w:rsidRPr="00013BDC">
        <w:rPr>
          <w:rFonts w:eastAsia="Times New Roman"/>
          <w:noProof/>
          <w:lang w:val="en-IE"/>
        </w:rPr>
        <w:t>budget</w:t>
      </w:r>
      <w:r w:rsidR="00117FC6" w:rsidRPr="00013BDC">
        <w:rPr>
          <w:rFonts w:eastAsia="Times New Roman"/>
          <w:noProof/>
          <w:lang w:val="en-IE"/>
        </w:rPr>
        <w:t xml:space="preserve"> is</w:t>
      </w:r>
      <w:r w:rsidR="0053286C" w:rsidRPr="00013BDC">
        <w:rPr>
          <w:rFonts w:eastAsia="Times New Roman"/>
          <w:noProof/>
          <w:lang w:val="en-IE"/>
        </w:rPr>
        <w:t xml:space="preserve"> 4 822 849</w:t>
      </w:r>
      <w:r w:rsidR="005A31E9" w:rsidRPr="00013BDC">
        <w:rPr>
          <w:rFonts w:eastAsia="Times New Roman"/>
          <w:noProof/>
          <w:lang w:val="en-IE"/>
        </w:rPr>
        <w:t>.</w:t>
      </w:r>
      <w:r w:rsidR="0053286C" w:rsidRPr="00013BDC">
        <w:rPr>
          <w:rFonts w:eastAsia="Times New Roman"/>
          <w:noProof/>
          <w:lang w:val="en-IE"/>
        </w:rPr>
        <w:t xml:space="preserve">63 </w:t>
      </w:r>
      <w:r w:rsidR="00DC3DEC" w:rsidRPr="00013BDC">
        <w:rPr>
          <w:rFonts w:eastAsia="Times New Roman"/>
          <w:noProof/>
          <w:lang w:val="en-IE"/>
        </w:rPr>
        <w:t>euro</w:t>
      </w:r>
      <w:r w:rsidR="00117FC6" w:rsidRPr="00013BDC">
        <w:rPr>
          <w:rFonts w:eastAsia="Times New Roman"/>
          <w:noProof/>
          <w:lang w:val="en-IE"/>
        </w:rPr>
        <w:t xml:space="preserve"> and the EU contribution to it is</w:t>
      </w:r>
      <w:r w:rsidR="0053286C" w:rsidRPr="00013BDC">
        <w:rPr>
          <w:rFonts w:eastAsia="Times New Roman"/>
          <w:noProof/>
          <w:lang w:val="en-IE"/>
        </w:rPr>
        <w:t xml:space="preserve"> 3 748 967</w:t>
      </w:r>
      <w:r w:rsidR="005A31E9" w:rsidRPr="00013BDC">
        <w:rPr>
          <w:rFonts w:eastAsia="Times New Roman"/>
          <w:noProof/>
          <w:lang w:val="en-IE"/>
        </w:rPr>
        <w:t>.</w:t>
      </w:r>
      <w:r w:rsidR="0053286C" w:rsidRPr="00013BDC">
        <w:rPr>
          <w:rFonts w:eastAsia="Times New Roman"/>
          <w:noProof/>
          <w:lang w:val="en-IE"/>
        </w:rPr>
        <w:t xml:space="preserve">50 </w:t>
      </w:r>
      <w:r w:rsidR="00DC3DEC" w:rsidRPr="00013BDC">
        <w:rPr>
          <w:rFonts w:eastAsia="Times New Roman"/>
          <w:noProof/>
          <w:lang w:val="en-IE"/>
        </w:rPr>
        <w:t>euro</w:t>
      </w:r>
      <w:r w:rsidR="00117FC6" w:rsidRPr="00013BDC">
        <w:rPr>
          <w:rFonts w:eastAsia="Times New Roman"/>
          <w:noProof/>
          <w:lang w:val="en-IE"/>
        </w:rPr>
        <w:t>.</w:t>
      </w:r>
    </w:p>
    <w:p w14:paraId="3BD3D5F3" w14:textId="17CFFF65" w:rsidR="0053286C" w:rsidRPr="00013BDC" w:rsidRDefault="00393BF7" w:rsidP="00CF0DFB">
      <w:pPr>
        <w:numPr>
          <w:ilvl w:val="0"/>
          <w:numId w:val="34"/>
        </w:numPr>
        <w:contextualSpacing/>
        <w:rPr>
          <w:rFonts w:eastAsia="Times New Roman"/>
          <w:noProof/>
          <w:lang w:val="en-IE"/>
        </w:rPr>
      </w:pPr>
      <w:hyperlink r:id="rId125">
        <w:r w:rsidR="00EC3FA5" w:rsidRPr="00013BDC">
          <w:rPr>
            <w:rStyle w:val="Hyperlink"/>
            <w:noProof/>
            <w:color w:val="auto"/>
            <w:lang w:val="en-IE"/>
          </w:rPr>
          <w:t xml:space="preserve">Project </w:t>
        </w:r>
        <w:r w:rsidR="006C7163" w:rsidRPr="00013BDC">
          <w:rPr>
            <w:rStyle w:val="Hyperlink"/>
            <w:noProof/>
            <w:color w:val="auto"/>
            <w:lang w:val="en-IE"/>
          </w:rPr>
          <w:t>New Cotton</w:t>
        </w:r>
        <w:r w:rsidR="00FA1B9F" w:rsidRPr="00013BDC">
          <w:rPr>
            <w:rStyle w:val="FootnoteReference"/>
            <w:noProof/>
            <w:u w:val="single"/>
            <w:lang w:val="en-IE"/>
          </w:rPr>
          <w:footnoteReference w:id="246"/>
        </w:r>
        <w:r w:rsidR="00EC3FA5" w:rsidRPr="00013BDC">
          <w:rPr>
            <w:rStyle w:val="Hyperlink"/>
            <w:noProof/>
            <w:color w:val="auto"/>
            <w:lang w:val="en-IE"/>
          </w:rPr>
          <w:t xml:space="preserve"> (</w:t>
        </w:r>
        <w:r w:rsidR="0053286C" w:rsidRPr="00013BDC">
          <w:rPr>
            <w:rStyle w:val="Hyperlink"/>
            <w:noProof/>
            <w:color w:val="auto"/>
            <w:lang w:val="en-IE"/>
          </w:rPr>
          <w:t>2020</w:t>
        </w:r>
      </w:hyperlink>
      <w:r w:rsidR="00EC3FA5" w:rsidRPr="00013BDC">
        <w:rPr>
          <w:rFonts w:eastAsia="Times New Roman"/>
          <w:noProof/>
          <w:lang w:val="en-IE"/>
        </w:rPr>
        <w:t>) regarding the</w:t>
      </w:r>
      <w:r w:rsidR="0053286C" w:rsidRPr="00013BDC">
        <w:rPr>
          <w:rFonts w:eastAsia="Times New Roman"/>
          <w:noProof/>
          <w:lang w:val="en-IE"/>
        </w:rPr>
        <w:t xml:space="preserve"> </w:t>
      </w:r>
      <w:r w:rsidR="00601D37" w:rsidRPr="00013BDC">
        <w:rPr>
          <w:rFonts w:eastAsia="Times New Roman"/>
          <w:noProof/>
          <w:lang w:val="en-IE"/>
        </w:rPr>
        <w:t>demonstration</w:t>
      </w:r>
      <w:r w:rsidR="0053286C" w:rsidRPr="00013BDC">
        <w:rPr>
          <w:rFonts w:eastAsia="Times New Roman"/>
          <w:noProof/>
          <w:lang w:val="en-IE"/>
        </w:rPr>
        <w:t xml:space="preserve"> and launch of high performance, biodegradable, regenerated textiles to consumer markets through an innovative, circular supply chain u</w:t>
      </w:r>
      <w:r w:rsidR="00EC3FA5" w:rsidRPr="00013BDC">
        <w:rPr>
          <w:rFonts w:eastAsia="Times New Roman"/>
          <w:noProof/>
          <w:lang w:val="en-IE"/>
        </w:rPr>
        <w:t>sing Infinited Fiber technology. This project’s topic is</w:t>
      </w:r>
      <w:r w:rsidR="0053286C" w:rsidRPr="00013BDC">
        <w:rPr>
          <w:rFonts w:eastAsia="Times New Roman"/>
          <w:noProof/>
          <w:lang w:val="en-IE"/>
        </w:rPr>
        <w:t xml:space="preserve">: </w:t>
      </w:r>
      <w:r w:rsidR="00EC3FA5" w:rsidRPr="00013BDC">
        <w:rPr>
          <w:rFonts w:eastAsia="Times New Roman"/>
          <w:noProof/>
          <w:lang w:val="en-IE"/>
        </w:rPr>
        <w:t>“</w:t>
      </w:r>
      <w:r w:rsidR="0053286C" w:rsidRPr="00013BDC">
        <w:rPr>
          <w:rFonts w:eastAsia="Times New Roman"/>
          <w:noProof/>
          <w:lang w:val="en-IE"/>
        </w:rPr>
        <w:t xml:space="preserve">CE-FNR-14-2020 </w:t>
      </w:r>
      <w:r w:rsidR="00CC3EC0" w:rsidRPr="00013BDC">
        <w:rPr>
          <w:rFonts w:eastAsia="Times New Roman"/>
          <w:noProof/>
          <w:lang w:val="en-IE"/>
        </w:rPr>
        <w:t>–</w:t>
      </w:r>
      <w:r w:rsidR="0053286C" w:rsidRPr="00013BDC">
        <w:rPr>
          <w:rFonts w:eastAsia="Times New Roman"/>
          <w:noProof/>
          <w:lang w:val="en-IE"/>
        </w:rPr>
        <w:t xml:space="preserve"> Innovative textiles – reinventing fashion</w:t>
      </w:r>
      <w:r w:rsidR="00EC3FA5" w:rsidRPr="00013BDC">
        <w:rPr>
          <w:rFonts w:eastAsia="Times New Roman"/>
          <w:noProof/>
          <w:lang w:val="en-IE"/>
        </w:rPr>
        <w:t>” and its total</w:t>
      </w:r>
      <w:r w:rsidR="0053286C" w:rsidRPr="00013BDC">
        <w:rPr>
          <w:rFonts w:eastAsia="Times New Roman"/>
          <w:noProof/>
          <w:lang w:val="en-IE"/>
        </w:rPr>
        <w:t xml:space="preserve"> budget: 8 886 912</w:t>
      </w:r>
      <w:r w:rsidR="005A31E9" w:rsidRPr="00013BDC">
        <w:rPr>
          <w:rFonts w:eastAsia="Times New Roman"/>
          <w:noProof/>
          <w:lang w:val="en-IE"/>
        </w:rPr>
        <w:t>.</w:t>
      </w:r>
      <w:r w:rsidR="0053286C" w:rsidRPr="00013BDC">
        <w:rPr>
          <w:rFonts w:eastAsia="Times New Roman"/>
          <w:noProof/>
          <w:lang w:val="en-IE"/>
        </w:rPr>
        <w:t xml:space="preserve">50 </w:t>
      </w:r>
      <w:r w:rsidR="00DC3DEC" w:rsidRPr="00013BDC">
        <w:rPr>
          <w:rFonts w:eastAsia="Times New Roman"/>
          <w:noProof/>
          <w:lang w:val="en-IE"/>
        </w:rPr>
        <w:t>euro</w:t>
      </w:r>
      <w:r w:rsidR="00EC3FA5" w:rsidRPr="00013BDC">
        <w:rPr>
          <w:rFonts w:eastAsia="Times New Roman"/>
          <w:noProof/>
          <w:lang w:val="en-IE"/>
        </w:rPr>
        <w:t xml:space="preserve">, while the </w:t>
      </w:r>
      <w:r w:rsidR="0053286C" w:rsidRPr="00013BDC">
        <w:rPr>
          <w:rFonts w:eastAsia="Times New Roman"/>
          <w:noProof/>
          <w:lang w:val="en-IE"/>
        </w:rPr>
        <w:t>EU contribution</w:t>
      </w:r>
      <w:r w:rsidR="00EC3FA5" w:rsidRPr="00013BDC">
        <w:rPr>
          <w:rFonts w:eastAsia="Times New Roman"/>
          <w:noProof/>
          <w:lang w:val="en-IE"/>
        </w:rPr>
        <w:t xml:space="preserve"> to it</w:t>
      </w:r>
      <w:r w:rsidR="0053286C" w:rsidRPr="00013BDC">
        <w:rPr>
          <w:rFonts w:eastAsia="Times New Roman"/>
          <w:noProof/>
          <w:lang w:val="en-IE"/>
        </w:rPr>
        <w:t>: 6 745 801</w:t>
      </w:r>
      <w:r w:rsidR="005A31E9" w:rsidRPr="00013BDC">
        <w:rPr>
          <w:rFonts w:eastAsia="Times New Roman"/>
          <w:noProof/>
          <w:lang w:val="en-IE"/>
        </w:rPr>
        <w:t>.</w:t>
      </w:r>
      <w:r w:rsidR="0053286C" w:rsidRPr="00013BDC">
        <w:rPr>
          <w:rFonts w:eastAsia="Times New Roman"/>
          <w:noProof/>
          <w:lang w:val="en-IE"/>
        </w:rPr>
        <w:t xml:space="preserve">25 </w:t>
      </w:r>
      <w:r w:rsidR="00DC3DEC" w:rsidRPr="00013BDC">
        <w:rPr>
          <w:rFonts w:eastAsia="Times New Roman"/>
          <w:noProof/>
          <w:lang w:val="en-IE"/>
        </w:rPr>
        <w:t>euro</w:t>
      </w:r>
      <w:r w:rsidR="00EC3FA5" w:rsidRPr="00013BDC">
        <w:rPr>
          <w:rFonts w:eastAsia="Times New Roman"/>
          <w:noProof/>
          <w:lang w:val="en-IE"/>
        </w:rPr>
        <w:t>.</w:t>
      </w:r>
    </w:p>
    <w:p w14:paraId="1436C32C" w14:textId="77777777" w:rsidR="007571B8" w:rsidRPr="00013BDC" w:rsidRDefault="007571B8" w:rsidP="007571B8">
      <w:pPr>
        <w:ind w:left="720"/>
        <w:contextualSpacing/>
        <w:rPr>
          <w:rFonts w:eastAsia="Times New Roman"/>
          <w:noProof/>
          <w:lang w:val="en-IE"/>
        </w:rPr>
      </w:pPr>
    </w:p>
    <w:p w14:paraId="5EEE1C24" w14:textId="5ABE930A" w:rsidR="00EC3FA5" w:rsidRPr="00013BDC" w:rsidRDefault="0053286C" w:rsidP="0062613F">
      <w:pPr>
        <w:spacing w:before="240" w:after="120"/>
        <w:rPr>
          <w:noProof/>
          <w:lang w:val="en-IE"/>
        </w:rPr>
      </w:pPr>
      <w:r w:rsidRPr="00013BDC">
        <w:rPr>
          <w:noProof/>
          <w:lang w:val="en-IE"/>
        </w:rPr>
        <w:t xml:space="preserve">Regarding </w:t>
      </w:r>
      <w:r w:rsidRPr="00013BDC">
        <w:rPr>
          <w:b/>
          <w:bCs/>
          <w:noProof/>
          <w:lang w:val="en-IE"/>
        </w:rPr>
        <w:t>Horizon Europe</w:t>
      </w:r>
      <w:r w:rsidRPr="00013BDC">
        <w:rPr>
          <w:noProof/>
          <w:lang w:val="en-IE"/>
        </w:rPr>
        <w:t xml:space="preserve">, </w:t>
      </w:r>
      <w:r w:rsidR="0021558C" w:rsidRPr="00013BDC">
        <w:rPr>
          <w:noProof/>
          <w:lang w:val="en-IE"/>
        </w:rPr>
        <w:t xml:space="preserve">under </w:t>
      </w:r>
      <w:r w:rsidRPr="00013BDC">
        <w:rPr>
          <w:noProof/>
          <w:lang w:val="en-IE"/>
        </w:rPr>
        <w:t xml:space="preserve">the Work Programme 2021/2022 there was a 2021 topic dedicated to </w:t>
      </w:r>
      <w:r w:rsidR="00EC3FA5" w:rsidRPr="00013BDC">
        <w:rPr>
          <w:noProof/>
          <w:lang w:val="en-IE"/>
        </w:rPr>
        <w:t>“</w:t>
      </w:r>
      <w:r w:rsidRPr="00013BDC">
        <w:rPr>
          <w:noProof/>
          <w:lang w:val="en-IE"/>
        </w:rPr>
        <w:t>Increasing the circularity on textiles, plastics and/or electronic value chains for proposals</w:t>
      </w:r>
      <w:r w:rsidR="00EC3FA5" w:rsidRPr="00013BDC">
        <w:rPr>
          <w:noProof/>
          <w:lang w:val="en-IE"/>
        </w:rPr>
        <w:t>”</w:t>
      </w:r>
      <w:r w:rsidRPr="00013BDC">
        <w:rPr>
          <w:noProof/>
          <w:lang w:val="en-IE"/>
        </w:rPr>
        <w:t xml:space="preserve">. </w:t>
      </w:r>
      <w:r w:rsidR="00EC3FA5" w:rsidRPr="00013BDC">
        <w:rPr>
          <w:noProof/>
          <w:lang w:val="en-IE"/>
        </w:rPr>
        <w:t>In this context, one of</w:t>
      </w:r>
      <w:r w:rsidRPr="00013BDC">
        <w:rPr>
          <w:noProof/>
          <w:lang w:val="en-IE"/>
        </w:rPr>
        <w:t xml:space="preserve"> </w:t>
      </w:r>
      <w:r w:rsidR="00EC3FA5" w:rsidRPr="00013BDC">
        <w:rPr>
          <w:noProof/>
          <w:lang w:val="en-IE"/>
        </w:rPr>
        <w:t>the proposed projects, under the name</w:t>
      </w:r>
      <w:r w:rsidRPr="00013BDC">
        <w:rPr>
          <w:noProof/>
          <w:lang w:val="en-IE"/>
        </w:rPr>
        <w:t xml:space="preserve"> </w:t>
      </w:r>
      <w:hyperlink r:id="rId126" w:history="1">
        <w:r w:rsidR="7CE327CF" w:rsidRPr="00013BDC">
          <w:rPr>
            <w:rStyle w:val="Hyperlink"/>
            <w:noProof/>
            <w:color w:val="auto"/>
            <w:lang w:val="en-IE"/>
          </w:rPr>
          <w:t>T-REX :</w:t>
        </w:r>
      </w:hyperlink>
      <w:r w:rsidR="00EC3FA5" w:rsidRPr="00013BDC">
        <w:rPr>
          <w:rFonts w:eastAsia="Times New Roman"/>
          <w:noProof/>
          <w:u w:val="single"/>
          <w:shd w:val="clear" w:color="auto" w:fill="FFFFFF"/>
          <w:lang w:val="en-IE"/>
        </w:rPr>
        <w:t xml:space="preserve"> Textile Recycling Excellence</w:t>
      </w:r>
      <w:r w:rsidR="00E04127" w:rsidRPr="00013BDC">
        <w:rPr>
          <w:rStyle w:val="FootnoteReference"/>
          <w:rFonts w:eastAsia="Times New Roman"/>
          <w:noProof/>
          <w:u w:val="single"/>
          <w:shd w:val="clear" w:color="auto" w:fill="FFFFFF"/>
          <w:lang w:val="en-IE"/>
        </w:rPr>
        <w:footnoteReference w:id="247"/>
      </w:r>
      <w:r w:rsidR="00EC3FA5" w:rsidRPr="00013BDC">
        <w:rPr>
          <w:rFonts w:eastAsia="Times New Roman"/>
          <w:noProof/>
          <w:shd w:val="clear" w:color="auto" w:fill="FFFFFF"/>
          <w:lang w:val="en-IE"/>
        </w:rPr>
        <w:t xml:space="preserve">, </w:t>
      </w:r>
      <w:r w:rsidR="7E0FAA4C" w:rsidRPr="00013BDC">
        <w:rPr>
          <w:rFonts w:eastAsia="Times New Roman"/>
          <w:noProof/>
          <w:shd w:val="clear" w:color="auto" w:fill="FFFFFF"/>
          <w:lang w:val="en-IE"/>
        </w:rPr>
        <w:t>focuses on the recycling of household textile waste</w:t>
      </w:r>
      <w:r w:rsidR="22DBE955" w:rsidRPr="00013BDC">
        <w:rPr>
          <w:rFonts w:eastAsia="Times New Roman"/>
          <w:noProof/>
          <w:lang w:val="en-IE"/>
        </w:rPr>
        <w:t xml:space="preserve">. </w:t>
      </w:r>
      <w:r w:rsidR="0E02006A" w:rsidRPr="00013BDC">
        <w:rPr>
          <w:rFonts w:eastAsia="Times New Roman"/>
          <w:noProof/>
          <w:lang w:val="en-IE"/>
        </w:rPr>
        <w:t>It</w:t>
      </w:r>
      <w:r w:rsidRPr="00013BDC">
        <w:rPr>
          <w:rFonts w:eastAsia="Times New Roman"/>
          <w:noProof/>
          <w:lang w:val="en-IE"/>
        </w:rPr>
        <w:t xml:space="preserve"> will also </w:t>
      </w:r>
      <w:r w:rsidR="1448789A" w:rsidRPr="00013BDC">
        <w:rPr>
          <w:noProof/>
          <w:lang w:val="en-IE"/>
        </w:rPr>
        <w:t>highlight</w:t>
      </w:r>
      <w:r w:rsidRPr="00013BDC">
        <w:rPr>
          <w:noProof/>
          <w:lang w:val="en-IE"/>
        </w:rPr>
        <w:t xml:space="preserve"> feasible business models and will be including players such as Adidas, BASF and</w:t>
      </w:r>
      <w:r w:rsidR="00EC3FA5" w:rsidRPr="00013BDC">
        <w:rPr>
          <w:noProof/>
          <w:lang w:val="en-IE"/>
        </w:rPr>
        <w:t xml:space="preserve"> Veolia. </w:t>
      </w:r>
      <w:r w:rsidRPr="00013BDC">
        <w:rPr>
          <w:rFonts w:eastAsia="Times New Roman"/>
          <w:noProof/>
          <w:lang w:val="en-IE"/>
        </w:rPr>
        <w:t>Total budget</w:t>
      </w:r>
      <w:r w:rsidR="00BC6C38" w:rsidRPr="00013BDC">
        <w:rPr>
          <w:rFonts w:eastAsia="Times New Roman"/>
          <w:noProof/>
          <w:lang w:val="en-IE"/>
        </w:rPr>
        <w:t xml:space="preserve"> </w:t>
      </w:r>
      <w:r w:rsidR="00EC3FA5" w:rsidRPr="00013BDC">
        <w:rPr>
          <w:rFonts w:eastAsia="Times New Roman"/>
          <w:noProof/>
          <w:lang w:val="en-IE"/>
        </w:rPr>
        <w:t>of the project will be</w:t>
      </w:r>
      <w:r w:rsidRPr="00013BDC">
        <w:rPr>
          <w:rFonts w:eastAsia="Times New Roman"/>
          <w:noProof/>
          <w:lang w:val="en-IE"/>
        </w:rPr>
        <w:t xml:space="preserve"> </w:t>
      </w:r>
      <w:r w:rsidRPr="00013BDC">
        <w:rPr>
          <w:rFonts w:eastAsia="Times New Roman"/>
          <w:noProof/>
          <w:shd w:val="clear" w:color="auto" w:fill="FFFFFF"/>
          <w:lang w:val="en-IE"/>
        </w:rPr>
        <w:t>8 422 410</w:t>
      </w:r>
      <w:r w:rsidRPr="00013BDC">
        <w:rPr>
          <w:rFonts w:eastAsia="Times New Roman"/>
          <w:noProof/>
          <w:lang w:val="en-IE"/>
        </w:rPr>
        <w:t xml:space="preserve"> </w:t>
      </w:r>
      <w:r w:rsidR="00DC3DEC" w:rsidRPr="00013BDC">
        <w:rPr>
          <w:rFonts w:eastAsia="Times New Roman"/>
          <w:noProof/>
          <w:lang w:val="en-IE"/>
        </w:rPr>
        <w:t>euro</w:t>
      </w:r>
      <w:r w:rsidR="00EC3FA5" w:rsidRPr="00013BDC">
        <w:rPr>
          <w:noProof/>
          <w:lang w:val="en-IE"/>
        </w:rPr>
        <w:t xml:space="preserve">, while the </w:t>
      </w:r>
      <w:r w:rsidRPr="00013BDC">
        <w:rPr>
          <w:rFonts w:eastAsia="Times New Roman"/>
          <w:noProof/>
          <w:shd w:val="clear" w:color="auto" w:fill="FFFFFF"/>
          <w:lang w:val="en-IE"/>
        </w:rPr>
        <w:t>EU Contribution</w:t>
      </w:r>
      <w:r w:rsidR="00EC3FA5" w:rsidRPr="00013BDC">
        <w:rPr>
          <w:rFonts w:eastAsia="Times New Roman"/>
          <w:noProof/>
          <w:shd w:val="clear" w:color="auto" w:fill="FFFFFF"/>
          <w:lang w:val="en-IE"/>
        </w:rPr>
        <w:t xml:space="preserve"> to it will be</w:t>
      </w:r>
      <w:r w:rsidRPr="00013BDC">
        <w:rPr>
          <w:rFonts w:eastAsia="Times New Roman"/>
          <w:noProof/>
          <w:shd w:val="clear" w:color="auto" w:fill="FFFFFF"/>
          <w:lang w:val="en-IE"/>
        </w:rPr>
        <w:t xml:space="preserve"> 6 390 674</w:t>
      </w:r>
      <w:r w:rsidR="00DC3DEC" w:rsidRPr="00013BDC">
        <w:rPr>
          <w:rFonts w:eastAsia="Times New Roman"/>
          <w:noProof/>
          <w:shd w:val="clear" w:color="auto" w:fill="FFFFFF"/>
          <w:lang w:val="en-IE"/>
        </w:rPr>
        <w:t xml:space="preserve"> </w:t>
      </w:r>
      <w:r w:rsidR="00DC3DEC" w:rsidRPr="00013BDC">
        <w:rPr>
          <w:rFonts w:eastAsia="Times New Roman"/>
          <w:noProof/>
          <w:lang w:val="en-IE"/>
        </w:rPr>
        <w:t>euro</w:t>
      </w:r>
      <w:r w:rsidR="00EC3FA5" w:rsidRPr="00013BDC">
        <w:rPr>
          <w:rFonts w:eastAsia="Times New Roman"/>
          <w:noProof/>
          <w:shd w:val="clear" w:color="auto" w:fill="FFFFFF"/>
          <w:lang w:val="en-IE"/>
        </w:rPr>
        <w:t>.</w:t>
      </w:r>
      <w:r w:rsidR="00A10241" w:rsidRPr="00013BDC">
        <w:rPr>
          <w:rFonts w:eastAsia="Times New Roman"/>
          <w:noProof/>
          <w:shd w:val="clear" w:color="auto" w:fill="FFFFFF"/>
          <w:lang w:val="en-IE"/>
        </w:rPr>
        <w:t xml:space="preserve"> Another relevant project that has recently been funded by the Horizon Europe Work Programme 2021/2022 is </w:t>
      </w:r>
      <w:r w:rsidR="00D148E7" w:rsidRPr="00013BDC">
        <w:rPr>
          <w:rFonts w:eastAsia="Times New Roman"/>
          <w:noProof/>
          <w:shd w:val="clear" w:color="auto" w:fill="FFFFFF"/>
          <w:lang w:val="en-IE"/>
        </w:rPr>
        <w:t>e</w:t>
      </w:r>
      <w:r w:rsidR="00A10241" w:rsidRPr="00013BDC">
        <w:rPr>
          <w:rFonts w:eastAsia="Times New Roman"/>
          <w:noProof/>
          <w:shd w:val="clear" w:color="auto" w:fill="FFFFFF"/>
          <w:lang w:val="en-IE"/>
        </w:rPr>
        <w:t>xtended: Knowledge based framework for extended textile circulation. The project will aim at reducing textile waste by 80% by within industrial-urbal symbiosis developing and demonstrating effective textile recovery, waste valorisation and recycling processes combined with digital tools, sensing systems and data-driven solutions to support sustainable circularity of textiles. The total budget for this project is 14 860 675.25 euro, with</w:t>
      </w:r>
      <w:r w:rsidR="3BC3FD45" w:rsidRPr="00013BDC">
        <w:rPr>
          <w:rFonts w:eastAsia="Times New Roman"/>
          <w:noProof/>
          <w:shd w:val="clear" w:color="auto" w:fill="FFFFFF"/>
          <w:lang w:val="en-IE"/>
        </w:rPr>
        <w:t xml:space="preserve"> an</w:t>
      </w:r>
      <w:r w:rsidR="00A10241" w:rsidRPr="00013BDC">
        <w:rPr>
          <w:rFonts w:eastAsia="Times New Roman"/>
          <w:noProof/>
          <w:shd w:val="clear" w:color="auto" w:fill="FFFFFF"/>
          <w:lang w:val="en-IE"/>
        </w:rPr>
        <w:t xml:space="preserve"> EU contribution of 12 345 596 euro.</w:t>
      </w:r>
    </w:p>
    <w:p w14:paraId="030F0E95" w14:textId="08E01905" w:rsidR="0053286C" w:rsidRPr="00013BDC" w:rsidRDefault="0053286C" w:rsidP="00D75004">
      <w:pPr>
        <w:spacing w:after="120"/>
        <w:rPr>
          <w:noProof/>
          <w:lang w:val="en-IE"/>
        </w:rPr>
      </w:pPr>
      <w:r w:rsidRPr="00013BDC">
        <w:rPr>
          <w:noProof/>
          <w:lang w:val="en-IE"/>
        </w:rPr>
        <w:t xml:space="preserve">Finally, </w:t>
      </w:r>
      <w:r w:rsidR="0021558C" w:rsidRPr="00013BDC">
        <w:rPr>
          <w:noProof/>
          <w:lang w:val="en-IE"/>
        </w:rPr>
        <w:t xml:space="preserve">there will be very promising opportunities for funding under </w:t>
      </w:r>
      <w:r w:rsidRPr="00013BDC">
        <w:rPr>
          <w:noProof/>
          <w:lang w:val="en-IE"/>
        </w:rPr>
        <w:t xml:space="preserve">the Horizon Europe Work Programme 2023/2024, particularly through a topic on </w:t>
      </w:r>
      <w:r w:rsidR="00EC3FA5" w:rsidRPr="00013BDC">
        <w:rPr>
          <w:noProof/>
          <w:lang w:val="en-IE"/>
        </w:rPr>
        <w:t>“</w:t>
      </w:r>
      <w:r w:rsidRPr="00013BDC">
        <w:rPr>
          <w:noProof/>
          <w:lang w:val="en-IE"/>
        </w:rPr>
        <w:t>Circular solutions for textile value chains through innovative sorting, recycling, and design for recycling</w:t>
      </w:r>
      <w:r w:rsidR="00EC3FA5" w:rsidRPr="00013BDC">
        <w:rPr>
          <w:noProof/>
          <w:lang w:val="en-IE"/>
        </w:rPr>
        <w:t>”.</w:t>
      </w:r>
      <w:r w:rsidRPr="00013BDC">
        <w:rPr>
          <w:noProof/>
          <w:lang w:val="en-IE"/>
        </w:rPr>
        <w:t xml:space="preserve"> </w:t>
      </w:r>
      <w:r w:rsidR="00EC3FA5" w:rsidRPr="00013BDC">
        <w:rPr>
          <w:noProof/>
          <w:lang w:val="en-IE"/>
        </w:rPr>
        <w:t>The total</w:t>
      </w:r>
      <w:r w:rsidRPr="00013BDC">
        <w:rPr>
          <w:noProof/>
          <w:lang w:val="en-IE"/>
        </w:rPr>
        <w:t xml:space="preserve"> indicative budget for this topic is 15 million </w:t>
      </w:r>
      <w:r w:rsidR="00DC3DEC" w:rsidRPr="00013BDC">
        <w:rPr>
          <w:rFonts w:eastAsia="Times New Roman"/>
          <w:noProof/>
          <w:lang w:val="en-IE"/>
        </w:rPr>
        <w:t>euro</w:t>
      </w:r>
      <w:r w:rsidRPr="00013BDC">
        <w:rPr>
          <w:noProof/>
          <w:lang w:val="en-IE"/>
        </w:rPr>
        <w:t xml:space="preserve">. </w:t>
      </w:r>
    </w:p>
    <w:p w14:paraId="37EC2129" w14:textId="3CE1CA04" w:rsidR="0053286C" w:rsidRPr="00013BDC" w:rsidRDefault="0053286C" w:rsidP="0015453B">
      <w:pPr>
        <w:contextualSpacing/>
        <w:rPr>
          <w:rFonts w:eastAsia="Times New Roman"/>
          <w:noProof/>
          <w:lang w:val="en-IE"/>
        </w:rPr>
      </w:pPr>
      <w:r w:rsidRPr="00013BDC">
        <w:rPr>
          <w:noProof/>
          <w:lang w:val="en-IE"/>
        </w:rPr>
        <w:t xml:space="preserve">The Work Programme </w:t>
      </w:r>
      <w:r w:rsidR="00C34A13" w:rsidRPr="00013BDC">
        <w:rPr>
          <w:noProof/>
          <w:lang w:val="en-IE"/>
        </w:rPr>
        <w:t>was</w:t>
      </w:r>
      <w:r w:rsidRPr="00013BDC">
        <w:rPr>
          <w:noProof/>
          <w:lang w:val="en-IE"/>
        </w:rPr>
        <w:t xml:space="preserve"> published </w:t>
      </w:r>
      <w:r w:rsidR="00C34A13" w:rsidRPr="00013BDC">
        <w:rPr>
          <w:noProof/>
          <w:lang w:val="en-IE"/>
        </w:rPr>
        <w:t>on 6 December 2022</w:t>
      </w:r>
      <w:r w:rsidRPr="00013BDC">
        <w:rPr>
          <w:noProof/>
          <w:lang w:val="en-IE"/>
        </w:rPr>
        <w:t xml:space="preserve"> and, since this is a call for 2024, applicants will be able to submit th</w:t>
      </w:r>
      <w:r w:rsidR="00EC3FA5" w:rsidRPr="00013BDC">
        <w:rPr>
          <w:noProof/>
          <w:lang w:val="en-IE"/>
        </w:rPr>
        <w:t>eir proposals by October 2023. More details on the topic are expe</w:t>
      </w:r>
      <w:r w:rsidR="7D02D3B8" w:rsidRPr="00013BDC">
        <w:rPr>
          <w:noProof/>
          <w:lang w:val="en-IE"/>
        </w:rPr>
        <w:t>c</w:t>
      </w:r>
      <w:r w:rsidR="00EC3FA5" w:rsidRPr="00013BDC">
        <w:rPr>
          <w:noProof/>
          <w:lang w:val="en-IE"/>
        </w:rPr>
        <w:t xml:space="preserve">ted once </w:t>
      </w:r>
      <w:r w:rsidRPr="00013BDC">
        <w:rPr>
          <w:noProof/>
          <w:lang w:val="en-IE"/>
        </w:rPr>
        <w:t>the WP has been published.</w:t>
      </w:r>
    </w:p>
    <w:p w14:paraId="3EE9EC27" w14:textId="77777777" w:rsidR="008119F7" w:rsidRPr="00013BDC" w:rsidRDefault="008119F7">
      <w:pPr>
        <w:spacing w:after="200" w:line="276" w:lineRule="auto"/>
        <w:jc w:val="left"/>
        <w:rPr>
          <w:rFonts w:eastAsia="Times New Roman"/>
          <w:b/>
          <w:noProof/>
          <w:szCs w:val="20"/>
          <w:lang w:val="en-IE"/>
        </w:rPr>
      </w:pPr>
      <w:bookmarkStart w:id="656" w:name="_Toc124777292"/>
      <w:bookmarkStart w:id="657" w:name="_Toc1525942090"/>
      <w:bookmarkStart w:id="658" w:name="_Toc1821872244"/>
      <w:bookmarkStart w:id="659" w:name="_Toc470509576"/>
      <w:bookmarkStart w:id="660" w:name="_Toc1493874667"/>
      <w:bookmarkStart w:id="661" w:name="_Toc1087752729"/>
      <w:bookmarkStart w:id="662" w:name="_Toc1736015826"/>
      <w:bookmarkStart w:id="663" w:name="_Toc14812542"/>
      <w:r w:rsidRPr="00013BDC">
        <w:rPr>
          <w:noProof/>
          <w:lang w:val="en-IE"/>
        </w:rPr>
        <w:br w:type="page"/>
      </w:r>
    </w:p>
    <w:p w14:paraId="3537FB77" w14:textId="65738A83" w:rsidR="0044444E" w:rsidRPr="00013BDC" w:rsidRDefault="00F64258" w:rsidP="00F64258">
      <w:pPr>
        <w:pStyle w:val="Heading2"/>
        <w:rPr>
          <w:noProof/>
          <w:lang w:val="en-IE"/>
        </w:rPr>
      </w:pPr>
      <w:bookmarkStart w:id="664" w:name="_Toc139032988"/>
      <w:r w:rsidRPr="00F64258">
        <w:t>2-</w:t>
      </w:r>
      <w:r w:rsidRPr="00F64258">
        <w:tab/>
      </w:r>
      <w:r w:rsidR="65509B51" w:rsidRPr="00013BDC">
        <w:rPr>
          <w:noProof/>
          <w:lang w:val="en-IE"/>
        </w:rPr>
        <w:t>Food Waste</w:t>
      </w:r>
      <w:bookmarkEnd w:id="656"/>
      <w:bookmarkEnd w:id="657"/>
      <w:bookmarkEnd w:id="658"/>
      <w:bookmarkEnd w:id="659"/>
      <w:bookmarkEnd w:id="660"/>
      <w:bookmarkEnd w:id="661"/>
      <w:bookmarkEnd w:id="662"/>
      <w:bookmarkEnd w:id="663"/>
      <w:bookmarkEnd w:id="664"/>
    </w:p>
    <w:p w14:paraId="69B3B638" w14:textId="4C928217" w:rsidR="6346B783" w:rsidRPr="00013BDC" w:rsidRDefault="6346B783">
      <w:pPr>
        <w:rPr>
          <w:rFonts w:eastAsia="Times New Roman"/>
          <w:noProof/>
          <w:lang w:val="en-IE"/>
        </w:rPr>
      </w:pPr>
      <w:r w:rsidRPr="00013BDC">
        <w:rPr>
          <w:rFonts w:eastAsia="Times New Roman"/>
          <w:noProof/>
          <w:lang w:val="en-IE"/>
        </w:rPr>
        <w:t xml:space="preserve">Food waste is one of the largest sources of inefficiency in the agri-food chain and depletes limited natural resources, such as land, water and biodiversity, on which the food system depends. FAO’s Food Loss Index (FLI) estimates that globally, around </w:t>
      </w:r>
      <w:r w:rsidRPr="00013BDC">
        <w:rPr>
          <w:rFonts w:eastAsia="Times New Roman"/>
          <w:b/>
          <w:noProof/>
          <w:lang w:val="en-IE"/>
        </w:rPr>
        <w:t>14 percent of all food produced</w:t>
      </w:r>
      <w:r w:rsidR="00943875" w:rsidRPr="00013BDC">
        <w:rPr>
          <w:rFonts w:eastAsia="Times New Roman"/>
          <w:b/>
          <w:noProof/>
          <w:lang w:val="en-IE"/>
        </w:rPr>
        <w:t xml:space="preserve"> </w:t>
      </w:r>
      <w:r w:rsidR="004F07B3" w:rsidRPr="00013BDC">
        <w:rPr>
          <w:rFonts w:eastAsia="Times New Roman"/>
          <w:noProof/>
          <w:lang w:val="en-IE"/>
        </w:rPr>
        <w:t>is lost from post-harvest up to, but not including the retail level</w:t>
      </w:r>
      <w:r w:rsidR="006554B6" w:rsidRPr="00013BDC">
        <w:rPr>
          <w:rStyle w:val="FootnoteReference"/>
          <w:rFonts w:eastAsia="Times New Roman"/>
          <w:b/>
          <w:noProof/>
          <w:lang w:val="en-IE"/>
        </w:rPr>
        <w:footnoteReference w:id="248"/>
      </w:r>
      <w:r w:rsidR="006554B6" w:rsidRPr="00013BDC">
        <w:rPr>
          <w:noProof/>
          <w:color w:val="2B579A"/>
          <w:lang w:val="en-IE"/>
        </w:rPr>
        <w:t>.</w:t>
      </w:r>
    </w:p>
    <w:p w14:paraId="7EA7071C" w14:textId="7769903C" w:rsidR="006554B6" w:rsidRPr="00013BDC" w:rsidRDefault="6346B783" w:rsidP="006554B6">
      <w:pPr>
        <w:spacing w:after="120"/>
        <w:rPr>
          <w:rFonts w:eastAsia="Times New Roman"/>
          <w:noProof/>
          <w:lang w:val="en-IE"/>
        </w:rPr>
      </w:pPr>
      <w:r w:rsidRPr="00013BDC">
        <w:rPr>
          <w:rFonts w:eastAsia="Times New Roman"/>
          <w:b/>
          <w:noProof/>
          <w:lang w:val="en-IE"/>
        </w:rPr>
        <w:t>Around 931 million tonnes</w:t>
      </w:r>
      <w:r w:rsidRPr="00013BDC">
        <w:rPr>
          <w:rFonts w:eastAsia="Times New Roman"/>
          <w:noProof/>
          <w:lang w:val="en-IE"/>
        </w:rPr>
        <w:t xml:space="preserve"> of food waste were generated in 2019 – 61% of which came from households, 26% from food service and 13% from retail – suggesting </w:t>
      </w:r>
      <w:r w:rsidRPr="00013BDC">
        <w:rPr>
          <w:rFonts w:eastAsia="Times New Roman"/>
          <w:b/>
          <w:noProof/>
          <w:lang w:val="en-IE"/>
        </w:rPr>
        <w:t>that 17% of global food production may be wasted</w:t>
      </w:r>
      <w:r w:rsidRPr="00013BDC">
        <w:rPr>
          <w:rFonts w:eastAsia="Times New Roman"/>
          <w:noProof/>
          <w:lang w:val="en-IE"/>
        </w:rPr>
        <w:t xml:space="preserve"> at these stages of the food supply chain</w:t>
      </w:r>
      <w:r w:rsidR="006554B6" w:rsidRPr="00013BDC">
        <w:rPr>
          <w:rStyle w:val="FootnoteReference"/>
          <w:rFonts w:eastAsia="Times New Roman"/>
          <w:noProof/>
          <w:lang w:val="en-IE"/>
        </w:rPr>
        <w:footnoteReference w:id="249"/>
      </w:r>
      <w:r w:rsidR="006554B6" w:rsidRPr="00013BDC">
        <w:rPr>
          <w:rFonts w:eastAsia="Times New Roman"/>
          <w:noProof/>
          <w:lang w:val="en-IE"/>
        </w:rPr>
        <w:t>.</w:t>
      </w:r>
    </w:p>
    <w:p w14:paraId="7706BC67" w14:textId="30321A55" w:rsidR="00794505" w:rsidRPr="00013BDC" w:rsidRDefault="00794505" w:rsidP="00CC7CDB">
      <w:pPr>
        <w:spacing w:after="100" w:afterAutospacing="1"/>
        <w:textAlignment w:val="baseline"/>
        <w:rPr>
          <w:rFonts w:eastAsia="Times New Roman"/>
          <w:noProof/>
          <w:color w:val="000000" w:themeColor="text1"/>
          <w:lang w:val="en-IE" w:eastAsia="en-IE"/>
        </w:rPr>
      </w:pPr>
      <w:r w:rsidRPr="00013BDC">
        <w:rPr>
          <w:rFonts w:eastAsia="Times New Roman"/>
          <w:noProof/>
          <w:color w:val="000000" w:themeColor="text1"/>
          <w:lang w:val="en-IE" w:eastAsia="en-IE"/>
        </w:rPr>
        <w:t>Tackling food loss and waste is key to achieving sustainability of the food system. However, food waste itself is just one aspect of a very complex system. In order to better understand how the food system functions, the figure below shows mass flows in the food system</w:t>
      </w:r>
      <w:r w:rsidR="00FD044E" w:rsidRPr="00013BDC">
        <w:rPr>
          <w:rStyle w:val="FootnoteReference"/>
          <w:rFonts w:eastAsia="Times New Roman"/>
          <w:noProof/>
          <w:color w:val="000000" w:themeColor="text1"/>
          <w:lang w:val="en-IE" w:eastAsia="en-IE"/>
        </w:rPr>
        <w:footnoteReference w:id="250"/>
      </w:r>
      <w:r w:rsidR="001B3383" w:rsidRPr="00013BDC">
        <w:rPr>
          <w:rFonts w:eastAsia="Times New Roman"/>
          <w:noProof/>
          <w:color w:val="000000" w:themeColor="text1"/>
          <w:vertAlign w:val="superscript"/>
          <w:lang w:val="en-IE" w:eastAsia="en-IE"/>
        </w:rPr>
        <w:t>,</w:t>
      </w:r>
      <w:r w:rsidR="00C06D3C" w:rsidRPr="00013BDC">
        <w:rPr>
          <w:rStyle w:val="FootnoteReference"/>
          <w:rFonts w:eastAsia="Times New Roman"/>
          <w:noProof/>
          <w:color w:val="000000" w:themeColor="text1"/>
          <w:lang w:val="en-IE" w:eastAsia="en-IE"/>
        </w:rPr>
        <w:footnoteReference w:id="251"/>
      </w:r>
      <w:r w:rsidRPr="00013BDC">
        <w:rPr>
          <w:rFonts w:eastAsia="Times New Roman"/>
          <w:noProof/>
          <w:color w:val="000000" w:themeColor="text1"/>
          <w:lang w:val="en-IE" w:eastAsia="en-IE"/>
        </w:rPr>
        <w:t>. It illustrates amounts of food produced, processed, distributed and consumed and shows the complexity of the system. This impact assessment analyses impacts of the food waste reduction targets on that whole system. </w:t>
      </w:r>
    </w:p>
    <w:p w14:paraId="5EF565D2" w14:textId="36CD6625" w:rsidR="006554B6" w:rsidRPr="00013BDC" w:rsidRDefault="006554B6" w:rsidP="006554B6">
      <w:pPr>
        <w:rPr>
          <w:i/>
          <w:noProof/>
          <w:lang w:val="en-IE"/>
        </w:rPr>
      </w:pPr>
      <w:bookmarkStart w:id="665" w:name="_Toc133229295"/>
      <w:bookmarkStart w:id="666" w:name="_Toc139033021"/>
      <w:r w:rsidRPr="00013BDC">
        <w:rPr>
          <w:rFonts w:eastAsia="Times New Roman"/>
          <w:i/>
          <w:noProof/>
          <w:lang w:val="en-IE"/>
        </w:rPr>
        <w:t xml:space="preserve">Figure </w:t>
      </w:r>
      <w:r w:rsidR="004C5576">
        <w:rPr>
          <w:rFonts w:eastAsia="Times New Roman"/>
          <w:i/>
          <w:iCs/>
          <w:noProof/>
        </w:rPr>
        <w:t>24</w:t>
      </w:r>
      <w:r w:rsidRPr="00013BDC">
        <w:rPr>
          <w:rFonts w:eastAsia="Times New Roman"/>
          <w:i/>
          <w:noProof/>
          <w:lang w:val="en-IE"/>
        </w:rPr>
        <w:t xml:space="preserve"> –</w:t>
      </w:r>
      <w:r w:rsidRPr="00013BDC">
        <w:rPr>
          <w:i/>
          <w:noProof/>
          <w:lang w:val="en-IE"/>
        </w:rPr>
        <w:t xml:space="preserve"> </w:t>
      </w:r>
      <w:hyperlink r:id="rId127">
        <w:r w:rsidRPr="00013BDC">
          <w:rPr>
            <w:rStyle w:val="Hyperlink"/>
            <w:rFonts w:eastAsia="Times New Roman"/>
            <w:i/>
            <w:noProof/>
            <w:lang w:val="en-IE" w:eastAsia="en-IE"/>
          </w:rPr>
          <w:t>Sankey diagram</w:t>
        </w:r>
      </w:hyperlink>
      <w:r w:rsidRPr="00013BDC">
        <w:rPr>
          <w:i/>
          <w:noProof/>
          <w:lang w:val="en-IE"/>
        </w:rPr>
        <w:t xml:space="preserve"> of the product flows and food waste generated along the Food Supply Chain in the EU27 in 2018</w:t>
      </w:r>
      <w:bookmarkEnd w:id="665"/>
      <w:bookmarkEnd w:id="666"/>
    </w:p>
    <w:p w14:paraId="5AE97876" w14:textId="7E5A1A33" w:rsidR="00794505" w:rsidRPr="00013BDC" w:rsidRDefault="00794505" w:rsidP="00F043F3">
      <w:pPr>
        <w:spacing w:after="0"/>
        <w:jc w:val="center"/>
        <w:textAlignment w:val="baseline"/>
        <w:rPr>
          <w:rFonts w:eastAsia="Times New Roman"/>
          <w:noProof/>
          <w:lang w:val="en-IE" w:eastAsia="en-IE"/>
        </w:rPr>
      </w:pPr>
      <w:r w:rsidRPr="00013BDC">
        <w:rPr>
          <w:noProof/>
          <w:color w:val="2B579A"/>
          <w:shd w:val="clear" w:color="auto" w:fill="E6E6E6"/>
          <w:lang w:eastAsia="en-GB"/>
        </w:rPr>
        <w:drawing>
          <wp:inline distT="0" distB="0" distL="0" distR="0" wp14:anchorId="693EABD9" wp14:editId="2453981F">
            <wp:extent cx="4572000" cy="2657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2000" cy="2657475"/>
                    </a:xfrm>
                    <a:prstGeom prst="rect">
                      <a:avLst/>
                    </a:prstGeom>
                    <a:noFill/>
                    <a:ln>
                      <a:noFill/>
                    </a:ln>
                  </pic:spPr>
                </pic:pic>
              </a:graphicData>
            </a:graphic>
          </wp:inline>
        </w:drawing>
      </w:r>
    </w:p>
    <w:p w14:paraId="49BF21FB" w14:textId="77777777" w:rsidR="00794505" w:rsidRPr="00013BDC" w:rsidRDefault="00794505" w:rsidP="00794505">
      <w:pPr>
        <w:spacing w:after="0"/>
        <w:textAlignment w:val="baseline"/>
        <w:rPr>
          <w:rFonts w:eastAsia="Times New Roman"/>
          <w:noProof/>
          <w:lang w:val="en-IE" w:eastAsia="en-IE"/>
        </w:rPr>
      </w:pPr>
    </w:p>
    <w:p w14:paraId="44876F3A" w14:textId="35C61B43" w:rsidR="00794505" w:rsidRPr="00013BDC" w:rsidRDefault="00794505" w:rsidP="00794505">
      <w:pPr>
        <w:spacing w:after="0"/>
        <w:textAlignment w:val="baseline"/>
        <w:rPr>
          <w:rFonts w:eastAsia="Times New Roman"/>
          <w:noProof/>
          <w:lang w:val="en-IE" w:eastAsia="en-IE"/>
        </w:rPr>
      </w:pPr>
      <w:r w:rsidRPr="00013BDC">
        <w:rPr>
          <w:rFonts w:eastAsia="Times New Roman"/>
          <w:noProof/>
          <w:lang w:val="en-IE" w:eastAsia="en-IE"/>
        </w:rPr>
        <w:t>The diagram contains feed and food flows, excluding soft drinks, mineral waters and some non-perishable </w:t>
      </w:r>
      <w:hyperlink r:id="rId129">
        <w:r w:rsidRPr="00013BDC">
          <w:rPr>
            <w:rStyle w:val="Hyperlink"/>
            <w:rFonts w:eastAsia="Times New Roman"/>
            <w:noProof/>
            <w:lang w:val="en-IE" w:eastAsia="en-IE"/>
          </w:rPr>
          <w:t>foodstuffs</w:t>
        </w:r>
      </w:hyperlink>
      <w:r w:rsidRPr="00013BDC">
        <w:rPr>
          <w:rFonts w:eastAsia="Times New Roman"/>
          <w:noProof/>
          <w:lang w:val="en-IE" w:eastAsia="en-IE"/>
        </w:rPr>
        <w:t xml:space="preserve"> (salt, coffee, etc.). </w:t>
      </w:r>
    </w:p>
    <w:p w14:paraId="1AC2E422" w14:textId="77777777" w:rsidR="00794505" w:rsidRPr="00013BDC" w:rsidRDefault="00794505" w:rsidP="00794505">
      <w:pPr>
        <w:spacing w:after="0"/>
        <w:textAlignment w:val="baseline"/>
        <w:rPr>
          <w:rFonts w:eastAsia="Times New Roman"/>
          <w:noProof/>
          <w:lang w:val="en-IE" w:eastAsia="en-IE"/>
        </w:rPr>
      </w:pPr>
    </w:p>
    <w:p w14:paraId="41B69A95" w14:textId="77777777" w:rsidR="00794505" w:rsidRPr="00013BDC" w:rsidRDefault="00794505" w:rsidP="642A503B">
      <w:pPr>
        <w:spacing w:after="120"/>
        <w:textAlignment w:val="baseline"/>
        <w:rPr>
          <w:rFonts w:eastAsia="Times New Roman"/>
          <w:noProof/>
          <w:color w:val="000000" w:themeColor="text1"/>
          <w:lang w:val="en-IE" w:eastAsia="en-IE"/>
        </w:rPr>
      </w:pPr>
      <w:r w:rsidRPr="00013BDC">
        <w:rPr>
          <w:rFonts w:eastAsia="Times New Roman"/>
          <w:noProof/>
          <w:color w:val="000000" w:themeColor="text1"/>
          <w:lang w:val="en-IE" w:eastAsia="en-IE"/>
        </w:rPr>
        <w:t>What exactly is food waste? There are several definitions of food waste (or food loss and waste) in the literature. Usually, these definitions are used to focus on specific challenges linked to food.  </w:t>
      </w:r>
    </w:p>
    <w:p w14:paraId="155522BE" w14:textId="605DC5ED" w:rsidR="00794505" w:rsidRPr="00013BDC" w:rsidRDefault="00794505" w:rsidP="642A503B">
      <w:pPr>
        <w:spacing w:after="120"/>
        <w:textAlignment w:val="baseline"/>
        <w:rPr>
          <w:rFonts w:eastAsia="Times New Roman"/>
          <w:noProof/>
          <w:color w:val="000000" w:themeColor="text1"/>
          <w:lang w:val="en-IE" w:eastAsia="en-IE"/>
        </w:rPr>
      </w:pPr>
      <w:r w:rsidRPr="00013BDC">
        <w:rPr>
          <w:rFonts w:eastAsia="Times New Roman"/>
          <w:noProof/>
          <w:color w:val="000000" w:themeColor="text1"/>
          <w:lang w:val="en-IE" w:eastAsia="en-IE"/>
        </w:rPr>
        <w:t xml:space="preserve">EU policy started from a focus on environmental aspects of management of food waste, by gradually limiting the landfilling of biodegradable municipal waste. Further studies on </w:t>
      </w:r>
      <w:r w:rsidR="005E57D5" w:rsidRPr="00013BDC">
        <w:rPr>
          <w:rFonts w:eastAsia="Times New Roman"/>
          <w:noProof/>
          <w:color w:val="000000" w:themeColor="text1"/>
          <w:lang w:val="en-IE" w:eastAsia="en-IE"/>
        </w:rPr>
        <w:t>the</w:t>
      </w:r>
      <w:r w:rsidRPr="00013BDC">
        <w:rPr>
          <w:rFonts w:eastAsia="Times New Roman"/>
          <w:noProof/>
          <w:color w:val="000000" w:themeColor="text1"/>
          <w:lang w:val="en-IE" w:eastAsia="en-IE"/>
        </w:rPr>
        <w:t xml:space="preserve"> environmental footprint of different materials, identified food as one of the priority streams for waste prevention due to very high environmental impacts linked to its production and consumption. In their assessment of the environmental impacts of production and consumption, the UNEP International Resource Panel concluded that agriculture and food consumption are among the most important drivers of environmental pressures comparable in magnitude only to fossil fuels.</w:t>
      </w:r>
      <w:r w:rsidRPr="00013BDC">
        <w:rPr>
          <w:rStyle w:val="FootnoteReference"/>
          <w:rFonts w:eastAsia="Times New Roman"/>
          <w:noProof/>
          <w:color w:val="000000" w:themeColor="text1"/>
          <w:lang w:val="en-IE" w:eastAsia="en-IE"/>
        </w:rPr>
        <w:footnoteReference w:id="252"/>
      </w:r>
      <w:r w:rsidRPr="00013BDC">
        <w:rPr>
          <w:rFonts w:eastAsia="Times New Roman"/>
          <w:noProof/>
          <w:color w:val="000000" w:themeColor="text1"/>
          <w:lang w:val="en-IE" w:eastAsia="en-IE"/>
        </w:rPr>
        <w:t xml:space="preserve"> </w:t>
      </w:r>
    </w:p>
    <w:p w14:paraId="7E2299FA" w14:textId="42FB5261" w:rsidR="00794505" w:rsidRPr="00013BDC" w:rsidRDefault="00794505" w:rsidP="00794505">
      <w:pPr>
        <w:spacing w:after="0"/>
        <w:textAlignment w:val="baseline"/>
        <w:rPr>
          <w:rFonts w:eastAsia="Times New Roman"/>
          <w:noProof/>
          <w:lang w:val="en-IE" w:eastAsia="en-IE"/>
        </w:rPr>
      </w:pPr>
      <w:r w:rsidRPr="00013BDC">
        <w:rPr>
          <w:rFonts w:eastAsia="Times New Roman"/>
          <w:noProof/>
          <w:lang w:val="en-IE" w:eastAsia="en-IE"/>
        </w:rPr>
        <w:t>On the other hand, preventing food waste was also assessed as a key priority from the point of view of nutrition and food security, especially in developing countries. This approach led to defining food waste not by tons of food waste produced but rather that of nutrition lost (not necessarily limited to that food ending up as waste), such as crops which have not been harvested. Some definitions and measurement include economic value of lost food (e.g.</w:t>
      </w:r>
      <w:r w:rsidR="0044164A" w:rsidRPr="00013BDC">
        <w:rPr>
          <w:rFonts w:eastAsia="Times New Roman"/>
          <w:noProof/>
          <w:lang w:val="en-IE" w:eastAsia="en-IE"/>
        </w:rPr>
        <w:t>,</w:t>
      </w:r>
      <w:r w:rsidRPr="00013BDC">
        <w:rPr>
          <w:rFonts w:eastAsia="Times New Roman"/>
          <w:noProof/>
          <w:lang w:val="en-IE" w:eastAsia="en-IE"/>
        </w:rPr>
        <w:t xml:space="preserve"> Food Loss Index). Finally, even overconsumption, beyond actual dietary requirements, could be considered as a form of food loss and waste. (source: SOFA 2019). </w:t>
      </w:r>
    </w:p>
    <w:p w14:paraId="107A0C8D" w14:textId="087CF4C1" w:rsidR="00794505" w:rsidRPr="00013BDC" w:rsidRDefault="00794505" w:rsidP="00991A07">
      <w:pPr>
        <w:textAlignment w:val="baseline"/>
        <w:rPr>
          <w:rFonts w:eastAsia="Times New Roman"/>
          <w:noProof/>
          <w:lang w:val="en-IE" w:eastAsia="en-IE"/>
        </w:rPr>
      </w:pPr>
      <w:r w:rsidRPr="00013BDC">
        <w:rPr>
          <w:rFonts w:eastAsia="Times New Roman"/>
          <w:noProof/>
          <w:lang w:val="en-IE" w:eastAsia="en-IE"/>
        </w:rPr>
        <w:t>The FAO SOFA</w:t>
      </w:r>
      <w:r w:rsidR="00CC3EC0" w:rsidRPr="00013BDC">
        <w:rPr>
          <w:rFonts w:eastAsia="Times New Roman"/>
          <w:noProof/>
          <w:lang w:val="en-IE" w:eastAsia="en-IE"/>
        </w:rPr>
        <w:t xml:space="preserve"> </w:t>
      </w:r>
      <w:r w:rsidRPr="00013BDC">
        <w:rPr>
          <w:rFonts w:eastAsia="Times New Roman"/>
          <w:noProof/>
          <w:lang w:val="en-IE" w:eastAsia="en-IE"/>
        </w:rPr>
        <w:t>report includes the following conceptual framework for food loss and waste. This concept is also used in EU legislation, although it is subject to further clarification.  </w:t>
      </w:r>
    </w:p>
    <w:p w14:paraId="2386941B" w14:textId="71DB9CE0" w:rsidR="00991A07" w:rsidRPr="00013BDC" w:rsidRDefault="00991A07" w:rsidP="00991A07">
      <w:pPr>
        <w:rPr>
          <w:i/>
          <w:noProof/>
          <w:lang w:val="en-IE"/>
        </w:rPr>
      </w:pPr>
      <w:bookmarkStart w:id="667" w:name="_Toc133229296"/>
      <w:bookmarkStart w:id="668" w:name="_Toc139033022"/>
      <w:r w:rsidRPr="00013BDC">
        <w:rPr>
          <w:rFonts w:eastAsia="Times New Roman"/>
          <w:i/>
          <w:noProof/>
          <w:lang w:val="en-IE"/>
        </w:rPr>
        <w:t xml:space="preserve">Figure </w:t>
      </w:r>
      <w:r w:rsidR="004C5576">
        <w:rPr>
          <w:rFonts w:eastAsia="Times New Roman"/>
          <w:i/>
          <w:iCs/>
          <w:noProof/>
        </w:rPr>
        <w:t>25</w:t>
      </w:r>
      <w:r w:rsidRPr="00013BDC">
        <w:rPr>
          <w:rFonts w:eastAsia="Times New Roman"/>
          <w:i/>
          <w:noProof/>
          <w:lang w:val="en-IE"/>
        </w:rPr>
        <w:t xml:space="preserve"> –</w:t>
      </w:r>
      <w:r w:rsidRPr="00013BDC">
        <w:rPr>
          <w:i/>
          <w:noProof/>
          <w:lang w:val="en-IE"/>
        </w:rPr>
        <w:t xml:space="preserve"> Conceptual framework for food loss and food waste</w:t>
      </w:r>
      <w:bookmarkEnd w:id="667"/>
      <w:bookmarkEnd w:id="668"/>
    </w:p>
    <w:p w14:paraId="35403319" w14:textId="18EDD301" w:rsidR="00794505" w:rsidRPr="00013BDC" w:rsidRDefault="00794505" w:rsidP="00991A07">
      <w:pPr>
        <w:spacing w:after="0"/>
        <w:jc w:val="center"/>
        <w:textAlignment w:val="baseline"/>
        <w:rPr>
          <w:rFonts w:eastAsia="Times New Roman"/>
          <w:noProof/>
          <w:lang w:val="en-IE" w:eastAsia="en-IE"/>
        </w:rPr>
      </w:pPr>
      <w:r w:rsidRPr="00013BDC">
        <w:rPr>
          <w:noProof/>
          <w:color w:val="2B579A"/>
          <w:shd w:val="clear" w:color="auto" w:fill="E6E6E6"/>
          <w:lang w:eastAsia="en-GB"/>
        </w:rPr>
        <w:drawing>
          <wp:inline distT="0" distB="0" distL="0" distR="0" wp14:anchorId="35FFB381" wp14:editId="2D963854">
            <wp:extent cx="4829175" cy="397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29175" cy="3971925"/>
                    </a:xfrm>
                    <a:prstGeom prst="rect">
                      <a:avLst/>
                    </a:prstGeom>
                    <a:noFill/>
                    <a:ln>
                      <a:noFill/>
                    </a:ln>
                  </pic:spPr>
                </pic:pic>
              </a:graphicData>
            </a:graphic>
          </wp:inline>
        </w:drawing>
      </w:r>
    </w:p>
    <w:p w14:paraId="26892CEB" w14:textId="594C906A" w:rsidR="00794505" w:rsidRPr="00013BDC" w:rsidRDefault="00991A07" w:rsidP="00991A07">
      <w:pPr>
        <w:spacing w:after="0"/>
        <w:jc w:val="center"/>
        <w:textAlignment w:val="baseline"/>
        <w:rPr>
          <w:rFonts w:eastAsia="Times New Roman"/>
          <w:noProof/>
          <w:sz w:val="22"/>
          <w:szCs w:val="22"/>
          <w:lang w:val="en-IE" w:eastAsia="en-IE"/>
        </w:rPr>
      </w:pPr>
      <w:r w:rsidRPr="00013BDC">
        <w:rPr>
          <w:rFonts w:eastAsia="Times New Roman"/>
          <w:noProof/>
          <w:sz w:val="22"/>
          <w:szCs w:val="22"/>
          <w:lang w:val="en-IE" w:eastAsia="en-IE"/>
        </w:rPr>
        <w:t>Source</w:t>
      </w:r>
      <w:r w:rsidR="00794505" w:rsidRPr="00013BDC">
        <w:rPr>
          <w:rFonts w:eastAsia="Times New Roman"/>
          <w:noProof/>
          <w:sz w:val="22"/>
          <w:szCs w:val="22"/>
          <w:lang w:val="en-IE" w:eastAsia="en-IE"/>
        </w:rPr>
        <w:t>: SOFA, 2019</w:t>
      </w:r>
    </w:p>
    <w:p w14:paraId="778D0DA8" w14:textId="77777777" w:rsidR="00794505" w:rsidRPr="00013BDC" w:rsidRDefault="00794505" w:rsidP="00794505">
      <w:pPr>
        <w:spacing w:after="0"/>
        <w:textAlignment w:val="baseline"/>
        <w:rPr>
          <w:rFonts w:eastAsia="Times New Roman"/>
          <w:noProof/>
          <w:lang w:val="en-IE" w:eastAsia="en-IE"/>
        </w:rPr>
      </w:pPr>
    </w:p>
    <w:p w14:paraId="7951E183" w14:textId="2549AD4B" w:rsidR="00794505" w:rsidRPr="00013BDC" w:rsidRDefault="00794505" w:rsidP="00794505">
      <w:pPr>
        <w:spacing w:after="0"/>
        <w:textAlignment w:val="baseline"/>
        <w:rPr>
          <w:rFonts w:eastAsia="Times New Roman"/>
          <w:noProof/>
          <w:lang w:val="en-IE" w:eastAsia="en-IE"/>
        </w:rPr>
      </w:pPr>
      <w:r w:rsidRPr="00013BDC">
        <w:rPr>
          <w:rFonts w:eastAsia="Times New Roman"/>
          <w:noProof/>
          <w:lang w:val="en-IE" w:eastAsia="en-IE"/>
        </w:rPr>
        <w:t>In the WFD</w:t>
      </w:r>
      <w:r w:rsidR="00760E0E" w:rsidRPr="00013BDC">
        <w:rPr>
          <w:rFonts w:eastAsia="Times New Roman"/>
          <w:noProof/>
          <w:lang w:val="en-IE" w:eastAsia="en-IE"/>
        </w:rPr>
        <w:t>,</w:t>
      </w:r>
      <w:r w:rsidRPr="00013BDC">
        <w:rPr>
          <w:rFonts w:eastAsia="Times New Roman"/>
          <w:noProof/>
          <w:lang w:val="en-IE" w:eastAsia="en-IE"/>
        </w:rPr>
        <w:t xml:space="preserve"> food waste is defined as food (in the meaning of General Food Law</w:t>
      </w:r>
      <w:r w:rsidRPr="00013BDC">
        <w:rPr>
          <w:rStyle w:val="FootnoteReference"/>
          <w:rFonts w:eastAsia="Times New Roman"/>
          <w:noProof/>
          <w:lang w:val="en-IE" w:eastAsia="en-IE"/>
        </w:rPr>
        <w:footnoteReference w:id="253"/>
      </w:r>
      <w:r w:rsidRPr="00013BDC">
        <w:rPr>
          <w:rFonts w:eastAsia="Times New Roman"/>
          <w:noProof/>
          <w:color w:val="333333"/>
          <w:lang w:val="en-IE" w:eastAsia="en-IE"/>
        </w:rPr>
        <w:t xml:space="preserve"> </w:t>
      </w:r>
      <w:r w:rsidRPr="00013BDC">
        <w:rPr>
          <w:rFonts w:eastAsia="Times New Roman"/>
          <w:noProof/>
          <w:lang w:val="en-IE" w:eastAsia="en-IE"/>
        </w:rPr>
        <w:t>which has been disposed of as a waste (as defined in the WFD). This approach is largely based on the result of the FUSIONS research project, fits the existing regulatory framework on food and on waste and uses, to the extent possible, existing reporting and policy frameworks (e.g.</w:t>
      </w:r>
      <w:r w:rsidR="0044164A" w:rsidRPr="00013BDC">
        <w:rPr>
          <w:rFonts w:eastAsia="Times New Roman"/>
          <w:noProof/>
          <w:lang w:val="en-IE" w:eastAsia="en-IE"/>
        </w:rPr>
        <w:t>,</w:t>
      </w:r>
      <w:r w:rsidRPr="00013BDC">
        <w:rPr>
          <w:rFonts w:eastAsia="Times New Roman"/>
          <w:noProof/>
          <w:lang w:val="en-IE" w:eastAsia="en-IE"/>
        </w:rPr>
        <w:t xml:space="preserve"> Waste Statistics or Waste Prevention Programmes) in order to allow both stakeholders as well as Member States to quickly adopt the new definition and measurement of the problem. </w:t>
      </w:r>
    </w:p>
    <w:p w14:paraId="6875B8B9" w14:textId="77777777" w:rsidR="00D950CC" w:rsidRPr="00013BDC" w:rsidRDefault="00794505" w:rsidP="00794505">
      <w:pPr>
        <w:spacing w:after="0"/>
        <w:textAlignment w:val="baseline"/>
        <w:rPr>
          <w:rFonts w:eastAsia="Times New Roman"/>
          <w:noProof/>
          <w:color w:val="000000" w:themeColor="text1"/>
          <w:lang w:val="en-IE" w:eastAsia="en-IE"/>
        </w:rPr>
      </w:pPr>
      <w:r w:rsidRPr="00013BDC">
        <w:rPr>
          <w:rFonts w:eastAsia="Times New Roman"/>
          <w:noProof/>
          <w:lang w:val="en-IE" w:eastAsia="en-IE"/>
        </w:rPr>
        <w:t>It is important</w:t>
      </w:r>
      <w:r w:rsidR="00CC3EC0" w:rsidRPr="00013BDC">
        <w:rPr>
          <w:rFonts w:eastAsia="Times New Roman"/>
          <w:noProof/>
          <w:lang w:val="en-IE" w:eastAsia="en-IE"/>
        </w:rPr>
        <w:t xml:space="preserve"> </w:t>
      </w:r>
      <w:r w:rsidRPr="00013BDC">
        <w:rPr>
          <w:rFonts w:eastAsia="Times New Roman"/>
          <w:noProof/>
          <w:lang w:val="en-IE" w:eastAsia="en-IE"/>
        </w:rPr>
        <w:t>to remember that</w:t>
      </w:r>
      <w:r w:rsidR="00CC3EC0" w:rsidRPr="00013BDC">
        <w:rPr>
          <w:rFonts w:eastAsia="Times New Roman"/>
          <w:noProof/>
          <w:lang w:val="en-IE" w:eastAsia="en-IE"/>
        </w:rPr>
        <w:t xml:space="preserve"> </w:t>
      </w:r>
      <w:r w:rsidRPr="00013BDC">
        <w:rPr>
          <w:rFonts w:eastAsia="Times New Roman"/>
          <w:noProof/>
          <w:lang w:val="en-IE" w:eastAsia="en-IE"/>
        </w:rPr>
        <w:t>t</w:t>
      </w:r>
      <w:r w:rsidRPr="00013BDC">
        <w:rPr>
          <w:rFonts w:eastAsia="Times New Roman"/>
          <w:noProof/>
          <w:color w:val="333333"/>
          <w:lang w:val="en-IE" w:eastAsia="en-IE"/>
        </w:rPr>
        <w:t xml:space="preserve">he definition of ‘food’ encompasses food as a whole, along the entire </w:t>
      </w:r>
      <w:r w:rsidRPr="00013BDC">
        <w:rPr>
          <w:rFonts w:eastAsia="Times New Roman"/>
          <w:noProof/>
          <w:color w:val="000000" w:themeColor="text1"/>
          <w:lang w:val="en-IE" w:eastAsia="en-IE"/>
        </w:rPr>
        <w:t xml:space="preserve">food supply chain from production until consumption. Food also includes inedible parts, where those were not separated from the edible parts when the food was produced, such as bones attached to meat destined for human consumption. Hence, food waste can comprise items which include parts of food intended to be ingested and parts of food not intended to be ingested. </w:t>
      </w:r>
    </w:p>
    <w:p w14:paraId="5545459E" w14:textId="0B44AB3C" w:rsidR="00794505" w:rsidRPr="00013BDC" w:rsidRDefault="00D950CC" w:rsidP="00794505">
      <w:pPr>
        <w:spacing w:after="0"/>
        <w:textAlignment w:val="baseline"/>
        <w:rPr>
          <w:rFonts w:eastAsia="Times New Roman"/>
          <w:noProof/>
          <w:color w:val="000000" w:themeColor="text1"/>
          <w:lang w:val="en-IE" w:eastAsia="en-IE"/>
        </w:rPr>
      </w:pPr>
      <w:r w:rsidRPr="00013BDC">
        <w:rPr>
          <w:rFonts w:eastAsia="Times New Roman"/>
          <w:noProof/>
          <w:color w:val="000000" w:themeColor="text1"/>
          <w:lang w:val="en-IE" w:eastAsia="en-IE"/>
        </w:rPr>
        <w:t>Food waste</w:t>
      </w:r>
      <w:r w:rsidR="00794505" w:rsidRPr="00013BDC">
        <w:rPr>
          <w:rFonts w:eastAsia="Times New Roman"/>
          <w:noProof/>
          <w:color w:val="000000" w:themeColor="text1"/>
          <w:lang w:val="en-IE" w:eastAsia="en-IE"/>
        </w:rPr>
        <w:t xml:space="preserve"> includes: </w:t>
      </w:r>
    </w:p>
    <w:p w14:paraId="5D8C8EF2" w14:textId="0B034BA6" w:rsidR="00794505" w:rsidRPr="00013BDC" w:rsidRDefault="00794505" w:rsidP="00197A1E">
      <w:pPr>
        <w:pStyle w:val="ListParagraph"/>
        <w:numPr>
          <w:ilvl w:val="0"/>
          <w:numId w:val="183"/>
        </w:numPr>
        <w:spacing w:after="0"/>
        <w:textAlignment w:val="baseline"/>
        <w:rPr>
          <w:rFonts w:eastAsia="Times New Roman"/>
          <w:noProof/>
          <w:color w:val="000000" w:themeColor="text1"/>
          <w:lang w:val="en-IE" w:eastAsia="en-IE"/>
        </w:rPr>
      </w:pPr>
      <w:r w:rsidRPr="00013BDC">
        <w:rPr>
          <w:rFonts w:eastAsia="Times New Roman"/>
          <w:noProof/>
          <w:color w:val="000000" w:themeColor="text1"/>
          <w:lang w:val="en-IE" w:eastAsia="en-IE"/>
        </w:rPr>
        <w:t>Whole foods or parts of food that people could eat but are thrown away. This could be, for example, milk spilled in a dairy factory; unsold vegetables in a supermarket; food prepared at home and not eaten; or leftovers discarded after a restaurant meal. (This is a fraction of food waste that could be reduced or, ideally, avoided almost completely.)  </w:t>
      </w:r>
    </w:p>
    <w:p w14:paraId="7454BDDE" w14:textId="6FDDF930" w:rsidR="00794505" w:rsidRPr="00013BDC" w:rsidRDefault="00794505" w:rsidP="00197A1E">
      <w:pPr>
        <w:pStyle w:val="ListParagraph"/>
        <w:numPr>
          <w:ilvl w:val="0"/>
          <w:numId w:val="183"/>
        </w:numPr>
        <w:spacing w:after="0"/>
        <w:textAlignment w:val="baseline"/>
        <w:rPr>
          <w:rFonts w:eastAsia="Times New Roman"/>
          <w:noProof/>
          <w:color w:val="000000" w:themeColor="text1"/>
          <w:lang w:val="en-IE" w:eastAsia="en-IE"/>
        </w:rPr>
      </w:pPr>
      <w:r w:rsidRPr="00013BDC">
        <w:rPr>
          <w:rFonts w:eastAsia="Times New Roman"/>
          <w:noProof/>
          <w:color w:val="000000" w:themeColor="text1"/>
          <w:lang w:val="en-IE" w:eastAsia="en-IE"/>
        </w:rPr>
        <w:t xml:space="preserve">Elements associated with food – such as fish bones, eggshells, or fruit pits – that are not intended to be eaten. The notion of “inedible parts” varies from one place to another, or from one group to another. For example, some people peel apples while others will eat the whole fruit, including the core and seeds. In some countries, people consider chicken feet as food, and in other places, they’ll typically throw them away. (This inedible fraction could be reduced, for instance by avoiding excessive peeling of vegetables, but cannot be entirely avoided. However, the way </w:t>
      </w:r>
      <w:r w:rsidR="00FE7BC4" w:rsidRPr="00013BDC">
        <w:rPr>
          <w:rFonts w:eastAsia="Times New Roman"/>
          <w:noProof/>
          <w:color w:val="000000" w:themeColor="text1"/>
          <w:lang w:val="en-IE" w:eastAsia="en-IE"/>
        </w:rPr>
        <w:t>that such food waste is handled and recycled can be improved</w:t>
      </w:r>
      <w:r w:rsidRPr="00013BDC">
        <w:rPr>
          <w:rFonts w:eastAsia="Times New Roman"/>
          <w:noProof/>
          <w:color w:val="000000" w:themeColor="text1"/>
          <w:lang w:val="en-IE" w:eastAsia="en-IE"/>
        </w:rPr>
        <w:t>)   </w:t>
      </w:r>
    </w:p>
    <w:p w14:paraId="4443FC68" w14:textId="77777777" w:rsidR="00FE7BC4" w:rsidRPr="00013BDC" w:rsidRDefault="00FE7BC4" w:rsidP="00794505">
      <w:pPr>
        <w:spacing w:after="0"/>
        <w:textAlignment w:val="baseline"/>
        <w:rPr>
          <w:rFonts w:eastAsia="Times New Roman"/>
          <w:noProof/>
          <w:color w:val="000000" w:themeColor="text1"/>
          <w:lang w:val="en-IE" w:eastAsia="en-IE"/>
        </w:rPr>
      </w:pPr>
    </w:p>
    <w:p w14:paraId="3E2C03B9" w14:textId="442F4EE3" w:rsidR="00794505" w:rsidRPr="00013BDC" w:rsidRDefault="00794505" w:rsidP="00794505">
      <w:pPr>
        <w:spacing w:after="0"/>
        <w:textAlignment w:val="baseline"/>
        <w:rPr>
          <w:rFonts w:eastAsia="Times New Roman"/>
          <w:noProof/>
          <w:color w:val="000000" w:themeColor="text1"/>
          <w:lang w:val="en-IE" w:eastAsia="en-IE"/>
        </w:rPr>
      </w:pPr>
      <w:r w:rsidRPr="00013BDC">
        <w:rPr>
          <w:rFonts w:eastAsia="Times New Roman"/>
          <w:noProof/>
          <w:color w:val="000000" w:themeColor="text1"/>
          <w:lang w:val="en-IE" w:eastAsia="en-IE"/>
        </w:rPr>
        <w:t>Due to variability in what part of food is considered “edible” and what is “inedible” and the complexity of measuring such fractions, the EU reporting framework requires only reporting of total food waste. Therefore, it is more practical to set a food waste reduction target on both edible and inedible food waste – i.e. on total food waste.  </w:t>
      </w:r>
      <w:r w:rsidR="00825811" w:rsidRPr="00013BDC">
        <w:rPr>
          <w:rFonts w:eastAsia="Times New Roman"/>
          <w:noProof/>
          <w:color w:val="000000" w:themeColor="text1"/>
          <w:lang w:val="en-IE" w:eastAsia="en-IE"/>
        </w:rPr>
        <w:t> </w:t>
      </w:r>
    </w:p>
    <w:p w14:paraId="13F6E315" w14:textId="77777777" w:rsidR="00FE7BC4" w:rsidRPr="00013BDC" w:rsidRDefault="00FE7BC4" w:rsidP="00794505">
      <w:pPr>
        <w:spacing w:after="0"/>
        <w:textAlignment w:val="baseline"/>
        <w:rPr>
          <w:rFonts w:eastAsia="Times New Roman"/>
          <w:noProof/>
          <w:color w:val="000000" w:themeColor="text1"/>
          <w:lang w:val="en-IE" w:eastAsia="en-IE"/>
        </w:rPr>
      </w:pPr>
    </w:p>
    <w:p w14:paraId="3997B1B1" w14:textId="517FA1F5" w:rsidR="00794505" w:rsidRPr="00013BDC" w:rsidRDefault="00794505" w:rsidP="00794505">
      <w:pPr>
        <w:spacing w:after="0"/>
        <w:textAlignment w:val="baseline"/>
        <w:rPr>
          <w:rFonts w:eastAsia="Times New Roman"/>
          <w:noProof/>
          <w:color w:val="000000" w:themeColor="text1"/>
          <w:lang w:val="en-IE" w:eastAsia="en-IE"/>
        </w:rPr>
      </w:pPr>
      <w:r w:rsidRPr="00013BDC">
        <w:rPr>
          <w:rFonts w:eastAsia="Times New Roman"/>
          <w:noProof/>
          <w:color w:val="000000" w:themeColor="text1"/>
          <w:lang w:val="en-IE" w:eastAsia="en-IE"/>
        </w:rPr>
        <w:t xml:space="preserve">Reference to </w:t>
      </w:r>
      <w:r w:rsidR="000B68A1" w:rsidRPr="00013BDC">
        <w:rPr>
          <w:rFonts w:eastAsia="Times New Roman"/>
          <w:noProof/>
          <w:color w:val="000000" w:themeColor="text1"/>
          <w:lang w:val="en-IE" w:eastAsia="en-IE"/>
        </w:rPr>
        <w:t>the</w:t>
      </w:r>
      <w:r w:rsidRPr="00013BDC">
        <w:rPr>
          <w:rFonts w:eastAsia="Times New Roman"/>
          <w:noProof/>
          <w:color w:val="000000" w:themeColor="text1"/>
          <w:lang w:val="en-IE" w:eastAsia="en-IE"/>
        </w:rPr>
        <w:t xml:space="preserve"> EU definition of food excludes materials which are lost before they become food. Food losses occurring in primary production before crops and/or animals become “food”– that is, at the stage prior to crops being harvested or during the rearing of farmed animals – are not accounted for as food under EU legislation. These can include pre-harvest losses (whether these are due for instance to unfavourable climate or destruction by pests or not harvested for economical or technical reasons), food which was not allowed to enter the market due to contamination, animals affected with diseases etc. </w:t>
      </w:r>
    </w:p>
    <w:p w14:paraId="271D7357" w14:textId="77777777" w:rsidR="000B68A1" w:rsidRPr="00013BDC" w:rsidRDefault="000B68A1" w:rsidP="00794505">
      <w:pPr>
        <w:spacing w:after="0"/>
        <w:textAlignment w:val="baseline"/>
        <w:rPr>
          <w:rFonts w:eastAsia="Times New Roman"/>
          <w:noProof/>
          <w:color w:val="000000" w:themeColor="text1"/>
          <w:lang w:val="en-IE" w:eastAsia="en-IE"/>
        </w:rPr>
      </w:pPr>
    </w:p>
    <w:p w14:paraId="0B8892D8" w14:textId="08099B10" w:rsidR="00794505" w:rsidRPr="00013BDC" w:rsidRDefault="00794505" w:rsidP="00794505">
      <w:pPr>
        <w:spacing w:after="0"/>
        <w:textAlignment w:val="baseline"/>
        <w:rPr>
          <w:rFonts w:eastAsia="Times New Roman"/>
          <w:noProof/>
          <w:color w:val="000000" w:themeColor="text1"/>
          <w:lang w:val="en-IE" w:eastAsia="en-IE"/>
        </w:rPr>
      </w:pPr>
      <w:r w:rsidRPr="00013BDC">
        <w:rPr>
          <w:rFonts w:eastAsia="Times New Roman"/>
          <w:noProof/>
          <w:color w:val="000000" w:themeColor="text1"/>
          <w:lang w:val="en-IE" w:eastAsia="en-IE"/>
        </w:rPr>
        <w:t>Neither does food waste include material which is not waste; for example, surplus food that is recovered from the food supply chain and redistributed to those in need through – food donation or by-products that are used for animal feed or non-food product</w:t>
      </w:r>
      <w:r w:rsidR="000B68A1" w:rsidRPr="00013BDC">
        <w:rPr>
          <w:rFonts w:eastAsia="Times New Roman"/>
          <w:noProof/>
          <w:color w:val="000000" w:themeColor="text1"/>
          <w:lang w:val="en-IE" w:eastAsia="en-IE"/>
        </w:rPr>
        <w:t>s</w:t>
      </w:r>
      <w:r w:rsidRPr="00013BDC">
        <w:rPr>
          <w:rFonts w:eastAsia="Times New Roman"/>
          <w:noProof/>
          <w:color w:val="000000" w:themeColor="text1"/>
          <w:lang w:val="en-IE" w:eastAsia="en-IE"/>
        </w:rPr>
        <w:t xml:space="preserve"> (e.g.</w:t>
      </w:r>
      <w:r w:rsidR="000B68A1" w:rsidRPr="00013BDC">
        <w:rPr>
          <w:rFonts w:eastAsia="Times New Roman"/>
          <w:noProof/>
          <w:color w:val="000000" w:themeColor="text1"/>
          <w:lang w:val="en-IE" w:eastAsia="en-IE"/>
        </w:rPr>
        <w:t>,</w:t>
      </w:r>
      <w:r w:rsidRPr="00013BDC">
        <w:rPr>
          <w:rFonts w:eastAsia="Times New Roman"/>
          <w:noProof/>
          <w:color w:val="000000" w:themeColor="text1"/>
          <w:lang w:val="en-IE" w:eastAsia="en-IE"/>
        </w:rPr>
        <w:t xml:space="preserve"> cosmetics or glue). </w:t>
      </w:r>
    </w:p>
    <w:p w14:paraId="11761D26" w14:textId="77777777" w:rsidR="00794505" w:rsidRPr="00013BDC" w:rsidRDefault="00794505" w:rsidP="00794505">
      <w:pPr>
        <w:spacing w:after="0"/>
        <w:textAlignment w:val="baseline"/>
        <w:rPr>
          <w:rFonts w:eastAsia="Times New Roman"/>
          <w:noProof/>
          <w:lang w:val="en-IE" w:eastAsia="en-IE"/>
        </w:rPr>
      </w:pPr>
      <w:r w:rsidRPr="00013BDC">
        <w:rPr>
          <w:rFonts w:eastAsia="Times New Roman"/>
          <w:noProof/>
          <w:color w:val="000000" w:themeColor="text1"/>
          <w:lang w:val="en-IE" w:eastAsia="en-IE"/>
        </w:rPr>
        <w:t>In summary: food waste</w:t>
      </w:r>
      <w:r w:rsidRPr="00013BDC">
        <w:rPr>
          <w:rFonts w:eastAsia="Times New Roman"/>
          <w:noProof/>
          <w:lang w:val="en-IE" w:eastAsia="en-IE"/>
        </w:rPr>
        <w:t xml:space="preserve"> is any food that has become waste under these conditions:  </w:t>
      </w:r>
    </w:p>
    <w:p w14:paraId="7B48E283" w14:textId="77777777" w:rsidR="00794505" w:rsidRPr="00013BDC" w:rsidRDefault="00794505" w:rsidP="00CF0DFB">
      <w:pPr>
        <w:numPr>
          <w:ilvl w:val="0"/>
          <w:numId w:val="80"/>
        </w:numPr>
        <w:tabs>
          <w:tab w:val="clear" w:pos="720"/>
          <w:tab w:val="num" w:pos="-360"/>
        </w:tabs>
        <w:spacing w:after="0"/>
        <w:ind w:left="0" w:firstLine="0"/>
        <w:textAlignment w:val="baseline"/>
        <w:rPr>
          <w:rFonts w:eastAsia="Times New Roman"/>
          <w:noProof/>
          <w:lang w:val="en-IE" w:eastAsia="en-IE"/>
        </w:rPr>
      </w:pPr>
      <w:r w:rsidRPr="00013BDC">
        <w:rPr>
          <w:rFonts w:eastAsia="Times New Roman"/>
          <w:noProof/>
          <w:lang w:val="en-IE" w:eastAsia="en-IE"/>
        </w:rPr>
        <w:t>it has entered the food supply chain,  </w:t>
      </w:r>
    </w:p>
    <w:p w14:paraId="3626C622" w14:textId="11D319B6" w:rsidR="00794505" w:rsidRPr="00013BDC" w:rsidRDefault="00794505" w:rsidP="00CF0DFB">
      <w:pPr>
        <w:numPr>
          <w:ilvl w:val="0"/>
          <w:numId w:val="81"/>
        </w:numPr>
        <w:tabs>
          <w:tab w:val="clear" w:pos="720"/>
          <w:tab w:val="num" w:pos="-360"/>
        </w:tabs>
        <w:spacing w:after="0"/>
        <w:ind w:left="0" w:firstLine="0"/>
        <w:textAlignment w:val="baseline"/>
        <w:rPr>
          <w:rFonts w:eastAsia="Times New Roman"/>
          <w:noProof/>
          <w:lang w:val="en-IE" w:eastAsia="en-IE"/>
        </w:rPr>
      </w:pPr>
      <w:r w:rsidRPr="00013BDC">
        <w:rPr>
          <w:rFonts w:eastAsia="Times New Roman"/>
          <w:noProof/>
          <w:lang w:val="en-IE" w:eastAsia="en-IE"/>
        </w:rPr>
        <w:t xml:space="preserve">it then has been removed or discarded from the food supply chain or at the final </w:t>
      </w:r>
      <w:r w:rsidR="009B0EB3" w:rsidRPr="00013BDC">
        <w:rPr>
          <w:rFonts w:eastAsia="Times New Roman"/>
          <w:noProof/>
          <w:lang w:val="en-IE" w:eastAsia="en-IE"/>
        </w:rPr>
        <w:tab/>
      </w:r>
      <w:r w:rsidRPr="00013BDC">
        <w:rPr>
          <w:rFonts w:eastAsia="Times New Roman"/>
          <w:noProof/>
          <w:lang w:val="en-IE" w:eastAsia="en-IE"/>
        </w:rPr>
        <w:t>consumption stage,  </w:t>
      </w:r>
    </w:p>
    <w:p w14:paraId="088BDAA6" w14:textId="77777777" w:rsidR="00794505" w:rsidRPr="00013BDC" w:rsidRDefault="00794505" w:rsidP="00CF0DFB">
      <w:pPr>
        <w:numPr>
          <w:ilvl w:val="0"/>
          <w:numId w:val="82"/>
        </w:numPr>
        <w:tabs>
          <w:tab w:val="clear" w:pos="720"/>
          <w:tab w:val="num" w:pos="-360"/>
        </w:tabs>
        <w:spacing w:after="0"/>
        <w:ind w:left="0" w:firstLine="0"/>
        <w:textAlignment w:val="baseline"/>
        <w:rPr>
          <w:rFonts w:eastAsia="Times New Roman"/>
          <w:noProof/>
          <w:lang w:val="en-IE" w:eastAsia="en-IE"/>
        </w:rPr>
      </w:pPr>
      <w:r w:rsidRPr="00013BDC">
        <w:rPr>
          <w:rFonts w:eastAsia="Times New Roman"/>
          <w:noProof/>
          <w:lang w:val="en-IE" w:eastAsia="en-IE"/>
        </w:rPr>
        <w:t>it is finally destined to be processed as waste. </w:t>
      </w:r>
    </w:p>
    <w:p w14:paraId="784FD30A" w14:textId="77777777" w:rsidR="00794505" w:rsidRPr="00013BDC" w:rsidRDefault="00794505" w:rsidP="00794505">
      <w:pPr>
        <w:spacing w:after="0"/>
        <w:textAlignment w:val="baseline"/>
        <w:rPr>
          <w:rFonts w:eastAsia="Times New Roman"/>
          <w:noProof/>
          <w:lang w:val="en-IE" w:eastAsia="en-IE"/>
        </w:rPr>
      </w:pPr>
      <w:r w:rsidRPr="00013BDC">
        <w:rPr>
          <w:rFonts w:eastAsia="Times New Roman"/>
          <w:noProof/>
          <w:lang w:val="en-IE" w:eastAsia="en-IE"/>
        </w:rPr>
        <w:t>It is worth noting that this approach excludes agricultural material and animal by-products (which are not considered waste under the Waste Framework Directive (Art 2). </w:t>
      </w:r>
    </w:p>
    <w:p w14:paraId="29602470" w14:textId="77777777" w:rsidR="00794505" w:rsidRPr="00013BDC" w:rsidRDefault="00794505" w:rsidP="00794505">
      <w:pPr>
        <w:spacing w:after="0"/>
        <w:textAlignment w:val="baseline"/>
        <w:rPr>
          <w:rFonts w:eastAsia="Times New Roman"/>
          <w:noProof/>
          <w:lang w:val="en-IE" w:eastAsia="en-IE"/>
        </w:rPr>
      </w:pPr>
    </w:p>
    <w:p w14:paraId="6862B5A0" w14:textId="77777777" w:rsidR="00794505" w:rsidRPr="00013BDC" w:rsidRDefault="00794505" w:rsidP="00794505">
      <w:pPr>
        <w:spacing w:after="0"/>
        <w:textAlignment w:val="baseline"/>
        <w:rPr>
          <w:rFonts w:eastAsia="Times New Roman"/>
          <w:noProof/>
          <w:lang w:val="en-IE" w:eastAsia="en-IE"/>
        </w:rPr>
      </w:pPr>
      <w:r w:rsidRPr="00013BDC">
        <w:rPr>
          <w:rFonts w:eastAsia="Times New Roman"/>
          <w:noProof/>
          <w:lang w:val="en-IE" w:eastAsia="en-IE"/>
        </w:rPr>
        <w:t>For practical reasons, food waste measurement further excludes some types of food waste which are technically too complex to measure: </w:t>
      </w:r>
    </w:p>
    <w:p w14:paraId="2DDEAC45" w14:textId="60A9C61A" w:rsidR="00794505" w:rsidRPr="00013BDC" w:rsidRDefault="00794505" w:rsidP="00CF0DFB">
      <w:pPr>
        <w:pStyle w:val="ListParagraph"/>
        <w:numPr>
          <w:ilvl w:val="0"/>
          <w:numId w:val="85"/>
        </w:numPr>
        <w:spacing w:after="0"/>
        <w:textAlignment w:val="baseline"/>
        <w:rPr>
          <w:rFonts w:eastAsia="Times New Roman"/>
          <w:noProof/>
          <w:lang w:val="en-IE" w:eastAsia="en-IE"/>
        </w:rPr>
      </w:pPr>
      <w:r w:rsidRPr="00013BDC">
        <w:rPr>
          <w:rFonts w:eastAsia="Times New Roman"/>
          <w:noProof/>
          <w:lang w:val="en-IE" w:eastAsia="en-IE"/>
        </w:rPr>
        <w:t xml:space="preserve">food waste residues collected within packaging (code </w:t>
      </w:r>
      <w:r w:rsidR="00CC3EC0" w:rsidRPr="00013BDC">
        <w:rPr>
          <w:rFonts w:eastAsia="Times New Roman"/>
          <w:noProof/>
          <w:lang w:val="en-IE" w:eastAsia="en-IE"/>
        </w:rPr>
        <w:t>’</w:t>
      </w:r>
      <w:r w:rsidRPr="00013BDC">
        <w:rPr>
          <w:rFonts w:eastAsia="Times New Roman"/>
          <w:noProof/>
          <w:lang w:val="en-IE" w:eastAsia="en-IE"/>
        </w:rPr>
        <w:t>15 01 — Packaging including separately collected municipal packaging waste);  </w:t>
      </w:r>
    </w:p>
    <w:p w14:paraId="5283912E" w14:textId="6779A7B8" w:rsidR="00794505" w:rsidRPr="00013BDC" w:rsidRDefault="00794505" w:rsidP="00CF0DFB">
      <w:pPr>
        <w:pStyle w:val="ListParagraph"/>
        <w:numPr>
          <w:ilvl w:val="0"/>
          <w:numId w:val="85"/>
        </w:numPr>
        <w:spacing w:after="0"/>
        <w:textAlignment w:val="baseline"/>
        <w:rPr>
          <w:rFonts w:eastAsia="Times New Roman"/>
          <w:noProof/>
          <w:lang w:val="en-IE" w:eastAsia="en-IE"/>
        </w:rPr>
      </w:pPr>
      <w:r w:rsidRPr="00013BDC">
        <w:rPr>
          <w:rFonts w:eastAsia="Times New Roman"/>
          <w:noProof/>
          <w:lang w:val="en-IE" w:eastAsia="en-IE"/>
        </w:rPr>
        <w:t xml:space="preserve">food waste residues classified under waste code: </w:t>
      </w:r>
      <w:r w:rsidR="00CC3EC0" w:rsidRPr="00013BDC">
        <w:rPr>
          <w:rFonts w:eastAsia="Times New Roman"/>
          <w:noProof/>
          <w:lang w:val="en-IE" w:eastAsia="en-IE"/>
        </w:rPr>
        <w:t>’</w:t>
      </w:r>
      <w:r w:rsidRPr="00013BDC">
        <w:rPr>
          <w:rFonts w:eastAsia="Times New Roman"/>
          <w:noProof/>
          <w:lang w:val="en-IE" w:eastAsia="en-IE"/>
        </w:rPr>
        <w:t>20 03 03 — Street cleaning residues’; </w:t>
      </w:r>
    </w:p>
    <w:p w14:paraId="1C6581CE" w14:textId="77777777" w:rsidR="00794505" w:rsidRPr="00013BDC" w:rsidRDefault="00794505" w:rsidP="00CF0DFB">
      <w:pPr>
        <w:pStyle w:val="ListParagraph"/>
        <w:numPr>
          <w:ilvl w:val="0"/>
          <w:numId w:val="85"/>
        </w:numPr>
        <w:spacing w:after="0"/>
        <w:textAlignment w:val="baseline"/>
        <w:rPr>
          <w:rFonts w:eastAsia="Times New Roman"/>
          <w:noProof/>
          <w:lang w:val="en-IE" w:eastAsia="en-IE"/>
        </w:rPr>
      </w:pPr>
      <w:r w:rsidRPr="00013BDC">
        <w:rPr>
          <w:rFonts w:eastAsia="Times New Roman"/>
          <w:noProof/>
          <w:lang w:val="en-IE" w:eastAsia="en-IE"/>
        </w:rPr>
        <w:t>food waste drained as or with wastewater.  </w:t>
      </w:r>
    </w:p>
    <w:p w14:paraId="47CC5A0A" w14:textId="77777777" w:rsidR="003F75E2" w:rsidRPr="00013BDC" w:rsidRDefault="003F75E2" w:rsidP="003F75E2">
      <w:pPr>
        <w:pStyle w:val="ListParagraph"/>
        <w:spacing w:after="0"/>
        <w:textAlignment w:val="baseline"/>
        <w:rPr>
          <w:rFonts w:eastAsia="Times New Roman"/>
          <w:noProof/>
          <w:lang w:val="en-IE" w:eastAsia="en-IE"/>
        </w:rPr>
      </w:pPr>
    </w:p>
    <w:p w14:paraId="7D318B7B" w14:textId="66F6EBBF" w:rsidR="00794505" w:rsidRPr="00013BDC" w:rsidRDefault="00794505" w:rsidP="0B9E2EEF">
      <w:pPr>
        <w:pStyle w:val="Heading3"/>
        <w:rPr>
          <w:b/>
          <w:noProof/>
          <w:lang w:val="en-IE"/>
        </w:rPr>
      </w:pPr>
      <w:bookmarkStart w:id="669" w:name="_Toc343974610"/>
      <w:bookmarkStart w:id="670" w:name="_Toc836161004"/>
      <w:bookmarkStart w:id="671" w:name="_Toc966257914"/>
      <w:bookmarkStart w:id="672" w:name="_Toc244481978"/>
      <w:bookmarkStart w:id="673" w:name="_Toc139032989"/>
      <w:r w:rsidRPr="00013BDC">
        <w:rPr>
          <w:noProof/>
          <w:lang w:val="en-IE"/>
        </w:rPr>
        <w:t>How much food waste is generated by different food groups in the EU?</w:t>
      </w:r>
      <w:bookmarkEnd w:id="669"/>
      <w:bookmarkEnd w:id="670"/>
      <w:bookmarkEnd w:id="671"/>
      <w:bookmarkEnd w:id="672"/>
      <w:bookmarkEnd w:id="673"/>
      <w:r w:rsidRPr="00013BDC">
        <w:rPr>
          <w:noProof/>
          <w:lang w:val="en-IE"/>
        </w:rPr>
        <w:t> </w:t>
      </w:r>
    </w:p>
    <w:p w14:paraId="70C0F11B" w14:textId="6F6067C8" w:rsidR="00794505" w:rsidRPr="00013BDC" w:rsidRDefault="00794505" w:rsidP="004F622B">
      <w:pPr>
        <w:textAlignment w:val="baseline"/>
        <w:rPr>
          <w:noProof/>
          <w:lang w:val="en-IE"/>
        </w:rPr>
      </w:pPr>
      <w:r w:rsidRPr="00013BDC">
        <w:rPr>
          <w:noProof/>
          <w:lang w:val="en-IE"/>
        </w:rPr>
        <w:t>Fruits (27%) and vegetables (20%) are the food groups that produce the largest amounts of food waste, followed by cereals (13%), potatoes (10%), meat (10%), diary (9%), and oil crops and sugar beets (each of 3%)</w:t>
      </w:r>
      <w:r w:rsidR="0035367F" w:rsidRPr="00013BDC">
        <w:rPr>
          <w:rStyle w:val="FootnoteReference"/>
          <w:noProof/>
          <w:lang w:val="en-IE"/>
        </w:rPr>
        <w:footnoteReference w:id="254"/>
      </w:r>
      <w:r w:rsidRPr="00013BDC">
        <w:rPr>
          <w:noProof/>
          <w:lang w:val="en-IE"/>
        </w:rPr>
        <w:t xml:space="preserve">. The fish and eggs food groups, which make up </w:t>
      </w:r>
      <w:r w:rsidR="1BC1EB29" w:rsidRPr="00013BDC">
        <w:rPr>
          <w:noProof/>
          <w:lang w:val="en-IE"/>
        </w:rPr>
        <w:t>a</w:t>
      </w:r>
      <w:r w:rsidRPr="00013BDC">
        <w:rPr>
          <w:noProof/>
          <w:lang w:val="en-IE"/>
        </w:rPr>
        <w:t xml:space="preserve"> small </w:t>
      </w:r>
      <w:r w:rsidR="7ECFD48C" w:rsidRPr="00013BDC">
        <w:rPr>
          <w:noProof/>
          <w:lang w:val="en-IE"/>
        </w:rPr>
        <w:t>share</w:t>
      </w:r>
      <w:r w:rsidRPr="00013BDC">
        <w:rPr>
          <w:noProof/>
          <w:lang w:val="en-IE"/>
        </w:rPr>
        <w:t xml:space="preserve"> of food </w:t>
      </w:r>
      <w:r w:rsidR="7ECFD48C" w:rsidRPr="00013BDC">
        <w:rPr>
          <w:noProof/>
          <w:lang w:val="en-IE"/>
        </w:rPr>
        <w:t>consumed</w:t>
      </w:r>
      <w:r w:rsidR="2E748B51" w:rsidRPr="00013BDC">
        <w:rPr>
          <w:noProof/>
          <w:lang w:val="en-IE"/>
        </w:rPr>
        <w:t xml:space="preserve">, </w:t>
      </w:r>
      <w:r w:rsidRPr="00013BDC">
        <w:rPr>
          <w:noProof/>
          <w:lang w:val="en-IE"/>
        </w:rPr>
        <w:t>also generate low quantities of food waste in absolute terms.</w:t>
      </w:r>
    </w:p>
    <w:p w14:paraId="24BDABBE" w14:textId="507230F2" w:rsidR="004F622B" w:rsidRPr="00013BDC" w:rsidRDefault="004F622B" w:rsidP="004F622B">
      <w:pPr>
        <w:rPr>
          <w:i/>
          <w:noProof/>
          <w:lang w:val="en-IE"/>
        </w:rPr>
      </w:pPr>
      <w:bookmarkStart w:id="674" w:name="_Toc133229297"/>
      <w:bookmarkStart w:id="675" w:name="_Toc139033023"/>
      <w:r w:rsidRPr="00013BDC">
        <w:rPr>
          <w:rFonts w:eastAsia="Times New Roman"/>
          <w:i/>
          <w:noProof/>
          <w:lang w:val="en-IE"/>
        </w:rPr>
        <w:t xml:space="preserve">Figure </w:t>
      </w:r>
      <w:r w:rsidR="004C5576">
        <w:rPr>
          <w:rFonts w:eastAsia="Times New Roman"/>
          <w:i/>
          <w:iCs/>
          <w:noProof/>
        </w:rPr>
        <w:t>26</w:t>
      </w:r>
      <w:r w:rsidRPr="00013BDC">
        <w:rPr>
          <w:rFonts w:eastAsia="Times New Roman"/>
          <w:i/>
          <w:noProof/>
          <w:lang w:val="en-IE"/>
        </w:rPr>
        <w:t xml:space="preserve"> –</w:t>
      </w:r>
      <w:r w:rsidRPr="00013BDC">
        <w:rPr>
          <w:i/>
          <w:noProof/>
          <w:lang w:val="en-IE"/>
        </w:rPr>
        <w:t xml:space="preserve"> Food waste generated in the EU27 by food group (2020 data). Mt in fresh weight.</w:t>
      </w:r>
      <w:bookmarkEnd w:id="674"/>
      <w:bookmarkEnd w:id="675"/>
    </w:p>
    <w:p w14:paraId="5550112F" w14:textId="77777777" w:rsidR="00794505" w:rsidRPr="00013BDC" w:rsidRDefault="00794505" w:rsidP="00794505">
      <w:pPr>
        <w:spacing w:after="0"/>
        <w:textAlignment w:val="baseline"/>
        <w:rPr>
          <w:rFonts w:eastAsia="Times New Roman"/>
          <w:noProof/>
          <w:lang w:val="en-IE" w:eastAsia="en-IE"/>
        </w:rPr>
      </w:pPr>
    </w:p>
    <w:p w14:paraId="1EF4B699" w14:textId="2C7F9536" w:rsidR="001A717D" w:rsidRPr="00013BDC" w:rsidRDefault="001A717D" w:rsidP="004F622B">
      <w:pPr>
        <w:textAlignment w:val="baseline"/>
        <w:rPr>
          <w:noProof/>
          <w:lang w:val="en-IE"/>
        </w:rPr>
      </w:pPr>
      <w:r w:rsidRPr="00013BDC">
        <w:rPr>
          <w:noProof/>
          <w:lang w:eastAsia="en-GB"/>
        </w:rPr>
        <w:drawing>
          <wp:inline distT="0" distB="0" distL="0" distR="0" wp14:anchorId="358C10BC" wp14:editId="2AB2F128">
            <wp:extent cx="5731510" cy="2829015"/>
            <wp:effectExtent l="0" t="0" r="2540" b="9525"/>
            <wp:docPr id="1112863392" name="Picture 111286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2829015"/>
                    </a:xfrm>
                    <a:prstGeom prst="rect">
                      <a:avLst/>
                    </a:prstGeom>
                    <a:noFill/>
                    <a:ln>
                      <a:noFill/>
                    </a:ln>
                  </pic:spPr>
                </pic:pic>
              </a:graphicData>
            </a:graphic>
          </wp:inline>
        </w:drawing>
      </w:r>
    </w:p>
    <w:p w14:paraId="7BB02012" w14:textId="20A2C1E2" w:rsidR="00794505" w:rsidRPr="00013BDC" w:rsidRDefault="00794505" w:rsidP="004F622B">
      <w:pPr>
        <w:textAlignment w:val="baseline"/>
        <w:rPr>
          <w:rFonts w:eastAsia="Times New Roman"/>
          <w:noProof/>
          <w:color w:val="000000"/>
          <w:lang w:val="en-IE" w:eastAsia="en-IE"/>
        </w:rPr>
      </w:pPr>
      <w:r w:rsidRPr="00013BDC">
        <w:rPr>
          <w:noProof/>
          <w:lang w:val="en-IE"/>
        </w:rPr>
        <w:t xml:space="preserve">On the other hand, the food groups that make the largest contribution to food </w:t>
      </w:r>
      <w:r w:rsidR="7D688991" w:rsidRPr="00013BDC">
        <w:rPr>
          <w:noProof/>
          <w:lang w:val="en-IE"/>
        </w:rPr>
        <w:t xml:space="preserve">consumption </w:t>
      </w:r>
      <w:r w:rsidRPr="00013BDC">
        <w:rPr>
          <w:noProof/>
          <w:lang w:val="en-IE"/>
        </w:rPr>
        <w:t>do not produce the largest amounts of food waste. The ratio of food waste to food supplied varies between groups, mainly due to the varying amounts of inedible content and the extent to which each group can be stored before consumption, e.g.</w:t>
      </w:r>
      <w:r w:rsidR="00D1300A" w:rsidRPr="00013BDC">
        <w:rPr>
          <w:noProof/>
          <w:lang w:val="en-IE"/>
        </w:rPr>
        <w:t>,</w:t>
      </w:r>
      <w:r w:rsidRPr="00013BDC">
        <w:rPr>
          <w:noProof/>
          <w:lang w:val="en-IE"/>
        </w:rPr>
        <w:t xml:space="preserve"> cereals (pasta, rice) vs fruit and vegetables. Other factors affecting this ratio include</w:t>
      </w:r>
      <w:r w:rsidRPr="00013BDC">
        <w:rPr>
          <w:rFonts w:eastAsia="Times New Roman"/>
          <w:noProof/>
          <w:color w:val="498205"/>
          <w:u w:val="single"/>
          <w:lang w:val="en-IE" w:eastAsia="en-IE"/>
        </w:rPr>
        <w:t xml:space="preserve"> </w:t>
      </w:r>
      <w:r w:rsidRPr="00013BDC">
        <w:rPr>
          <w:rFonts w:eastAsia="Times New Roman"/>
          <w:noProof/>
          <w:color w:val="000000"/>
          <w:lang w:val="en-IE" w:eastAsia="en-IE"/>
        </w:rPr>
        <w:t xml:space="preserve">the use of residues </w:t>
      </w:r>
      <w:r w:rsidR="00D1300A" w:rsidRPr="00013BDC">
        <w:rPr>
          <w:rFonts w:eastAsia="Times New Roman"/>
          <w:noProof/>
          <w:color w:val="000000" w:themeColor="text1"/>
          <w:lang w:val="en-IE" w:eastAsia="en-IE"/>
        </w:rPr>
        <w:t>in</w:t>
      </w:r>
      <w:r w:rsidRPr="00013BDC">
        <w:rPr>
          <w:rFonts w:eastAsia="Times New Roman"/>
          <w:noProof/>
          <w:color w:val="000000" w:themeColor="text1"/>
          <w:lang w:val="en-IE" w:eastAsia="en-IE"/>
        </w:rPr>
        <w:t xml:space="preserve"> </w:t>
      </w:r>
      <w:r w:rsidRPr="00013BDC">
        <w:rPr>
          <w:rFonts w:eastAsia="Times New Roman"/>
          <w:noProof/>
          <w:color w:val="000000"/>
          <w:lang w:val="en-IE" w:eastAsia="en-IE"/>
        </w:rPr>
        <w:t xml:space="preserve">primary production and processing and manufacturing for animal feed and other by-products, and water evaporation at the processing stage (for instance when converting milk into cheese) - (see Figure </w:t>
      </w:r>
      <w:r w:rsidR="00C41AB9" w:rsidRPr="00013BDC">
        <w:rPr>
          <w:rFonts w:eastAsia="Times New Roman"/>
          <w:noProof/>
          <w:color w:val="000000"/>
          <w:lang w:val="en-IE" w:eastAsia="en-IE"/>
        </w:rPr>
        <w:t>2</w:t>
      </w:r>
      <w:r w:rsidR="00BD49DA" w:rsidRPr="00013BDC">
        <w:rPr>
          <w:rFonts w:eastAsia="Times New Roman"/>
          <w:noProof/>
          <w:color w:val="000000"/>
          <w:lang w:val="en-IE" w:eastAsia="en-IE"/>
        </w:rPr>
        <w:t>7</w:t>
      </w:r>
      <w:r w:rsidRPr="00013BDC">
        <w:rPr>
          <w:rFonts w:eastAsia="Times New Roman"/>
          <w:noProof/>
          <w:color w:val="000000"/>
          <w:lang w:val="en-IE" w:eastAsia="en-IE"/>
        </w:rPr>
        <w:t>)</w:t>
      </w:r>
      <w:r w:rsidR="00FD2E33" w:rsidRPr="00013BDC">
        <w:rPr>
          <w:rStyle w:val="FootnoteReference"/>
          <w:rFonts w:eastAsia="Times New Roman"/>
          <w:noProof/>
          <w:color w:val="000000"/>
          <w:lang w:val="en-IE" w:eastAsia="en-IE"/>
        </w:rPr>
        <w:footnoteReference w:id="255"/>
      </w:r>
      <w:r w:rsidRPr="00013BDC">
        <w:rPr>
          <w:rFonts w:eastAsia="Times New Roman"/>
          <w:noProof/>
          <w:color w:val="000000"/>
          <w:lang w:val="en-IE" w:eastAsia="en-IE"/>
        </w:rPr>
        <w:t>.</w:t>
      </w:r>
    </w:p>
    <w:p w14:paraId="2DC8D92E" w14:textId="10A5B16A" w:rsidR="004F622B" w:rsidRPr="00013BDC" w:rsidRDefault="004F622B" w:rsidP="004F622B">
      <w:pPr>
        <w:rPr>
          <w:i/>
          <w:noProof/>
          <w:lang w:val="en-IE"/>
        </w:rPr>
      </w:pPr>
      <w:bookmarkStart w:id="676" w:name="_Toc133229298"/>
      <w:bookmarkStart w:id="677" w:name="_Toc139033024"/>
      <w:r w:rsidRPr="00013BDC">
        <w:rPr>
          <w:rFonts w:eastAsia="Times New Roman"/>
          <w:i/>
          <w:noProof/>
          <w:lang w:val="en-IE"/>
        </w:rPr>
        <w:t xml:space="preserve">Figure </w:t>
      </w:r>
      <w:r w:rsidR="004C5576">
        <w:rPr>
          <w:rFonts w:eastAsia="Times New Roman"/>
          <w:i/>
          <w:iCs/>
          <w:noProof/>
        </w:rPr>
        <w:t>27</w:t>
      </w:r>
      <w:r w:rsidRPr="00013BDC">
        <w:rPr>
          <w:rFonts w:eastAsia="Times New Roman"/>
          <w:i/>
          <w:noProof/>
          <w:lang w:val="en-IE"/>
        </w:rPr>
        <w:t xml:space="preserve"> –</w:t>
      </w:r>
      <w:r w:rsidRPr="00013BDC">
        <w:rPr>
          <w:i/>
          <w:noProof/>
          <w:lang w:val="en-IE"/>
        </w:rPr>
        <w:t xml:space="preserve"> Relationship between food available at the beginning of the food supply chain</w:t>
      </w:r>
      <w:r w:rsidR="00C31001" w:rsidRPr="00013BDC">
        <w:rPr>
          <w:i/>
          <w:noProof/>
          <w:lang w:val="en-IE"/>
        </w:rPr>
        <w:t xml:space="preserve"> (based on 2019 data)</w:t>
      </w:r>
      <w:r w:rsidRPr="00013BDC">
        <w:rPr>
          <w:i/>
          <w:noProof/>
          <w:lang w:val="en-IE"/>
        </w:rPr>
        <w:t xml:space="preserve"> and food waste along the entire food supply chain, by food group in the EU. Each dot represents 1 Mt of food; red dots represent the amount wasted. The ratio of Food waste/Food available is given in brackets for each food group. (Please note, that due to rounding, the number of dots may slightly differ from percentages).</w:t>
      </w:r>
      <w:bookmarkEnd w:id="676"/>
      <w:bookmarkEnd w:id="677"/>
    </w:p>
    <w:p w14:paraId="678D7F5E" w14:textId="4178E0E9" w:rsidR="00794505" w:rsidRPr="00013BDC" w:rsidRDefault="00794505" w:rsidP="004F622B">
      <w:pPr>
        <w:textAlignment w:val="baseline"/>
        <w:rPr>
          <w:rFonts w:eastAsia="Times New Roman"/>
          <w:noProof/>
          <w:lang w:val="en-IE" w:eastAsia="en-IE"/>
        </w:rPr>
      </w:pPr>
      <w:r w:rsidRPr="00013BDC">
        <w:rPr>
          <w:noProof/>
          <w:color w:val="2B579A"/>
          <w:shd w:val="clear" w:color="auto" w:fill="E6E6E6"/>
          <w:lang w:eastAsia="en-GB"/>
        </w:rPr>
        <w:drawing>
          <wp:inline distT="0" distB="0" distL="0" distR="0" wp14:anchorId="3ADBDF37" wp14:editId="200F0491">
            <wp:extent cx="5731510" cy="27844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784475"/>
                    </a:xfrm>
                    <a:prstGeom prst="rect">
                      <a:avLst/>
                    </a:prstGeom>
                    <a:noFill/>
                    <a:ln>
                      <a:noFill/>
                    </a:ln>
                  </pic:spPr>
                </pic:pic>
              </a:graphicData>
            </a:graphic>
          </wp:inline>
        </w:drawing>
      </w:r>
    </w:p>
    <w:p w14:paraId="3A5C183C" w14:textId="66F6EBBF" w:rsidR="00794505" w:rsidRPr="00013BDC" w:rsidRDefault="00794505" w:rsidP="0B9E2EEF">
      <w:pPr>
        <w:pStyle w:val="Heading3"/>
        <w:rPr>
          <w:b/>
          <w:noProof/>
          <w:lang w:val="en-IE"/>
        </w:rPr>
      </w:pPr>
      <w:bookmarkStart w:id="678" w:name="_Toc336418102"/>
      <w:bookmarkStart w:id="679" w:name="_Toc1314055379"/>
      <w:bookmarkStart w:id="680" w:name="_Toc1658317167"/>
      <w:bookmarkStart w:id="681" w:name="_Toc1372935983"/>
      <w:bookmarkStart w:id="682" w:name="_Toc139032990"/>
      <w:r w:rsidRPr="00013BDC">
        <w:rPr>
          <w:noProof/>
          <w:lang w:val="en-IE"/>
        </w:rPr>
        <w:t>How much food waste is generated in each stage of the food supply chain?</w:t>
      </w:r>
      <w:bookmarkEnd w:id="678"/>
      <w:bookmarkEnd w:id="679"/>
      <w:bookmarkEnd w:id="680"/>
      <w:bookmarkEnd w:id="681"/>
      <w:bookmarkEnd w:id="682"/>
      <w:r w:rsidRPr="00013BDC">
        <w:rPr>
          <w:noProof/>
          <w:lang w:val="en-IE"/>
        </w:rPr>
        <w:t> </w:t>
      </w:r>
    </w:p>
    <w:p w14:paraId="652832DD" w14:textId="18F99E6A" w:rsidR="00794505" w:rsidRPr="00013BDC" w:rsidRDefault="00794505" w:rsidP="004F622B">
      <w:pPr>
        <w:textAlignment w:val="baseline"/>
        <w:rPr>
          <w:noProof/>
          <w:lang w:val="en-IE"/>
        </w:rPr>
      </w:pPr>
      <w:r w:rsidRPr="00013BDC">
        <w:rPr>
          <w:noProof/>
          <w:lang w:val="en-IE"/>
        </w:rPr>
        <w:t>The largest amount of food waste is generated during the consumption stage, both in- and out of home (6</w:t>
      </w:r>
      <w:r w:rsidR="00A67FBF" w:rsidRPr="00013BDC">
        <w:rPr>
          <w:noProof/>
          <w:lang w:val="en-IE"/>
        </w:rPr>
        <w:t>2</w:t>
      </w:r>
      <w:r w:rsidRPr="00013BDC">
        <w:rPr>
          <w:noProof/>
          <w:lang w:val="en-IE"/>
        </w:rPr>
        <w:t>%), followed by processing and manufacturing (</w:t>
      </w:r>
      <w:r w:rsidR="00A67FBF" w:rsidRPr="00013BDC">
        <w:rPr>
          <w:noProof/>
          <w:lang w:val="en-IE"/>
        </w:rPr>
        <w:t>20</w:t>
      </w:r>
      <w:r w:rsidRPr="00013BDC">
        <w:rPr>
          <w:noProof/>
          <w:lang w:val="en-IE"/>
        </w:rPr>
        <w:t xml:space="preserve">%) and primary production (11%).  The distribution and retail stages only account for 7% of the food waste generated in the supply chain (see Figure </w:t>
      </w:r>
      <w:r w:rsidR="00C41AB9" w:rsidRPr="00013BDC">
        <w:rPr>
          <w:noProof/>
          <w:lang w:val="en-IE"/>
        </w:rPr>
        <w:t>2</w:t>
      </w:r>
      <w:r w:rsidR="00BD49DA" w:rsidRPr="00013BDC">
        <w:rPr>
          <w:noProof/>
          <w:lang w:val="en-IE"/>
        </w:rPr>
        <w:t>8</w:t>
      </w:r>
      <w:r w:rsidRPr="00013BDC">
        <w:rPr>
          <w:noProof/>
          <w:lang w:val="en-IE"/>
        </w:rPr>
        <w:t>)</w:t>
      </w:r>
      <w:r w:rsidR="00AE08BE" w:rsidRPr="00013BDC">
        <w:rPr>
          <w:rStyle w:val="FootnoteReference"/>
          <w:noProof/>
          <w:lang w:val="en-IE"/>
        </w:rPr>
        <w:footnoteReference w:id="256"/>
      </w:r>
      <w:r w:rsidRPr="00013BDC">
        <w:rPr>
          <w:noProof/>
          <w:lang w:val="en-IE"/>
        </w:rPr>
        <w:t xml:space="preserve">. </w:t>
      </w:r>
    </w:p>
    <w:p w14:paraId="48DB4674" w14:textId="272452F9" w:rsidR="004F622B" w:rsidRPr="00013BDC" w:rsidRDefault="004F622B" w:rsidP="004F622B">
      <w:pPr>
        <w:textAlignment w:val="baseline"/>
        <w:rPr>
          <w:noProof/>
          <w:lang w:val="en-IE"/>
        </w:rPr>
      </w:pPr>
      <w:bookmarkStart w:id="683" w:name="_Toc133229299"/>
      <w:bookmarkStart w:id="684" w:name="_Toc139033025"/>
      <w:r w:rsidRPr="00013BDC">
        <w:rPr>
          <w:rFonts w:eastAsia="Times New Roman"/>
          <w:i/>
          <w:noProof/>
          <w:lang w:val="en-IE"/>
        </w:rPr>
        <w:t xml:space="preserve">Figure </w:t>
      </w:r>
      <w:r w:rsidR="004C5576">
        <w:rPr>
          <w:rFonts w:eastAsia="Times New Roman"/>
          <w:i/>
          <w:iCs/>
          <w:noProof/>
        </w:rPr>
        <w:t>28</w:t>
      </w:r>
      <w:r w:rsidRPr="00013BDC">
        <w:rPr>
          <w:rFonts w:eastAsia="Times New Roman"/>
          <w:i/>
          <w:noProof/>
          <w:lang w:val="en-IE"/>
        </w:rPr>
        <w:t xml:space="preserve"> –</w:t>
      </w:r>
      <w:r w:rsidRPr="00013BDC">
        <w:rPr>
          <w:i/>
          <w:noProof/>
          <w:lang w:val="en-IE"/>
        </w:rPr>
        <w:t xml:space="preserve"> Amount of food waste (in fresh weight) generated in the EU27 during the different stages of the food supply chain (bars) and breakdown by main food groups (pie charts).</w:t>
      </w:r>
      <w:bookmarkEnd w:id="683"/>
      <w:bookmarkEnd w:id="684"/>
    </w:p>
    <w:p w14:paraId="523430CF" w14:textId="17AA9D3A" w:rsidR="00794505" w:rsidRPr="00013BDC" w:rsidRDefault="00575F51" w:rsidP="00794505">
      <w:pPr>
        <w:spacing w:after="0"/>
        <w:textAlignment w:val="baseline"/>
        <w:rPr>
          <w:rFonts w:eastAsia="Times New Roman"/>
          <w:noProof/>
          <w:lang w:val="en-IE" w:eastAsia="en-IE"/>
        </w:rPr>
      </w:pPr>
      <w:r w:rsidRPr="00013BDC">
        <w:rPr>
          <w:noProof/>
          <w:color w:val="2B579A"/>
          <w:shd w:val="clear" w:color="auto" w:fill="E6E6E6"/>
          <w:lang w:eastAsia="en-GB"/>
        </w:rPr>
        <w:drawing>
          <wp:inline distT="0" distB="0" distL="0" distR="0" wp14:anchorId="6797E090" wp14:editId="456B6A34">
            <wp:extent cx="5731510" cy="2580005"/>
            <wp:effectExtent l="0" t="0" r="2540" b="0"/>
            <wp:docPr id="1112863397" name="Picture 1112863397" descr="A picture containing text, screenshot,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63397" name="Picture 1112863397" descr="A picture containing text, screenshot, diagram, circle&#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31510" cy="2580005"/>
                    </a:xfrm>
                    <a:prstGeom prst="rect">
                      <a:avLst/>
                    </a:prstGeom>
                  </pic:spPr>
                </pic:pic>
              </a:graphicData>
            </a:graphic>
          </wp:inline>
        </w:drawing>
      </w:r>
      <w:r w:rsidR="00794505" w:rsidRPr="00013BDC">
        <w:rPr>
          <w:rFonts w:eastAsia="Times New Roman"/>
          <w:noProof/>
          <w:lang w:val="en-IE" w:eastAsia="en-IE"/>
        </w:rPr>
        <w:t> </w:t>
      </w:r>
    </w:p>
    <w:p w14:paraId="37415DF3" w14:textId="77777777" w:rsidR="00794505" w:rsidRPr="00013BDC" w:rsidRDefault="00794505" w:rsidP="00794505">
      <w:pPr>
        <w:spacing w:after="0"/>
        <w:textAlignment w:val="baseline"/>
        <w:rPr>
          <w:rFonts w:eastAsia="Times New Roman"/>
          <w:noProof/>
          <w:lang w:val="en-IE" w:eastAsia="en-IE"/>
        </w:rPr>
      </w:pPr>
    </w:p>
    <w:p w14:paraId="00BA464C" w14:textId="6257D59A" w:rsidR="00794505" w:rsidRPr="00013BDC" w:rsidRDefault="00794505" w:rsidP="004F622B">
      <w:pPr>
        <w:spacing w:after="120"/>
        <w:textAlignment w:val="baseline"/>
        <w:rPr>
          <w:noProof/>
          <w:lang w:val="en-IE"/>
        </w:rPr>
      </w:pPr>
      <w:r w:rsidRPr="00013BDC">
        <w:rPr>
          <w:noProof/>
          <w:lang w:val="en-IE"/>
        </w:rPr>
        <w:t xml:space="preserve">While fruit and vegetables only represent 20% of available food, they account for as much as </w:t>
      </w:r>
      <w:r w:rsidR="00575F51" w:rsidRPr="00013BDC">
        <w:rPr>
          <w:noProof/>
          <w:lang w:val="en-IE"/>
        </w:rPr>
        <w:t>77</w:t>
      </w:r>
      <w:r w:rsidRPr="00013BDC">
        <w:rPr>
          <w:noProof/>
          <w:lang w:val="en-IE"/>
        </w:rPr>
        <w:t xml:space="preserve">%, </w:t>
      </w:r>
      <w:r w:rsidR="00575F51" w:rsidRPr="00013BDC">
        <w:rPr>
          <w:noProof/>
          <w:lang w:val="en-IE"/>
        </w:rPr>
        <w:t>63</w:t>
      </w:r>
      <w:r w:rsidRPr="00013BDC">
        <w:rPr>
          <w:noProof/>
          <w:lang w:val="en-IE"/>
        </w:rPr>
        <w:t xml:space="preserve">% and </w:t>
      </w:r>
      <w:r w:rsidR="007A27F4" w:rsidRPr="00013BDC">
        <w:rPr>
          <w:noProof/>
          <w:lang w:val="en-IE"/>
        </w:rPr>
        <w:t>40</w:t>
      </w:r>
      <w:r w:rsidRPr="00013BDC">
        <w:rPr>
          <w:noProof/>
          <w:lang w:val="en-IE"/>
        </w:rPr>
        <w:t>% of the food waste generated during primary production, processing and manufacturing and consumption, respectively. The significant shares that these food groups have in the food waste generated at the consumption stage is related to their high inedible fraction at the point of purchase and their high perishability compared to other food groups.</w:t>
      </w:r>
    </w:p>
    <w:p w14:paraId="56BF3EF6" w14:textId="1BD97D6D" w:rsidR="00794505" w:rsidRPr="00013BDC" w:rsidRDefault="00794505" w:rsidP="004F622B">
      <w:pPr>
        <w:textAlignment w:val="baseline"/>
        <w:rPr>
          <w:noProof/>
          <w:lang w:val="en-IE"/>
        </w:rPr>
      </w:pPr>
      <w:r w:rsidRPr="00013BDC">
        <w:rPr>
          <w:noProof/>
          <w:lang w:val="en-IE"/>
        </w:rPr>
        <w:t>Significant share of the inedible parts produced during the processing of different food groups is valorised in other industries and is therefore not counted as food waste. For example, bones, blood, inedible organs, and skin from the processing of meat are used as fertiliser, feedstuffs, binders, clothing, pharmaceuticals, etc., while milling residues from cereals processing, brewer’s spent grain from beer production, oilcake from vegetable oil production and residues from the potato processing industry are often used as animal feed.</w:t>
      </w:r>
    </w:p>
    <w:p w14:paraId="6B3799A9" w14:textId="66F6EBBF" w:rsidR="00794505" w:rsidRPr="00013BDC" w:rsidRDefault="00794505" w:rsidP="0B9E2EEF">
      <w:pPr>
        <w:pStyle w:val="Heading3"/>
        <w:rPr>
          <w:b/>
          <w:noProof/>
          <w:lang w:val="en-IE"/>
        </w:rPr>
      </w:pPr>
      <w:bookmarkStart w:id="685" w:name="_Toc863415240"/>
      <w:bookmarkStart w:id="686" w:name="_Toc1593063002"/>
      <w:bookmarkStart w:id="687" w:name="_Toc1452128369"/>
      <w:bookmarkStart w:id="688" w:name="_Toc2005537755"/>
      <w:bookmarkStart w:id="689" w:name="_Toc139032991"/>
      <w:r w:rsidRPr="00013BDC">
        <w:rPr>
          <w:noProof/>
          <w:lang w:val="en-IE"/>
        </w:rPr>
        <w:t>Previous estimations of food waste amounts in EU (FUSIONS project)</w:t>
      </w:r>
      <w:bookmarkEnd w:id="685"/>
      <w:bookmarkEnd w:id="686"/>
      <w:bookmarkEnd w:id="687"/>
      <w:bookmarkEnd w:id="688"/>
      <w:bookmarkEnd w:id="689"/>
    </w:p>
    <w:p w14:paraId="4F0ECCBA" w14:textId="3A8B3071" w:rsidR="00794505" w:rsidRPr="00013BDC" w:rsidRDefault="00794505" w:rsidP="004F622B">
      <w:pPr>
        <w:spacing w:after="120"/>
        <w:textAlignment w:val="baseline"/>
        <w:rPr>
          <w:noProof/>
          <w:lang w:val="en-IE"/>
        </w:rPr>
      </w:pPr>
      <w:r w:rsidRPr="00013BDC">
        <w:rPr>
          <w:noProof/>
          <w:lang w:val="en-IE"/>
        </w:rPr>
        <w:t>The Commission has conducted various studies on the topic. In 2010, it published a report, Preparatory Study on Food Waste across EU 27</w:t>
      </w:r>
      <w:r w:rsidRPr="00013BDC">
        <w:rPr>
          <w:noProof/>
          <w:vertAlign w:val="superscript"/>
          <w:lang w:val="en-IE"/>
        </w:rPr>
        <w:footnoteReference w:id="257"/>
      </w:r>
      <w:r w:rsidRPr="00013BDC">
        <w:rPr>
          <w:noProof/>
          <w:lang w:val="en-IE"/>
        </w:rPr>
        <w:t xml:space="preserve"> and, on this basis, the Impact Assessment on measures addressing food waste to complete SWD (2014)</w:t>
      </w:r>
      <w:r w:rsidR="00D56179" w:rsidRPr="00013BDC">
        <w:rPr>
          <w:noProof/>
          <w:lang w:val="en-IE"/>
        </w:rPr>
        <w:t xml:space="preserve"> 207 final </w:t>
      </w:r>
      <w:r w:rsidRPr="00013BDC">
        <w:rPr>
          <w:noProof/>
          <w:lang w:val="en-IE"/>
        </w:rPr>
        <w:t>regarding the review of EU waste management targets</w:t>
      </w:r>
      <w:r w:rsidR="00310FDC" w:rsidRPr="00013BDC">
        <w:rPr>
          <w:noProof/>
          <w:lang w:val="en-IE"/>
        </w:rPr>
        <w:t>.</w:t>
      </w:r>
      <w:r w:rsidRPr="00013BDC">
        <w:rPr>
          <w:rStyle w:val="FootnoteReference"/>
          <w:noProof/>
          <w:lang w:val="en-IE"/>
        </w:rPr>
        <w:t xml:space="preserve"> </w:t>
      </w:r>
      <w:r w:rsidR="00D56179" w:rsidRPr="00013BDC">
        <w:rPr>
          <w:rStyle w:val="FootnoteReference"/>
          <w:noProof/>
          <w:lang w:val="en-IE"/>
        </w:rPr>
        <w:footnoteReference w:id="258"/>
      </w:r>
      <w:r w:rsidR="00D56179" w:rsidRPr="00013BDC">
        <w:rPr>
          <w:noProof/>
          <w:lang w:val="en-IE"/>
        </w:rPr>
        <w:t xml:space="preserve"> </w:t>
      </w:r>
      <w:r w:rsidRPr="00013BDC">
        <w:rPr>
          <w:noProof/>
          <w:lang w:val="en-IE"/>
        </w:rPr>
        <w:t xml:space="preserve"> </w:t>
      </w:r>
    </w:p>
    <w:p w14:paraId="05D0CE5F" w14:textId="3DE7C676" w:rsidR="00794505" w:rsidRPr="00013BDC" w:rsidRDefault="00794505" w:rsidP="002927E6">
      <w:pPr>
        <w:spacing w:after="120"/>
        <w:textAlignment w:val="baseline"/>
        <w:rPr>
          <w:noProof/>
          <w:lang w:val="en-IE"/>
        </w:rPr>
      </w:pPr>
      <w:r w:rsidRPr="00013BDC">
        <w:rPr>
          <w:noProof/>
          <w:lang w:val="en-IE"/>
        </w:rPr>
        <w:t xml:space="preserve">The study was based on 2006 data. The amount of food waste according to this study for EU 27 (with UK, but without HR) was then assessed at around 90 mln tonnes in 2010, and projected to grow to over 120 </w:t>
      </w:r>
      <w:r w:rsidR="00091E51" w:rsidRPr="00013BDC">
        <w:rPr>
          <w:noProof/>
          <w:lang w:val="en-IE"/>
        </w:rPr>
        <w:t>M</w:t>
      </w:r>
      <w:r w:rsidRPr="00013BDC">
        <w:rPr>
          <w:noProof/>
          <w:lang w:val="en-IE"/>
        </w:rPr>
        <w:t xml:space="preserve"> tonnes in 2020. This assessment was not linked to actual measurement of food waste but was based on the analysis of other data reported in Waste Statistics.</w:t>
      </w:r>
    </w:p>
    <w:p w14:paraId="3689BAF9" w14:textId="20DE5E44" w:rsidR="00794505" w:rsidRPr="00013BDC" w:rsidRDefault="00794505" w:rsidP="002927E6">
      <w:pPr>
        <w:spacing w:after="120"/>
        <w:textAlignment w:val="baseline"/>
        <w:rPr>
          <w:noProof/>
          <w:lang w:val="en-IE"/>
        </w:rPr>
      </w:pPr>
      <w:r w:rsidRPr="00013BDC">
        <w:rPr>
          <w:noProof/>
          <w:lang w:val="en-IE"/>
        </w:rPr>
        <w:t>The FUSIONS project (Food Use for Social Innovation by Optimising Waste Prevention Strategies, 2012-2016) provided useful input on food waste. In particular, it established a common definition of food waste, prepared harmonised quantification methods and, on this basis, provided estimations of food waste amounts in the EU.</w:t>
      </w:r>
    </w:p>
    <w:p w14:paraId="5CD6BF97" w14:textId="08CE38AB" w:rsidR="00794505" w:rsidRPr="00013BDC" w:rsidRDefault="00794505" w:rsidP="002927E6">
      <w:pPr>
        <w:spacing w:after="120"/>
        <w:textAlignment w:val="baseline"/>
        <w:rPr>
          <w:noProof/>
          <w:lang w:val="en-IE"/>
        </w:rPr>
      </w:pPr>
      <w:r w:rsidRPr="00013BDC">
        <w:rPr>
          <w:noProof/>
          <w:lang w:val="en-IE"/>
        </w:rPr>
        <w:t xml:space="preserve">In 2016, as a part of the FUSIONS project, the first comprehensive assessment of food waste in the EU was published. </w:t>
      </w:r>
      <w:r w:rsidR="00DE361F" w:rsidRPr="00013BDC">
        <w:rPr>
          <w:noProof/>
          <w:lang w:val="en-IE"/>
        </w:rPr>
        <w:t>This EU research project</w:t>
      </w:r>
      <w:r w:rsidRPr="00013BDC">
        <w:rPr>
          <w:noProof/>
          <w:lang w:val="en-IE"/>
        </w:rPr>
        <w:t xml:space="preserve"> calculated food waste amounts according to a slightly different methodology than that adopted subsequently in the EU. While the definition of food waste was very similar, the scope </w:t>
      </w:r>
      <w:r w:rsidR="00507259" w:rsidRPr="00013BDC">
        <w:rPr>
          <w:noProof/>
          <w:lang w:val="en-IE"/>
        </w:rPr>
        <w:t xml:space="preserve">used by FUSIONS was </w:t>
      </w:r>
      <w:r w:rsidRPr="00013BDC">
        <w:rPr>
          <w:noProof/>
          <w:lang w:val="en-IE"/>
        </w:rPr>
        <w:t>extended to include food lost at farm level (including food not harvested). It also tried to estimate amounts of food discarded with wastewater. See the figure below.</w:t>
      </w:r>
    </w:p>
    <w:p w14:paraId="22E16269" w14:textId="237474A5" w:rsidR="002927E6" w:rsidRPr="00013BDC" w:rsidRDefault="002927E6" w:rsidP="002927E6">
      <w:pPr>
        <w:textAlignment w:val="baseline"/>
        <w:rPr>
          <w:noProof/>
          <w:lang w:val="en-IE"/>
        </w:rPr>
      </w:pPr>
      <w:bookmarkStart w:id="690" w:name="_Toc133229300"/>
      <w:bookmarkStart w:id="691" w:name="_Toc139033026"/>
      <w:r w:rsidRPr="00013BDC">
        <w:rPr>
          <w:rFonts w:eastAsia="Times New Roman"/>
          <w:i/>
          <w:noProof/>
          <w:lang w:val="en-IE"/>
        </w:rPr>
        <w:t xml:space="preserve">Figure </w:t>
      </w:r>
      <w:r w:rsidR="004C5576">
        <w:rPr>
          <w:rFonts w:eastAsia="Times New Roman"/>
          <w:i/>
          <w:iCs/>
          <w:noProof/>
        </w:rPr>
        <w:t>29</w:t>
      </w:r>
      <w:r w:rsidRPr="00013BDC">
        <w:rPr>
          <w:rFonts w:eastAsia="Times New Roman"/>
          <w:i/>
          <w:noProof/>
          <w:lang w:val="en-IE"/>
        </w:rPr>
        <w:t xml:space="preserve"> –</w:t>
      </w:r>
      <w:r w:rsidRPr="00013BDC">
        <w:rPr>
          <w:i/>
          <w:noProof/>
          <w:lang w:val="en-IE"/>
        </w:rPr>
        <w:t>Amount of food waste (in fresh weight) generated in the EU27 during the different stages of the food supply chain (bars) and breakdown by main food groups (pie charts).</w:t>
      </w:r>
      <w:bookmarkEnd w:id="690"/>
      <w:bookmarkEnd w:id="691"/>
    </w:p>
    <w:p w14:paraId="3040B3BC" w14:textId="1B22E018" w:rsidR="00794505" w:rsidRPr="00013BDC" w:rsidRDefault="00794505" w:rsidP="002927E6">
      <w:pPr>
        <w:spacing w:after="0"/>
        <w:jc w:val="center"/>
        <w:textAlignment w:val="baseline"/>
        <w:rPr>
          <w:rFonts w:eastAsia="Times New Roman"/>
          <w:noProof/>
          <w:lang w:val="en-IE" w:eastAsia="en-IE"/>
        </w:rPr>
      </w:pPr>
      <w:r w:rsidRPr="00013BDC">
        <w:rPr>
          <w:noProof/>
          <w:color w:val="2B579A"/>
          <w:shd w:val="clear" w:color="auto" w:fill="E6E6E6"/>
          <w:lang w:eastAsia="en-GB"/>
        </w:rPr>
        <w:drawing>
          <wp:inline distT="0" distB="0" distL="0" distR="0" wp14:anchorId="62F9C57A" wp14:editId="2319D58E">
            <wp:extent cx="5543550" cy="2781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43550" cy="2781300"/>
                    </a:xfrm>
                    <a:prstGeom prst="rect">
                      <a:avLst/>
                    </a:prstGeom>
                    <a:noFill/>
                    <a:ln>
                      <a:noFill/>
                    </a:ln>
                  </pic:spPr>
                </pic:pic>
              </a:graphicData>
            </a:graphic>
          </wp:inline>
        </w:drawing>
      </w:r>
    </w:p>
    <w:p w14:paraId="448BA0FB" w14:textId="3D5DD2A4" w:rsidR="00794505" w:rsidRPr="00013BDC" w:rsidRDefault="002927E6" w:rsidP="002927E6">
      <w:pPr>
        <w:spacing w:after="0"/>
        <w:jc w:val="center"/>
        <w:textAlignment w:val="baseline"/>
        <w:rPr>
          <w:noProof/>
          <w:sz w:val="22"/>
          <w:szCs w:val="22"/>
          <w:lang w:val="en-IE"/>
        </w:rPr>
      </w:pPr>
      <w:r w:rsidRPr="00013BDC">
        <w:rPr>
          <w:noProof/>
          <w:sz w:val="22"/>
          <w:szCs w:val="22"/>
          <w:lang w:val="en-IE"/>
        </w:rPr>
        <w:t>Source</w:t>
      </w:r>
      <w:r w:rsidR="00794505" w:rsidRPr="00013BDC">
        <w:rPr>
          <w:noProof/>
          <w:sz w:val="22"/>
          <w:szCs w:val="22"/>
          <w:lang w:val="en-IE"/>
        </w:rPr>
        <w:t>: FUSIONS 2016</w:t>
      </w:r>
    </w:p>
    <w:p w14:paraId="40D63277" w14:textId="12A94336" w:rsidR="00794505" w:rsidRPr="00013BDC" w:rsidRDefault="00794505" w:rsidP="00794505">
      <w:pPr>
        <w:rPr>
          <w:noProof/>
          <w:lang w:val="en-IE"/>
        </w:rPr>
      </w:pPr>
      <w:r w:rsidRPr="00013BDC">
        <w:rPr>
          <w:noProof/>
          <w:lang w:val="en-IE"/>
        </w:rPr>
        <w:t xml:space="preserve">The results were as </w:t>
      </w:r>
      <w:r w:rsidR="008B6DC6" w:rsidRPr="00013BDC">
        <w:rPr>
          <w:noProof/>
          <w:lang w:val="en-IE"/>
        </w:rPr>
        <w:t>presented in the table below.</w:t>
      </w:r>
    </w:p>
    <w:p w14:paraId="754B5547" w14:textId="63A89403" w:rsidR="008B6DC6" w:rsidRPr="00013BDC" w:rsidRDefault="008B6DC6" w:rsidP="008B6DC6">
      <w:pPr>
        <w:pStyle w:val="Caption"/>
        <w:rPr>
          <w:noProof/>
          <w:color w:val="auto"/>
          <w:sz w:val="24"/>
          <w:szCs w:val="24"/>
          <w:lang w:val="en-IE"/>
        </w:rPr>
      </w:pPr>
      <w:bookmarkStart w:id="692" w:name="_Toc133229438"/>
      <w:bookmarkStart w:id="693" w:name="_Toc139033062"/>
      <w:r w:rsidRPr="00013BDC">
        <w:rPr>
          <w:noProof/>
          <w:color w:val="auto"/>
          <w:sz w:val="24"/>
          <w:szCs w:val="24"/>
          <w:lang w:val="en-IE"/>
        </w:rPr>
        <w:t xml:space="preserve">Table </w:t>
      </w:r>
      <w:r w:rsidR="004C5576">
        <w:rPr>
          <w:noProof/>
          <w:color w:val="auto"/>
          <w:sz w:val="24"/>
          <w:szCs w:val="24"/>
        </w:rPr>
        <w:t>32</w:t>
      </w:r>
      <w:r w:rsidRPr="00013BDC">
        <w:rPr>
          <w:noProof/>
          <w:color w:val="auto"/>
          <w:sz w:val="24"/>
          <w:szCs w:val="24"/>
          <w:lang w:val="en-IE"/>
        </w:rPr>
        <w:t xml:space="preserve"> – </w:t>
      </w:r>
      <w:r w:rsidR="00362614" w:rsidRPr="00013BDC">
        <w:rPr>
          <w:noProof/>
          <w:color w:val="auto"/>
          <w:sz w:val="24"/>
          <w:szCs w:val="24"/>
          <w:lang w:val="en-IE"/>
        </w:rPr>
        <w:t>Estimates of food waste in EU-28 in 2012 from this quantification study; includes food and inedible parts associated with food</w:t>
      </w:r>
      <w:bookmarkEnd w:id="692"/>
      <w:bookmarkEnd w:id="693"/>
    </w:p>
    <w:tbl>
      <w:tblPr>
        <w:tblW w:w="7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2590"/>
        <w:gridCol w:w="2694"/>
      </w:tblGrid>
      <w:tr w:rsidR="00794505" w:rsidRPr="00013BDC" w14:paraId="1019C1E0" w14:textId="77777777" w:rsidTr="002927E6">
        <w:trPr>
          <w:trHeight w:val="81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5A5ACF53" w14:textId="77777777" w:rsidR="00794505" w:rsidRPr="00013BDC" w:rsidRDefault="00794505" w:rsidP="00F160D3">
            <w:pPr>
              <w:spacing w:after="0"/>
              <w:textAlignment w:val="baseline"/>
              <w:rPr>
                <w:rFonts w:eastAsia="Times New Roman"/>
                <w:noProof/>
                <w:lang w:val="en-IE" w:eastAsia="en-IE"/>
              </w:rPr>
            </w:pPr>
            <w:r w:rsidRPr="00013BDC">
              <w:rPr>
                <w:rFonts w:eastAsia="Times New Roman"/>
                <w:noProof/>
                <w:color w:val="365F91"/>
                <w:lang w:val="en-IE" w:eastAsia="en-IE"/>
              </w:rPr>
              <w:t>Stage of the food supply chain </w:t>
            </w:r>
          </w:p>
        </w:tc>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68D08AC7" w14:textId="77777777" w:rsidR="00794505" w:rsidRPr="00013BDC" w:rsidRDefault="00794505" w:rsidP="00F160D3">
            <w:pPr>
              <w:spacing w:after="0"/>
              <w:textAlignment w:val="baseline"/>
              <w:rPr>
                <w:rFonts w:eastAsia="Times New Roman"/>
                <w:noProof/>
                <w:lang w:val="en-IE" w:eastAsia="en-IE"/>
              </w:rPr>
            </w:pPr>
            <w:r w:rsidRPr="00013BDC">
              <w:rPr>
                <w:rFonts w:eastAsia="Times New Roman"/>
                <w:noProof/>
                <w:color w:val="365F91"/>
                <w:lang w:val="en-IE" w:eastAsia="en-IE"/>
              </w:rPr>
              <w:t>Food waste  </w:t>
            </w:r>
          </w:p>
          <w:p w14:paraId="2368D627" w14:textId="5E06C2DF" w:rsidR="00794505" w:rsidRPr="00013BDC" w:rsidRDefault="00794505" w:rsidP="00F160D3">
            <w:pPr>
              <w:spacing w:after="0"/>
              <w:ind w:left="120" w:hanging="120"/>
              <w:textAlignment w:val="baseline"/>
              <w:rPr>
                <w:rFonts w:eastAsia="Times New Roman"/>
                <w:noProof/>
                <w:lang w:val="en-IE" w:eastAsia="en-IE"/>
              </w:rPr>
            </w:pPr>
            <w:r w:rsidRPr="00013BDC">
              <w:rPr>
                <w:rFonts w:eastAsia="Times New Roman"/>
                <w:noProof/>
                <w:color w:val="365F91"/>
                <w:lang w:val="en-IE" w:eastAsia="en-IE"/>
              </w:rPr>
              <w:t>(</w:t>
            </w:r>
            <w:r w:rsidR="00031507" w:rsidRPr="00013BDC">
              <w:rPr>
                <w:rFonts w:eastAsia="Times New Roman"/>
                <w:noProof/>
                <w:color w:val="365F91"/>
                <w:lang w:val="en-IE" w:eastAsia="en-IE"/>
              </w:rPr>
              <w:t>M</w:t>
            </w:r>
            <w:r w:rsidRPr="00013BDC">
              <w:rPr>
                <w:rFonts w:eastAsia="Times New Roman"/>
                <w:noProof/>
                <w:color w:val="365F91"/>
                <w:lang w:val="en-IE" w:eastAsia="en-IE"/>
              </w:rPr>
              <w:t xml:space="preserve"> tonnes) with 95% CI*  </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07EC5230" w14:textId="77777777" w:rsidR="00794505" w:rsidRPr="00013BDC" w:rsidRDefault="00794505" w:rsidP="00F160D3">
            <w:pPr>
              <w:spacing w:after="0"/>
              <w:ind w:firstLine="75"/>
              <w:textAlignment w:val="baseline"/>
              <w:rPr>
                <w:rFonts w:eastAsia="Times New Roman"/>
                <w:noProof/>
                <w:lang w:val="en-IE" w:eastAsia="en-IE"/>
              </w:rPr>
            </w:pPr>
            <w:r w:rsidRPr="00013BDC">
              <w:rPr>
                <w:rFonts w:eastAsia="Times New Roman"/>
                <w:noProof/>
                <w:color w:val="365F91"/>
                <w:lang w:val="en-IE" w:eastAsia="en-IE"/>
              </w:rPr>
              <w:t>Food waste (kg per person) with 95% CI*  </w:t>
            </w:r>
          </w:p>
        </w:tc>
      </w:tr>
      <w:tr w:rsidR="00794505" w:rsidRPr="00013BDC" w14:paraId="69E11A2A" w14:textId="77777777" w:rsidTr="002927E6">
        <w:trPr>
          <w:trHeight w:val="27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472F57F6" w14:textId="77777777" w:rsidR="00794505" w:rsidRPr="00013BDC" w:rsidRDefault="00794505" w:rsidP="00F160D3">
            <w:pPr>
              <w:spacing w:after="0"/>
              <w:textAlignment w:val="baseline"/>
              <w:rPr>
                <w:rFonts w:eastAsia="Times New Roman"/>
                <w:noProof/>
                <w:lang w:val="en-IE" w:eastAsia="en-IE"/>
              </w:rPr>
            </w:pPr>
            <w:r w:rsidRPr="00013BDC">
              <w:rPr>
                <w:rFonts w:eastAsia="Times New Roman"/>
                <w:noProof/>
                <w:color w:val="365F91"/>
                <w:lang w:val="en-IE" w:eastAsia="en-IE"/>
              </w:rPr>
              <w:t>Primary production  </w:t>
            </w:r>
          </w:p>
        </w:tc>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7E4E4AEF" w14:textId="0CD1758E" w:rsidR="00794505" w:rsidRPr="00013BDC" w:rsidRDefault="00794505" w:rsidP="007D5C2D">
            <w:pPr>
              <w:spacing w:after="0"/>
              <w:jc w:val="center"/>
              <w:textAlignment w:val="baseline"/>
              <w:rPr>
                <w:rFonts w:eastAsia="Times New Roman"/>
                <w:noProof/>
                <w:lang w:val="en-IE" w:eastAsia="en-IE"/>
              </w:rPr>
            </w:pPr>
            <w:r w:rsidRPr="00013BDC">
              <w:rPr>
                <w:rFonts w:eastAsia="Times New Roman"/>
                <w:noProof/>
                <w:color w:val="365F91"/>
                <w:lang w:val="en-IE" w:eastAsia="en-IE"/>
              </w:rPr>
              <w:t>9.1 ± 1.5</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1C9DB979" w14:textId="77777777" w:rsidR="00794505" w:rsidRPr="00013BDC" w:rsidRDefault="00794505" w:rsidP="00F160D3">
            <w:pPr>
              <w:spacing w:after="0"/>
              <w:jc w:val="center"/>
              <w:textAlignment w:val="baseline"/>
              <w:rPr>
                <w:rFonts w:eastAsia="Times New Roman"/>
                <w:noProof/>
                <w:lang w:val="en-IE" w:eastAsia="en-IE"/>
              </w:rPr>
            </w:pPr>
            <w:r w:rsidRPr="00013BDC">
              <w:rPr>
                <w:rFonts w:eastAsia="Times New Roman"/>
                <w:noProof/>
                <w:color w:val="365F91"/>
                <w:lang w:val="en-IE" w:eastAsia="en-IE"/>
              </w:rPr>
              <w:t>18 ± 3  </w:t>
            </w:r>
          </w:p>
        </w:tc>
      </w:tr>
      <w:tr w:rsidR="00794505" w:rsidRPr="00013BDC" w14:paraId="799407AD" w14:textId="77777777" w:rsidTr="002927E6">
        <w:trPr>
          <w:trHeight w:val="255"/>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7BB5BAD6" w14:textId="77777777" w:rsidR="00794505" w:rsidRPr="00013BDC" w:rsidRDefault="00794505" w:rsidP="00F160D3">
            <w:pPr>
              <w:spacing w:after="0"/>
              <w:textAlignment w:val="baseline"/>
              <w:rPr>
                <w:rFonts w:eastAsia="Times New Roman"/>
                <w:noProof/>
                <w:lang w:val="en-IE" w:eastAsia="en-IE"/>
              </w:rPr>
            </w:pPr>
            <w:r w:rsidRPr="00013BDC">
              <w:rPr>
                <w:rFonts w:eastAsia="Times New Roman"/>
                <w:noProof/>
                <w:color w:val="365F91"/>
                <w:lang w:val="en-IE" w:eastAsia="en-IE"/>
              </w:rPr>
              <w:t>Processing  </w:t>
            </w:r>
          </w:p>
        </w:tc>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05CD8E12" w14:textId="5A978CD8" w:rsidR="00794505" w:rsidRPr="00013BDC" w:rsidRDefault="00794505" w:rsidP="007D5C2D">
            <w:pPr>
              <w:spacing w:after="0"/>
              <w:jc w:val="center"/>
              <w:textAlignment w:val="baseline"/>
              <w:rPr>
                <w:rFonts w:eastAsia="Times New Roman"/>
                <w:noProof/>
                <w:lang w:val="en-IE" w:eastAsia="en-IE"/>
              </w:rPr>
            </w:pPr>
            <w:r w:rsidRPr="00013BDC">
              <w:rPr>
                <w:rFonts w:eastAsia="Times New Roman"/>
                <w:noProof/>
                <w:color w:val="365F91"/>
                <w:lang w:val="en-IE" w:eastAsia="en-IE"/>
              </w:rPr>
              <w:t>16.9± 12.7</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39CFF26D" w14:textId="77777777" w:rsidR="00794505" w:rsidRPr="00013BDC" w:rsidRDefault="00794505" w:rsidP="00F160D3">
            <w:pPr>
              <w:spacing w:after="0"/>
              <w:jc w:val="center"/>
              <w:textAlignment w:val="baseline"/>
              <w:rPr>
                <w:rFonts w:eastAsia="Times New Roman"/>
                <w:noProof/>
                <w:lang w:val="en-IE" w:eastAsia="en-IE"/>
              </w:rPr>
            </w:pPr>
            <w:r w:rsidRPr="00013BDC">
              <w:rPr>
                <w:rFonts w:eastAsia="Times New Roman"/>
                <w:noProof/>
                <w:color w:val="365F91"/>
                <w:lang w:val="en-IE" w:eastAsia="en-IE"/>
              </w:rPr>
              <w:t>33 ± 25  </w:t>
            </w:r>
          </w:p>
        </w:tc>
      </w:tr>
      <w:tr w:rsidR="00794505" w:rsidRPr="00013BDC" w14:paraId="29D82A93" w14:textId="77777777" w:rsidTr="002927E6">
        <w:trPr>
          <w:trHeight w:val="255"/>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3EF76E03" w14:textId="77777777" w:rsidR="00794505" w:rsidRPr="00013BDC" w:rsidRDefault="00794505" w:rsidP="00F160D3">
            <w:pPr>
              <w:spacing w:after="0"/>
              <w:textAlignment w:val="baseline"/>
              <w:rPr>
                <w:rFonts w:eastAsia="Times New Roman"/>
                <w:noProof/>
                <w:lang w:val="en-IE" w:eastAsia="en-IE"/>
              </w:rPr>
            </w:pPr>
            <w:r w:rsidRPr="00013BDC">
              <w:rPr>
                <w:rFonts w:eastAsia="Times New Roman"/>
                <w:noProof/>
                <w:color w:val="365F91"/>
                <w:lang w:val="en-IE" w:eastAsia="en-IE"/>
              </w:rPr>
              <w:t>Wholesale and retail  </w:t>
            </w:r>
          </w:p>
        </w:tc>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35442DCD" w14:textId="03032685" w:rsidR="00794505" w:rsidRPr="00013BDC" w:rsidRDefault="00794505" w:rsidP="007D5C2D">
            <w:pPr>
              <w:spacing w:after="0"/>
              <w:jc w:val="center"/>
              <w:textAlignment w:val="baseline"/>
              <w:rPr>
                <w:rFonts w:eastAsia="Times New Roman"/>
                <w:noProof/>
                <w:lang w:val="en-IE" w:eastAsia="en-IE"/>
              </w:rPr>
            </w:pPr>
            <w:r w:rsidRPr="00013BDC">
              <w:rPr>
                <w:rFonts w:eastAsia="Times New Roman"/>
                <w:noProof/>
                <w:color w:val="365F91"/>
                <w:lang w:val="en-IE" w:eastAsia="en-IE"/>
              </w:rPr>
              <w:t>4.6 ± 1.2</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139DDA9B" w14:textId="77777777" w:rsidR="00794505" w:rsidRPr="00013BDC" w:rsidRDefault="00794505" w:rsidP="00F160D3">
            <w:pPr>
              <w:spacing w:after="0"/>
              <w:jc w:val="center"/>
              <w:textAlignment w:val="baseline"/>
              <w:rPr>
                <w:rFonts w:eastAsia="Times New Roman"/>
                <w:noProof/>
                <w:lang w:val="en-IE" w:eastAsia="en-IE"/>
              </w:rPr>
            </w:pPr>
            <w:r w:rsidRPr="00013BDC">
              <w:rPr>
                <w:rFonts w:eastAsia="Times New Roman"/>
                <w:noProof/>
                <w:color w:val="365F91"/>
                <w:lang w:val="en-IE" w:eastAsia="en-IE"/>
              </w:rPr>
              <w:t>9 ± 2  </w:t>
            </w:r>
          </w:p>
        </w:tc>
      </w:tr>
      <w:tr w:rsidR="00794505" w:rsidRPr="00013BDC" w14:paraId="2EA945EF" w14:textId="77777777" w:rsidTr="002927E6">
        <w:trPr>
          <w:trHeight w:val="255"/>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64E62111" w14:textId="77777777" w:rsidR="00794505" w:rsidRPr="00013BDC" w:rsidRDefault="00794505" w:rsidP="00F160D3">
            <w:pPr>
              <w:spacing w:after="0"/>
              <w:textAlignment w:val="baseline"/>
              <w:rPr>
                <w:rFonts w:eastAsia="Times New Roman"/>
                <w:noProof/>
                <w:lang w:val="en-IE" w:eastAsia="en-IE"/>
              </w:rPr>
            </w:pPr>
            <w:r w:rsidRPr="00013BDC">
              <w:rPr>
                <w:rFonts w:eastAsia="Times New Roman"/>
                <w:noProof/>
                <w:color w:val="365F91"/>
                <w:lang w:val="en-IE" w:eastAsia="en-IE"/>
              </w:rPr>
              <w:t>Food service  </w:t>
            </w:r>
          </w:p>
        </w:tc>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6B8F76F2" w14:textId="2AE96CF2" w:rsidR="00794505" w:rsidRPr="00013BDC" w:rsidRDefault="00794505" w:rsidP="007D5C2D">
            <w:pPr>
              <w:spacing w:after="0"/>
              <w:jc w:val="center"/>
              <w:textAlignment w:val="baseline"/>
              <w:rPr>
                <w:rFonts w:eastAsia="Times New Roman"/>
                <w:noProof/>
                <w:lang w:val="en-IE" w:eastAsia="en-IE"/>
              </w:rPr>
            </w:pPr>
            <w:r w:rsidRPr="00013BDC">
              <w:rPr>
                <w:rFonts w:eastAsia="Times New Roman"/>
                <w:noProof/>
                <w:color w:val="365F91"/>
                <w:lang w:val="en-IE" w:eastAsia="en-IE"/>
              </w:rPr>
              <w:t>10.5 ± 1.5</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79D2FFB9" w14:textId="77777777" w:rsidR="00794505" w:rsidRPr="00013BDC" w:rsidRDefault="00794505" w:rsidP="00F160D3">
            <w:pPr>
              <w:spacing w:after="0"/>
              <w:jc w:val="center"/>
              <w:textAlignment w:val="baseline"/>
              <w:rPr>
                <w:rFonts w:eastAsia="Times New Roman"/>
                <w:noProof/>
                <w:lang w:val="en-IE" w:eastAsia="en-IE"/>
              </w:rPr>
            </w:pPr>
            <w:r w:rsidRPr="00013BDC">
              <w:rPr>
                <w:rFonts w:eastAsia="Times New Roman"/>
                <w:noProof/>
                <w:color w:val="365F91"/>
                <w:lang w:val="en-IE" w:eastAsia="en-IE"/>
              </w:rPr>
              <w:t>21 ± 3  </w:t>
            </w:r>
          </w:p>
        </w:tc>
      </w:tr>
      <w:tr w:rsidR="00794505" w:rsidRPr="00013BDC" w14:paraId="3536ECED" w14:textId="77777777" w:rsidTr="002927E6">
        <w:trPr>
          <w:trHeight w:val="255"/>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2EECA0B1" w14:textId="77777777" w:rsidR="00794505" w:rsidRPr="00013BDC" w:rsidRDefault="00794505" w:rsidP="00F160D3">
            <w:pPr>
              <w:spacing w:after="0"/>
              <w:textAlignment w:val="baseline"/>
              <w:rPr>
                <w:rFonts w:eastAsia="Times New Roman"/>
                <w:noProof/>
                <w:lang w:val="en-IE" w:eastAsia="en-IE"/>
              </w:rPr>
            </w:pPr>
            <w:r w:rsidRPr="00013BDC">
              <w:rPr>
                <w:rFonts w:eastAsia="Times New Roman"/>
                <w:noProof/>
                <w:color w:val="365F91"/>
                <w:lang w:val="en-IE" w:eastAsia="en-IE"/>
              </w:rPr>
              <w:t>Households  </w:t>
            </w:r>
          </w:p>
        </w:tc>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46DD68FD" w14:textId="58055555" w:rsidR="00794505" w:rsidRPr="00013BDC" w:rsidRDefault="00794505" w:rsidP="007D5C2D">
            <w:pPr>
              <w:spacing w:after="0"/>
              <w:jc w:val="center"/>
              <w:textAlignment w:val="baseline"/>
              <w:rPr>
                <w:rFonts w:eastAsia="Times New Roman"/>
                <w:noProof/>
                <w:lang w:val="en-IE" w:eastAsia="en-IE"/>
              </w:rPr>
            </w:pPr>
            <w:r w:rsidRPr="00013BDC">
              <w:rPr>
                <w:rFonts w:eastAsia="Times New Roman"/>
                <w:noProof/>
                <w:color w:val="365F91"/>
                <w:lang w:val="en-IE" w:eastAsia="en-IE"/>
              </w:rPr>
              <w:t>46.5 ±4.4</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37117EB6" w14:textId="77777777" w:rsidR="00794505" w:rsidRPr="00013BDC" w:rsidRDefault="00794505" w:rsidP="00F160D3">
            <w:pPr>
              <w:spacing w:after="0"/>
              <w:jc w:val="center"/>
              <w:textAlignment w:val="baseline"/>
              <w:rPr>
                <w:rFonts w:eastAsia="Times New Roman"/>
                <w:noProof/>
                <w:lang w:val="en-IE" w:eastAsia="en-IE"/>
              </w:rPr>
            </w:pPr>
            <w:r w:rsidRPr="00013BDC">
              <w:rPr>
                <w:rFonts w:eastAsia="Times New Roman"/>
                <w:noProof/>
                <w:color w:val="365F91"/>
                <w:lang w:val="en-IE" w:eastAsia="en-IE"/>
              </w:rPr>
              <w:t>92 ± 9  </w:t>
            </w:r>
          </w:p>
        </w:tc>
      </w:tr>
      <w:tr w:rsidR="00794505" w:rsidRPr="00013BDC" w14:paraId="4239DC09" w14:textId="77777777" w:rsidTr="002927E6">
        <w:trPr>
          <w:trHeight w:val="270"/>
        </w:trPr>
        <w:tc>
          <w:tcPr>
            <w:tcW w:w="2505" w:type="dxa"/>
            <w:tcBorders>
              <w:top w:val="single" w:sz="6" w:space="0" w:color="auto"/>
              <w:left w:val="single" w:sz="6" w:space="0" w:color="auto"/>
              <w:bottom w:val="single" w:sz="6" w:space="0" w:color="auto"/>
              <w:right w:val="single" w:sz="6" w:space="0" w:color="auto"/>
            </w:tcBorders>
            <w:shd w:val="clear" w:color="auto" w:fill="auto"/>
            <w:hideMark/>
          </w:tcPr>
          <w:p w14:paraId="172C0DA7" w14:textId="77777777" w:rsidR="00794505" w:rsidRPr="00013BDC" w:rsidRDefault="00794505" w:rsidP="00F160D3">
            <w:pPr>
              <w:spacing w:after="0"/>
              <w:textAlignment w:val="baseline"/>
              <w:rPr>
                <w:rFonts w:eastAsia="Times New Roman"/>
                <w:noProof/>
                <w:lang w:val="en-IE" w:eastAsia="en-IE"/>
              </w:rPr>
            </w:pPr>
            <w:r w:rsidRPr="00013BDC">
              <w:rPr>
                <w:rFonts w:eastAsia="Times New Roman"/>
                <w:noProof/>
                <w:color w:val="365F91"/>
                <w:lang w:val="en-IE" w:eastAsia="en-IE"/>
              </w:rPr>
              <w:t>Total food waste  </w:t>
            </w:r>
          </w:p>
        </w:tc>
        <w:tc>
          <w:tcPr>
            <w:tcW w:w="2590" w:type="dxa"/>
            <w:tcBorders>
              <w:top w:val="single" w:sz="6" w:space="0" w:color="auto"/>
              <w:left w:val="single" w:sz="6" w:space="0" w:color="auto"/>
              <w:bottom w:val="single" w:sz="6" w:space="0" w:color="auto"/>
              <w:right w:val="single" w:sz="6" w:space="0" w:color="auto"/>
            </w:tcBorders>
            <w:shd w:val="clear" w:color="auto" w:fill="auto"/>
            <w:hideMark/>
          </w:tcPr>
          <w:p w14:paraId="10147312" w14:textId="5FA7916B" w:rsidR="00794505" w:rsidRPr="00013BDC" w:rsidRDefault="00794505" w:rsidP="007D5C2D">
            <w:pPr>
              <w:spacing w:after="0"/>
              <w:jc w:val="center"/>
              <w:textAlignment w:val="baseline"/>
              <w:rPr>
                <w:rFonts w:eastAsia="Times New Roman"/>
                <w:noProof/>
                <w:lang w:val="en-IE" w:eastAsia="en-IE"/>
              </w:rPr>
            </w:pPr>
            <w:r w:rsidRPr="00013BDC">
              <w:rPr>
                <w:rFonts w:eastAsia="Times New Roman"/>
                <w:noProof/>
                <w:color w:val="365F91"/>
                <w:lang w:val="en-IE" w:eastAsia="en-IE"/>
              </w:rPr>
              <w:t>87.6 ± 13.7</w:t>
            </w:r>
          </w:p>
        </w:tc>
        <w:tc>
          <w:tcPr>
            <w:tcW w:w="2694" w:type="dxa"/>
            <w:tcBorders>
              <w:top w:val="single" w:sz="6" w:space="0" w:color="auto"/>
              <w:left w:val="single" w:sz="6" w:space="0" w:color="auto"/>
              <w:bottom w:val="single" w:sz="6" w:space="0" w:color="auto"/>
              <w:right w:val="single" w:sz="6" w:space="0" w:color="auto"/>
            </w:tcBorders>
            <w:shd w:val="clear" w:color="auto" w:fill="auto"/>
            <w:hideMark/>
          </w:tcPr>
          <w:p w14:paraId="7B8F443D" w14:textId="77777777" w:rsidR="00794505" w:rsidRPr="00013BDC" w:rsidRDefault="00794505" w:rsidP="00F160D3">
            <w:pPr>
              <w:spacing w:after="0"/>
              <w:jc w:val="center"/>
              <w:textAlignment w:val="baseline"/>
              <w:rPr>
                <w:rFonts w:eastAsia="Times New Roman"/>
                <w:noProof/>
                <w:lang w:val="en-IE" w:eastAsia="en-IE"/>
              </w:rPr>
            </w:pPr>
            <w:r w:rsidRPr="00013BDC">
              <w:rPr>
                <w:rFonts w:eastAsia="Times New Roman"/>
                <w:noProof/>
                <w:color w:val="365F91"/>
                <w:lang w:val="en-IE" w:eastAsia="en-IE"/>
              </w:rPr>
              <w:t>173 ± 27  </w:t>
            </w:r>
          </w:p>
        </w:tc>
      </w:tr>
    </w:tbl>
    <w:p w14:paraId="40BB131F" w14:textId="77777777" w:rsidR="00794505" w:rsidRPr="00013BDC" w:rsidRDefault="00794505" w:rsidP="00362614">
      <w:pPr>
        <w:textAlignment w:val="baseline"/>
        <w:rPr>
          <w:rFonts w:eastAsia="Times New Roman"/>
          <w:noProof/>
          <w:sz w:val="22"/>
          <w:szCs w:val="22"/>
          <w:lang w:val="en-IE" w:eastAsia="en-IE"/>
        </w:rPr>
      </w:pPr>
      <w:r w:rsidRPr="00013BDC">
        <w:rPr>
          <w:rFonts w:eastAsia="Times New Roman"/>
          <w:noProof/>
          <w:color w:val="000000"/>
          <w:sz w:val="22"/>
          <w:szCs w:val="22"/>
          <w:lang w:val="en-IE" w:eastAsia="en-IE"/>
        </w:rPr>
        <w:t>*Confidence interval  </w:t>
      </w:r>
    </w:p>
    <w:p w14:paraId="2F965D85" w14:textId="646AAAC1" w:rsidR="00794505" w:rsidRPr="00013BDC" w:rsidRDefault="00507259" w:rsidP="00362614">
      <w:pPr>
        <w:textAlignment w:val="baseline"/>
        <w:rPr>
          <w:rFonts w:eastAsia="Times New Roman"/>
          <w:noProof/>
          <w:color w:val="000000"/>
          <w:lang w:val="en-IE" w:eastAsia="en-IE"/>
        </w:rPr>
      </w:pPr>
      <w:r w:rsidRPr="00013BDC">
        <w:rPr>
          <w:rFonts w:eastAsia="Times New Roman"/>
          <w:noProof/>
          <w:color w:val="000000"/>
          <w:lang w:val="en-IE" w:eastAsia="en-IE"/>
        </w:rPr>
        <w:t>According to FUSIONS, t</w:t>
      </w:r>
      <w:r w:rsidR="00794505" w:rsidRPr="00013BDC">
        <w:rPr>
          <w:rFonts w:eastAsia="Times New Roman"/>
          <w:noProof/>
          <w:color w:val="000000"/>
          <w:lang w:val="en-IE" w:eastAsia="en-IE"/>
        </w:rPr>
        <w:t>he sectors contributing the most to food waste are households (47 million tonnes ± 4 million tonnes) and processing (17 million tonnes ± 13 million tonnes). These two sectors account for 72 percent of EU food waste, although there is considerable uncertainty around the estimate for the processing sector compared to all the other sectors.  </w:t>
      </w:r>
    </w:p>
    <w:p w14:paraId="7F565486" w14:textId="66F6EBBF" w:rsidR="003F75E2" w:rsidRPr="00013BDC" w:rsidRDefault="007F5F59" w:rsidP="0B9E2EEF">
      <w:pPr>
        <w:pStyle w:val="Heading3"/>
        <w:rPr>
          <w:b/>
          <w:noProof/>
          <w:lang w:val="en-IE"/>
        </w:rPr>
      </w:pPr>
      <w:bookmarkStart w:id="694" w:name="_Toc825740252"/>
      <w:bookmarkStart w:id="695" w:name="_Toc554545190"/>
      <w:bookmarkStart w:id="696" w:name="_Toc964223760"/>
      <w:bookmarkStart w:id="697" w:name="_Toc719336976"/>
      <w:bookmarkStart w:id="698" w:name="_Toc139032992"/>
      <w:r w:rsidRPr="00013BDC">
        <w:rPr>
          <w:noProof/>
          <w:lang w:val="en-IE"/>
        </w:rPr>
        <w:t>First reporting of food waste amounts in EU (for 2020)</w:t>
      </w:r>
      <w:bookmarkEnd w:id="694"/>
      <w:bookmarkEnd w:id="695"/>
      <w:bookmarkEnd w:id="696"/>
      <w:bookmarkEnd w:id="697"/>
      <w:bookmarkEnd w:id="698"/>
    </w:p>
    <w:p w14:paraId="3F92A378" w14:textId="708C54F0" w:rsidR="003F75E2" w:rsidRPr="00013BDC" w:rsidRDefault="00F32589" w:rsidP="00362614">
      <w:pPr>
        <w:spacing w:after="120"/>
        <w:textAlignment w:val="baseline"/>
        <w:rPr>
          <w:noProof/>
          <w:lang w:val="en-IE"/>
        </w:rPr>
      </w:pPr>
      <w:r w:rsidRPr="00013BDC">
        <w:rPr>
          <w:noProof/>
          <w:lang w:val="en-IE"/>
        </w:rPr>
        <w:t>In October 2022, Eurostat published the results of the first EU-wide monitoring of food waste levels, based on a harmonised methodology. Total food waste measured in 2020 nearly reached 5</w:t>
      </w:r>
      <w:r w:rsidR="61CEE079" w:rsidRPr="00013BDC">
        <w:rPr>
          <w:noProof/>
          <w:lang w:val="en-IE"/>
        </w:rPr>
        <w:t>8.5</w:t>
      </w:r>
      <w:r w:rsidRPr="00013BDC">
        <w:rPr>
          <w:noProof/>
          <w:lang w:val="en-IE"/>
        </w:rPr>
        <w:t xml:space="preserve"> million tonnes (1</w:t>
      </w:r>
      <w:r w:rsidR="053595EF" w:rsidRPr="00013BDC">
        <w:rPr>
          <w:noProof/>
          <w:lang w:val="en-IE"/>
        </w:rPr>
        <w:t>31</w:t>
      </w:r>
      <w:r w:rsidRPr="00013BDC">
        <w:rPr>
          <w:noProof/>
          <w:lang w:val="en-IE"/>
        </w:rPr>
        <w:t xml:space="preserve"> kg per person per year).</w:t>
      </w:r>
    </w:p>
    <w:p w14:paraId="6719B203" w14:textId="741942E0" w:rsidR="000A58CC" w:rsidRPr="00013BDC" w:rsidRDefault="000A58CC" w:rsidP="000A58CC">
      <w:pPr>
        <w:rPr>
          <w:noProof/>
          <w:lang w:val="en-IE"/>
        </w:rPr>
      </w:pPr>
      <w:r w:rsidRPr="00013BDC">
        <w:rPr>
          <w:noProof/>
          <w:lang w:val="en-IE"/>
        </w:rPr>
        <w:t>Over half of food waste (5</w:t>
      </w:r>
      <w:r w:rsidR="6F48FB75" w:rsidRPr="00013BDC">
        <w:rPr>
          <w:noProof/>
          <w:lang w:val="en-IE"/>
        </w:rPr>
        <w:t>3</w:t>
      </w:r>
      <w:r w:rsidRPr="00013BDC">
        <w:rPr>
          <w:noProof/>
          <w:lang w:val="en-IE"/>
        </w:rPr>
        <w:t>%) is generated at the level of households, representing more than 31 million tonnes. The second biggest share (</w:t>
      </w:r>
      <w:r w:rsidR="6E20E5ED" w:rsidRPr="00013BDC">
        <w:rPr>
          <w:noProof/>
          <w:lang w:val="en-IE"/>
        </w:rPr>
        <w:t>20</w:t>
      </w:r>
      <w:r w:rsidRPr="00013BDC">
        <w:rPr>
          <w:noProof/>
          <w:lang w:val="en-IE"/>
        </w:rPr>
        <w:t xml:space="preserve"> %) is generated by the processing and manufacturing sector, where the amount of measured food waste is </w:t>
      </w:r>
      <w:r w:rsidR="308CDF27" w:rsidRPr="00013BDC">
        <w:rPr>
          <w:noProof/>
          <w:lang w:val="en-IE"/>
        </w:rPr>
        <w:t>almost 12</w:t>
      </w:r>
      <w:r w:rsidRPr="00013BDC">
        <w:rPr>
          <w:noProof/>
          <w:lang w:val="en-IE"/>
        </w:rPr>
        <w:t xml:space="preserve"> million tonnes. The remaining shares – representing altogether a quarter of the total food waste </w:t>
      </w:r>
      <w:r w:rsidR="00CC3EC0" w:rsidRPr="00013BDC">
        <w:rPr>
          <w:noProof/>
          <w:lang w:val="en-IE"/>
        </w:rPr>
        <w:t>–</w:t>
      </w:r>
      <w:r w:rsidRPr="00013BDC">
        <w:rPr>
          <w:noProof/>
          <w:lang w:val="en-IE"/>
        </w:rPr>
        <w:t xml:space="preserve"> originate from the primary production sector (6 million tonnes, 11% share of the total amount of food waste), restaurants and food services (more than 5 million tonnes, 9% of the total) and retail and other distribution of food sectors (more than 4 million tonnes, 7% of the total). </w:t>
      </w:r>
    </w:p>
    <w:p w14:paraId="26E8CBCA" w14:textId="507BC091" w:rsidR="000A58CC" w:rsidRPr="00013BDC" w:rsidRDefault="000A58CC" w:rsidP="000A58CC">
      <w:pPr>
        <w:pStyle w:val="Text1"/>
        <w:spacing w:after="120"/>
        <w:rPr>
          <w:noProof/>
          <w:lang w:val="en-IE"/>
        </w:rPr>
      </w:pPr>
    </w:p>
    <w:p w14:paraId="741410DF" w14:textId="0D56F950" w:rsidR="00362614" w:rsidRPr="00013BDC" w:rsidRDefault="00362614" w:rsidP="002425CD">
      <w:pPr>
        <w:pStyle w:val="Caption"/>
        <w:rPr>
          <w:i w:val="0"/>
          <w:iCs w:val="0"/>
          <w:noProof/>
          <w:szCs w:val="24"/>
        </w:rPr>
      </w:pPr>
      <w:bookmarkStart w:id="699" w:name="_Toc133229439"/>
      <w:bookmarkStart w:id="700" w:name="_Toc139033063"/>
      <w:r w:rsidRPr="00013BDC">
        <w:rPr>
          <w:noProof/>
          <w:color w:val="auto"/>
          <w:sz w:val="24"/>
          <w:szCs w:val="24"/>
          <w:lang w:val="en-IE"/>
        </w:rPr>
        <w:t xml:space="preserve">Table </w:t>
      </w:r>
      <w:r w:rsidR="004C5576">
        <w:rPr>
          <w:noProof/>
          <w:color w:val="auto"/>
          <w:sz w:val="24"/>
          <w:szCs w:val="24"/>
          <w:lang w:val="en-IE"/>
        </w:rPr>
        <w:t>33</w:t>
      </w:r>
      <w:r w:rsidRPr="00013BDC">
        <w:rPr>
          <w:noProof/>
          <w:color w:val="auto"/>
          <w:sz w:val="24"/>
          <w:szCs w:val="24"/>
          <w:lang w:val="en-IE"/>
        </w:rPr>
        <w:t>– Food waste amounts by Member State and by stage of the food supply chain for the reference year 2020.</w:t>
      </w:r>
      <w:bookmarkEnd w:id="699"/>
      <w:bookmarkEnd w:id="700"/>
    </w:p>
    <w:p w14:paraId="20C497C9" w14:textId="77777777" w:rsidR="007D5C2D" w:rsidRPr="00013BDC" w:rsidRDefault="007D5C2D" w:rsidP="000A58CC">
      <w:pPr>
        <w:pStyle w:val="Text1"/>
        <w:spacing w:after="120"/>
        <w:rPr>
          <w:rFonts w:eastAsiaTheme="minorHAnsi"/>
          <w:i/>
          <w:noProof/>
          <w:szCs w:val="24"/>
          <w:lang w:val="en-IE"/>
        </w:rPr>
      </w:pPr>
    </w:p>
    <w:p w14:paraId="4819BCB3" w14:textId="73A09D61" w:rsidR="008740EF" w:rsidRPr="00013BDC" w:rsidRDefault="19083C5E" w:rsidP="007D5C2D">
      <w:pPr>
        <w:pStyle w:val="Text1"/>
        <w:spacing w:after="120"/>
        <w:ind w:left="0"/>
        <w:jc w:val="center"/>
        <w:rPr>
          <w:rFonts w:eastAsiaTheme="minorHAnsi"/>
          <w:i/>
          <w:noProof/>
          <w:szCs w:val="24"/>
          <w:lang w:val="en-IE"/>
        </w:rPr>
      </w:pPr>
      <w:r w:rsidRPr="00013BDC">
        <w:rPr>
          <w:noProof/>
          <w:lang w:eastAsia="en-GB"/>
        </w:rPr>
        <w:drawing>
          <wp:inline distT="0" distB="0" distL="0" distR="0" wp14:anchorId="20355E31" wp14:editId="625F32AE">
            <wp:extent cx="5731510" cy="5598158"/>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35">
                      <a:extLst>
                        <a:ext uri="{28A0092B-C50C-407E-A947-70E740481C1C}">
                          <a14:useLocalDpi xmlns:a14="http://schemas.microsoft.com/office/drawing/2010/main" val="0"/>
                        </a:ext>
                      </a:extLst>
                    </a:blip>
                    <a:stretch>
                      <a:fillRect/>
                    </a:stretch>
                  </pic:blipFill>
                  <pic:spPr>
                    <a:xfrm>
                      <a:off x="0" y="0"/>
                      <a:ext cx="5731510" cy="5598158"/>
                    </a:xfrm>
                    <a:prstGeom prst="rect">
                      <a:avLst/>
                    </a:prstGeom>
                  </pic:spPr>
                </pic:pic>
              </a:graphicData>
            </a:graphic>
          </wp:inline>
        </w:drawing>
      </w:r>
    </w:p>
    <w:p w14:paraId="66F6C985" w14:textId="77777777" w:rsidR="0B9E2EEF" w:rsidRPr="00013BDC" w:rsidRDefault="0B9E2EEF" w:rsidP="00D71432">
      <w:pPr>
        <w:spacing w:after="120"/>
        <w:jc w:val="center"/>
        <w:rPr>
          <w:rStyle w:val="Hyperlink"/>
          <w:rFonts w:eastAsia="Times New Roman"/>
          <w:noProof/>
          <w:sz w:val="22"/>
          <w:szCs w:val="22"/>
          <w:lang w:val="en-IE"/>
        </w:rPr>
      </w:pPr>
    </w:p>
    <w:p w14:paraId="08174B03" w14:textId="66F6EBBF" w:rsidR="00794505" w:rsidRPr="00013BDC" w:rsidRDefault="00794505" w:rsidP="0B9E2EEF">
      <w:pPr>
        <w:pStyle w:val="Heading3"/>
        <w:rPr>
          <w:b/>
          <w:noProof/>
          <w:lang w:val="en-IE"/>
        </w:rPr>
      </w:pPr>
      <w:bookmarkStart w:id="701" w:name="_Toc659031446"/>
      <w:bookmarkStart w:id="702" w:name="_Toc1847698281"/>
      <w:bookmarkStart w:id="703" w:name="_Toc1734469685"/>
      <w:bookmarkStart w:id="704" w:name="_Toc740678267"/>
      <w:bookmarkStart w:id="705" w:name="_Toc139032993"/>
      <w:r w:rsidRPr="00013BDC">
        <w:rPr>
          <w:noProof/>
          <w:lang w:val="en-IE"/>
        </w:rPr>
        <w:t>Comparison of data reported (EUROSTAT 2022) with estimations of FUSIONS (2016)</w:t>
      </w:r>
      <w:bookmarkEnd w:id="701"/>
      <w:bookmarkEnd w:id="702"/>
      <w:bookmarkEnd w:id="703"/>
      <w:bookmarkEnd w:id="704"/>
      <w:bookmarkEnd w:id="705"/>
    </w:p>
    <w:p w14:paraId="00A55563" w14:textId="77777777" w:rsidR="00794505" w:rsidRPr="00013BDC" w:rsidRDefault="00794505" w:rsidP="00794505">
      <w:pPr>
        <w:spacing w:after="0"/>
        <w:textAlignment w:val="baseline"/>
        <w:rPr>
          <w:rFonts w:eastAsia="Times New Roman"/>
          <w:noProof/>
          <w:color w:val="000000"/>
          <w:lang w:val="en-IE" w:eastAsia="en-IE"/>
        </w:rPr>
      </w:pPr>
      <w:r w:rsidRPr="00013BDC">
        <w:rPr>
          <w:rFonts w:eastAsia="Times New Roman"/>
          <w:noProof/>
          <w:color w:val="000000"/>
          <w:lang w:val="en-IE" w:eastAsia="en-IE"/>
        </w:rPr>
        <w:t>Eurostat data of 2020, published in October 2022 may be perceived, on first sight, as showing a significant decrease (35%) in food waste amounts in comparison with the previously available dataset (FUSIONS project, published in 2016 on 2012 data). </w:t>
      </w:r>
    </w:p>
    <w:p w14:paraId="61C95948" w14:textId="77777777" w:rsidR="00794505" w:rsidRPr="00013BDC" w:rsidRDefault="00794505" w:rsidP="00794505">
      <w:pPr>
        <w:spacing w:after="0"/>
        <w:textAlignment w:val="baseline"/>
        <w:rPr>
          <w:rFonts w:eastAsia="Times New Roman"/>
          <w:noProof/>
          <w:color w:val="000000"/>
          <w:lang w:val="en-IE" w:eastAsia="en-IE"/>
        </w:rPr>
      </w:pPr>
      <w:r w:rsidRPr="00013BDC">
        <w:rPr>
          <w:rFonts w:eastAsia="Times New Roman"/>
          <w:noProof/>
          <w:color w:val="000000"/>
          <w:lang w:val="en-IE" w:eastAsia="en-IE"/>
        </w:rPr>
        <w:t>However, the actual decrease should be much smaller given that the scope of FUSIONS’ quantification was broader (number of countries, type of waste considered, coverage of the food supply chain, estimations used) than that of ESTAT.  </w:t>
      </w:r>
    </w:p>
    <w:p w14:paraId="04730058" w14:textId="44E81DF4" w:rsidR="00794505" w:rsidRPr="00013BDC" w:rsidRDefault="00794505" w:rsidP="00CF0DFB">
      <w:pPr>
        <w:pStyle w:val="ListParagraph"/>
        <w:numPr>
          <w:ilvl w:val="0"/>
          <w:numId w:val="83"/>
        </w:numPr>
        <w:spacing w:after="0"/>
        <w:ind w:left="709" w:hanging="425"/>
        <w:textAlignment w:val="baseline"/>
        <w:rPr>
          <w:rFonts w:eastAsia="Times New Roman"/>
          <w:noProof/>
          <w:color w:val="000000"/>
          <w:lang w:val="en-IE" w:eastAsia="en-IE"/>
        </w:rPr>
      </w:pPr>
      <w:r w:rsidRPr="00013BDC">
        <w:rPr>
          <w:rFonts w:eastAsia="Times New Roman"/>
          <w:noProof/>
          <w:color w:val="000000"/>
          <w:lang w:val="en-IE" w:eastAsia="en-IE"/>
        </w:rPr>
        <w:t>The FUSIONS figures included data</w:t>
      </w:r>
      <w:r w:rsidR="00E81D65" w:rsidRPr="00013BDC">
        <w:rPr>
          <w:rFonts w:eastAsia="Times New Roman"/>
          <w:noProof/>
          <w:color w:val="000000"/>
          <w:lang w:val="en-IE" w:eastAsia="en-IE"/>
        </w:rPr>
        <w:t xml:space="preserve"> from the </w:t>
      </w:r>
      <w:r w:rsidRPr="00013BDC">
        <w:rPr>
          <w:rFonts w:eastAsia="Times New Roman"/>
          <w:noProof/>
          <w:color w:val="000000"/>
          <w:lang w:val="en-IE" w:eastAsia="en-IE"/>
        </w:rPr>
        <w:t xml:space="preserve">UK, which was then responsible for more than 10% of food waste </w:t>
      </w:r>
      <w:r w:rsidR="00E81D65" w:rsidRPr="00013BDC">
        <w:rPr>
          <w:rFonts w:eastAsia="Times New Roman"/>
          <w:noProof/>
          <w:color w:val="000000"/>
          <w:lang w:val="en-IE" w:eastAsia="en-IE"/>
        </w:rPr>
        <w:t xml:space="preserve">generated </w:t>
      </w:r>
      <w:r w:rsidRPr="00013BDC">
        <w:rPr>
          <w:rFonts w:eastAsia="Times New Roman"/>
          <w:noProof/>
          <w:color w:val="000000"/>
          <w:lang w:val="en-IE" w:eastAsia="en-IE"/>
        </w:rPr>
        <w:t xml:space="preserve">in the EU. Moreover, UK data were also used as </w:t>
      </w:r>
      <w:r w:rsidR="00E81D65" w:rsidRPr="00013BDC">
        <w:rPr>
          <w:rFonts w:eastAsia="Times New Roman"/>
          <w:noProof/>
          <w:color w:val="000000"/>
          <w:lang w:val="en-IE" w:eastAsia="en-IE"/>
        </w:rPr>
        <w:t xml:space="preserve">a </w:t>
      </w:r>
      <w:r w:rsidRPr="00013BDC">
        <w:rPr>
          <w:rFonts w:eastAsia="Times New Roman"/>
          <w:noProof/>
          <w:color w:val="000000"/>
          <w:lang w:val="en-IE" w:eastAsia="en-IE"/>
        </w:rPr>
        <w:t xml:space="preserve">proxy for other countries (where data were missing), which </w:t>
      </w:r>
      <w:r w:rsidR="00E81D65" w:rsidRPr="00013BDC">
        <w:rPr>
          <w:rFonts w:eastAsia="Times New Roman"/>
          <w:noProof/>
          <w:color w:val="000000"/>
          <w:lang w:val="en-IE" w:eastAsia="en-IE"/>
        </w:rPr>
        <w:t>likely</w:t>
      </w:r>
      <w:r w:rsidRPr="00013BDC">
        <w:rPr>
          <w:rFonts w:eastAsia="Times New Roman"/>
          <w:noProof/>
          <w:color w:val="000000"/>
          <w:lang w:val="en-IE" w:eastAsia="en-IE"/>
        </w:rPr>
        <w:t xml:space="preserve"> inflated the FUSIONS findings given the high level of food waste generation at the time in the UK. </w:t>
      </w:r>
    </w:p>
    <w:p w14:paraId="4AE0DF19" w14:textId="77777777" w:rsidR="00794505" w:rsidRPr="00013BDC" w:rsidRDefault="00794505" w:rsidP="00CF0DFB">
      <w:pPr>
        <w:pStyle w:val="ListParagraph"/>
        <w:numPr>
          <w:ilvl w:val="0"/>
          <w:numId w:val="83"/>
        </w:numPr>
        <w:spacing w:after="0"/>
        <w:ind w:left="709" w:hanging="425"/>
        <w:textAlignment w:val="baseline"/>
        <w:rPr>
          <w:rFonts w:eastAsia="Times New Roman"/>
          <w:noProof/>
          <w:color w:val="000000"/>
          <w:lang w:val="en-IE" w:eastAsia="en-IE"/>
        </w:rPr>
      </w:pPr>
      <w:r w:rsidRPr="00013BDC">
        <w:rPr>
          <w:rFonts w:eastAsia="Times New Roman"/>
          <w:noProof/>
          <w:color w:val="000000"/>
          <w:lang w:val="en-IE" w:eastAsia="en-IE"/>
        </w:rPr>
        <w:t>The FUSIONS figures included estimations of food waste sent to sewer (which is excluded from the EU’s quantification of food waste levels).  This represents 8 million tonnes or approximately 10% of FUSIONS total. </w:t>
      </w:r>
    </w:p>
    <w:p w14:paraId="2FDBA597" w14:textId="77777777" w:rsidR="00794505" w:rsidRPr="00013BDC" w:rsidRDefault="00794505" w:rsidP="00CF0DFB">
      <w:pPr>
        <w:pStyle w:val="ListParagraph"/>
        <w:numPr>
          <w:ilvl w:val="0"/>
          <w:numId w:val="83"/>
        </w:numPr>
        <w:spacing w:after="0"/>
        <w:ind w:left="709" w:hanging="425"/>
        <w:textAlignment w:val="baseline"/>
        <w:rPr>
          <w:rFonts w:eastAsia="Times New Roman"/>
          <w:noProof/>
          <w:color w:val="000000"/>
          <w:lang w:val="en-IE" w:eastAsia="en-IE"/>
        </w:rPr>
      </w:pPr>
      <w:r w:rsidRPr="00013BDC">
        <w:rPr>
          <w:rFonts w:eastAsia="Times New Roman"/>
          <w:noProof/>
          <w:color w:val="000000"/>
          <w:lang w:val="en-IE" w:eastAsia="en-IE"/>
        </w:rPr>
        <w:t>On primary production, the scope of FUSIONS estimation (food ready-to-harvest which was lost or wasted) was wider than that of ESTAT (food discarded as waste). </w:t>
      </w:r>
    </w:p>
    <w:p w14:paraId="186C4DBA" w14:textId="17D1F3A2" w:rsidR="00794505" w:rsidRPr="00013BDC" w:rsidRDefault="00794505" w:rsidP="00CF0DFB">
      <w:pPr>
        <w:pStyle w:val="ListParagraph"/>
        <w:numPr>
          <w:ilvl w:val="0"/>
          <w:numId w:val="83"/>
        </w:numPr>
        <w:spacing w:after="0"/>
        <w:ind w:left="709" w:hanging="425"/>
        <w:textAlignment w:val="baseline"/>
        <w:rPr>
          <w:rFonts w:eastAsia="Times New Roman"/>
          <w:noProof/>
          <w:color w:val="000000"/>
          <w:lang w:val="en-IE" w:eastAsia="en-IE"/>
        </w:rPr>
      </w:pPr>
      <w:r w:rsidRPr="00013BDC">
        <w:rPr>
          <w:rFonts w:eastAsia="Times New Roman"/>
          <w:noProof/>
          <w:color w:val="000000"/>
          <w:lang w:val="en-IE" w:eastAsia="en-IE"/>
        </w:rPr>
        <w:t xml:space="preserve">It seems that the amount of household food waste sent for home composting could have been overestimated by FUSIONS (while underestimated in reporting to ESTAT), but lack precise data </w:t>
      </w:r>
      <w:r w:rsidR="0044412B" w:rsidRPr="00013BDC">
        <w:rPr>
          <w:rFonts w:eastAsia="Times New Roman"/>
          <w:noProof/>
          <w:color w:val="000000"/>
          <w:lang w:val="en-IE" w:eastAsia="en-IE"/>
        </w:rPr>
        <w:t xml:space="preserve">are not available </w:t>
      </w:r>
      <w:r w:rsidRPr="00013BDC">
        <w:rPr>
          <w:rFonts w:eastAsia="Times New Roman"/>
          <w:noProof/>
          <w:color w:val="000000"/>
          <w:lang w:val="en-IE" w:eastAsia="en-IE"/>
        </w:rPr>
        <w:t>to verify this claim. </w:t>
      </w:r>
    </w:p>
    <w:p w14:paraId="1440115F" w14:textId="17F5F636" w:rsidR="00794505" w:rsidRPr="00013BDC" w:rsidRDefault="00794505" w:rsidP="00D71432">
      <w:pPr>
        <w:textAlignment w:val="baseline"/>
        <w:rPr>
          <w:rFonts w:eastAsia="Times New Roman"/>
          <w:noProof/>
          <w:color w:val="000000"/>
          <w:lang w:val="en-IE" w:eastAsia="en-IE"/>
        </w:rPr>
      </w:pPr>
      <w:r w:rsidRPr="00013BDC">
        <w:rPr>
          <w:rFonts w:eastAsia="Times New Roman"/>
          <w:noProof/>
          <w:color w:val="000000"/>
          <w:lang w:val="en-IE" w:eastAsia="en-IE"/>
        </w:rPr>
        <w:t xml:space="preserve">Overall, a rough assessment (details </w:t>
      </w:r>
      <w:r w:rsidR="0044412B" w:rsidRPr="00013BDC">
        <w:rPr>
          <w:rFonts w:eastAsia="Times New Roman"/>
          <w:noProof/>
          <w:color w:val="000000"/>
          <w:lang w:val="en-IE" w:eastAsia="en-IE"/>
        </w:rPr>
        <w:t>are provided in</w:t>
      </w:r>
      <w:r w:rsidRPr="00013BDC">
        <w:rPr>
          <w:rFonts w:eastAsia="Times New Roman"/>
          <w:noProof/>
          <w:color w:val="000000"/>
          <w:lang w:val="en-IE" w:eastAsia="en-IE"/>
        </w:rPr>
        <w:t xml:space="preserve"> the table</w:t>
      </w:r>
      <w:r w:rsidR="0044412B" w:rsidRPr="00013BDC">
        <w:rPr>
          <w:rFonts w:eastAsia="Times New Roman"/>
          <w:noProof/>
          <w:color w:val="000000"/>
          <w:lang w:val="en-IE" w:eastAsia="en-IE"/>
        </w:rPr>
        <w:t xml:space="preserve"> </w:t>
      </w:r>
      <w:r w:rsidRPr="00013BDC">
        <w:rPr>
          <w:rFonts w:eastAsia="Times New Roman"/>
          <w:noProof/>
          <w:color w:val="000000"/>
          <w:lang w:val="en-IE" w:eastAsia="en-IE"/>
        </w:rPr>
        <w:t xml:space="preserve">below) would indicate an actual decrease at consumer level (household and food services) between 2012 and 2020 of about 12%. It is not clear whether </w:t>
      </w:r>
      <w:r w:rsidR="0044412B" w:rsidRPr="00013BDC">
        <w:rPr>
          <w:rFonts w:eastAsia="Times New Roman"/>
          <w:noProof/>
          <w:color w:val="000000"/>
          <w:lang w:val="en-IE" w:eastAsia="en-IE"/>
        </w:rPr>
        <w:t>this</w:t>
      </w:r>
      <w:r w:rsidRPr="00013BDC">
        <w:rPr>
          <w:rFonts w:eastAsia="Times New Roman"/>
          <w:noProof/>
          <w:color w:val="000000"/>
          <w:lang w:val="en-IE" w:eastAsia="en-IE"/>
        </w:rPr>
        <w:t xml:space="preserve"> could be attributed to COVID, as according to ESTAT, countries informed that they did not observe a general reduction </w:t>
      </w:r>
      <w:r w:rsidR="002706AA" w:rsidRPr="00013BDC">
        <w:rPr>
          <w:rFonts w:eastAsia="Times New Roman"/>
          <w:noProof/>
          <w:color w:val="000000"/>
          <w:lang w:val="en-IE" w:eastAsia="en-IE"/>
        </w:rPr>
        <w:t xml:space="preserve">in the </w:t>
      </w:r>
      <w:r w:rsidRPr="00013BDC">
        <w:rPr>
          <w:rFonts w:eastAsia="Times New Roman"/>
          <w:noProof/>
          <w:color w:val="000000"/>
          <w:lang w:val="en-IE" w:eastAsia="en-IE"/>
        </w:rPr>
        <w:t xml:space="preserve"> amount of collected waste</w:t>
      </w:r>
      <w:r w:rsidR="002706AA" w:rsidRPr="00013BDC">
        <w:rPr>
          <w:rFonts w:eastAsia="Times New Roman"/>
          <w:noProof/>
          <w:color w:val="000000"/>
          <w:lang w:val="en-IE" w:eastAsia="en-IE"/>
        </w:rPr>
        <w:t xml:space="preserve"> but only a</w:t>
      </w:r>
      <w:r w:rsidRPr="00013BDC">
        <w:rPr>
          <w:rFonts w:eastAsia="Times New Roman"/>
          <w:noProof/>
          <w:color w:val="000000"/>
          <w:lang w:val="en-IE" w:eastAsia="en-IE"/>
        </w:rPr>
        <w:t xml:space="preserve"> reduction at food services level. The reduction of food waste throughout the whole food supply chain could be estimated at around 8%, but with a high level of uncertainty, so </w:t>
      </w:r>
      <w:r w:rsidR="002706AA" w:rsidRPr="00013BDC">
        <w:rPr>
          <w:rFonts w:eastAsia="Times New Roman"/>
          <w:noProof/>
          <w:color w:val="000000"/>
          <w:lang w:val="en-IE" w:eastAsia="en-IE"/>
        </w:rPr>
        <w:t>this</w:t>
      </w:r>
      <w:r w:rsidRPr="00013BDC">
        <w:rPr>
          <w:rFonts w:eastAsia="Times New Roman"/>
          <w:noProof/>
          <w:color w:val="000000"/>
          <w:lang w:val="en-IE" w:eastAsia="en-IE"/>
        </w:rPr>
        <w:t xml:space="preserve"> was not taken into account when developing the baseline for this Impact Assessment.</w:t>
      </w:r>
    </w:p>
    <w:p w14:paraId="2AFBB7E7" w14:textId="12079FF0" w:rsidR="00D71432" w:rsidRPr="00013BDC" w:rsidRDefault="00D71432" w:rsidP="002425CD">
      <w:pPr>
        <w:pStyle w:val="Caption"/>
        <w:rPr>
          <w:noProof/>
          <w:color w:val="auto"/>
          <w:sz w:val="24"/>
          <w:szCs w:val="24"/>
          <w:lang w:val="en-IE"/>
        </w:rPr>
      </w:pPr>
      <w:bookmarkStart w:id="706" w:name="_Toc133229440"/>
      <w:bookmarkStart w:id="707" w:name="_Toc139033064"/>
      <w:r w:rsidRPr="00013BDC">
        <w:rPr>
          <w:noProof/>
          <w:color w:val="auto"/>
          <w:sz w:val="24"/>
          <w:szCs w:val="24"/>
          <w:lang w:val="en-IE"/>
        </w:rPr>
        <w:t xml:space="preserve">Table </w:t>
      </w:r>
      <w:r w:rsidR="004C5576">
        <w:rPr>
          <w:noProof/>
          <w:color w:val="auto"/>
          <w:sz w:val="24"/>
          <w:szCs w:val="24"/>
          <w:lang w:val="en-IE"/>
        </w:rPr>
        <w:t>34</w:t>
      </w:r>
      <w:r w:rsidRPr="00013BDC">
        <w:rPr>
          <w:noProof/>
          <w:color w:val="auto"/>
          <w:sz w:val="24"/>
          <w:szCs w:val="24"/>
          <w:lang w:val="en-IE"/>
        </w:rPr>
        <w:t xml:space="preserve"> – Comparison of data reported by Member States with FUSION estimations with and without impact of UK data.</w:t>
      </w:r>
      <w:bookmarkEnd w:id="706"/>
      <w:bookmarkEnd w:id="707"/>
    </w:p>
    <w:tbl>
      <w:tblPr>
        <w:tblStyle w:val="PlainTable1"/>
        <w:tblW w:w="9747" w:type="dxa"/>
        <w:tblLook w:val="04A0" w:firstRow="1" w:lastRow="0" w:firstColumn="1" w:lastColumn="0" w:noHBand="0" w:noVBand="1"/>
      </w:tblPr>
      <w:tblGrid>
        <w:gridCol w:w="2970"/>
        <w:gridCol w:w="1496"/>
        <w:gridCol w:w="903"/>
        <w:gridCol w:w="1493"/>
        <w:gridCol w:w="903"/>
        <w:gridCol w:w="1982"/>
      </w:tblGrid>
      <w:tr w:rsidR="00794505" w:rsidRPr="00013BDC" w14:paraId="0257F3CC" w14:textId="77777777" w:rsidTr="00D714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5E05D64A" w14:textId="77777777" w:rsidR="00794505" w:rsidRPr="00013BDC" w:rsidRDefault="00794505" w:rsidP="00D71432">
            <w:pPr>
              <w:spacing w:after="120"/>
              <w:textAlignment w:val="baseline"/>
              <w:rPr>
                <w:rFonts w:eastAsia="Times New Roman"/>
                <w:b w:val="0"/>
                <w:noProof/>
                <w:sz w:val="22"/>
                <w:szCs w:val="22"/>
                <w:lang w:val="en-IE" w:eastAsia="en-IE"/>
              </w:rPr>
            </w:pPr>
            <w:r w:rsidRPr="00013BDC">
              <w:rPr>
                <w:rFonts w:eastAsia="Times New Roman"/>
                <w:noProof/>
                <w:color w:val="2B579A"/>
                <w:sz w:val="22"/>
                <w:szCs w:val="22"/>
                <w:shd w:val="clear" w:color="auto" w:fill="E6E6E6"/>
                <w:lang w:val="en-IE" w:eastAsia="en-IE"/>
              </w:rPr>
              <w:t> </w:t>
            </w:r>
            <w:r w:rsidRPr="00013BDC">
              <w:rPr>
                <w:rFonts w:eastAsia="Times New Roman"/>
                <w:noProof/>
                <w:color w:val="2B579A"/>
                <w:sz w:val="22"/>
                <w:szCs w:val="22"/>
                <w:lang w:val="en-IE" w:eastAsia="en-IE"/>
              </w:rPr>
              <w:t> </w:t>
            </w:r>
          </w:p>
        </w:tc>
        <w:tc>
          <w:tcPr>
            <w:tcW w:w="2399" w:type="dxa"/>
            <w:gridSpan w:val="2"/>
            <w:hideMark/>
          </w:tcPr>
          <w:p w14:paraId="20FACEB8" w14:textId="77777777" w:rsidR="00794505" w:rsidRPr="00013BDC" w:rsidRDefault="00794505" w:rsidP="00D71432">
            <w:pPr>
              <w:spacing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noProof/>
                <w:color w:val="000000"/>
                <w:sz w:val="22"/>
                <w:szCs w:val="22"/>
                <w:lang w:val="en-IE" w:eastAsia="en-IE"/>
              </w:rPr>
            </w:pPr>
            <w:r w:rsidRPr="00013BDC">
              <w:rPr>
                <w:rFonts w:eastAsia="Times New Roman"/>
                <w:b w:val="0"/>
                <w:noProof/>
                <w:color w:val="000000"/>
                <w:sz w:val="22"/>
                <w:szCs w:val="22"/>
                <w:lang w:val="en-IE" w:eastAsia="en-IE"/>
              </w:rPr>
              <w:t>ESTAT (2022) </w:t>
            </w:r>
          </w:p>
        </w:tc>
        <w:tc>
          <w:tcPr>
            <w:tcW w:w="2396" w:type="dxa"/>
            <w:gridSpan w:val="2"/>
            <w:hideMark/>
          </w:tcPr>
          <w:p w14:paraId="50D929A8" w14:textId="77777777" w:rsidR="00794505" w:rsidRPr="00013BDC" w:rsidRDefault="00794505" w:rsidP="00D71432">
            <w:pPr>
              <w:spacing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noProof/>
                <w:color w:val="000000"/>
                <w:sz w:val="22"/>
                <w:szCs w:val="22"/>
                <w:lang w:val="en-IE" w:eastAsia="en-IE"/>
              </w:rPr>
            </w:pPr>
            <w:r w:rsidRPr="00013BDC">
              <w:rPr>
                <w:rFonts w:eastAsia="Times New Roman"/>
                <w:b w:val="0"/>
                <w:noProof/>
                <w:color w:val="000000"/>
                <w:sz w:val="22"/>
                <w:szCs w:val="22"/>
                <w:lang w:val="en-IE" w:eastAsia="en-IE"/>
              </w:rPr>
              <w:t>FUSIONS (2016) </w:t>
            </w:r>
          </w:p>
        </w:tc>
        <w:tc>
          <w:tcPr>
            <w:tcW w:w="1982" w:type="dxa"/>
            <w:hideMark/>
          </w:tcPr>
          <w:p w14:paraId="361FF071" w14:textId="77777777" w:rsidR="00794505" w:rsidRPr="00013BDC" w:rsidRDefault="00794505" w:rsidP="00D71432">
            <w:pPr>
              <w:spacing w:after="120"/>
              <w:textAlignment w:val="baseline"/>
              <w:cnfStyle w:val="100000000000" w:firstRow="1" w:lastRow="0" w:firstColumn="0" w:lastColumn="0" w:oddVBand="0" w:evenVBand="0" w:oddHBand="0" w:evenHBand="0" w:firstRowFirstColumn="0" w:firstRowLastColumn="0" w:lastRowFirstColumn="0" w:lastRowLastColumn="0"/>
              <w:rPr>
                <w:rFonts w:eastAsia="Times New Roman"/>
                <w:b w:val="0"/>
                <w:noProof/>
                <w:color w:val="000000"/>
                <w:sz w:val="22"/>
                <w:szCs w:val="22"/>
                <w:lang w:val="en-IE" w:eastAsia="en-IE"/>
              </w:rPr>
            </w:pPr>
            <w:r w:rsidRPr="00013BDC">
              <w:rPr>
                <w:rFonts w:eastAsia="Times New Roman"/>
                <w:b w:val="0"/>
                <w:noProof/>
                <w:color w:val="000000"/>
                <w:sz w:val="22"/>
                <w:szCs w:val="22"/>
                <w:lang w:val="en-IE" w:eastAsia="en-IE"/>
              </w:rPr>
              <w:t>FUSIONS 2016 (without UK and food to sewer) </w:t>
            </w:r>
          </w:p>
        </w:tc>
      </w:tr>
      <w:tr w:rsidR="00794505" w:rsidRPr="00013BDC" w14:paraId="137D2B49" w14:textId="77777777" w:rsidTr="00D714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03309D4C" w14:textId="77777777" w:rsidR="00794505" w:rsidRPr="00013BDC" w:rsidRDefault="00794505" w:rsidP="00D71432">
            <w:pPr>
              <w:spacing w:after="120"/>
              <w:textAlignment w:val="baseline"/>
              <w:rPr>
                <w:rFonts w:eastAsia="Times New Roman"/>
                <w:b w:val="0"/>
                <w:noProof/>
                <w:color w:val="000000"/>
                <w:sz w:val="22"/>
                <w:szCs w:val="22"/>
                <w:lang w:val="en-IE" w:eastAsia="en-IE"/>
              </w:rPr>
            </w:pPr>
            <w:r w:rsidRPr="00013BDC">
              <w:rPr>
                <w:rFonts w:eastAsia="Times New Roman"/>
                <w:b w:val="0"/>
                <w:noProof/>
                <w:color w:val="000000"/>
                <w:sz w:val="22"/>
                <w:szCs w:val="22"/>
                <w:lang w:val="en-IE" w:eastAsia="en-IE"/>
              </w:rPr>
              <w:t>Total food waste </w:t>
            </w:r>
          </w:p>
        </w:tc>
        <w:tc>
          <w:tcPr>
            <w:tcW w:w="2399" w:type="dxa"/>
            <w:gridSpan w:val="2"/>
            <w:hideMark/>
          </w:tcPr>
          <w:p w14:paraId="7B0F2B53"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Ca 57 million tonnes (56.981.209) </w:t>
            </w:r>
          </w:p>
        </w:tc>
        <w:tc>
          <w:tcPr>
            <w:tcW w:w="2396" w:type="dxa"/>
            <w:gridSpan w:val="2"/>
            <w:hideMark/>
          </w:tcPr>
          <w:p w14:paraId="0FFE0144"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Ca 88 million tonnes </w:t>
            </w:r>
          </w:p>
          <w:p w14:paraId="1E83521D"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(87.6 ± 13.7) </w:t>
            </w:r>
          </w:p>
        </w:tc>
        <w:tc>
          <w:tcPr>
            <w:tcW w:w="1982" w:type="dxa"/>
            <w:hideMark/>
          </w:tcPr>
          <w:p w14:paraId="2EF1F628"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ca 62 mln tonnes </w:t>
            </w:r>
          </w:p>
        </w:tc>
      </w:tr>
      <w:tr w:rsidR="00794505" w:rsidRPr="00013BDC" w14:paraId="14A860CE" w14:textId="77777777" w:rsidTr="00D71432">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43F23F53" w14:textId="77777777" w:rsidR="00794505" w:rsidRPr="00013BDC" w:rsidRDefault="00794505" w:rsidP="00D71432">
            <w:pPr>
              <w:spacing w:after="120"/>
              <w:textAlignment w:val="baseline"/>
              <w:rPr>
                <w:rFonts w:eastAsia="Times New Roman"/>
                <w:b w:val="0"/>
                <w:noProof/>
                <w:color w:val="000000"/>
                <w:sz w:val="22"/>
                <w:szCs w:val="22"/>
                <w:lang w:val="en-IE" w:eastAsia="en-IE"/>
              </w:rPr>
            </w:pPr>
            <w:r w:rsidRPr="00013BDC">
              <w:rPr>
                <w:rFonts w:eastAsia="Times New Roman"/>
                <w:b w:val="0"/>
                <w:noProof/>
                <w:color w:val="000000"/>
                <w:sz w:val="22"/>
                <w:szCs w:val="22"/>
                <w:lang w:val="en-IE" w:eastAsia="en-IE"/>
              </w:rPr>
              <w:t>Kg/inhabitant</w:t>
            </w:r>
          </w:p>
        </w:tc>
        <w:tc>
          <w:tcPr>
            <w:tcW w:w="2399" w:type="dxa"/>
            <w:gridSpan w:val="2"/>
            <w:hideMark/>
          </w:tcPr>
          <w:p w14:paraId="3F7428A5"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127</w:t>
            </w:r>
          </w:p>
        </w:tc>
        <w:tc>
          <w:tcPr>
            <w:tcW w:w="2396" w:type="dxa"/>
            <w:gridSpan w:val="2"/>
            <w:hideMark/>
          </w:tcPr>
          <w:p w14:paraId="66482572"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173</w:t>
            </w:r>
          </w:p>
        </w:tc>
        <w:tc>
          <w:tcPr>
            <w:tcW w:w="1982" w:type="dxa"/>
            <w:hideMark/>
          </w:tcPr>
          <w:p w14:paraId="78D168A4"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p>
        </w:tc>
      </w:tr>
      <w:tr w:rsidR="00794505" w:rsidRPr="00013BDC" w14:paraId="07562EF9" w14:textId="77777777" w:rsidTr="00D714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1A9670D1" w14:textId="77777777" w:rsidR="00794505" w:rsidRPr="00013BDC" w:rsidRDefault="00794505" w:rsidP="00D71432">
            <w:pPr>
              <w:spacing w:after="120"/>
              <w:textAlignment w:val="baseline"/>
              <w:rPr>
                <w:rFonts w:eastAsia="Times New Roman"/>
                <w:b w:val="0"/>
                <w:noProof/>
                <w:color w:val="000000"/>
                <w:sz w:val="22"/>
                <w:szCs w:val="22"/>
                <w:lang w:val="en-IE" w:eastAsia="en-IE"/>
              </w:rPr>
            </w:pPr>
            <w:r w:rsidRPr="00013BDC">
              <w:rPr>
                <w:rFonts w:eastAsia="Times New Roman"/>
                <w:b w:val="0"/>
                <w:noProof/>
                <w:color w:val="000000"/>
                <w:sz w:val="22"/>
                <w:szCs w:val="22"/>
                <w:lang w:val="en-IE" w:eastAsia="en-IE"/>
              </w:rPr>
              <w:t>  </w:t>
            </w:r>
          </w:p>
        </w:tc>
        <w:tc>
          <w:tcPr>
            <w:tcW w:w="1496" w:type="dxa"/>
            <w:hideMark/>
          </w:tcPr>
          <w:p w14:paraId="1872BB53"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share FSC [%] </w:t>
            </w:r>
          </w:p>
        </w:tc>
        <w:tc>
          <w:tcPr>
            <w:tcW w:w="903" w:type="dxa"/>
            <w:hideMark/>
          </w:tcPr>
          <w:p w14:paraId="048917E1"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mln tonnes </w:t>
            </w:r>
          </w:p>
        </w:tc>
        <w:tc>
          <w:tcPr>
            <w:tcW w:w="1493" w:type="dxa"/>
            <w:hideMark/>
          </w:tcPr>
          <w:p w14:paraId="1A65B31C"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share FSC [%] </w:t>
            </w:r>
          </w:p>
        </w:tc>
        <w:tc>
          <w:tcPr>
            <w:tcW w:w="903" w:type="dxa"/>
            <w:hideMark/>
          </w:tcPr>
          <w:p w14:paraId="4A94FEA1"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mln tonnes </w:t>
            </w:r>
          </w:p>
        </w:tc>
        <w:tc>
          <w:tcPr>
            <w:tcW w:w="1982" w:type="dxa"/>
            <w:hideMark/>
          </w:tcPr>
          <w:p w14:paraId="50F94EF0"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mln tonnes </w:t>
            </w:r>
          </w:p>
        </w:tc>
      </w:tr>
      <w:tr w:rsidR="00794505" w:rsidRPr="00013BDC" w14:paraId="410A23D4" w14:textId="77777777" w:rsidTr="00D71432">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1054BB82" w14:textId="77777777" w:rsidR="00794505" w:rsidRPr="00013BDC" w:rsidRDefault="00794505" w:rsidP="00D71432">
            <w:pPr>
              <w:spacing w:after="120"/>
              <w:textAlignment w:val="baseline"/>
              <w:rPr>
                <w:rFonts w:eastAsia="Times New Roman"/>
                <w:noProof/>
                <w:color w:val="000000"/>
                <w:sz w:val="22"/>
                <w:szCs w:val="22"/>
                <w:lang w:val="en-IE" w:eastAsia="en-IE"/>
              </w:rPr>
            </w:pPr>
            <w:r w:rsidRPr="00013BDC">
              <w:rPr>
                <w:rFonts w:eastAsia="Times New Roman"/>
                <w:noProof/>
                <w:color w:val="000000"/>
                <w:sz w:val="22"/>
                <w:szCs w:val="22"/>
                <w:lang w:val="en-IE" w:eastAsia="en-IE"/>
              </w:rPr>
              <w:t>Primary production * </w:t>
            </w:r>
          </w:p>
        </w:tc>
        <w:tc>
          <w:tcPr>
            <w:tcW w:w="1496" w:type="dxa"/>
            <w:hideMark/>
          </w:tcPr>
          <w:p w14:paraId="1DAA34C8"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11% </w:t>
            </w:r>
          </w:p>
        </w:tc>
        <w:tc>
          <w:tcPr>
            <w:tcW w:w="903" w:type="dxa"/>
            <w:hideMark/>
          </w:tcPr>
          <w:p w14:paraId="25B7AC3B"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6.2 </w:t>
            </w:r>
          </w:p>
        </w:tc>
        <w:tc>
          <w:tcPr>
            <w:tcW w:w="1493" w:type="dxa"/>
            <w:hideMark/>
          </w:tcPr>
          <w:p w14:paraId="12572988"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11% </w:t>
            </w:r>
          </w:p>
        </w:tc>
        <w:tc>
          <w:tcPr>
            <w:tcW w:w="903" w:type="dxa"/>
            <w:hideMark/>
          </w:tcPr>
          <w:p w14:paraId="34E0EE92"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9.1 </w:t>
            </w:r>
          </w:p>
        </w:tc>
        <w:tc>
          <w:tcPr>
            <w:tcW w:w="1982" w:type="dxa"/>
            <w:hideMark/>
          </w:tcPr>
          <w:p w14:paraId="342D184D"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8 </w:t>
            </w:r>
          </w:p>
        </w:tc>
      </w:tr>
      <w:tr w:rsidR="00794505" w:rsidRPr="00013BDC" w14:paraId="65E9CC2F" w14:textId="77777777" w:rsidTr="00D714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3D0D5E66" w14:textId="77777777" w:rsidR="00794505" w:rsidRPr="00013BDC" w:rsidRDefault="00794505" w:rsidP="00D71432">
            <w:pPr>
              <w:spacing w:after="120"/>
              <w:textAlignment w:val="baseline"/>
              <w:rPr>
                <w:rFonts w:eastAsia="Times New Roman"/>
                <w:noProof/>
                <w:color w:val="000000"/>
                <w:sz w:val="22"/>
                <w:szCs w:val="22"/>
                <w:lang w:val="en-IE" w:eastAsia="en-IE"/>
              </w:rPr>
            </w:pPr>
            <w:r w:rsidRPr="00013BDC">
              <w:rPr>
                <w:rFonts w:eastAsia="Times New Roman"/>
                <w:noProof/>
                <w:color w:val="000000"/>
                <w:sz w:val="22"/>
                <w:szCs w:val="22"/>
                <w:lang w:val="en-IE" w:eastAsia="en-IE"/>
              </w:rPr>
              <w:t>Processing/manufacturing </w:t>
            </w:r>
          </w:p>
        </w:tc>
        <w:tc>
          <w:tcPr>
            <w:tcW w:w="1496" w:type="dxa"/>
            <w:hideMark/>
          </w:tcPr>
          <w:p w14:paraId="44EB357D"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18% </w:t>
            </w:r>
          </w:p>
        </w:tc>
        <w:tc>
          <w:tcPr>
            <w:tcW w:w="903" w:type="dxa"/>
            <w:hideMark/>
          </w:tcPr>
          <w:p w14:paraId="0E6FCC5D"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10.1 </w:t>
            </w:r>
          </w:p>
        </w:tc>
        <w:tc>
          <w:tcPr>
            <w:tcW w:w="1493" w:type="dxa"/>
            <w:hideMark/>
          </w:tcPr>
          <w:p w14:paraId="71FFB7FD"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19% </w:t>
            </w:r>
          </w:p>
        </w:tc>
        <w:tc>
          <w:tcPr>
            <w:tcW w:w="903" w:type="dxa"/>
            <w:hideMark/>
          </w:tcPr>
          <w:p w14:paraId="7A426B8E"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16.9 </w:t>
            </w:r>
          </w:p>
        </w:tc>
        <w:tc>
          <w:tcPr>
            <w:tcW w:w="1982" w:type="dxa"/>
            <w:hideMark/>
          </w:tcPr>
          <w:p w14:paraId="61251029"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9 </w:t>
            </w:r>
          </w:p>
        </w:tc>
      </w:tr>
      <w:tr w:rsidR="00794505" w:rsidRPr="00013BDC" w14:paraId="5ED52F71" w14:textId="77777777" w:rsidTr="00D71432">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554B185D" w14:textId="77777777" w:rsidR="00794505" w:rsidRPr="00013BDC" w:rsidRDefault="00794505" w:rsidP="00D71432">
            <w:pPr>
              <w:spacing w:after="120"/>
              <w:textAlignment w:val="baseline"/>
              <w:rPr>
                <w:rFonts w:eastAsia="Times New Roman"/>
                <w:noProof/>
                <w:color w:val="000000"/>
                <w:sz w:val="22"/>
                <w:szCs w:val="22"/>
                <w:lang w:val="en-IE" w:eastAsia="en-IE"/>
              </w:rPr>
            </w:pPr>
            <w:r w:rsidRPr="00013BDC">
              <w:rPr>
                <w:rFonts w:eastAsia="Times New Roman"/>
                <w:noProof/>
                <w:color w:val="000000"/>
                <w:sz w:val="22"/>
                <w:szCs w:val="22"/>
                <w:lang w:val="en-IE" w:eastAsia="en-IE"/>
              </w:rPr>
              <w:t>Retail/other distribution </w:t>
            </w:r>
          </w:p>
        </w:tc>
        <w:tc>
          <w:tcPr>
            <w:tcW w:w="1496" w:type="dxa"/>
            <w:hideMark/>
          </w:tcPr>
          <w:p w14:paraId="3CF29A33"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7% </w:t>
            </w:r>
          </w:p>
        </w:tc>
        <w:tc>
          <w:tcPr>
            <w:tcW w:w="903" w:type="dxa"/>
            <w:hideMark/>
          </w:tcPr>
          <w:p w14:paraId="42127E61"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4.1 </w:t>
            </w:r>
          </w:p>
        </w:tc>
        <w:tc>
          <w:tcPr>
            <w:tcW w:w="1493" w:type="dxa"/>
            <w:hideMark/>
          </w:tcPr>
          <w:p w14:paraId="5A871FA3"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5% </w:t>
            </w:r>
          </w:p>
        </w:tc>
        <w:tc>
          <w:tcPr>
            <w:tcW w:w="903" w:type="dxa"/>
            <w:hideMark/>
          </w:tcPr>
          <w:p w14:paraId="0CD5863C"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4.6 </w:t>
            </w:r>
          </w:p>
        </w:tc>
        <w:tc>
          <w:tcPr>
            <w:tcW w:w="1982" w:type="dxa"/>
            <w:hideMark/>
          </w:tcPr>
          <w:p w14:paraId="768B735A"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4 </w:t>
            </w:r>
          </w:p>
        </w:tc>
      </w:tr>
      <w:tr w:rsidR="00794505" w:rsidRPr="00013BDC" w14:paraId="24D4D194" w14:textId="77777777" w:rsidTr="00D714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3389E3AF" w14:textId="77777777" w:rsidR="00794505" w:rsidRPr="00013BDC" w:rsidRDefault="00794505" w:rsidP="00D71432">
            <w:pPr>
              <w:spacing w:after="120"/>
              <w:textAlignment w:val="baseline"/>
              <w:rPr>
                <w:rFonts w:eastAsia="Times New Roman"/>
                <w:noProof/>
                <w:color w:val="000000"/>
                <w:sz w:val="22"/>
                <w:szCs w:val="22"/>
                <w:lang w:val="en-IE" w:eastAsia="en-IE"/>
              </w:rPr>
            </w:pPr>
            <w:r w:rsidRPr="00013BDC">
              <w:rPr>
                <w:rFonts w:eastAsia="Times New Roman"/>
                <w:noProof/>
                <w:color w:val="000000"/>
                <w:sz w:val="22"/>
                <w:szCs w:val="22"/>
                <w:lang w:val="en-IE" w:eastAsia="en-IE"/>
              </w:rPr>
              <w:t>Restaurants/food services </w:t>
            </w:r>
          </w:p>
        </w:tc>
        <w:tc>
          <w:tcPr>
            <w:tcW w:w="1496" w:type="dxa"/>
            <w:hideMark/>
          </w:tcPr>
          <w:p w14:paraId="4BF07E0D"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9% </w:t>
            </w:r>
          </w:p>
        </w:tc>
        <w:tc>
          <w:tcPr>
            <w:tcW w:w="903" w:type="dxa"/>
            <w:hideMark/>
          </w:tcPr>
          <w:p w14:paraId="64208B84"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5.3 </w:t>
            </w:r>
          </w:p>
        </w:tc>
        <w:tc>
          <w:tcPr>
            <w:tcW w:w="1493" w:type="dxa"/>
            <w:hideMark/>
          </w:tcPr>
          <w:p w14:paraId="4F953C24"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12% </w:t>
            </w:r>
          </w:p>
        </w:tc>
        <w:tc>
          <w:tcPr>
            <w:tcW w:w="903" w:type="dxa"/>
            <w:hideMark/>
          </w:tcPr>
          <w:p w14:paraId="2B310E37"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10.5 </w:t>
            </w:r>
          </w:p>
        </w:tc>
        <w:tc>
          <w:tcPr>
            <w:tcW w:w="1982" w:type="dxa"/>
            <w:hideMark/>
          </w:tcPr>
          <w:p w14:paraId="13FB255B" w14:textId="77777777" w:rsidR="00794505" w:rsidRPr="00013BDC" w:rsidRDefault="00794505" w:rsidP="00D71432">
            <w:pPr>
              <w:spacing w:after="12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10 </w:t>
            </w:r>
          </w:p>
        </w:tc>
      </w:tr>
      <w:tr w:rsidR="00794505" w:rsidRPr="00013BDC" w14:paraId="08AC5658" w14:textId="77777777" w:rsidTr="00D71432">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1378D31D" w14:textId="77777777" w:rsidR="00794505" w:rsidRPr="00013BDC" w:rsidRDefault="00794505" w:rsidP="00D71432">
            <w:pPr>
              <w:spacing w:after="120"/>
              <w:textAlignment w:val="baseline"/>
              <w:rPr>
                <w:rFonts w:eastAsia="Times New Roman"/>
                <w:noProof/>
                <w:color w:val="000000"/>
                <w:sz w:val="22"/>
                <w:szCs w:val="22"/>
                <w:lang w:val="en-IE" w:eastAsia="en-IE"/>
              </w:rPr>
            </w:pPr>
            <w:r w:rsidRPr="00013BDC">
              <w:rPr>
                <w:rFonts w:eastAsia="Times New Roman"/>
                <w:noProof/>
                <w:color w:val="000000"/>
                <w:sz w:val="22"/>
                <w:szCs w:val="22"/>
                <w:lang w:val="en-IE" w:eastAsia="en-IE"/>
              </w:rPr>
              <w:t>Households** </w:t>
            </w:r>
          </w:p>
        </w:tc>
        <w:tc>
          <w:tcPr>
            <w:tcW w:w="1496" w:type="dxa"/>
            <w:hideMark/>
          </w:tcPr>
          <w:p w14:paraId="1D47C9CB"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55% </w:t>
            </w:r>
          </w:p>
        </w:tc>
        <w:tc>
          <w:tcPr>
            <w:tcW w:w="903" w:type="dxa"/>
            <w:hideMark/>
          </w:tcPr>
          <w:p w14:paraId="66152472"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31.2 </w:t>
            </w:r>
          </w:p>
        </w:tc>
        <w:tc>
          <w:tcPr>
            <w:tcW w:w="1493" w:type="dxa"/>
            <w:hideMark/>
          </w:tcPr>
          <w:p w14:paraId="54240FFD"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53% </w:t>
            </w:r>
          </w:p>
        </w:tc>
        <w:tc>
          <w:tcPr>
            <w:tcW w:w="903" w:type="dxa"/>
            <w:hideMark/>
          </w:tcPr>
          <w:p w14:paraId="0686504E"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46.5 </w:t>
            </w:r>
          </w:p>
        </w:tc>
        <w:tc>
          <w:tcPr>
            <w:tcW w:w="1982" w:type="dxa"/>
            <w:hideMark/>
          </w:tcPr>
          <w:p w14:paraId="69C36952" w14:textId="77777777" w:rsidR="00794505" w:rsidRPr="00013BDC" w:rsidRDefault="00794505" w:rsidP="00D71432">
            <w:pPr>
              <w:spacing w:after="12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31 </w:t>
            </w:r>
          </w:p>
        </w:tc>
      </w:tr>
      <w:tr w:rsidR="00794505" w:rsidRPr="00013BDC" w14:paraId="6249B59C" w14:textId="77777777" w:rsidTr="00D714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vAlign w:val="center"/>
            <w:hideMark/>
          </w:tcPr>
          <w:p w14:paraId="5679227E" w14:textId="77777777" w:rsidR="00794505" w:rsidRPr="00013BDC" w:rsidRDefault="00794505" w:rsidP="00D71432">
            <w:pPr>
              <w:spacing w:after="120"/>
              <w:textAlignment w:val="baseline"/>
              <w:rPr>
                <w:rFonts w:eastAsia="Times New Roman"/>
                <w:noProof/>
                <w:color w:val="000000"/>
                <w:sz w:val="22"/>
                <w:szCs w:val="22"/>
                <w:lang w:val="en-IE" w:eastAsia="en-IE"/>
              </w:rPr>
            </w:pPr>
            <w:r w:rsidRPr="00013BDC">
              <w:rPr>
                <w:rFonts w:eastAsia="Times New Roman"/>
                <w:noProof/>
                <w:color w:val="000000"/>
                <w:sz w:val="22"/>
                <w:szCs w:val="22"/>
                <w:lang w:val="en-IE" w:eastAsia="en-IE"/>
              </w:rPr>
              <w:t>Scope </w:t>
            </w:r>
          </w:p>
        </w:tc>
        <w:tc>
          <w:tcPr>
            <w:tcW w:w="2399" w:type="dxa"/>
            <w:gridSpan w:val="2"/>
            <w:vAlign w:val="center"/>
            <w:hideMark/>
          </w:tcPr>
          <w:p w14:paraId="002D2248"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*Excludes any pre-harvest losses </w:t>
            </w:r>
          </w:p>
          <w:p w14:paraId="5E88C3D9"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 Excludes food waste to sewer </w:t>
            </w:r>
          </w:p>
        </w:tc>
        <w:tc>
          <w:tcPr>
            <w:tcW w:w="2396" w:type="dxa"/>
            <w:gridSpan w:val="2"/>
            <w:vAlign w:val="center"/>
            <w:hideMark/>
          </w:tcPr>
          <w:p w14:paraId="3FCE55AB"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*Includes food ready-to-harvest and discarded from FSC </w:t>
            </w:r>
          </w:p>
          <w:p w14:paraId="69B95051"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**Includes estimation of FW to sewer </w:t>
            </w:r>
          </w:p>
        </w:tc>
        <w:tc>
          <w:tcPr>
            <w:tcW w:w="1982" w:type="dxa"/>
            <w:vAlign w:val="center"/>
            <w:hideMark/>
          </w:tcPr>
          <w:p w14:paraId="054B3368"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*Includes food ready-to-harvest and discarded from FSC </w:t>
            </w:r>
          </w:p>
          <w:p w14:paraId="30FFD98D"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**Excludes estimation of FW to sewer </w:t>
            </w:r>
          </w:p>
        </w:tc>
      </w:tr>
      <w:tr w:rsidR="00794505" w:rsidRPr="00013BDC" w14:paraId="4D0ECD53" w14:textId="77777777" w:rsidTr="00D71432">
        <w:trPr>
          <w:trHeight w:val="300"/>
        </w:trPr>
        <w:tc>
          <w:tcPr>
            <w:cnfStyle w:val="001000000000" w:firstRow="0" w:lastRow="0" w:firstColumn="1" w:lastColumn="0" w:oddVBand="0" w:evenVBand="0" w:oddHBand="0" w:evenHBand="0" w:firstRowFirstColumn="0" w:firstRowLastColumn="0" w:lastRowFirstColumn="0" w:lastRowLastColumn="0"/>
            <w:tcW w:w="2970" w:type="dxa"/>
            <w:vAlign w:val="center"/>
            <w:hideMark/>
          </w:tcPr>
          <w:p w14:paraId="40C91523" w14:textId="77777777" w:rsidR="00794505" w:rsidRPr="00013BDC" w:rsidRDefault="00794505" w:rsidP="00D71432">
            <w:pPr>
              <w:spacing w:after="120"/>
              <w:textAlignment w:val="baseline"/>
              <w:rPr>
                <w:rFonts w:eastAsia="Times New Roman"/>
                <w:noProof/>
                <w:color w:val="000000"/>
                <w:sz w:val="22"/>
                <w:szCs w:val="22"/>
                <w:lang w:val="en-IE" w:eastAsia="en-IE"/>
              </w:rPr>
            </w:pPr>
            <w:r w:rsidRPr="00013BDC">
              <w:rPr>
                <w:rFonts w:eastAsia="Times New Roman"/>
                <w:noProof/>
                <w:color w:val="000000"/>
                <w:sz w:val="22"/>
                <w:szCs w:val="22"/>
                <w:lang w:val="en-IE" w:eastAsia="en-IE"/>
              </w:rPr>
              <w:t>Source of data </w:t>
            </w:r>
          </w:p>
        </w:tc>
        <w:tc>
          <w:tcPr>
            <w:tcW w:w="2399" w:type="dxa"/>
            <w:gridSpan w:val="2"/>
            <w:vAlign w:val="center"/>
            <w:hideMark/>
          </w:tcPr>
          <w:p w14:paraId="7D3CB607" w14:textId="77777777" w:rsidR="00794505" w:rsidRPr="00013BDC" w:rsidRDefault="00794505" w:rsidP="00D71432">
            <w:pPr>
              <w:spacing w:after="120"/>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Collected in 2020 according to harmonised EU methodology </w:t>
            </w:r>
          </w:p>
        </w:tc>
        <w:tc>
          <w:tcPr>
            <w:tcW w:w="2396" w:type="dxa"/>
            <w:gridSpan w:val="2"/>
            <w:vAlign w:val="center"/>
            <w:hideMark/>
          </w:tcPr>
          <w:p w14:paraId="1D203457" w14:textId="77777777" w:rsidR="00794505" w:rsidRPr="00013BDC" w:rsidRDefault="00794505" w:rsidP="00D71432">
            <w:pPr>
              <w:spacing w:after="120"/>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National estimations for several MS (ca 2012).  </w:t>
            </w:r>
          </w:p>
          <w:p w14:paraId="7784A294" w14:textId="77777777" w:rsidR="00794505" w:rsidRPr="00013BDC" w:rsidRDefault="00794505" w:rsidP="00D71432">
            <w:pPr>
              <w:spacing w:after="120"/>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The average from these was used to estimate food waste amounts for the rest of EU.   </w:t>
            </w:r>
          </w:p>
        </w:tc>
        <w:tc>
          <w:tcPr>
            <w:tcW w:w="1982" w:type="dxa"/>
            <w:vAlign w:val="center"/>
            <w:hideMark/>
          </w:tcPr>
          <w:p w14:paraId="365DF1B7" w14:textId="77777777" w:rsidR="00794505" w:rsidRPr="00013BDC" w:rsidRDefault="00794505" w:rsidP="00D71432">
            <w:pPr>
              <w:spacing w:after="120"/>
              <w:textAlignment w:val="baseline"/>
              <w:cnfStyle w:val="000000000000" w:firstRow="0" w:lastRow="0" w:firstColumn="0" w:lastColumn="0" w:oddVBand="0" w:evenVBand="0" w:oddHBand="0"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Own calculations based on FUSIONS</w:t>
            </w:r>
          </w:p>
        </w:tc>
      </w:tr>
      <w:tr w:rsidR="00794505" w:rsidRPr="00013BDC" w14:paraId="6B0CE767" w14:textId="77777777" w:rsidTr="00D714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vAlign w:val="center"/>
            <w:hideMark/>
          </w:tcPr>
          <w:p w14:paraId="4BE7CCCE" w14:textId="77777777" w:rsidR="00794505" w:rsidRPr="00013BDC" w:rsidRDefault="00794505" w:rsidP="00D71432">
            <w:pPr>
              <w:spacing w:after="120"/>
              <w:textAlignment w:val="baseline"/>
              <w:rPr>
                <w:rFonts w:eastAsia="Times New Roman"/>
                <w:noProof/>
                <w:color w:val="000000"/>
                <w:sz w:val="22"/>
                <w:szCs w:val="22"/>
                <w:lang w:val="en-IE" w:eastAsia="en-IE"/>
              </w:rPr>
            </w:pPr>
            <w:r w:rsidRPr="00013BDC">
              <w:rPr>
                <w:rFonts w:eastAsia="Times New Roman"/>
                <w:noProof/>
                <w:color w:val="000000"/>
                <w:sz w:val="22"/>
                <w:szCs w:val="22"/>
                <w:lang w:val="en-IE" w:eastAsia="en-IE"/>
              </w:rPr>
              <w:t>Countries concerned </w:t>
            </w:r>
          </w:p>
        </w:tc>
        <w:tc>
          <w:tcPr>
            <w:tcW w:w="2399" w:type="dxa"/>
            <w:gridSpan w:val="2"/>
            <w:vAlign w:val="center"/>
            <w:hideMark/>
          </w:tcPr>
          <w:p w14:paraId="16A8EB02" w14:textId="3FA4B215"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 xml:space="preserve">EU-27 </w:t>
            </w:r>
            <w:r w:rsidR="00CC3EC0" w:rsidRPr="00013BDC">
              <w:rPr>
                <w:rFonts w:eastAsia="Times New Roman"/>
                <w:noProof/>
                <w:color w:val="000000"/>
                <w:sz w:val="22"/>
                <w:szCs w:val="22"/>
                <w:lang w:val="en-IE" w:eastAsia="en-IE"/>
              </w:rPr>
              <w:t>–</w:t>
            </w:r>
            <w:r w:rsidRPr="00013BDC">
              <w:rPr>
                <w:rFonts w:eastAsia="Times New Roman"/>
                <w:noProof/>
                <w:color w:val="000000"/>
                <w:sz w:val="22"/>
                <w:szCs w:val="22"/>
                <w:lang w:val="en-IE" w:eastAsia="en-IE"/>
              </w:rPr>
              <w:t xml:space="preserve"> based on 23 responses. (without BE, LV, MT and RO) </w:t>
            </w:r>
          </w:p>
        </w:tc>
        <w:tc>
          <w:tcPr>
            <w:tcW w:w="2396" w:type="dxa"/>
            <w:gridSpan w:val="2"/>
            <w:vAlign w:val="center"/>
            <w:hideMark/>
          </w:tcPr>
          <w:p w14:paraId="694C5BFA"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EU-28 (including UK and HR)  </w:t>
            </w:r>
          </w:p>
        </w:tc>
        <w:tc>
          <w:tcPr>
            <w:tcW w:w="1982" w:type="dxa"/>
            <w:vAlign w:val="center"/>
            <w:hideMark/>
          </w:tcPr>
          <w:p w14:paraId="31718520" w14:textId="77777777" w:rsidR="00794505" w:rsidRPr="00013BDC" w:rsidRDefault="00794505" w:rsidP="00D71432">
            <w:pPr>
              <w:spacing w:after="120"/>
              <w:textAlignment w:val="baseline"/>
              <w:cnfStyle w:val="000000100000" w:firstRow="0" w:lastRow="0" w:firstColumn="0" w:lastColumn="0" w:oddVBand="0" w:evenVBand="0" w:oddHBand="1" w:evenHBand="0" w:firstRowFirstColumn="0" w:firstRowLastColumn="0" w:lastRowFirstColumn="0" w:lastRowLastColumn="0"/>
              <w:rPr>
                <w:rFonts w:eastAsia="Times New Roman"/>
                <w:noProof/>
                <w:color w:val="000000"/>
                <w:sz w:val="22"/>
                <w:szCs w:val="22"/>
                <w:lang w:val="en-IE" w:eastAsia="en-IE"/>
              </w:rPr>
            </w:pPr>
            <w:r w:rsidRPr="00013BDC">
              <w:rPr>
                <w:rFonts w:eastAsia="Times New Roman"/>
                <w:noProof/>
                <w:color w:val="000000"/>
                <w:sz w:val="22"/>
                <w:szCs w:val="22"/>
                <w:lang w:val="en-IE" w:eastAsia="en-IE"/>
              </w:rPr>
              <w:t>  EU-27 (without UK)</w:t>
            </w:r>
          </w:p>
        </w:tc>
      </w:tr>
    </w:tbl>
    <w:p w14:paraId="69163EE5" w14:textId="77777777" w:rsidR="00794505" w:rsidRPr="00013BDC" w:rsidRDefault="00794505" w:rsidP="00794505">
      <w:pPr>
        <w:spacing w:after="0"/>
        <w:textAlignment w:val="baseline"/>
        <w:rPr>
          <w:rFonts w:eastAsia="Times New Roman"/>
          <w:noProof/>
          <w:color w:val="000000"/>
          <w:lang w:val="en-IE" w:eastAsia="en-IE"/>
        </w:rPr>
      </w:pPr>
    </w:p>
    <w:p w14:paraId="2970B793" w14:textId="106BE124" w:rsidR="00794505" w:rsidRPr="00013BDC" w:rsidRDefault="00794505" w:rsidP="005D51E0">
      <w:pPr>
        <w:spacing w:after="120"/>
        <w:textAlignment w:val="baseline"/>
        <w:rPr>
          <w:rFonts w:eastAsia="Times New Roman"/>
          <w:noProof/>
          <w:color w:val="000000"/>
          <w:lang w:val="en-IE" w:eastAsia="en-IE"/>
        </w:rPr>
      </w:pPr>
      <w:r w:rsidRPr="00013BDC">
        <w:rPr>
          <w:rFonts w:eastAsia="Times New Roman"/>
          <w:noProof/>
          <w:color w:val="000000"/>
          <w:lang w:val="en-IE" w:eastAsia="en-IE"/>
        </w:rPr>
        <w:t xml:space="preserve">When modifying </w:t>
      </w:r>
      <w:r w:rsidR="002706AA" w:rsidRPr="00013BDC">
        <w:rPr>
          <w:rFonts w:eastAsia="Times New Roman"/>
          <w:noProof/>
          <w:color w:val="000000"/>
          <w:lang w:val="en-IE" w:eastAsia="en-IE"/>
        </w:rPr>
        <w:t xml:space="preserve">the </w:t>
      </w:r>
      <w:r w:rsidRPr="00013BDC">
        <w:rPr>
          <w:rFonts w:eastAsia="Times New Roman"/>
          <w:noProof/>
          <w:color w:val="000000"/>
          <w:lang w:val="en-IE" w:eastAsia="en-IE"/>
        </w:rPr>
        <w:t xml:space="preserve">FUSIONS data by removal of </w:t>
      </w:r>
      <w:r w:rsidR="00255D68" w:rsidRPr="00013BDC">
        <w:rPr>
          <w:rFonts w:eastAsia="Times New Roman"/>
          <w:noProof/>
          <w:color w:val="000000"/>
          <w:lang w:val="en-IE" w:eastAsia="en-IE"/>
        </w:rPr>
        <w:t xml:space="preserve">the </w:t>
      </w:r>
      <w:r w:rsidRPr="00013BDC">
        <w:rPr>
          <w:rFonts w:eastAsia="Times New Roman"/>
          <w:noProof/>
          <w:color w:val="000000"/>
          <w:lang w:val="en-IE" w:eastAsia="en-IE"/>
        </w:rPr>
        <w:t xml:space="preserve">input (and impact) of </w:t>
      </w:r>
      <w:r w:rsidR="00255D68" w:rsidRPr="00013BDC">
        <w:rPr>
          <w:rFonts w:eastAsia="Times New Roman"/>
          <w:noProof/>
          <w:color w:val="000000"/>
          <w:lang w:val="en-IE" w:eastAsia="en-IE"/>
        </w:rPr>
        <w:t xml:space="preserve">the </w:t>
      </w:r>
      <w:r w:rsidRPr="00013BDC">
        <w:rPr>
          <w:rFonts w:eastAsia="Times New Roman"/>
          <w:noProof/>
          <w:color w:val="000000"/>
          <w:lang w:val="en-IE" w:eastAsia="en-IE"/>
        </w:rPr>
        <w:t xml:space="preserve">UK as well as removal of food-to-sewer, the main difference was </w:t>
      </w:r>
      <w:r w:rsidR="00255D68" w:rsidRPr="00013BDC">
        <w:rPr>
          <w:rFonts w:eastAsia="Times New Roman"/>
          <w:noProof/>
          <w:color w:val="000000"/>
          <w:lang w:val="en-IE" w:eastAsia="en-IE"/>
        </w:rPr>
        <w:t>found in</w:t>
      </w:r>
      <w:r w:rsidRPr="00013BDC">
        <w:rPr>
          <w:rFonts w:eastAsia="Times New Roman"/>
          <w:noProof/>
          <w:color w:val="000000"/>
          <w:lang w:val="en-IE" w:eastAsia="en-IE"/>
        </w:rPr>
        <w:t xml:space="preserve"> household food waste (decrease from 46,5 to 31 </w:t>
      </w:r>
      <w:r w:rsidR="005D51E0" w:rsidRPr="00013BDC">
        <w:rPr>
          <w:rFonts w:eastAsia="Times New Roman"/>
          <w:noProof/>
          <w:color w:val="000000"/>
          <w:lang w:val="en-IE" w:eastAsia="en-IE"/>
        </w:rPr>
        <w:t>M</w:t>
      </w:r>
      <w:r w:rsidRPr="00013BDC">
        <w:rPr>
          <w:rFonts w:eastAsia="Times New Roman"/>
          <w:noProof/>
          <w:color w:val="000000"/>
          <w:lang w:val="en-IE" w:eastAsia="en-IE"/>
        </w:rPr>
        <w:t xml:space="preserve"> tons, i.e. by 1/3) as well as </w:t>
      </w:r>
      <w:r w:rsidR="00255D68" w:rsidRPr="00013BDC">
        <w:rPr>
          <w:rFonts w:eastAsia="Times New Roman"/>
          <w:noProof/>
          <w:color w:val="000000"/>
          <w:lang w:val="en-IE" w:eastAsia="en-IE"/>
        </w:rPr>
        <w:t>in</w:t>
      </w:r>
      <w:r w:rsidRPr="00013BDC">
        <w:rPr>
          <w:rFonts w:eastAsia="Times New Roman"/>
          <w:noProof/>
          <w:color w:val="000000"/>
          <w:lang w:val="en-IE" w:eastAsia="en-IE"/>
        </w:rPr>
        <w:t xml:space="preserve"> food processing (decrease from 17 to 9 </w:t>
      </w:r>
      <w:r w:rsidR="005D51E0" w:rsidRPr="00013BDC">
        <w:rPr>
          <w:rFonts w:eastAsia="Times New Roman"/>
          <w:noProof/>
          <w:color w:val="000000"/>
          <w:lang w:val="en-IE" w:eastAsia="en-IE"/>
        </w:rPr>
        <w:t>M</w:t>
      </w:r>
      <w:r w:rsidRPr="00013BDC">
        <w:rPr>
          <w:rFonts w:eastAsia="Times New Roman"/>
          <w:noProof/>
          <w:color w:val="000000"/>
          <w:lang w:val="en-IE" w:eastAsia="en-IE"/>
        </w:rPr>
        <w:t xml:space="preserve"> tons, i.e. almost by half, however FUSIONS data waste from food processing had high uncertainty). Removing </w:t>
      </w:r>
      <w:r w:rsidR="00255D68" w:rsidRPr="00013BDC">
        <w:rPr>
          <w:rFonts w:eastAsia="Times New Roman"/>
          <w:noProof/>
          <w:color w:val="000000"/>
          <w:lang w:val="en-IE" w:eastAsia="en-IE"/>
        </w:rPr>
        <w:t>the</w:t>
      </w:r>
      <w:r w:rsidRPr="00013BDC">
        <w:rPr>
          <w:rFonts w:eastAsia="Times New Roman"/>
          <w:noProof/>
          <w:color w:val="000000"/>
          <w:lang w:val="en-IE" w:eastAsia="en-IE"/>
        </w:rPr>
        <w:t xml:space="preserve"> UK from estimates has no impacts on data from retail and from food services.</w:t>
      </w:r>
    </w:p>
    <w:p w14:paraId="643F4D2E" w14:textId="6C201F8B" w:rsidR="00794505" w:rsidRPr="00013BDC" w:rsidRDefault="00794505" w:rsidP="005D51E0">
      <w:pPr>
        <w:textAlignment w:val="baseline"/>
        <w:rPr>
          <w:rFonts w:eastAsia="Times New Roman"/>
          <w:noProof/>
          <w:color w:val="000000"/>
          <w:lang w:val="en-IE" w:eastAsia="en-IE"/>
        </w:rPr>
      </w:pPr>
      <w:r w:rsidRPr="00013BDC">
        <w:rPr>
          <w:rFonts w:eastAsia="Times New Roman"/>
          <w:noProof/>
          <w:color w:val="000000"/>
          <w:lang w:val="en-IE" w:eastAsia="en-IE"/>
        </w:rPr>
        <w:t>Finally, comparing the national studies for household waste (Denmark, Estonia, Finland, Germany, Ireland, Luxembourg, Netherlands, Sweden) from 2012 which w</w:t>
      </w:r>
      <w:r w:rsidR="00255D68" w:rsidRPr="00013BDC">
        <w:rPr>
          <w:rFonts w:eastAsia="Times New Roman"/>
          <w:noProof/>
          <w:color w:val="000000"/>
          <w:lang w:val="en-IE" w:eastAsia="en-IE"/>
        </w:rPr>
        <w:t>ere</w:t>
      </w:r>
      <w:r w:rsidRPr="00013BDC">
        <w:rPr>
          <w:rFonts w:eastAsia="Times New Roman"/>
          <w:noProof/>
          <w:color w:val="000000"/>
          <w:lang w:val="en-IE" w:eastAsia="en-IE"/>
        </w:rPr>
        <w:t>used in FUSIONS estimations</w:t>
      </w:r>
      <w:r w:rsidR="00255D68" w:rsidRPr="00013BDC">
        <w:rPr>
          <w:rFonts w:eastAsia="Times New Roman"/>
          <w:noProof/>
          <w:color w:val="000000"/>
          <w:lang w:val="en-IE" w:eastAsia="en-IE"/>
        </w:rPr>
        <w:t>,</w:t>
      </w:r>
      <w:r w:rsidRPr="00013BDC">
        <w:rPr>
          <w:rFonts w:eastAsia="Times New Roman"/>
          <w:noProof/>
          <w:color w:val="000000"/>
          <w:lang w:val="en-IE" w:eastAsia="en-IE"/>
        </w:rPr>
        <w:t xml:space="preserve"> with the country values reported to ESTAT (2020) – the results vary from -15% (Finland) and -9% (Netherlands) to +28% (Germany) and +35% (Luxembourg)</w:t>
      </w:r>
      <w:r w:rsidR="00D348FC" w:rsidRPr="00013BDC">
        <w:rPr>
          <w:rFonts w:eastAsia="Times New Roman"/>
          <w:noProof/>
          <w:color w:val="000000"/>
          <w:lang w:val="en-IE" w:eastAsia="en-IE"/>
        </w:rPr>
        <w:t>. However</w:t>
      </w:r>
      <w:r w:rsidRPr="00013BDC">
        <w:rPr>
          <w:rFonts w:eastAsia="Times New Roman"/>
          <w:noProof/>
          <w:color w:val="000000"/>
          <w:lang w:val="en-IE" w:eastAsia="en-IE"/>
        </w:rPr>
        <w:t xml:space="preserve">, </w:t>
      </w:r>
      <w:r w:rsidR="00D348FC" w:rsidRPr="00013BDC">
        <w:rPr>
          <w:rFonts w:eastAsia="Times New Roman"/>
          <w:noProof/>
          <w:color w:val="000000"/>
          <w:lang w:val="en-IE" w:eastAsia="en-IE"/>
        </w:rPr>
        <w:t>a possible link between these findings and the presence (or absence)</w:t>
      </w:r>
      <w:r w:rsidRPr="00013BDC">
        <w:rPr>
          <w:rFonts w:eastAsia="Times New Roman"/>
          <w:noProof/>
          <w:color w:val="000000"/>
          <w:lang w:val="en-IE" w:eastAsia="en-IE"/>
        </w:rPr>
        <w:t xml:space="preserve"> </w:t>
      </w:r>
      <w:r w:rsidR="00D348FC" w:rsidRPr="00013BDC">
        <w:rPr>
          <w:rFonts w:eastAsia="Times New Roman"/>
          <w:noProof/>
          <w:color w:val="000000"/>
          <w:lang w:val="en-IE" w:eastAsia="en-IE"/>
        </w:rPr>
        <w:t xml:space="preserve">of </w:t>
      </w:r>
      <w:r w:rsidRPr="00013BDC">
        <w:rPr>
          <w:rFonts w:eastAsia="Times New Roman"/>
          <w:noProof/>
          <w:color w:val="000000"/>
          <w:lang w:val="en-IE" w:eastAsia="en-IE"/>
        </w:rPr>
        <w:t xml:space="preserve">food waste prevention policy </w:t>
      </w:r>
      <w:r w:rsidR="00D348FC" w:rsidRPr="00013BDC">
        <w:rPr>
          <w:rFonts w:eastAsia="Times New Roman"/>
          <w:noProof/>
          <w:color w:val="000000"/>
          <w:lang w:val="en-IE" w:eastAsia="en-IE"/>
        </w:rPr>
        <w:t xml:space="preserve">cannot be established. </w:t>
      </w:r>
    </w:p>
    <w:p w14:paraId="45A69B88" w14:textId="66F6EBBF" w:rsidR="00794505" w:rsidRPr="00013BDC" w:rsidRDefault="00794505" w:rsidP="0B9E2EEF">
      <w:pPr>
        <w:pStyle w:val="Heading3"/>
        <w:rPr>
          <w:b/>
          <w:noProof/>
          <w:lang w:val="en-IE"/>
        </w:rPr>
      </w:pPr>
      <w:bookmarkStart w:id="708" w:name="_Toc618332363"/>
      <w:bookmarkStart w:id="709" w:name="_Toc2103755856"/>
      <w:bookmarkStart w:id="710" w:name="_Toc494866339"/>
      <w:bookmarkStart w:id="711" w:name="_Toc400469292"/>
      <w:bookmarkStart w:id="712" w:name="_Toc139032994"/>
      <w:r w:rsidRPr="00013BDC">
        <w:rPr>
          <w:noProof/>
          <w:lang w:val="en-IE"/>
        </w:rPr>
        <w:t>Estimations of trends on food waste amounts before 2020</w:t>
      </w:r>
      <w:bookmarkEnd w:id="708"/>
      <w:bookmarkEnd w:id="709"/>
      <w:bookmarkEnd w:id="710"/>
      <w:bookmarkEnd w:id="711"/>
      <w:bookmarkEnd w:id="712"/>
      <w:r w:rsidRPr="00013BDC">
        <w:rPr>
          <w:noProof/>
          <w:lang w:val="en-IE"/>
        </w:rPr>
        <w:t> </w:t>
      </w:r>
    </w:p>
    <w:p w14:paraId="38A27626" w14:textId="0FE01962" w:rsidR="00794505" w:rsidRPr="00013BDC" w:rsidRDefault="00794505" w:rsidP="005D51E0">
      <w:pPr>
        <w:textAlignment w:val="baseline"/>
        <w:rPr>
          <w:rFonts w:eastAsia="Times New Roman"/>
          <w:noProof/>
          <w:color w:val="000000"/>
          <w:lang w:val="en-IE" w:eastAsia="en-IE"/>
        </w:rPr>
      </w:pPr>
      <w:r w:rsidRPr="00013BDC">
        <w:rPr>
          <w:rFonts w:eastAsia="Times New Roman"/>
          <w:noProof/>
          <w:color w:val="000000"/>
          <w:lang w:val="en-IE" w:eastAsia="en-IE"/>
        </w:rPr>
        <w:t xml:space="preserve">There is no data series </w:t>
      </w:r>
      <w:r w:rsidR="00CA0F9F" w:rsidRPr="00013BDC">
        <w:rPr>
          <w:rFonts w:eastAsia="Times New Roman"/>
          <w:noProof/>
          <w:color w:val="000000"/>
          <w:lang w:val="en-IE" w:eastAsia="en-IE"/>
        </w:rPr>
        <w:t xml:space="preserve">available </w:t>
      </w:r>
      <w:r w:rsidRPr="00013BDC">
        <w:rPr>
          <w:rFonts w:eastAsia="Times New Roman"/>
          <w:noProof/>
          <w:color w:val="000000"/>
          <w:lang w:val="en-IE" w:eastAsia="en-IE"/>
        </w:rPr>
        <w:t xml:space="preserve">on food waste so far. 2020 is the first year for which data on food waste have been collected </w:t>
      </w:r>
      <w:r w:rsidR="00CA0F9F" w:rsidRPr="00013BDC">
        <w:rPr>
          <w:rFonts w:eastAsia="Times New Roman"/>
          <w:noProof/>
          <w:color w:val="000000"/>
          <w:lang w:val="en-IE" w:eastAsia="en-IE"/>
        </w:rPr>
        <w:t>across the EU</w:t>
      </w:r>
      <w:r w:rsidRPr="00013BDC">
        <w:rPr>
          <w:rFonts w:eastAsia="Times New Roman"/>
          <w:noProof/>
          <w:color w:val="000000"/>
          <w:lang w:val="en-IE" w:eastAsia="en-IE"/>
        </w:rPr>
        <w:t xml:space="preserve"> and according to a harmonised methodology</w:t>
      </w:r>
      <w:r w:rsidR="009A46BC" w:rsidRPr="00013BDC">
        <w:rPr>
          <w:rFonts w:eastAsia="Times New Roman"/>
          <w:noProof/>
          <w:color w:val="000000"/>
          <w:lang w:val="en-IE" w:eastAsia="en-IE"/>
        </w:rPr>
        <w:t>.</w:t>
      </w:r>
      <w:r w:rsidRPr="00013BDC">
        <w:rPr>
          <w:rFonts w:eastAsia="Times New Roman"/>
          <w:noProof/>
          <w:color w:val="000000"/>
          <w:lang w:val="en-IE" w:eastAsia="en-IE"/>
        </w:rPr>
        <w:t xml:space="preserve"> </w:t>
      </w:r>
      <w:r w:rsidR="009A46BC" w:rsidRPr="00013BDC">
        <w:rPr>
          <w:rFonts w:eastAsia="Times New Roman"/>
          <w:noProof/>
          <w:color w:val="000000"/>
          <w:lang w:val="en-IE" w:eastAsia="en-IE"/>
        </w:rPr>
        <w:t>The</w:t>
      </w:r>
      <w:r w:rsidRPr="00013BDC">
        <w:rPr>
          <w:rFonts w:eastAsia="Times New Roman"/>
          <w:noProof/>
          <w:color w:val="000000"/>
          <w:lang w:val="en-IE" w:eastAsia="en-IE"/>
        </w:rPr>
        <w:t xml:space="preserve"> FUSIONS </w:t>
      </w:r>
      <w:r w:rsidR="009A46BC" w:rsidRPr="00013BDC">
        <w:rPr>
          <w:rFonts w:eastAsia="Times New Roman"/>
          <w:noProof/>
          <w:color w:val="000000"/>
          <w:lang w:val="en-IE" w:eastAsia="en-IE"/>
        </w:rPr>
        <w:t>project provided a</w:t>
      </w:r>
      <w:r w:rsidRPr="00013BDC">
        <w:rPr>
          <w:rFonts w:eastAsia="Times New Roman"/>
          <w:noProof/>
          <w:color w:val="000000"/>
          <w:lang w:val="en-IE" w:eastAsia="en-IE"/>
        </w:rPr>
        <w:t xml:space="preserve"> one</w:t>
      </w:r>
      <w:r w:rsidR="009A46BC" w:rsidRPr="00013BDC">
        <w:rPr>
          <w:rFonts w:eastAsia="Times New Roman"/>
          <w:noProof/>
          <w:color w:val="000000"/>
          <w:lang w:val="en-IE" w:eastAsia="en-IE"/>
        </w:rPr>
        <w:t>-</w:t>
      </w:r>
      <w:r w:rsidRPr="00013BDC">
        <w:rPr>
          <w:rFonts w:eastAsia="Times New Roman"/>
          <w:noProof/>
          <w:color w:val="000000"/>
          <w:lang w:val="en-IE" w:eastAsia="en-IE"/>
        </w:rPr>
        <w:t>off estimate</w:t>
      </w:r>
      <w:r w:rsidR="009A46BC" w:rsidRPr="00013BDC">
        <w:rPr>
          <w:rFonts w:eastAsia="Times New Roman"/>
          <w:noProof/>
          <w:color w:val="000000"/>
          <w:lang w:val="en-IE" w:eastAsia="en-IE"/>
        </w:rPr>
        <w:t xml:space="preserve"> of food waste levels</w:t>
      </w:r>
      <w:r w:rsidRPr="00013BDC">
        <w:rPr>
          <w:rFonts w:eastAsia="Times New Roman"/>
          <w:noProof/>
          <w:color w:val="000000"/>
          <w:lang w:val="en-IE" w:eastAsia="en-IE"/>
        </w:rPr>
        <w:t xml:space="preserve">. </w:t>
      </w:r>
    </w:p>
    <w:p w14:paraId="6EAE1807" w14:textId="262CD39F" w:rsidR="00794505" w:rsidRPr="00013BDC" w:rsidRDefault="00794505" w:rsidP="005D51E0">
      <w:pPr>
        <w:textAlignment w:val="baseline"/>
        <w:rPr>
          <w:rFonts w:eastAsia="Times New Roman"/>
          <w:noProof/>
          <w:color w:val="000000"/>
          <w:lang w:val="en-IE" w:eastAsia="en-IE"/>
        </w:rPr>
      </w:pPr>
      <w:r w:rsidRPr="00013BDC">
        <w:rPr>
          <w:rFonts w:eastAsia="Times New Roman"/>
          <w:noProof/>
          <w:color w:val="000000"/>
          <w:lang w:val="en-IE" w:eastAsia="en-IE"/>
        </w:rPr>
        <w:t>Between 2010 and 2018</w:t>
      </w:r>
      <w:r w:rsidR="009A46BC" w:rsidRPr="00013BDC">
        <w:rPr>
          <w:rFonts w:eastAsia="Times New Roman"/>
          <w:noProof/>
          <w:color w:val="000000"/>
          <w:lang w:val="en-IE" w:eastAsia="en-IE"/>
        </w:rPr>
        <w:t>,</w:t>
      </w:r>
      <w:r w:rsidRPr="00013BDC">
        <w:rPr>
          <w:rFonts w:eastAsia="Times New Roman"/>
          <w:noProof/>
          <w:color w:val="000000"/>
          <w:lang w:val="en-IE" w:eastAsia="en-IE"/>
        </w:rPr>
        <w:t xml:space="preserve"> Eurostat has been working with Member States to </w:t>
      </w:r>
      <w:r w:rsidR="009A46BC" w:rsidRPr="00013BDC">
        <w:rPr>
          <w:rFonts w:eastAsia="Times New Roman"/>
          <w:noProof/>
          <w:color w:val="000000"/>
          <w:lang w:val="en-IE" w:eastAsia="en-IE"/>
        </w:rPr>
        <w:t xml:space="preserve">see </w:t>
      </w:r>
      <w:r w:rsidRPr="00013BDC">
        <w:rPr>
          <w:rFonts w:eastAsia="Times New Roman"/>
          <w:noProof/>
          <w:color w:val="000000"/>
          <w:lang w:val="en-IE" w:eastAsia="en-IE"/>
        </w:rPr>
        <w:t xml:space="preserve">if data collected within the framework of </w:t>
      </w:r>
      <w:r w:rsidR="004D647F" w:rsidRPr="00013BDC">
        <w:rPr>
          <w:rFonts w:eastAsia="Times New Roman"/>
          <w:noProof/>
          <w:color w:val="000000"/>
          <w:lang w:val="en-IE" w:eastAsia="en-IE"/>
        </w:rPr>
        <w:t xml:space="preserve">the </w:t>
      </w:r>
      <w:r w:rsidRPr="00013BDC">
        <w:rPr>
          <w:rFonts w:eastAsia="Times New Roman"/>
          <w:noProof/>
          <w:color w:val="000000"/>
          <w:lang w:val="en-IE" w:eastAsia="en-IE"/>
        </w:rPr>
        <w:t>Waste Statistics Regulation (W</w:t>
      </w:r>
      <w:r w:rsidR="00CC3EC0" w:rsidRPr="00013BDC">
        <w:rPr>
          <w:rFonts w:eastAsia="Times New Roman"/>
          <w:noProof/>
          <w:color w:val="000000"/>
          <w:lang w:val="en-IE" w:eastAsia="en-IE"/>
        </w:rPr>
        <w:t>s</w:t>
      </w:r>
      <w:r w:rsidRPr="00013BDC">
        <w:rPr>
          <w:rFonts w:eastAsia="Times New Roman"/>
          <w:noProof/>
          <w:color w:val="000000"/>
          <w:lang w:val="en-IE" w:eastAsia="en-IE"/>
        </w:rPr>
        <w:t>tatR) could be used for the purpose of monitoring of food waste.</w:t>
      </w:r>
      <w:r w:rsidR="005D51E0" w:rsidRPr="00013BDC">
        <w:rPr>
          <w:rFonts w:eastAsia="Times New Roman"/>
          <w:noProof/>
          <w:color w:val="000000"/>
          <w:lang w:val="en-IE" w:eastAsia="en-IE"/>
        </w:rPr>
        <w:t xml:space="preserve"> </w:t>
      </w:r>
      <w:r w:rsidR="004F19F0" w:rsidRPr="00013BDC">
        <w:rPr>
          <w:rFonts w:eastAsia="Times New Roman"/>
          <w:noProof/>
          <w:color w:val="000000"/>
          <w:lang w:val="en-IE" w:eastAsia="en-IE"/>
        </w:rPr>
        <w:t xml:space="preserve">Data </w:t>
      </w:r>
      <w:r w:rsidRPr="00013BDC">
        <w:rPr>
          <w:rFonts w:eastAsia="Times New Roman"/>
          <w:noProof/>
          <w:color w:val="000000"/>
          <w:lang w:val="en-IE" w:eastAsia="en-IE"/>
        </w:rPr>
        <w:t xml:space="preserve">collected </w:t>
      </w:r>
      <w:r w:rsidR="004F19F0" w:rsidRPr="00013BDC">
        <w:rPr>
          <w:rFonts w:eastAsia="Times New Roman"/>
          <w:noProof/>
          <w:color w:val="000000"/>
          <w:lang w:val="en-IE" w:eastAsia="en-IE"/>
        </w:rPr>
        <w:t>through</w:t>
      </w:r>
      <w:r w:rsidRPr="00013BDC">
        <w:rPr>
          <w:rFonts w:eastAsia="Times New Roman"/>
          <w:noProof/>
          <w:color w:val="000000"/>
          <w:lang w:val="en-IE" w:eastAsia="en-IE"/>
        </w:rPr>
        <w:t xml:space="preserve"> the Waste Statistics Regulation, </w:t>
      </w:r>
      <w:r w:rsidR="004F19F0" w:rsidRPr="00013BDC">
        <w:rPr>
          <w:rFonts w:eastAsia="Times New Roman"/>
          <w:noProof/>
          <w:color w:val="000000"/>
          <w:lang w:val="en-IE" w:eastAsia="en-IE"/>
        </w:rPr>
        <w:t xml:space="preserve">according to the </w:t>
      </w:r>
      <w:r w:rsidRPr="00013BDC">
        <w:rPr>
          <w:rFonts w:eastAsia="Times New Roman"/>
          <w:noProof/>
          <w:color w:val="000000"/>
          <w:lang w:val="en-IE" w:eastAsia="en-IE"/>
        </w:rPr>
        <w:t xml:space="preserve">EWC-Stat and NACE </w:t>
      </w:r>
      <w:r w:rsidR="00B234F0" w:rsidRPr="00013BDC">
        <w:rPr>
          <w:rFonts w:eastAsia="Times New Roman"/>
          <w:noProof/>
          <w:color w:val="000000"/>
          <w:lang w:val="en-IE" w:eastAsia="en-IE"/>
        </w:rPr>
        <w:t xml:space="preserve">waste </w:t>
      </w:r>
      <w:r w:rsidRPr="00013BDC">
        <w:rPr>
          <w:rFonts w:eastAsia="Times New Roman"/>
          <w:noProof/>
          <w:color w:val="000000"/>
          <w:lang w:val="en-IE" w:eastAsia="en-IE"/>
        </w:rPr>
        <w:t xml:space="preserve">categories which are considered relevant for food waste data collection, are shown in </w:t>
      </w:r>
      <w:r w:rsidR="000622A9" w:rsidRPr="00013BDC">
        <w:rPr>
          <w:rFonts w:eastAsia="Times New Roman"/>
          <w:noProof/>
          <w:color w:val="000000"/>
          <w:lang w:val="en-IE" w:eastAsia="en-IE"/>
        </w:rPr>
        <w:t>below</w:t>
      </w:r>
      <w:r w:rsidRPr="00013BDC">
        <w:rPr>
          <w:rFonts w:eastAsia="Times New Roman"/>
          <w:noProof/>
          <w:color w:val="000000"/>
          <w:lang w:val="en-IE" w:eastAsia="en-IE"/>
        </w:rPr>
        <w:t>.</w:t>
      </w:r>
    </w:p>
    <w:p w14:paraId="27DCC98B" w14:textId="21A21F93" w:rsidR="00794505" w:rsidRPr="00013BDC" w:rsidRDefault="005D51E0" w:rsidP="005D51E0">
      <w:pPr>
        <w:spacing w:after="120"/>
        <w:textAlignment w:val="baseline"/>
        <w:rPr>
          <w:rFonts w:eastAsia="Times New Roman"/>
          <w:noProof/>
          <w:color w:val="000000"/>
          <w:lang w:val="en-IE" w:eastAsia="en-IE"/>
        </w:rPr>
      </w:pPr>
      <w:bookmarkStart w:id="713" w:name="_Toc133229441"/>
      <w:bookmarkStart w:id="714" w:name="_Toc139033065"/>
      <w:r w:rsidRPr="00013BDC">
        <w:rPr>
          <w:i/>
          <w:noProof/>
          <w:lang w:val="en-IE"/>
        </w:rPr>
        <w:t xml:space="preserve">Table </w:t>
      </w:r>
      <w:r w:rsidR="004C5576">
        <w:rPr>
          <w:i/>
          <w:iCs/>
          <w:noProof/>
        </w:rPr>
        <w:t>35</w:t>
      </w:r>
      <w:r w:rsidRPr="00013BDC">
        <w:rPr>
          <w:i/>
          <w:noProof/>
          <w:lang w:val="en-IE"/>
        </w:rPr>
        <w:t xml:space="preserve"> – Relevant waste categories and economic activities in WstatR for calculating Food waste estimates</w:t>
      </w:r>
      <w:bookmarkEnd w:id="713"/>
      <w:bookmarkEnd w:id="714"/>
    </w:p>
    <w:p w14:paraId="5C2C9CDB" w14:textId="77777777" w:rsidR="00794505" w:rsidRPr="00013BDC" w:rsidRDefault="00794505" w:rsidP="005D51E0">
      <w:pPr>
        <w:textAlignment w:val="baseline"/>
        <w:rPr>
          <w:rFonts w:eastAsia="Times New Roman"/>
          <w:noProof/>
          <w:lang w:val="en-IE" w:eastAsia="en-IE"/>
        </w:rPr>
      </w:pPr>
      <w:r w:rsidRPr="00013BDC">
        <w:rPr>
          <w:noProof/>
          <w:color w:val="2B579A"/>
          <w:shd w:val="clear" w:color="auto" w:fill="E6E6E6"/>
          <w:lang w:eastAsia="en-GB"/>
        </w:rPr>
        <w:drawing>
          <wp:inline distT="0" distB="0" distL="0" distR="0" wp14:anchorId="31226235" wp14:editId="0F1E58E2">
            <wp:extent cx="5731510" cy="3823970"/>
            <wp:effectExtent l="0" t="0" r="2540" b="5080"/>
            <wp:docPr id="1200524290" name="Picture 120052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p>
    <w:p w14:paraId="690EBBB0" w14:textId="6519F6E5" w:rsidR="00794505" w:rsidRPr="00013BDC" w:rsidRDefault="00794505" w:rsidP="005D51E0">
      <w:pPr>
        <w:spacing w:after="120"/>
        <w:textAlignment w:val="baseline"/>
        <w:rPr>
          <w:rFonts w:eastAsia="Times New Roman"/>
          <w:noProof/>
          <w:color w:val="000000"/>
          <w:lang w:val="en-IE" w:eastAsia="en-IE"/>
        </w:rPr>
      </w:pPr>
      <w:r w:rsidRPr="00013BDC">
        <w:rPr>
          <w:rFonts w:eastAsia="Times New Roman"/>
          <w:noProof/>
          <w:color w:val="000000"/>
          <w:lang w:val="en-IE" w:eastAsia="en-IE"/>
        </w:rPr>
        <w:t xml:space="preserve">As can be seen in </w:t>
      </w:r>
      <w:r w:rsidR="000622A9" w:rsidRPr="00013BDC">
        <w:rPr>
          <w:rFonts w:eastAsia="Times New Roman"/>
          <w:noProof/>
          <w:color w:val="000000"/>
          <w:lang w:val="en-IE" w:eastAsia="en-IE"/>
        </w:rPr>
        <w:t>the table above</w:t>
      </w:r>
      <w:r w:rsidRPr="00013BDC">
        <w:rPr>
          <w:rFonts w:eastAsia="Times New Roman"/>
          <w:noProof/>
          <w:color w:val="000000"/>
          <w:lang w:val="en-IE" w:eastAsia="en-IE"/>
        </w:rPr>
        <w:t xml:space="preserve"> (blue cells), the W</w:t>
      </w:r>
      <w:r w:rsidR="00CC3EC0" w:rsidRPr="00013BDC">
        <w:rPr>
          <w:rFonts w:eastAsia="Times New Roman"/>
          <w:noProof/>
          <w:color w:val="000000"/>
          <w:lang w:val="en-IE" w:eastAsia="en-IE"/>
        </w:rPr>
        <w:t>s</w:t>
      </w:r>
      <w:r w:rsidRPr="00013BDC">
        <w:rPr>
          <w:rFonts w:eastAsia="Times New Roman"/>
          <w:noProof/>
          <w:color w:val="000000"/>
          <w:lang w:val="en-IE" w:eastAsia="en-IE"/>
        </w:rPr>
        <w:t>tatR breakdown of the EWC-Stat allows the distinction of the following waste types containing food waste:</w:t>
      </w:r>
    </w:p>
    <w:p w14:paraId="75433D4E" w14:textId="77777777" w:rsidR="00794505" w:rsidRPr="00013BDC" w:rsidRDefault="00794505" w:rsidP="00CF0DFB">
      <w:pPr>
        <w:pStyle w:val="ListParagraph"/>
        <w:numPr>
          <w:ilvl w:val="0"/>
          <w:numId w:val="84"/>
        </w:numPr>
        <w:spacing w:after="0"/>
        <w:textAlignment w:val="baseline"/>
        <w:rPr>
          <w:rFonts w:eastAsia="Times New Roman"/>
          <w:noProof/>
          <w:color w:val="000000"/>
          <w:lang w:val="en-IE" w:eastAsia="en-IE"/>
        </w:rPr>
      </w:pPr>
      <w:r w:rsidRPr="00013BDC">
        <w:rPr>
          <w:rFonts w:eastAsia="Times New Roman"/>
          <w:noProof/>
          <w:color w:val="000000"/>
          <w:lang w:val="en-IE" w:eastAsia="en-IE"/>
        </w:rPr>
        <w:t>09.1 “animal and mixed food waste”,   </w:t>
      </w:r>
    </w:p>
    <w:p w14:paraId="2F93C888" w14:textId="77777777" w:rsidR="00794505" w:rsidRPr="00013BDC" w:rsidRDefault="00794505" w:rsidP="00CF0DFB">
      <w:pPr>
        <w:pStyle w:val="ListParagraph"/>
        <w:numPr>
          <w:ilvl w:val="0"/>
          <w:numId w:val="84"/>
        </w:numPr>
        <w:spacing w:after="0"/>
        <w:textAlignment w:val="baseline"/>
        <w:rPr>
          <w:rFonts w:eastAsia="Times New Roman"/>
          <w:noProof/>
          <w:color w:val="000000"/>
          <w:lang w:val="en-IE" w:eastAsia="en-IE"/>
        </w:rPr>
      </w:pPr>
      <w:r w:rsidRPr="00013BDC">
        <w:rPr>
          <w:rFonts w:eastAsia="Times New Roman"/>
          <w:noProof/>
          <w:color w:val="000000"/>
          <w:lang w:val="en-IE" w:eastAsia="en-IE"/>
        </w:rPr>
        <w:t>09.2 “vegetable waste”,   </w:t>
      </w:r>
    </w:p>
    <w:p w14:paraId="5380D229" w14:textId="77777777" w:rsidR="00794505" w:rsidRPr="00013BDC" w:rsidRDefault="00794505" w:rsidP="00CF0DFB">
      <w:pPr>
        <w:pStyle w:val="ListParagraph"/>
        <w:numPr>
          <w:ilvl w:val="0"/>
          <w:numId w:val="84"/>
        </w:numPr>
        <w:textAlignment w:val="baseline"/>
        <w:rPr>
          <w:rFonts w:eastAsia="Times New Roman"/>
          <w:noProof/>
          <w:color w:val="000000"/>
          <w:lang w:val="en-IE" w:eastAsia="en-IE"/>
        </w:rPr>
      </w:pPr>
      <w:r w:rsidRPr="00013BDC">
        <w:rPr>
          <w:rFonts w:eastAsia="Times New Roman"/>
          <w:noProof/>
          <w:color w:val="000000"/>
          <w:lang w:val="en-IE" w:eastAsia="en-IE"/>
        </w:rPr>
        <w:t>10.1 “household and similar waste”. </w:t>
      </w:r>
    </w:p>
    <w:p w14:paraId="0984064E" w14:textId="3C1DE88C" w:rsidR="005D51E0" w:rsidRPr="00013BDC" w:rsidRDefault="00794505" w:rsidP="005D51E0">
      <w:pPr>
        <w:spacing w:after="120"/>
        <w:textAlignment w:val="baseline"/>
        <w:rPr>
          <w:rFonts w:eastAsia="Times New Roman"/>
          <w:noProof/>
          <w:color w:val="000000"/>
          <w:lang w:val="en-IE" w:eastAsia="en-IE"/>
        </w:rPr>
      </w:pPr>
      <w:r w:rsidRPr="00013BDC">
        <w:rPr>
          <w:rFonts w:eastAsia="Times New Roman"/>
          <w:noProof/>
          <w:color w:val="000000"/>
          <w:lang w:val="en-IE" w:eastAsia="en-IE"/>
        </w:rPr>
        <w:t>As these waste categories include more waste than just food waste, Eurostat develop</w:t>
      </w:r>
      <w:r w:rsidR="00B234F0" w:rsidRPr="00013BDC">
        <w:rPr>
          <w:rFonts w:eastAsia="Times New Roman"/>
          <w:noProof/>
          <w:color w:val="000000"/>
          <w:lang w:val="en-IE" w:eastAsia="en-IE"/>
        </w:rPr>
        <w:t>ed</w:t>
      </w:r>
      <w:r w:rsidRPr="00013BDC">
        <w:rPr>
          <w:rFonts w:eastAsia="Times New Roman"/>
          <w:noProof/>
          <w:color w:val="000000"/>
          <w:lang w:val="en-IE" w:eastAsia="en-IE"/>
        </w:rPr>
        <w:t xml:space="preserve"> relevant methodology and requested Member States for voluntary reporting of disaggregated data, in order to better assess the actual amount of food waste. Eurostat published these estimates covering </w:t>
      </w:r>
      <w:r w:rsidR="00B234F0" w:rsidRPr="00013BDC">
        <w:rPr>
          <w:rFonts w:eastAsia="Times New Roman"/>
          <w:noProof/>
          <w:color w:val="000000"/>
          <w:lang w:val="en-IE" w:eastAsia="en-IE"/>
        </w:rPr>
        <w:t xml:space="preserve">the </w:t>
      </w:r>
      <w:r w:rsidRPr="00013BDC">
        <w:rPr>
          <w:rFonts w:eastAsia="Times New Roman"/>
          <w:noProof/>
          <w:color w:val="000000"/>
          <w:lang w:val="en-IE" w:eastAsia="en-IE"/>
        </w:rPr>
        <w:t>period between 2012 and 2018, as part of the Monitoring Framework on Circular Economy, specifically the indicator on amounts of food waste generated. The values have been stable over that period and ranged between 66 and 69 million tonnes.</w:t>
      </w:r>
      <w:r w:rsidRPr="00013BDC">
        <w:rPr>
          <w:rStyle w:val="FootnoteReference"/>
          <w:rFonts w:eastAsia="Times New Roman"/>
          <w:noProof/>
          <w:color w:val="000000"/>
          <w:lang w:val="en-IE" w:eastAsia="en-IE"/>
        </w:rPr>
        <w:footnoteReference w:id="259"/>
      </w:r>
      <w:r w:rsidRPr="00013BDC">
        <w:rPr>
          <w:rFonts w:eastAsia="Times New Roman"/>
          <w:noProof/>
          <w:color w:val="000000"/>
          <w:lang w:val="en-IE" w:eastAsia="en-IE"/>
        </w:rPr>
        <w:t xml:space="preserve"> The main challenge was </w:t>
      </w:r>
      <w:r w:rsidR="00B234F0" w:rsidRPr="00013BDC">
        <w:rPr>
          <w:rFonts w:eastAsia="Times New Roman"/>
          <w:noProof/>
          <w:color w:val="000000"/>
          <w:lang w:val="en-IE" w:eastAsia="en-IE"/>
        </w:rPr>
        <w:t>due to the</w:t>
      </w:r>
      <w:r w:rsidRPr="00013BDC">
        <w:rPr>
          <w:rFonts w:eastAsia="Times New Roman"/>
          <w:noProof/>
          <w:color w:val="000000"/>
          <w:lang w:val="en-IE" w:eastAsia="en-IE"/>
        </w:rPr>
        <w:t xml:space="preserve"> limited information </w:t>
      </w:r>
      <w:r w:rsidR="003F66D5" w:rsidRPr="00013BDC">
        <w:rPr>
          <w:rFonts w:eastAsia="Times New Roman"/>
          <w:noProof/>
          <w:color w:val="000000"/>
          <w:lang w:val="en-IE" w:eastAsia="en-IE"/>
        </w:rPr>
        <w:t xml:space="preserve">on the share </w:t>
      </w:r>
      <w:r w:rsidRPr="00013BDC">
        <w:rPr>
          <w:rFonts w:eastAsia="Times New Roman"/>
          <w:noProof/>
          <w:color w:val="000000"/>
          <w:lang w:val="en-IE" w:eastAsia="en-IE"/>
        </w:rPr>
        <w:t xml:space="preserve">of food waste within household waste, especially mixed household waste, hence the decision to develop </w:t>
      </w:r>
      <w:r w:rsidR="003F66D5" w:rsidRPr="00013BDC">
        <w:rPr>
          <w:rFonts w:eastAsia="Times New Roman"/>
          <w:noProof/>
          <w:color w:val="000000"/>
          <w:lang w:val="en-IE" w:eastAsia="en-IE"/>
        </w:rPr>
        <w:t xml:space="preserve">a </w:t>
      </w:r>
      <w:r w:rsidRPr="00013BDC">
        <w:rPr>
          <w:rFonts w:eastAsia="Times New Roman"/>
          <w:noProof/>
          <w:color w:val="000000"/>
          <w:lang w:val="en-IE" w:eastAsia="en-IE"/>
        </w:rPr>
        <w:t>monitoring framework dedicated to food waste.</w:t>
      </w:r>
    </w:p>
    <w:p w14:paraId="4B4F03BC" w14:textId="26D411BA" w:rsidR="00794505" w:rsidRPr="00013BDC" w:rsidRDefault="00794505" w:rsidP="00794505">
      <w:pPr>
        <w:spacing w:after="0"/>
        <w:textAlignment w:val="baseline"/>
        <w:rPr>
          <w:rFonts w:eastAsia="Times New Roman"/>
          <w:noProof/>
          <w:lang w:val="en-IE" w:eastAsia="en-IE"/>
        </w:rPr>
      </w:pPr>
      <w:r w:rsidRPr="00013BDC">
        <w:rPr>
          <w:rFonts w:eastAsia="Times New Roman"/>
          <w:noProof/>
          <w:lang w:val="en-IE" w:eastAsia="en-IE"/>
        </w:rPr>
        <w:t xml:space="preserve">Three graphs below show trends in the amounts of waste coming from 3 sectors of </w:t>
      </w:r>
      <w:r w:rsidR="003F66D5" w:rsidRPr="00013BDC">
        <w:rPr>
          <w:rFonts w:eastAsia="Times New Roman"/>
          <w:noProof/>
          <w:lang w:val="en-IE" w:eastAsia="en-IE"/>
        </w:rPr>
        <w:t xml:space="preserve">the </w:t>
      </w:r>
      <w:r w:rsidRPr="00013BDC">
        <w:rPr>
          <w:rFonts w:eastAsia="Times New Roman"/>
          <w:noProof/>
          <w:lang w:val="en-IE" w:eastAsia="en-IE"/>
        </w:rPr>
        <w:t xml:space="preserve">economy, classified in </w:t>
      </w:r>
      <w:r w:rsidR="003F66D5" w:rsidRPr="00013BDC">
        <w:rPr>
          <w:rFonts w:eastAsia="Times New Roman"/>
          <w:noProof/>
          <w:lang w:val="en-IE" w:eastAsia="en-IE"/>
        </w:rPr>
        <w:t xml:space="preserve">the </w:t>
      </w:r>
      <w:r w:rsidRPr="00013BDC">
        <w:rPr>
          <w:rFonts w:eastAsia="Times New Roman"/>
          <w:noProof/>
          <w:lang w:val="en-IE" w:eastAsia="en-IE"/>
        </w:rPr>
        <w:t>following NACE categories:</w:t>
      </w:r>
    </w:p>
    <w:p w14:paraId="314F260E" w14:textId="2DC7D95A" w:rsidR="00794505" w:rsidRPr="00013BDC" w:rsidRDefault="00794505" w:rsidP="00CF0DFB">
      <w:pPr>
        <w:pStyle w:val="ListParagraph"/>
        <w:numPr>
          <w:ilvl w:val="0"/>
          <w:numId w:val="86"/>
        </w:numPr>
        <w:spacing w:after="0"/>
        <w:textAlignment w:val="baseline"/>
        <w:rPr>
          <w:rFonts w:eastAsia="Times New Roman"/>
          <w:noProof/>
          <w:lang w:val="en-IE" w:eastAsia="en-IE"/>
        </w:rPr>
      </w:pPr>
      <w:r w:rsidRPr="00013BDC">
        <w:rPr>
          <w:rFonts w:eastAsia="Times New Roman"/>
          <w:noProof/>
          <w:lang w:val="en-IE" w:eastAsia="en-IE"/>
        </w:rPr>
        <w:t>NACE A: Agriculture, forestry and fishing – expected to include food waste from primary production</w:t>
      </w:r>
      <w:r w:rsidR="003F66D5" w:rsidRPr="00013BDC">
        <w:rPr>
          <w:rFonts w:eastAsia="Times New Roman"/>
          <w:noProof/>
          <w:lang w:val="en-IE" w:eastAsia="en-IE"/>
        </w:rPr>
        <w:t>;</w:t>
      </w:r>
    </w:p>
    <w:p w14:paraId="4473A9FF" w14:textId="007AEC51" w:rsidR="00794505" w:rsidRPr="00013BDC" w:rsidRDefault="00794505" w:rsidP="00CF0DFB">
      <w:pPr>
        <w:pStyle w:val="ListParagraph"/>
        <w:numPr>
          <w:ilvl w:val="0"/>
          <w:numId w:val="86"/>
        </w:numPr>
        <w:spacing w:after="0"/>
        <w:textAlignment w:val="baseline"/>
        <w:rPr>
          <w:rFonts w:eastAsia="Times New Roman"/>
          <w:noProof/>
          <w:lang w:val="en-IE" w:eastAsia="en-IE"/>
        </w:rPr>
      </w:pPr>
      <w:r w:rsidRPr="00013BDC">
        <w:rPr>
          <w:rFonts w:eastAsia="Times New Roman"/>
          <w:noProof/>
          <w:lang w:val="en-IE" w:eastAsia="en-IE"/>
        </w:rPr>
        <w:t>NACE C10-C12: Manufacture of food products; beverages and tobacco products – expected to include food waste from processing and manufacturing</w:t>
      </w:r>
      <w:r w:rsidR="003F66D5" w:rsidRPr="00013BDC">
        <w:rPr>
          <w:rFonts w:eastAsia="Times New Roman"/>
          <w:noProof/>
          <w:lang w:val="en-IE" w:eastAsia="en-IE"/>
        </w:rPr>
        <w:t>;</w:t>
      </w:r>
    </w:p>
    <w:p w14:paraId="244D7D58" w14:textId="0C723410" w:rsidR="00794505" w:rsidRPr="00013BDC" w:rsidRDefault="00794505" w:rsidP="00CF0DFB">
      <w:pPr>
        <w:pStyle w:val="ListParagraph"/>
        <w:numPr>
          <w:ilvl w:val="0"/>
          <w:numId w:val="86"/>
        </w:numPr>
        <w:textAlignment w:val="baseline"/>
        <w:rPr>
          <w:rFonts w:eastAsia="Times New Roman"/>
          <w:noProof/>
          <w:lang w:val="en-IE" w:eastAsia="en-IE"/>
        </w:rPr>
      </w:pPr>
      <w:r w:rsidRPr="00013BDC">
        <w:rPr>
          <w:rFonts w:eastAsia="Times New Roman"/>
          <w:noProof/>
          <w:lang w:val="en-IE" w:eastAsia="en-IE"/>
        </w:rPr>
        <w:t>NACE G-U_X_G4677: Services (except wholesale of waste and scrap) – expected to include food waste from retail and food services</w:t>
      </w:r>
      <w:r w:rsidR="003F66D5" w:rsidRPr="00013BDC">
        <w:rPr>
          <w:rFonts w:eastAsia="Times New Roman"/>
          <w:noProof/>
          <w:lang w:val="en-IE" w:eastAsia="en-IE"/>
        </w:rPr>
        <w:t>.</w:t>
      </w:r>
    </w:p>
    <w:p w14:paraId="0BBC1988" w14:textId="373BCEBC" w:rsidR="00884617" w:rsidRPr="00013BDC" w:rsidRDefault="00884617" w:rsidP="00884617">
      <w:pPr>
        <w:textAlignment w:val="baseline"/>
        <w:rPr>
          <w:rFonts w:eastAsia="Times New Roman"/>
          <w:noProof/>
          <w:lang w:val="en-IE" w:eastAsia="en-IE"/>
        </w:rPr>
      </w:pPr>
      <w:r w:rsidRPr="00013BDC">
        <w:rPr>
          <w:noProof/>
          <w:lang w:val="en-IE"/>
        </w:rPr>
        <w:t xml:space="preserve">It should however </w:t>
      </w:r>
      <w:r w:rsidR="003F66D5" w:rsidRPr="00013BDC">
        <w:rPr>
          <w:noProof/>
          <w:lang w:val="en-IE"/>
        </w:rPr>
        <w:t xml:space="preserve">be </w:t>
      </w:r>
      <w:r w:rsidRPr="00013BDC">
        <w:rPr>
          <w:noProof/>
          <w:lang w:val="en-IE"/>
        </w:rPr>
        <w:t>noted that</w:t>
      </w:r>
      <w:r w:rsidR="003F66D5" w:rsidRPr="00013BDC">
        <w:rPr>
          <w:noProof/>
          <w:lang w:val="en-IE"/>
        </w:rPr>
        <w:t>,</w:t>
      </w:r>
      <w:r w:rsidRPr="00013BDC">
        <w:rPr>
          <w:noProof/>
          <w:lang w:val="en-IE"/>
        </w:rPr>
        <w:t xml:space="preserve"> for all </w:t>
      </w:r>
      <w:r w:rsidR="00AE0588" w:rsidRPr="00013BDC">
        <w:rPr>
          <w:noProof/>
          <w:lang w:val="en-IE"/>
        </w:rPr>
        <w:t xml:space="preserve">waste streams presented in the </w:t>
      </w:r>
      <w:r w:rsidR="00457FDF" w:rsidRPr="00013BDC">
        <w:rPr>
          <w:noProof/>
          <w:lang w:val="en-IE"/>
        </w:rPr>
        <w:t>graphs</w:t>
      </w:r>
      <w:r w:rsidRPr="00013BDC">
        <w:rPr>
          <w:noProof/>
          <w:lang w:val="en-IE"/>
        </w:rPr>
        <w:t xml:space="preserve"> </w:t>
      </w:r>
      <w:r w:rsidR="003F66D5" w:rsidRPr="00013BDC">
        <w:rPr>
          <w:noProof/>
          <w:lang w:val="en-IE"/>
        </w:rPr>
        <w:t xml:space="preserve">hereunder, </w:t>
      </w:r>
      <w:r w:rsidRPr="00013BDC">
        <w:rPr>
          <w:noProof/>
          <w:lang w:val="en-IE"/>
        </w:rPr>
        <w:t xml:space="preserve"> </w:t>
      </w:r>
      <w:r w:rsidR="00AE0588" w:rsidRPr="00013BDC">
        <w:rPr>
          <w:noProof/>
          <w:lang w:val="en-IE"/>
        </w:rPr>
        <w:t xml:space="preserve">it is not possible to </w:t>
      </w:r>
      <w:r w:rsidRPr="00013BDC">
        <w:rPr>
          <w:noProof/>
          <w:lang w:val="en-IE"/>
        </w:rPr>
        <w:t xml:space="preserve">disaggregate </w:t>
      </w:r>
      <w:r w:rsidR="00AE0588" w:rsidRPr="00013BDC">
        <w:rPr>
          <w:noProof/>
          <w:lang w:val="en-IE"/>
        </w:rPr>
        <w:t>the food waste</w:t>
      </w:r>
      <w:r w:rsidRPr="00013BDC">
        <w:rPr>
          <w:noProof/>
          <w:lang w:val="en-IE"/>
        </w:rPr>
        <w:t xml:space="preserve"> component</w:t>
      </w:r>
      <w:r w:rsidR="004F7314" w:rsidRPr="00013BDC">
        <w:rPr>
          <w:noProof/>
          <w:lang w:val="en-IE"/>
        </w:rPr>
        <w:t xml:space="preserve">; therefore the evolution of food waste over time cannot be determined. </w:t>
      </w:r>
      <w:r w:rsidRPr="00013BDC">
        <w:rPr>
          <w:noProof/>
          <w:lang w:val="en-IE"/>
        </w:rPr>
        <w:t xml:space="preserve">, </w:t>
      </w:r>
    </w:p>
    <w:p w14:paraId="4724C357" w14:textId="5ABA79B5" w:rsidR="005D51E0" w:rsidRPr="00013BDC" w:rsidRDefault="005D51E0" w:rsidP="005D51E0">
      <w:pPr>
        <w:spacing w:after="120"/>
        <w:textAlignment w:val="baseline"/>
        <w:rPr>
          <w:noProof/>
          <w:lang w:val="en-IE"/>
        </w:rPr>
      </w:pPr>
      <w:bookmarkStart w:id="715" w:name="_Toc133229301"/>
      <w:bookmarkStart w:id="716" w:name="_Toc139033027"/>
      <w:r w:rsidRPr="00013BDC">
        <w:rPr>
          <w:rFonts w:eastAsia="Times New Roman"/>
          <w:i/>
          <w:noProof/>
          <w:lang w:val="en-IE"/>
        </w:rPr>
        <w:t xml:space="preserve">Figure </w:t>
      </w:r>
      <w:r w:rsidR="004C5576">
        <w:rPr>
          <w:rFonts w:eastAsia="Times New Roman"/>
          <w:i/>
          <w:iCs/>
          <w:noProof/>
        </w:rPr>
        <w:t>30</w:t>
      </w:r>
      <w:r w:rsidRPr="00013BDC">
        <w:rPr>
          <w:rFonts w:eastAsia="Times New Roman"/>
          <w:i/>
          <w:noProof/>
          <w:lang w:val="en-IE"/>
        </w:rPr>
        <w:t xml:space="preserve"> –</w:t>
      </w:r>
      <w:r w:rsidRPr="00013BDC">
        <w:rPr>
          <w:noProof/>
          <w:lang w:val="en-IE"/>
        </w:rPr>
        <w:t xml:space="preserve"> </w:t>
      </w:r>
      <w:r w:rsidRPr="00013BDC">
        <w:rPr>
          <w:i/>
          <w:noProof/>
          <w:lang w:val="en-IE"/>
        </w:rPr>
        <w:t xml:space="preserve">Generation of selected streams of waste (expected to including food waste) from primary production, in </w:t>
      </w:r>
      <w:r w:rsidRPr="00013BDC">
        <w:rPr>
          <w:noProof/>
          <w:lang w:val="en-IE"/>
        </w:rPr>
        <w:t xml:space="preserve">M </w:t>
      </w:r>
      <w:r w:rsidR="00CD67A5" w:rsidRPr="00013BDC">
        <w:rPr>
          <w:rFonts w:eastAsia="Times New Roman"/>
          <w:noProof/>
          <w:color w:val="000000"/>
          <w:lang w:val="en-IE" w:eastAsia="en-IE"/>
        </w:rPr>
        <w:t>tonnes</w:t>
      </w:r>
      <w:bookmarkEnd w:id="715"/>
      <w:bookmarkEnd w:id="716"/>
    </w:p>
    <w:p w14:paraId="7552BC45" w14:textId="3D9214ED" w:rsidR="00794505" w:rsidRPr="00013BDC" w:rsidRDefault="00794505" w:rsidP="00CD67A5">
      <w:pPr>
        <w:textAlignment w:val="baseline"/>
        <w:rPr>
          <w:rFonts w:eastAsia="Times New Roman"/>
          <w:noProof/>
          <w:color w:val="000000"/>
          <w:lang w:val="en-IE" w:eastAsia="en-IE"/>
        </w:rPr>
      </w:pPr>
      <w:r w:rsidRPr="00013BDC">
        <w:rPr>
          <w:noProof/>
          <w:color w:val="2B579A"/>
          <w:shd w:val="clear" w:color="auto" w:fill="E6E6E6"/>
          <w:lang w:eastAsia="en-GB"/>
        </w:rPr>
        <w:drawing>
          <wp:inline distT="0" distB="0" distL="0" distR="0" wp14:anchorId="1A449079" wp14:editId="73814157">
            <wp:extent cx="5677540" cy="3245940"/>
            <wp:effectExtent l="0" t="0" r="7620" b="0"/>
            <wp:docPr id="1200524292" name="Picture 12005242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524292"/>
                    <pic:cNvPicPr/>
                  </pic:nvPicPr>
                  <pic:blipFill>
                    <a:blip r:embed="rId137">
                      <a:extLst>
                        <a:ext uri="{28A0092B-C50C-407E-A947-70E740481C1C}">
                          <a14:useLocalDpi xmlns:a14="http://schemas.microsoft.com/office/drawing/2010/main" val="0"/>
                        </a:ext>
                      </a:extLst>
                    </a:blip>
                    <a:stretch>
                      <a:fillRect/>
                    </a:stretch>
                  </pic:blipFill>
                  <pic:spPr>
                    <a:xfrm>
                      <a:off x="0" y="0"/>
                      <a:ext cx="5677540" cy="3245940"/>
                    </a:xfrm>
                    <a:prstGeom prst="rect">
                      <a:avLst/>
                    </a:prstGeom>
                  </pic:spPr>
                </pic:pic>
              </a:graphicData>
            </a:graphic>
          </wp:inline>
        </w:drawing>
      </w:r>
    </w:p>
    <w:p w14:paraId="188F8960" w14:textId="1911CFBA" w:rsidR="00CD67A5" w:rsidRPr="00013BDC" w:rsidRDefault="00CD67A5" w:rsidP="00CD67A5">
      <w:pPr>
        <w:textAlignment w:val="baseline"/>
        <w:rPr>
          <w:rFonts w:eastAsia="Times New Roman"/>
          <w:noProof/>
          <w:color w:val="000000"/>
          <w:lang w:val="en-IE" w:eastAsia="en-IE"/>
        </w:rPr>
      </w:pPr>
      <w:bookmarkStart w:id="717" w:name="_Toc133229302"/>
      <w:bookmarkStart w:id="718" w:name="_Toc139033028"/>
      <w:r w:rsidRPr="00013BDC">
        <w:rPr>
          <w:rFonts w:eastAsia="Times New Roman"/>
          <w:i/>
          <w:noProof/>
          <w:lang w:val="en-IE"/>
        </w:rPr>
        <w:t xml:space="preserve">Figure </w:t>
      </w:r>
      <w:r w:rsidR="004C5576">
        <w:rPr>
          <w:rFonts w:eastAsia="Times New Roman"/>
          <w:i/>
          <w:iCs/>
          <w:noProof/>
        </w:rPr>
        <w:t>31</w:t>
      </w:r>
      <w:r w:rsidRPr="00013BDC">
        <w:rPr>
          <w:rFonts w:eastAsia="Times New Roman"/>
          <w:i/>
          <w:noProof/>
          <w:lang w:val="en-IE"/>
        </w:rPr>
        <w:t xml:space="preserve"> –</w:t>
      </w:r>
      <w:r w:rsidRPr="00013BDC">
        <w:rPr>
          <w:noProof/>
          <w:lang w:val="en-IE"/>
        </w:rPr>
        <w:t xml:space="preserve"> </w:t>
      </w:r>
      <w:r w:rsidRPr="00013BDC">
        <w:rPr>
          <w:i/>
          <w:noProof/>
          <w:lang w:val="en-IE"/>
        </w:rPr>
        <w:t xml:space="preserve">Generation of selected streams of waste (expected to including food waste) from processing and manufacturing sector, in M </w:t>
      </w:r>
      <w:r w:rsidRPr="00013BDC">
        <w:rPr>
          <w:rFonts w:eastAsia="Times New Roman"/>
          <w:i/>
          <w:iCs/>
          <w:noProof/>
          <w:color w:val="000000"/>
          <w:lang w:val="en-IE" w:eastAsia="en-IE"/>
        </w:rPr>
        <w:t>tonnes</w:t>
      </w:r>
      <w:r w:rsidRPr="00013BDC">
        <w:rPr>
          <w:i/>
          <w:noProof/>
          <w:lang w:val="en-IE"/>
        </w:rPr>
        <w:t>.</w:t>
      </w:r>
      <w:bookmarkEnd w:id="717"/>
      <w:bookmarkEnd w:id="718"/>
      <w:r w:rsidRPr="00013BDC">
        <w:rPr>
          <w:i/>
          <w:noProof/>
          <w:lang w:val="en-IE"/>
        </w:rPr>
        <w:t xml:space="preserve"> </w:t>
      </w:r>
    </w:p>
    <w:p w14:paraId="62BB7161" w14:textId="77777777" w:rsidR="00794505" w:rsidRPr="00013BDC" w:rsidRDefault="00794505" w:rsidP="00794505">
      <w:pPr>
        <w:spacing w:after="0"/>
        <w:textAlignment w:val="baseline"/>
        <w:rPr>
          <w:rFonts w:eastAsia="Times New Roman"/>
          <w:noProof/>
          <w:color w:val="000000"/>
          <w:lang w:val="en-IE" w:eastAsia="en-IE"/>
        </w:rPr>
      </w:pPr>
      <w:r w:rsidRPr="00013BDC">
        <w:rPr>
          <w:noProof/>
          <w:color w:val="2B579A"/>
          <w:shd w:val="clear" w:color="auto" w:fill="E6E6E6"/>
          <w:lang w:eastAsia="en-GB"/>
        </w:rPr>
        <w:drawing>
          <wp:inline distT="0" distB="0" distL="0" distR="0" wp14:anchorId="39F0E405" wp14:editId="40FCE955">
            <wp:extent cx="5713716" cy="3256512"/>
            <wp:effectExtent l="0" t="0" r="0" b="1270"/>
            <wp:docPr id="1200524305" name="Picture 12005243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524305"/>
                    <pic:cNvPicPr/>
                  </pic:nvPicPr>
                  <pic:blipFill>
                    <a:blip r:embed="rId138">
                      <a:extLst>
                        <a:ext uri="{28A0092B-C50C-407E-A947-70E740481C1C}">
                          <a14:useLocalDpi xmlns:a14="http://schemas.microsoft.com/office/drawing/2010/main" val="0"/>
                        </a:ext>
                      </a:extLst>
                    </a:blip>
                    <a:stretch>
                      <a:fillRect/>
                    </a:stretch>
                  </pic:blipFill>
                  <pic:spPr>
                    <a:xfrm>
                      <a:off x="0" y="0"/>
                      <a:ext cx="5713716" cy="3256512"/>
                    </a:xfrm>
                    <a:prstGeom prst="rect">
                      <a:avLst/>
                    </a:prstGeom>
                  </pic:spPr>
                </pic:pic>
              </a:graphicData>
            </a:graphic>
          </wp:inline>
        </w:drawing>
      </w:r>
    </w:p>
    <w:p w14:paraId="7BA41C93" w14:textId="44FF2570" w:rsidR="00794505" w:rsidRPr="00013BDC" w:rsidRDefault="00CD67A5" w:rsidP="00CD67A5">
      <w:pPr>
        <w:spacing w:after="120"/>
        <w:textAlignment w:val="baseline"/>
        <w:rPr>
          <w:rFonts w:eastAsia="Times New Roman"/>
          <w:noProof/>
          <w:color w:val="000000"/>
          <w:lang w:val="en-IE" w:eastAsia="en-IE"/>
        </w:rPr>
      </w:pPr>
      <w:bookmarkStart w:id="719" w:name="_Toc133229303"/>
      <w:bookmarkStart w:id="720" w:name="_Toc139033029"/>
      <w:r w:rsidRPr="00013BDC">
        <w:rPr>
          <w:rFonts w:eastAsia="Times New Roman"/>
          <w:i/>
          <w:noProof/>
          <w:lang w:val="en-IE"/>
        </w:rPr>
        <w:t xml:space="preserve">Figure </w:t>
      </w:r>
      <w:r w:rsidR="004C5576">
        <w:rPr>
          <w:rFonts w:eastAsia="Times New Roman"/>
          <w:i/>
          <w:iCs/>
          <w:noProof/>
        </w:rPr>
        <w:t>32</w:t>
      </w:r>
      <w:r w:rsidRPr="00013BDC">
        <w:rPr>
          <w:rFonts w:eastAsia="Times New Roman"/>
          <w:i/>
          <w:noProof/>
          <w:lang w:val="en-IE"/>
        </w:rPr>
        <w:t xml:space="preserve"> –</w:t>
      </w:r>
      <w:r w:rsidRPr="00013BDC">
        <w:rPr>
          <w:noProof/>
          <w:lang w:val="en-IE"/>
        </w:rPr>
        <w:t xml:space="preserve"> </w:t>
      </w:r>
      <w:r w:rsidRPr="00013BDC">
        <w:rPr>
          <w:i/>
          <w:noProof/>
          <w:lang w:val="en-IE"/>
        </w:rPr>
        <w:t xml:space="preserve">Generation </w:t>
      </w:r>
      <w:r w:rsidRPr="00013BDC">
        <w:rPr>
          <w:rFonts w:eastAsia="Times New Roman"/>
          <w:i/>
          <w:iCs/>
          <w:noProof/>
          <w:color w:val="000000"/>
          <w:lang w:val="en-IE" w:eastAsia="en-IE"/>
        </w:rPr>
        <w:t>of selected streams of waste (expected to including food waste) from services sector, in M tonnes.</w:t>
      </w:r>
      <w:bookmarkEnd w:id="719"/>
      <w:bookmarkEnd w:id="720"/>
      <w:r w:rsidRPr="00013BDC">
        <w:rPr>
          <w:rFonts w:eastAsia="Times New Roman"/>
          <w:noProof/>
          <w:color w:val="000000"/>
          <w:lang w:val="en-IE" w:eastAsia="en-IE"/>
        </w:rPr>
        <w:t> </w:t>
      </w:r>
    </w:p>
    <w:p w14:paraId="61E935B3" w14:textId="77777777" w:rsidR="00794505" w:rsidRPr="00013BDC" w:rsidRDefault="00794505" w:rsidP="00794505">
      <w:pPr>
        <w:spacing w:after="0"/>
        <w:textAlignment w:val="baseline"/>
        <w:rPr>
          <w:rFonts w:eastAsia="Times New Roman"/>
          <w:noProof/>
          <w:color w:val="000000"/>
          <w:lang w:val="en-IE" w:eastAsia="en-IE"/>
        </w:rPr>
      </w:pPr>
      <w:r w:rsidRPr="00013BDC">
        <w:rPr>
          <w:rFonts w:eastAsia="Times New Roman"/>
          <w:noProof/>
          <w:color w:val="000000"/>
          <w:shd w:val="clear" w:color="auto" w:fill="E6E6E6"/>
          <w:lang w:eastAsia="en-GB"/>
        </w:rPr>
        <w:drawing>
          <wp:inline distT="0" distB="0" distL="0" distR="0" wp14:anchorId="63F09279" wp14:editId="1F300E6A">
            <wp:extent cx="5731510" cy="3820795"/>
            <wp:effectExtent l="0" t="0" r="2540" b="8255"/>
            <wp:docPr id="1200524307" name="Picture 120052430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ABE0F6F" w14:textId="77777777" w:rsidR="00794505" w:rsidRPr="00013BDC" w:rsidRDefault="00794505" w:rsidP="00794505">
      <w:pPr>
        <w:spacing w:after="0"/>
        <w:textAlignment w:val="baseline"/>
        <w:rPr>
          <w:rFonts w:eastAsia="Times New Roman"/>
          <w:noProof/>
          <w:color w:val="000000"/>
          <w:lang w:val="en-IE" w:eastAsia="en-IE"/>
        </w:rPr>
      </w:pPr>
    </w:p>
    <w:p w14:paraId="55699364" w14:textId="64F47A01" w:rsidR="00CD67A5" w:rsidRPr="00013BDC" w:rsidRDefault="00CD67A5" w:rsidP="00CD67A5">
      <w:pPr>
        <w:pStyle w:val="Text1"/>
        <w:ind w:left="0"/>
        <w:rPr>
          <w:noProof/>
          <w:lang w:val="en-IE"/>
        </w:rPr>
      </w:pPr>
      <w:r w:rsidRPr="00013BDC">
        <w:rPr>
          <w:noProof/>
          <w:lang w:val="en-IE"/>
        </w:rPr>
        <w:t>Finally</w:t>
      </w:r>
      <w:r w:rsidR="008E0FE9" w:rsidRPr="00013BDC">
        <w:rPr>
          <w:noProof/>
          <w:lang w:val="en-IE"/>
        </w:rPr>
        <w:t>,</w:t>
      </w:r>
      <w:r w:rsidRPr="00013BDC">
        <w:rPr>
          <w:noProof/>
          <w:lang w:val="en-IE"/>
        </w:rPr>
        <w:t xml:space="preserve"> data on municipal waste (which include a large fraction of food waste) show </w:t>
      </w:r>
      <w:r w:rsidR="04FB92F5" w:rsidRPr="00013BDC">
        <w:rPr>
          <w:noProof/>
          <w:lang w:val="en-IE"/>
        </w:rPr>
        <w:t>stable trend.</w:t>
      </w:r>
      <w:r w:rsidR="009F070B" w:rsidRPr="00013BDC">
        <w:rPr>
          <w:noProof/>
          <w:lang w:val="en-IE"/>
        </w:rPr>
        <w:t xml:space="preserve"> </w:t>
      </w:r>
    </w:p>
    <w:p w14:paraId="7D912444" w14:textId="7DC4742C" w:rsidR="00CD67A5" w:rsidRPr="00013BDC" w:rsidRDefault="00CC7CDB" w:rsidP="00C41AB9">
      <w:pPr>
        <w:pStyle w:val="Caption"/>
        <w:rPr>
          <w:i w:val="0"/>
          <w:noProof/>
          <w:color w:val="auto"/>
          <w:sz w:val="24"/>
          <w:szCs w:val="24"/>
          <w:lang w:val="en-IE"/>
        </w:rPr>
      </w:pPr>
      <w:bookmarkStart w:id="721" w:name="_Toc133229304"/>
      <w:bookmarkStart w:id="722" w:name="_Toc139033030"/>
      <w:r w:rsidRPr="00013BDC">
        <w:rPr>
          <w:rFonts w:eastAsia="Times New Roman"/>
          <w:noProof/>
          <w:color w:val="auto"/>
          <w:sz w:val="24"/>
          <w:szCs w:val="24"/>
          <w:lang w:val="en-IE"/>
        </w:rPr>
        <w:t xml:space="preserve">Figure </w:t>
      </w:r>
      <w:r w:rsidR="004C5576">
        <w:rPr>
          <w:rFonts w:eastAsia="Times New Roman"/>
          <w:noProof/>
          <w:color w:val="auto"/>
          <w:sz w:val="24"/>
          <w:szCs w:val="24"/>
        </w:rPr>
        <w:t>33</w:t>
      </w:r>
      <w:r w:rsidRPr="00013BDC">
        <w:rPr>
          <w:rFonts w:eastAsia="Times New Roman"/>
          <w:noProof/>
          <w:color w:val="auto"/>
          <w:sz w:val="24"/>
          <w:szCs w:val="24"/>
          <w:lang w:val="en-IE"/>
        </w:rPr>
        <w:t xml:space="preserve"> –</w:t>
      </w:r>
      <w:r w:rsidR="00CD67A5" w:rsidRPr="00013BDC">
        <w:rPr>
          <w:noProof/>
          <w:color w:val="auto"/>
          <w:sz w:val="24"/>
          <w:szCs w:val="24"/>
          <w:lang w:val="en-IE"/>
        </w:rPr>
        <w:t xml:space="preserve"> Generation of municipal waste in per capita (kg per capita, 2012-2020)</w:t>
      </w:r>
      <w:bookmarkEnd w:id="721"/>
      <w:bookmarkEnd w:id="722"/>
    </w:p>
    <w:p w14:paraId="78F32329" w14:textId="028CC758" w:rsidR="00117678" w:rsidRPr="00013BDC" w:rsidRDefault="00BA121B" w:rsidP="001B1E6E">
      <w:pPr>
        <w:rPr>
          <w:noProof/>
          <w:lang w:val="en-IE"/>
        </w:rPr>
      </w:pPr>
      <w:r w:rsidRPr="00013BDC">
        <w:rPr>
          <w:noProof/>
          <w:color w:val="2B579A"/>
          <w:shd w:val="clear" w:color="auto" w:fill="E6E6E6"/>
          <w:lang w:eastAsia="en-GB"/>
        </w:rPr>
        <w:drawing>
          <wp:inline distT="0" distB="0" distL="0" distR="0" wp14:anchorId="760D2A5F" wp14:editId="046ADA9D">
            <wp:extent cx="5660387" cy="2105025"/>
            <wp:effectExtent l="0" t="0" r="0" b="0"/>
            <wp:docPr id="673217442" name="Picture 67321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217442"/>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660387" cy="2105025"/>
                    </a:xfrm>
                    <a:prstGeom prst="rect">
                      <a:avLst/>
                    </a:prstGeom>
                  </pic:spPr>
                </pic:pic>
              </a:graphicData>
            </a:graphic>
          </wp:inline>
        </w:drawing>
      </w:r>
    </w:p>
    <w:p w14:paraId="3F773173" w14:textId="2298CBC4" w:rsidR="00096212" w:rsidRPr="00013BDC" w:rsidRDefault="4AAC8F26" w:rsidP="001B1E6E">
      <w:pPr>
        <w:rPr>
          <w:noProof/>
          <w:lang w:val="en-IE"/>
        </w:rPr>
      </w:pPr>
      <w:r w:rsidRPr="00013BDC">
        <w:rPr>
          <w:noProof/>
          <w:lang w:val="en-IE"/>
        </w:rPr>
        <w:br w:type="page"/>
      </w:r>
    </w:p>
    <w:p w14:paraId="7D26F933" w14:textId="49730D7C" w:rsidR="003B793C" w:rsidRPr="00013BDC" w:rsidRDefault="003B793C" w:rsidP="3A2B7660">
      <w:pPr>
        <w:spacing w:after="200"/>
        <w:rPr>
          <w:noProof/>
          <w:lang w:val="en-IE"/>
        </w:rPr>
      </w:pPr>
    </w:p>
    <w:p w14:paraId="1E9D267C" w14:textId="22B68473" w:rsidR="00EA7D2F" w:rsidRPr="00013BDC" w:rsidRDefault="00FB3D28" w:rsidP="00737FFB">
      <w:pPr>
        <w:pStyle w:val="AnnexTitle"/>
        <w:rPr>
          <w:noProof/>
          <w:lang w:val="en-IE"/>
        </w:rPr>
      </w:pPr>
      <w:bookmarkStart w:id="723" w:name="_Toc120782636"/>
      <w:bookmarkStart w:id="724" w:name="_Toc124777340"/>
      <w:bookmarkStart w:id="725" w:name="_Toc127379869"/>
      <w:bookmarkStart w:id="726" w:name="_Toc132761294"/>
      <w:bookmarkStart w:id="727" w:name="_Toc550652934"/>
      <w:bookmarkStart w:id="728" w:name="_Toc1693107009"/>
      <w:bookmarkStart w:id="729" w:name="_Toc266268210"/>
      <w:bookmarkStart w:id="730" w:name="_Toc1696627762"/>
      <w:bookmarkStart w:id="731" w:name="_Toc1799937403"/>
      <w:bookmarkStart w:id="732" w:name="_Toc404551648"/>
      <w:bookmarkStart w:id="733" w:name="_Toc381749483"/>
      <w:bookmarkStart w:id="734" w:name="_Toc139032995"/>
      <w:bookmarkEnd w:id="339"/>
      <w:bookmarkEnd w:id="340"/>
      <w:r w:rsidRPr="00013BDC">
        <w:rPr>
          <w:noProof/>
          <w:lang w:val="en-IE"/>
        </w:rPr>
        <w:t>Bibliography</w:t>
      </w:r>
      <w:bookmarkEnd w:id="723"/>
      <w:bookmarkEnd w:id="724"/>
      <w:r w:rsidRPr="00013BDC">
        <w:rPr>
          <w:noProof/>
          <w:lang w:val="en-IE"/>
        </w:rPr>
        <w:t xml:space="preserve"> for textiles waste</w:t>
      </w:r>
      <w:bookmarkEnd w:id="725"/>
      <w:bookmarkEnd w:id="726"/>
      <w:bookmarkEnd w:id="727"/>
      <w:bookmarkEnd w:id="728"/>
      <w:bookmarkEnd w:id="729"/>
      <w:bookmarkEnd w:id="730"/>
      <w:bookmarkEnd w:id="731"/>
      <w:bookmarkEnd w:id="732"/>
      <w:bookmarkEnd w:id="733"/>
      <w:bookmarkEnd w:id="734"/>
    </w:p>
    <w:p w14:paraId="060F73F9" w14:textId="1D9CACC8" w:rsidR="00FB3D28" w:rsidRPr="00013BDC" w:rsidRDefault="00FB3D28" w:rsidP="00FB3D28">
      <w:pPr>
        <w:spacing w:after="120"/>
        <w:rPr>
          <w:noProof/>
          <w:color w:val="333333"/>
          <w:lang w:val="en-IE"/>
        </w:rPr>
      </w:pPr>
      <w:r w:rsidRPr="00013BDC">
        <w:rPr>
          <w:noProof/>
          <w:color w:val="333333"/>
          <w:lang w:val="en-IE"/>
        </w:rPr>
        <w:t xml:space="preserve">Alcin-Enis I., Kucukali-Ozturk M., Sezgin H., “Risks and Management of Textile Waste”. In: Gothandam K., Ranjan S., Dasgupta N., Lichtfouse E. (eds) </w:t>
      </w:r>
      <w:r w:rsidRPr="00013BDC">
        <w:rPr>
          <w:i/>
          <w:noProof/>
          <w:color w:val="333333"/>
          <w:lang w:val="en-IE"/>
        </w:rPr>
        <w:t>Nanoscience and Biotechnology for Environmental Applications. Environmental Chemistry for a Sustainable World</w:t>
      </w:r>
      <w:r w:rsidRPr="00013BDC">
        <w:rPr>
          <w:noProof/>
          <w:color w:val="333333"/>
          <w:lang w:val="en-IE"/>
        </w:rPr>
        <w:t>, vol 22. Springer, Cham., 2019, https://doi.org/10.1007/978-3-319-97922-9_2.</w:t>
      </w:r>
    </w:p>
    <w:p w14:paraId="19E0D8DF" w14:textId="77777777" w:rsidR="00FB3D28" w:rsidRPr="00013BDC" w:rsidRDefault="00FB3D28" w:rsidP="00FB3D28">
      <w:pPr>
        <w:spacing w:after="120"/>
        <w:rPr>
          <w:rFonts w:eastAsia="Times New Roman"/>
          <w:noProof/>
          <w:lang w:val="en-IE"/>
        </w:rPr>
      </w:pPr>
      <w:r w:rsidRPr="00013BDC">
        <w:rPr>
          <w:noProof/>
          <w:color w:val="333333"/>
          <w:lang w:val="en-IE"/>
        </w:rPr>
        <w:t xml:space="preserve">Atkar, A., Pabba, M., Sekhar, S.C., Sridhar, S., </w:t>
      </w:r>
      <w:r w:rsidRPr="00013BDC">
        <w:rPr>
          <w:i/>
          <w:noProof/>
          <w:color w:val="333333"/>
          <w:lang w:val="en-IE"/>
        </w:rPr>
        <w:t>Current limitations and challenges in the global textile sector,</w:t>
      </w:r>
      <w:r w:rsidRPr="00013BDC">
        <w:rPr>
          <w:noProof/>
          <w:color w:val="333333"/>
          <w:lang w:val="en-IE"/>
        </w:rPr>
        <w:t xml:space="preserve"> Fundam Nat Fibres Text, 2021, pp. 741-764.</w:t>
      </w:r>
    </w:p>
    <w:p w14:paraId="61ECAC71" w14:textId="40F73A5D" w:rsidR="00FB3D28" w:rsidRPr="00013BDC" w:rsidRDefault="00FB3D28" w:rsidP="00FB3D28">
      <w:pPr>
        <w:spacing w:after="120"/>
        <w:rPr>
          <w:noProof/>
          <w:lang w:val="en-IE"/>
        </w:rPr>
      </w:pPr>
      <w:r w:rsidRPr="00013BDC">
        <w:rPr>
          <w:noProof/>
          <w:lang w:val="en-IE"/>
        </w:rPr>
        <w:t xml:space="preserve">Bel J.-B. and ACR+ D4.5. </w:t>
      </w:r>
      <w:r w:rsidRPr="00013BDC">
        <w:rPr>
          <w:i/>
          <w:noProof/>
          <w:lang w:val="en-IE"/>
        </w:rPr>
        <w:t>Guidelines for successful implementation. Guidelines for improving local waste collection systems</w:t>
      </w:r>
      <w:r w:rsidRPr="00013BDC">
        <w:rPr>
          <w:noProof/>
          <w:lang w:val="en-IE"/>
        </w:rPr>
        <w:t xml:space="preserve">, 2020, </w:t>
      </w:r>
      <w:hyperlink r:id="rId141" w:history="1">
        <w:r w:rsidRPr="00013BDC">
          <w:rPr>
            <w:noProof/>
            <w:color w:val="0000FF" w:themeColor="hyperlink"/>
            <w:u w:val="single"/>
            <w:lang w:val="en-IE"/>
          </w:rPr>
          <w:t>https://www.collectors2020.eu/wp-content/uploads/2020/12/COLLECTORS_D4.5Guidelines-final.pdf</w:t>
        </w:r>
      </w:hyperlink>
      <w:r w:rsidRPr="00013BDC">
        <w:rPr>
          <w:noProof/>
          <w:lang w:val="en-IE"/>
        </w:rPr>
        <w:t>.</w:t>
      </w:r>
    </w:p>
    <w:p w14:paraId="7E510311" w14:textId="4E14CA8C" w:rsidR="00EA7D2F" w:rsidRPr="00013BDC" w:rsidRDefault="00FB3D28" w:rsidP="00EA7D2F">
      <w:pPr>
        <w:spacing w:after="120"/>
        <w:rPr>
          <w:noProof/>
          <w:color w:val="333333"/>
          <w:lang w:val="en-IE"/>
        </w:rPr>
      </w:pPr>
      <w:r w:rsidRPr="00013BDC">
        <w:rPr>
          <w:noProof/>
          <w:lang w:val="en-IE"/>
        </w:rPr>
        <w:t xml:space="preserve">Bel, J.-B., ACR+ &amp; Flanagan, B., Eurocities </w:t>
      </w:r>
      <w:r w:rsidRPr="00013BDC">
        <w:rPr>
          <w:i/>
          <w:noProof/>
          <w:lang w:val="en-IE"/>
        </w:rPr>
        <w:t>D4.6. Policy recommendations &amp; development needs related to the waste framework conditions. Policy recommendations</w:t>
      </w:r>
      <w:r w:rsidRPr="00013BDC">
        <w:rPr>
          <w:noProof/>
          <w:lang w:val="en-IE"/>
        </w:rPr>
        <w:t xml:space="preserve">, 2020, </w:t>
      </w:r>
      <w:hyperlink r:id="rId142" w:history="1">
        <w:r w:rsidRPr="00013BDC">
          <w:rPr>
            <w:noProof/>
            <w:color w:val="0000FF" w:themeColor="hyperlink"/>
            <w:u w:val="single"/>
            <w:lang w:val="en-IE"/>
          </w:rPr>
          <w:t>https://www.collectors2020.eu/wp-content/uploads/2020/12/COLLECTORS-D4.6_Policy-recommendations-final.pdf</w:t>
        </w:r>
      </w:hyperlink>
      <w:r w:rsidRPr="00013BDC">
        <w:rPr>
          <w:noProof/>
          <w:lang w:val="en-IE"/>
        </w:rPr>
        <w:t>.</w:t>
      </w:r>
      <w:r w:rsidR="00EA7D2F" w:rsidRPr="00013BDC">
        <w:rPr>
          <w:noProof/>
          <w:color w:val="333333"/>
          <w:lang w:val="en-IE"/>
        </w:rPr>
        <w:t xml:space="preserve"> </w:t>
      </w:r>
    </w:p>
    <w:p w14:paraId="4FA04530" w14:textId="564E369D" w:rsidR="00FB3D28" w:rsidRPr="00013BDC" w:rsidRDefault="00EA7D2F" w:rsidP="00FB3D28">
      <w:pPr>
        <w:spacing w:after="120"/>
        <w:rPr>
          <w:noProof/>
          <w:color w:val="333333"/>
          <w:lang w:val="en-IE"/>
        </w:rPr>
      </w:pPr>
      <w:r w:rsidRPr="00013BDC">
        <w:rPr>
          <w:noProof/>
          <w:color w:val="333333"/>
          <w:lang w:val="en-IE"/>
        </w:rPr>
        <w:t xml:space="preserve">CESME, “3.1.5 HUMANITA textile recycling”, </w:t>
      </w:r>
      <w:r w:rsidRPr="00013BDC">
        <w:rPr>
          <w:i/>
          <w:noProof/>
          <w:color w:val="333333"/>
          <w:lang w:val="en-IE"/>
        </w:rPr>
        <w:t>The CESME White Book</w:t>
      </w:r>
      <w:r w:rsidRPr="00013BDC">
        <w:rPr>
          <w:noProof/>
          <w:color w:val="333333"/>
          <w:lang w:val="en-IE"/>
        </w:rPr>
        <w:t xml:space="preserve">, </w:t>
      </w:r>
      <w:hyperlink r:id="rId143" w:history="1">
        <w:r w:rsidR="00A36800" w:rsidRPr="00013BDC">
          <w:rPr>
            <w:rStyle w:val="Hyperlink"/>
            <w:noProof/>
            <w:lang w:val="en-IE"/>
          </w:rPr>
          <w:t>https://www.cesme-book.eu/book/level-1-d/3.1-best-practices/3.1.2-humanita-textile-recycling</w:t>
        </w:r>
      </w:hyperlink>
      <w:r w:rsidRPr="00013BDC">
        <w:rPr>
          <w:noProof/>
          <w:color w:val="333333"/>
          <w:lang w:val="en-IE"/>
        </w:rPr>
        <w:t>.</w:t>
      </w:r>
    </w:p>
    <w:p w14:paraId="0A991C18" w14:textId="486E020E" w:rsidR="00366E47" w:rsidRPr="00013BDC" w:rsidRDefault="00366E47" w:rsidP="00FB3D28">
      <w:pPr>
        <w:spacing w:after="120"/>
        <w:rPr>
          <w:noProof/>
          <w:lang w:val="en-IE"/>
        </w:rPr>
      </w:pPr>
      <w:r w:rsidRPr="00013BDC">
        <w:rPr>
          <w:noProof/>
          <w:lang w:val="en-IE"/>
        </w:rPr>
        <w:t xml:space="preserve">Changing Markets Foundation, </w:t>
      </w:r>
      <w:r w:rsidRPr="00013BDC">
        <w:rPr>
          <w:i/>
          <w:noProof/>
          <w:lang w:val="en-IE"/>
        </w:rPr>
        <w:t>Trashion: The stealth export of waste plastic clothes to Kenya,</w:t>
      </w:r>
      <w:r w:rsidRPr="00013BDC">
        <w:rPr>
          <w:noProof/>
          <w:lang w:val="en-IE"/>
        </w:rPr>
        <w:t xml:space="preserve"> 2023. (due for publication Feb 2023, http://changingmarkets.org/wp-content/uploads/2023/02/Trashion-Report-Web-Final.pdf.</w:t>
      </w:r>
    </w:p>
    <w:p w14:paraId="499F2EEB" w14:textId="17469A46" w:rsidR="00A36800" w:rsidRPr="00013BDC" w:rsidRDefault="00A36800" w:rsidP="00FB3D28">
      <w:pPr>
        <w:spacing w:after="120"/>
        <w:rPr>
          <w:noProof/>
          <w:color w:val="333333"/>
          <w:lang w:val="en-IE"/>
        </w:rPr>
      </w:pPr>
      <w:r w:rsidRPr="00013BDC">
        <w:rPr>
          <w:noProof/>
          <w:color w:val="333333"/>
          <w:lang w:val="en-IE"/>
        </w:rPr>
        <w:t xml:space="preserve">COWI, Eunomia, </w:t>
      </w:r>
      <w:r w:rsidRPr="00013BDC">
        <w:rPr>
          <w:i/>
          <w:noProof/>
          <w:color w:val="333333"/>
          <w:lang w:val="en-IE"/>
        </w:rPr>
        <w:t>Study on investment needs in the waste sector and on the financing of municipal waste management in Member States</w:t>
      </w:r>
      <w:r w:rsidRPr="00013BDC">
        <w:rPr>
          <w:noProof/>
          <w:color w:val="333333"/>
          <w:lang w:val="en-IE"/>
        </w:rPr>
        <w:t>, 2019</w:t>
      </w:r>
    </w:p>
    <w:p w14:paraId="528B2FFB" w14:textId="77777777" w:rsidR="00FB3D28" w:rsidRPr="00013BDC" w:rsidRDefault="00FB3D28" w:rsidP="00FB3D28">
      <w:pPr>
        <w:spacing w:after="120"/>
        <w:rPr>
          <w:noProof/>
          <w:lang w:val="en-IE"/>
        </w:rPr>
      </w:pPr>
      <w:r w:rsidRPr="00013BDC">
        <w:rPr>
          <w:noProof/>
          <w:lang w:val="en-IE"/>
        </w:rPr>
        <w:t xml:space="preserve">Cura Kirsti Rintala, N., Kamppuri, T., Saarimäki, E., and Heikkilä, P., </w:t>
      </w:r>
      <w:r w:rsidRPr="00013BDC">
        <w:rPr>
          <w:i/>
          <w:noProof/>
          <w:lang w:val="en-IE"/>
        </w:rPr>
        <w:t>“Textile Recognition and Sorting for Recycling at an Automated Line Using Near Infrared Spectroscopy”</w:t>
      </w:r>
      <w:r w:rsidRPr="00013BDC">
        <w:rPr>
          <w:noProof/>
          <w:lang w:val="en-IE"/>
        </w:rPr>
        <w:t>, 2021.</w:t>
      </w:r>
    </w:p>
    <w:p w14:paraId="40BC9F74" w14:textId="77777777" w:rsidR="00FB3D28" w:rsidRPr="00013BDC" w:rsidRDefault="00FB3D28" w:rsidP="00FB3D28">
      <w:pPr>
        <w:spacing w:after="120"/>
        <w:rPr>
          <w:noProof/>
          <w:lang w:val="en-IE"/>
        </w:rPr>
      </w:pPr>
      <w:r w:rsidRPr="00013BDC">
        <w:rPr>
          <w:noProof/>
          <w:lang w:val="en-IE"/>
        </w:rPr>
        <w:t xml:space="preserve">ECAP, </w:t>
      </w:r>
      <w:r w:rsidRPr="00013BDC">
        <w:rPr>
          <w:i/>
          <w:iCs/>
          <w:noProof/>
          <w:lang w:val="en-IE"/>
        </w:rPr>
        <w:t xml:space="preserve">Used textile collection in European cities, </w:t>
      </w:r>
      <w:r w:rsidRPr="00013BDC">
        <w:rPr>
          <w:noProof/>
          <w:lang w:val="en-IE"/>
        </w:rPr>
        <w:t xml:space="preserve">2018, </w:t>
      </w:r>
      <w:hyperlink r:id="rId144" w:history="1">
        <w:r w:rsidRPr="00013BDC">
          <w:rPr>
            <w:noProof/>
            <w:color w:val="0000FF" w:themeColor="hyperlink"/>
            <w:u w:val="single"/>
            <w:lang w:val="en-IE"/>
          </w:rPr>
          <w:t>http://www.ecap.eu.com/wp-content/uploads/2018/07/ECAP-Textile-collection-in-European-cities_full-report_with-summary.pdf</w:t>
        </w:r>
      </w:hyperlink>
      <w:r w:rsidRPr="00013BDC">
        <w:rPr>
          <w:noProof/>
          <w:lang w:val="en-IE"/>
        </w:rPr>
        <w:t xml:space="preserve">. </w:t>
      </w:r>
    </w:p>
    <w:p w14:paraId="5083A759" w14:textId="77777777" w:rsidR="00D00FD7" w:rsidRPr="00013BDC" w:rsidRDefault="00FB3D28" w:rsidP="00D00FD7">
      <w:pPr>
        <w:spacing w:after="120"/>
        <w:rPr>
          <w:noProof/>
          <w:lang w:val="en-IE"/>
        </w:rPr>
      </w:pPr>
      <w:r w:rsidRPr="00013BDC">
        <w:rPr>
          <w:noProof/>
          <w:lang w:val="en-IE"/>
        </w:rPr>
        <w:t xml:space="preserve">ECAP, </w:t>
      </w:r>
      <w:r w:rsidRPr="00013BDC">
        <w:rPr>
          <w:i/>
          <w:iCs/>
          <w:noProof/>
          <w:lang w:val="en-IE"/>
        </w:rPr>
        <w:t>ECAP and used textiles,</w:t>
      </w:r>
      <w:r w:rsidRPr="00013BDC">
        <w:rPr>
          <w:noProof/>
          <w:lang w:val="en-IE"/>
        </w:rPr>
        <w:t xml:space="preserve"> 2019</w:t>
      </w:r>
      <w:r w:rsidR="00D00FD7" w:rsidRPr="00013BDC">
        <w:rPr>
          <w:noProof/>
          <w:lang w:val="en-IE"/>
        </w:rPr>
        <w:t>,</w:t>
      </w:r>
      <w:r w:rsidRPr="00013BDC">
        <w:rPr>
          <w:noProof/>
          <w:lang w:val="en-IE"/>
        </w:rPr>
        <w:t xml:space="preserve"> </w:t>
      </w:r>
      <w:hyperlink r:id="rId145" w:history="1">
        <w:r w:rsidRPr="00013BDC">
          <w:rPr>
            <w:noProof/>
            <w:color w:val="0000FF" w:themeColor="hyperlink"/>
            <w:u w:val="single"/>
            <w:lang w:val="en-IE"/>
          </w:rPr>
          <w:t>http://www.ecap.eu.com/wp-content/uploads/2019/07/Guidance-for-Textiles-Collections.pdf</w:t>
        </w:r>
      </w:hyperlink>
      <w:r w:rsidRPr="00013BDC">
        <w:rPr>
          <w:noProof/>
          <w:lang w:val="en-IE"/>
        </w:rPr>
        <w:t>.</w:t>
      </w:r>
      <w:r w:rsidR="00D00FD7" w:rsidRPr="00013BDC">
        <w:rPr>
          <w:noProof/>
          <w:lang w:val="en-IE"/>
        </w:rPr>
        <w:t xml:space="preserve"> </w:t>
      </w:r>
    </w:p>
    <w:p w14:paraId="4531A91A" w14:textId="4DBC6BE2" w:rsidR="00D00FD7" w:rsidRPr="00013BDC" w:rsidRDefault="00D00FD7" w:rsidP="00D00FD7">
      <w:pPr>
        <w:spacing w:after="120"/>
        <w:rPr>
          <w:noProof/>
          <w:lang w:val="en-IE"/>
        </w:rPr>
      </w:pPr>
      <w:r w:rsidRPr="00013BDC">
        <w:rPr>
          <w:noProof/>
          <w:lang w:val="en-IE"/>
        </w:rPr>
        <w:t xml:space="preserve">Elander, M., </w:t>
      </w:r>
      <w:r w:rsidRPr="00013BDC">
        <w:rPr>
          <w:i/>
          <w:noProof/>
          <w:lang w:val="en-IE"/>
        </w:rPr>
        <w:t xml:space="preserve">Automated feeding equipment for textile waste: experiences from the FITS-project, </w:t>
      </w:r>
      <w:r w:rsidRPr="00013BDC">
        <w:rPr>
          <w:noProof/>
          <w:lang w:val="en-IE"/>
        </w:rPr>
        <w:t>Mistra Future Fashion, 2019.</w:t>
      </w:r>
    </w:p>
    <w:p w14:paraId="1D3113CD" w14:textId="77777777" w:rsidR="00D00FD7" w:rsidRPr="00013BDC" w:rsidRDefault="00D00FD7" w:rsidP="00D00FD7">
      <w:pPr>
        <w:spacing w:after="120"/>
        <w:rPr>
          <w:noProof/>
          <w:lang w:val="en-IE"/>
        </w:rPr>
      </w:pPr>
      <w:r w:rsidRPr="00013BDC">
        <w:rPr>
          <w:rFonts w:eastAsia="Times New Roman"/>
          <w:noProof/>
          <w:color w:val="000000" w:themeColor="text1"/>
          <w:lang w:val="en-IE"/>
        </w:rPr>
        <w:t xml:space="preserve">Ellen Mac Arthur Foundation, </w:t>
      </w:r>
      <w:r w:rsidRPr="00013BDC">
        <w:rPr>
          <w:rFonts w:eastAsia="Times New Roman"/>
          <w:i/>
          <w:noProof/>
          <w:color w:val="000000" w:themeColor="text1"/>
          <w:lang w:val="en-IE"/>
        </w:rPr>
        <w:t>A New Textiles Economy: Redesigning fashion’s future</w:t>
      </w:r>
      <w:r w:rsidRPr="00013BDC">
        <w:rPr>
          <w:rFonts w:eastAsia="Times New Roman"/>
          <w:noProof/>
          <w:color w:val="000000" w:themeColor="text1"/>
          <w:lang w:val="en-IE"/>
        </w:rPr>
        <w:t xml:space="preserve">, 2017, </w:t>
      </w:r>
      <w:hyperlink r:id="rId146">
        <w:r w:rsidRPr="00013BDC">
          <w:rPr>
            <w:rFonts w:eastAsia="Times New Roman"/>
            <w:noProof/>
            <w:color w:val="0000FF" w:themeColor="hyperlink"/>
            <w:u w:val="single"/>
            <w:lang w:val="en-IE"/>
          </w:rPr>
          <w:t>https://ellenmacarthurfoundation.org/a-new-textiles-economy.</w:t>
        </w:r>
      </w:hyperlink>
    </w:p>
    <w:p w14:paraId="7ED172A4" w14:textId="77777777" w:rsidR="00D00FD7" w:rsidRPr="00013BDC" w:rsidRDefault="00D00FD7" w:rsidP="00D00FD7">
      <w:pPr>
        <w:spacing w:after="120"/>
        <w:rPr>
          <w:noProof/>
          <w:lang w:val="en-IE"/>
        </w:rPr>
      </w:pPr>
      <w:r w:rsidRPr="00013BDC">
        <w:rPr>
          <w:noProof/>
          <w:lang w:val="en-IE"/>
        </w:rPr>
        <w:t xml:space="preserve">Ellen MacArthur Foundation and Boston Consulting Group, </w:t>
      </w:r>
      <w:hyperlink r:id="rId147" w:history="1">
        <w:r w:rsidRPr="00013BDC">
          <w:rPr>
            <w:i/>
            <w:noProof/>
            <w:color w:val="0000FF" w:themeColor="hyperlink"/>
            <w:u w:val="single"/>
            <w:lang w:val="en-IE"/>
          </w:rPr>
          <w:t>Circular business models – Redefining growth for a thriving fashion industry</w:t>
        </w:r>
      </w:hyperlink>
      <w:r w:rsidRPr="00013BDC">
        <w:rPr>
          <w:noProof/>
          <w:lang w:val="en-IE"/>
        </w:rPr>
        <w:t>, 2021.</w:t>
      </w:r>
    </w:p>
    <w:p w14:paraId="4427EF3F" w14:textId="77777777" w:rsidR="00D00FD7" w:rsidRPr="00013BDC" w:rsidRDefault="00D00FD7" w:rsidP="00D00FD7">
      <w:pPr>
        <w:spacing w:after="120"/>
        <w:rPr>
          <w:noProof/>
          <w:lang w:val="en-IE"/>
        </w:rPr>
      </w:pPr>
      <w:r w:rsidRPr="00013BDC">
        <w:rPr>
          <w:noProof/>
          <w:lang w:val="en-IE"/>
        </w:rPr>
        <w:t xml:space="preserve">EMF, </w:t>
      </w:r>
      <w:r w:rsidRPr="00013BDC">
        <w:rPr>
          <w:i/>
          <w:noProof/>
          <w:lang w:val="en-IE"/>
        </w:rPr>
        <w:t>A New Textiles Economy: Redesigning fashion’s future</w:t>
      </w:r>
      <w:r w:rsidRPr="00013BDC">
        <w:rPr>
          <w:noProof/>
          <w:lang w:val="en-IE"/>
        </w:rPr>
        <w:t xml:space="preserve">, 2017, </w:t>
      </w:r>
      <w:hyperlink r:id="rId148" w:history="1">
        <w:r w:rsidRPr="00013BDC">
          <w:rPr>
            <w:noProof/>
            <w:color w:val="0000FF" w:themeColor="hyperlink"/>
            <w:u w:val="single"/>
            <w:lang w:val="en-IE"/>
          </w:rPr>
          <w:t>https://ec.europa.eu/commission/presscorner/api/files/attachment/872168/Textiles%20Factsheet.pdf.pdf</w:t>
        </w:r>
      </w:hyperlink>
      <w:r w:rsidRPr="00013BDC">
        <w:rPr>
          <w:noProof/>
          <w:lang w:val="en-IE"/>
        </w:rPr>
        <w:t>.</w:t>
      </w:r>
    </w:p>
    <w:p w14:paraId="1F3DF4DE" w14:textId="5CA19326" w:rsidR="00FB3D28" w:rsidRPr="00013BDC" w:rsidRDefault="00D00FD7" w:rsidP="00FB3D28">
      <w:pPr>
        <w:spacing w:after="120"/>
        <w:rPr>
          <w:noProof/>
          <w:lang w:val="en-IE"/>
        </w:rPr>
      </w:pPr>
      <w:r w:rsidRPr="00013BDC">
        <w:rPr>
          <w:noProof/>
          <w:lang w:val="en-IE"/>
        </w:rPr>
        <w:t xml:space="preserve">ETP, </w:t>
      </w:r>
      <w:r w:rsidRPr="00013BDC">
        <w:rPr>
          <w:i/>
          <w:noProof/>
          <w:lang w:val="en-IE"/>
        </w:rPr>
        <w:t>Towards a 4th Industrial Revolution of Textiles and Clothing,</w:t>
      </w:r>
      <w:r w:rsidRPr="00013BDC">
        <w:rPr>
          <w:noProof/>
          <w:lang w:val="en-IE"/>
        </w:rPr>
        <w:t xml:space="preserve"> Brussels, 2016, 6.</w:t>
      </w:r>
    </w:p>
    <w:p w14:paraId="0A07806F" w14:textId="40817611" w:rsidR="00D00FD7" w:rsidRPr="00013BDC" w:rsidRDefault="00D00FD7" w:rsidP="00D00FD7">
      <w:pPr>
        <w:spacing w:after="120"/>
        <w:rPr>
          <w:rFonts w:eastAsia="Times New Roman"/>
          <w:noProof/>
          <w:lang w:val="en-IE"/>
        </w:rPr>
      </w:pPr>
      <w:r w:rsidRPr="00013BDC">
        <w:rPr>
          <w:rFonts w:eastAsia="Times New Roman"/>
          <w:noProof/>
          <w:color w:val="000000" w:themeColor="text1"/>
          <w:lang w:val="en-IE"/>
        </w:rPr>
        <w:t xml:space="preserve">EURATEX, </w:t>
      </w:r>
      <w:r w:rsidRPr="00013BDC">
        <w:rPr>
          <w:rFonts w:eastAsia="Times New Roman"/>
          <w:i/>
          <w:iCs/>
          <w:noProof/>
          <w:color w:val="000000" w:themeColor="text1"/>
          <w:lang w:val="en-IE"/>
        </w:rPr>
        <w:t>ReHubs: A joint initiative for industrial upcycling of textile waste streams &amp; circular materials,</w:t>
      </w:r>
      <w:r w:rsidR="00712630" w:rsidRPr="00013BDC">
        <w:rPr>
          <w:rFonts w:eastAsia="Times New Roman"/>
          <w:i/>
          <w:iCs/>
          <w:noProof/>
          <w:color w:val="000000" w:themeColor="text1"/>
          <w:lang w:val="en-IE"/>
        </w:rPr>
        <w:t xml:space="preserve"> </w:t>
      </w:r>
      <w:r w:rsidR="00712630" w:rsidRPr="00013BDC">
        <w:rPr>
          <w:rFonts w:eastAsia="Times New Roman"/>
          <w:noProof/>
          <w:color w:val="000000" w:themeColor="text1"/>
          <w:lang w:val="en-IE"/>
        </w:rPr>
        <w:t>2020.</w:t>
      </w:r>
      <w:r w:rsidRPr="00013BDC">
        <w:rPr>
          <w:rFonts w:eastAsia="Times New Roman"/>
          <w:i/>
          <w:iCs/>
          <w:noProof/>
          <w:color w:val="000000" w:themeColor="text1"/>
          <w:lang w:val="en-IE"/>
        </w:rPr>
        <w:t xml:space="preserve"> </w:t>
      </w:r>
      <w:hyperlink r:id="rId149">
        <w:r w:rsidRPr="00013BDC">
          <w:rPr>
            <w:rFonts w:eastAsia="Times New Roman"/>
            <w:noProof/>
            <w:color w:val="0000FF" w:themeColor="hyperlink"/>
            <w:u w:val="single"/>
            <w:lang w:val="en-IE"/>
          </w:rPr>
          <w:t>ReHubs - EURATEX.</w:t>
        </w:r>
      </w:hyperlink>
    </w:p>
    <w:p w14:paraId="50AC5D7F" w14:textId="11FA1A08" w:rsidR="000B1E6D" w:rsidRPr="00013BDC" w:rsidRDefault="000B1E6D" w:rsidP="00FB3D28">
      <w:pPr>
        <w:spacing w:after="120"/>
        <w:rPr>
          <w:noProof/>
          <w:lang w:val="en-IE"/>
        </w:rPr>
      </w:pPr>
      <w:r w:rsidRPr="00013BDC">
        <w:rPr>
          <w:noProof/>
          <w:lang w:val="en-IE"/>
        </w:rPr>
        <w:t>European Commission, Climate Action, 2030 Climate Target Plan, https://climate.ec.europa.eu/eu-action/european-green-deal/2030-climate-target-plan_en.</w:t>
      </w:r>
    </w:p>
    <w:p w14:paraId="26E7A651" w14:textId="2C4AE7D3" w:rsidR="00FB3D28" w:rsidRPr="00013BDC" w:rsidRDefault="00FB3D28" w:rsidP="00FB3D28">
      <w:pPr>
        <w:spacing w:after="120"/>
        <w:rPr>
          <w:noProof/>
          <w:lang w:val="en-IE"/>
        </w:rPr>
      </w:pPr>
      <w:r w:rsidRPr="00013BDC">
        <w:rPr>
          <w:noProof/>
          <w:lang w:val="en-IE"/>
        </w:rPr>
        <w:t xml:space="preserve">European Commission, Directorate-General for Environment, Stahl, H., Merz, C., </w:t>
      </w:r>
      <w:r w:rsidRPr="00013BDC">
        <w:rPr>
          <w:i/>
          <w:noProof/>
          <w:lang w:val="en-IE"/>
        </w:rPr>
        <w:t xml:space="preserve">Study to support the Commission in gathering structured information and defining of reporting obligations on waste </w:t>
      </w:r>
      <w:r w:rsidR="00634DBD" w:rsidRPr="00013BDC">
        <w:rPr>
          <w:i/>
          <w:noProof/>
          <w:lang w:val="en-IE"/>
        </w:rPr>
        <w:t>oils and other hazardous waste</w:t>
      </w:r>
      <w:r w:rsidRPr="00013BDC">
        <w:rPr>
          <w:i/>
          <w:noProof/>
          <w:lang w:val="en-IE"/>
        </w:rPr>
        <w:t>: final report,</w:t>
      </w:r>
      <w:r w:rsidRPr="00013BDC">
        <w:rPr>
          <w:noProof/>
          <w:lang w:val="en-IE"/>
        </w:rPr>
        <w:t xml:space="preserve"> Publications Office, 2020, </w:t>
      </w:r>
      <w:hyperlink r:id="rId150" w:history="1">
        <w:r w:rsidRPr="00013BDC">
          <w:rPr>
            <w:noProof/>
            <w:color w:val="0000FF" w:themeColor="hyperlink"/>
            <w:u w:val="single"/>
            <w:lang w:val="en-IE"/>
          </w:rPr>
          <w:t>https://data.europa.eu/doi/10.2779/14834</w:t>
        </w:r>
      </w:hyperlink>
      <w:r w:rsidRPr="00013BDC">
        <w:rPr>
          <w:noProof/>
          <w:lang w:val="en-IE"/>
        </w:rPr>
        <w:t xml:space="preserve"> </w:t>
      </w:r>
    </w:p>
    <w:p w14:paraId="1FE437B6" w14:textId="092852A2" w:rsidR="00FB3D28" w:rsidRPr="00013BDC" w:rsidRDefault="00FB3D28" w:rsidP="00FB3D28">
      <w:pPr>
        <w:spacing w:after="120"/>
        <w:rPr>
          <w:noProof/>
          <w:lang w:val="en-IE"/>
        </w:rPr>
      </w:pPr>
      <w:r w:rsidRPr="00013BDC">
        <w:rPr>
          <w:noProof/>
          <w:lang w:val="en-IE"/>
        </w:rPr>
        <w:t>European Commission, Director</w:t>
      </w:r>
      <w:r w:rsidR="00634DBD" w:rsidRPr="00013BDC">
        <w:rPr>
          <w:noProof/>
          <w:lang w:val="en-IE"/>
        </w:rPr>
        <w:t>ate-General for Internal Market, Industry,</w:t>
      </w:r>
      <w:r w:rsidRPr="00013BDC">
        <w:rPr>
          <w:noProof/>
          <w:lang w:val="en-IE"/>
        </w:rPr>
        <w:t xml:space="preserve"> Entrepreneur</w:t>
      </w:r>
      <w:r w:rsidR="00634DBD" w:rsidRPr="00013BDC">
        <w:rPr>
          <w:noProof/>
          <w:lang w:val="en-IE"/>
        </w:rPr>
        <w:t>ship and SMEs, Duhoux, T., Maes, E., Hirschnitz-Garbers, M., et al.,</w:t>
      </w:r>
      <w:r w:rsidRPr="00013BDC">
        <w:rPr>
          <w:noProof/>
          <w:lang w:val="en-IE"/>
        </w:rPr>
        <w:t xml:space="preserve"> </w:t>
      </w:r>
      <w:r w:rsidRPr="00013BDC">
        <w:rPr>
          <w:i/>
          <w:noProof/>
          <w:lang w:val="en-IE"/>
        </w:rPr>
        <w:t>Study on the technical, regulatory, economic and environmental effectiven</w:t>
      </w:r>
      <w:r w:rsidR="00634DBD" w:rsidRPr="00013BDC">
        <w:rPr>
          <w:i/>
          <w:noProof/>
          <w:lang w:val="en-IE"/>
        </w:rPr>
        <w:t>ess of textile fibres recycling</w:t>
      </w:r>
      <w:r w:rsidRPr="00013BDC">
        <w:rPr>
          <w:i/>
          <w:noProof/>
          <w:lang w:val="en-IE"/>
        </w:rPr>
        <w:t>: final report</w:t>
      </w:r>
      <w:r w:rsidR="00634DBD" w:rsidRPr="00013BDC">
        <w:rPr>
          <w:noProof/>
          <w:lang w:val="en-IE"/>
        </w:rPr>
        <w:t xml:space="preserve">  Publications Office, 2021,</w:t>
      </w:r>
      <w:r w:rsidRPr="00013BDC">
        <w:rPr>
          <w:noProof/>
          <w:lang w:val="en-IE"/>
        </w:rPr>
        <w:t xml:space="preserve"> </w:t>
      </w:r>
      <w:hyperlink r:id="rId151" w:history="1">
        <w:r w:rsidRPr="00013BDC">
          <w:rPr>
            <w:noProof/>
            <w:color w:val="0000FF" w:themeColor="hyperlink"/>
            <w:u w:val="single"/>
            <w:lang w:val="en-IE"/>
          </w:rPr>
          <w:t>https://op.europa.eu/en/publication-detail/-/publication/739a1cca-6145-11ec-9c6c-01aa75ed71a1</w:t>
        </w:r>
      </w:hyperlink>
      <w:r w:rsidR="00634DBD" w:rsidRPr="00013BDC">
        <w:rPr>
          <w:noProof/>
          <w:color w:val="0000FF" w:themeColor="hyperlink"/>
          <w:u w:val="single"/>
          <w:lang w:val="en-IE"/>
        </w:rPr>
        <w:t>.</w:t>
      </w:r>
    </w:p>
    <w:p w14:paraId="513FC668" w14:textId="77777777" w:rsidR="00D00FD7" w:rsidRPr="00013BDC" w:rsidRDefault="00634DBD" w:rsidP="00D00FD7">
      <w:pPr>
        <w:spacing w:after="120"/>
        <w:rPr>
          <w:rFonts w:eastAsiaTheme="minorEastAsia"/>
          <w:noProof/>
          <w:lang w:val="en-IE"/>
        </w:rPr>
      </w:pPr>
      <w:r w:rsidRPr="00013BDC">
        <w:rPr>
          <w:noProof/>
          <w:lang w:val="en-IE"/>
        </w:rPr>
        <w:t xml:space="preserve">European Commission, Industry, European industrial strategy, Ecosystems, </w:t>
      </w:r>
      <w:r w:rsidRPr="00013BDC">
        <w:rPr>
          <w:i/>
          <w:noProof/>
          <w:lang w:val="en-IE"/>
        </w:rPr>
        <w:t>Internal Market, Industry, Entrepreneurship and SMEs</w:t>
      </w:r>
      <w:r w:rsidRPr="00013BDC">
        <w:rPr>
          <w:noProof/>
          <w:lang w:val="en-IE"/>
        </w:rPr>
        <w:t>,</w:t>
      </w:r>
      <w:r w:rsidRPr="00013BDC">
        <w:rPr>
          <w:i/>
          <w:noProof/>
          <w:color w:val="0000FF" w:themeColor="hyperlink"/>
          <w:lang w:val="en-IE"/>
        </w:rPr>
        <w:t xml:space="preserve"> </w:t>
      </w:r>
      <w:r w:rsidRPr="00013BDC">
        <w:rPr>
          <w:noProof/>
          <w:color w:val="0000FF" w:themeColor="hyperlink"/>
          <w:u w:val="single"/>
          <w:lang w:val="en-IE"/>
        </w:rPr>
        <w:t>https://single-market-economy.ec.europa.eu/industry/strategy/ecosystems_en</w:t>
      </w:r>
      <w:r w:rsidR="00D00FD7" w:rsidRPr="00013BDC">
        <w:rPr>
          <w:rFonts w:eastAsiaTheme="minorEastAsia"/>
          <w:noProof/>
          <w:lang w:val="en-IE"/>
        </w:rPr>
        <w:t xml:space="preserve"> </w:t>
      </w:r>
    </w:p>
    <w:p w14:paraId="6C89DF59" w14:textId="4FC8465A" w:rsidR="00D00FD7" w:rsidRPr="00013BDC" w:rsidRDefault="00D00FD7" w:rsidP="00D00FD7">
      <w:pPr>
        <w:spacing w:after="120"/>
        <w:rPr>
          <w:rFonts w:eastAsiaTheme="minorEastAsia"/>
          <w:noProof/>
          <w:lang w:val="en-IE"/>
        </w:rPr>
      </w:pPr>
      <w:r w:rsidRPr="00013BDC">
        <w:rPr>
          <w:rFonts w:eastAsiaTheme="minorEastAsia"/>
          <w:noProof/>
          <w:lang w:val="en-IE"/>
        </w:rPr>
        <w:t xml:space="preserve">European Commission, </w:t>
      </w:r>
      <w:r w:rsidRPr="00013BDC">
        <w:rPr>
          <w:rFonts w:eastAsiaTheme="minorEastAsia"/>
          <w:i/>
          <w:noProof/>
          <w:lang w:val="en-IE"/>
        </w:rPr>
        <w:t>Best Environmental Management Practice for the Waste Management Sector, J</w:t>
      </w:r>
      <w:r w:rsidRPr="00013BDC">
        <w:rPr>
          <w:rFonts w:eastAsiaTheme="minorEastAsia"/>
          <w:noProof/>
          <w:lang w:val="en-IE"/>
        </w:rPr>
        <w:t xml:space="preserve">RC Publications Repository, 2018, </w:t>
      </w:r>
      <w:hyperlink r:id="rId152" w:history="1">
        <w:r w:rsidRPr="00013BDC">
          <w:rPr>
            <w:rFonts w:eastAsiaTheme="minorEastAsia"/>
            <w:noProof/>
            <w:color w:val="0000FF" w:themeColor="hyperlink"/>
            <w:u w:val="single"/>
            <w:lang w:val="en-IE"/>
          </w:rPr>
          <w:t>https://publications.jrc.ec.europa.eu/repository/handle/JRC111059</w:t>
        </w:r>
      </w:hyperlink>
      <w:r w:rsidRPr="00013BDC">
        <w:rPr>
          <w:rFonts w:eastAsiaTheme="minorEastAsia"/>
          <w:noProof/>
          <w:lang w:val="en-IE"/>
        </w:rPr>
        <w:t>.</w:t>
      </w:r>
    </w:p>
    <w:p w14:paraId="004A557E" w14:textId="77777777" w:rsidR="00D00FD7" w:rsidRPr="00013BDC" w:rsidRDefault="00D00FD7" w:rsidP="00D00FD7">
      <w:pPr>
        <w:spacing w:after="120"/>
        <w:rPr>
          <w:noProof/>
          <w:color w:val="0000FF" w:themeColor="hyperlink"/>
          <w:u w:val="single"/>
          <w:lang w:val="en-IE"/>
        </w:rPr>
      </w:pPr>
      <w:r w:rsidRPr="00013BDC">
        <w:rPr>
          <w:noProof/>
          <w:lang w:val="en-IE"/>
        </w:rPr>
        <w:t xml:space="preserve">European Commission, </w:t>
      </w:r>
      <w:r w:rsidRPr="00013BDC">
        <w:rPr>
          <w:i/>
          <w:noProof/>
          <w:lang w:val="en-IE"/>
        </w:rPr>
        <w:t xml:space="preserve">Circular Economy Perspectives in the EU Textile sector, </w:t>
      </w:r>
      <w:r w:rsidRPr="00013BDC">
        <w:rPr>
          <w:noProof/>
          <w:lang w:val="en-IE"/>
        </w:rPr>
        <w:t xml:space="preserve">JRC Publications Repository, 2021, </w:t>
      </w:r>
      <w:hyperlink r:id="rId153">
        <w:r w:rsidRPr="00013BDC">
          <w:rPr>
            <w:noProof/>
            <w:color w:val="0000FF" w:themeColor="hyperlink"/>
            <w:u w:val="single"/>
            <w:lang w:val="en-IE"/>
          </w:rPr>
          <w:t>https://publications.jrc.ec.europa.eu/repository/handle/JRC125110.</w:t>
        </w:r>
      </w:hyperlink>
    </w:p>
    <w:p w14:paraId="3EBE7580" w14:textId="77777777" w:rsidR="00D00FD7" w:rsidRPr="00013BDC" w:rsidRDefault="00D00FD7" w:rsidP="00D00FD7">
      <w:pPr>
        <w:spacing w:after="120"/>
        <w:rPr>
          <w:noProof/>
          <w:color w:val="0000FF" w:themeColor="hyperlink"/>
          <w:u w:val="single"/>
          <w:lang w:val="en-IE"/>
        </w:rPr>
      </w:pPr>
      <w:r w:rsidRPr="00013BDC">
        <w:rPr>
          <w:noProof/>
          <w:lang w:val="en-IE"/>
        </w:rPr>
        <w:t xml:space="preserve">European Commission, </w:t>
      </w:r>
      <w:hyperlink r:id="rId154" w:history="1">
        <w:r w:rsidRPr="00013BDC">
          <w:rPr>
            <w:i/>
            <w:noProof/>
            <w:color w:val="0000FF" w:themeColor="hyperlink"/>
            <w:u w:val="single"/>
            <w:lang w:val="en-IE"/>
          </w:rPr>
          <w:t>EU green public procurement criteria for textiles products and services</w:t>
        </w:r>
      </w:hyperlink>
      <w:r w:rsidRPr="00013BDC">
        <w:rPr>
          <w:i/>
          <w:noProof/>
          <w:color w:val="0000FF" w:themeColor="hyperlink"/>
          <w:u w:val="single"/>
          <w:lang w:val="en-IE"/>
        </w:rPr>
        <w:t>,</w:t>
      </w:r>
      <w:r w:rsidRPr="00013BDC">
        <w:rPr>
          <w:noProof/>
          <w:lang w:val="en-IE"/>
        </w:rPr>
        <w:t xml:space="preserve"> SWD (2017) 231 final, 2017.</w:t>
      </w:r>
    </w:p>
    <w:p w14:paraId="2BAE8838" w14:textId="77777777" w:rsidR="00D00FD7" w:rsidRPr="00013BDC" w:rsidRDefault="00D00FD7" w:rsidP="00D00FD7">
      <w:pPr>
        <w:spacing w:after="120"/>
        <w:rPr>
          <w:rFonts w:eastAsiaTheme="minorEastAsia"/>
          <w:noProof/>
          <w:lang w:val="en-IE"/>
        </w:rPr>
      </w:pPr>
      <w:r w:rsidRPr="00013BDC">
        <w:rPr>
          <w:rFonts w:eastAsiaTheme="minorEastAsia"/>
          <w:noProof/>
          <w:lang w:val="en-IE"/>
        </w:rPr>
        <w:t xml:space="preserve">European Commission, Directorate-General for Environment, Dubois, M., Sims, E., Moerman, T., et al.  </w:t>
      </w:r>
      <w:r w:rsidRPr="00013BDC">
        <w:rPr>
          <w:rFonts w:eastAsiaTheme="minorEastAsia"/>
          <w:i/>
          <w:noProof/>
          <w:lang w:val="en-IE"/>
        </w:rPr>
        <w:t>Guidance for separate collection of municipal waste</w:t>
      </w:r>
      <w:r w:rsidRPr="00013BDC">
        <w:rPr>
          <w:rFonts w:eastAsiaTheme="minorEastAsia"/>
          <w:noProof/>
          <w:lang w:val="en-IE"/>
        </w:rPr>
        <w:t>, Publications Office, 2020.</w:t>
      </w:r>
    </w:p>
    <w:p w14:paraId="61AC909A" w14:textId="77777777" w:rsidR="00D00FD7" w:rsidRPr="00013BDC" w:rsidRDefault="00D00FD7" w:rsidP="00D00FD7">
      <w:pPr>
        <w:spacing w:after="120"/>
        <w:rPr>
          <w:rFonts w:eastAsiaTheme="minorEastAsia"/>
          <w:noProof/>
          <w:lang w:val="en-IE"/>
        </w:rPr>
      </w:pPr>
      <w:r w:rsidRPr="00013BDC">
        <w:rPr>
          <w:rFonts w:eastAsiaTheme="minorEastAsia"/>
          <w:noProof/>
          <w:lang w:val="en-IE"/>
        </w:rPr>
        <w:t xml:space="preserve">European Commission, Directorate-General for Environment, Weißenbacher, J., Dollhofer, M., Herczeg, M., et al., </w:t>
      </w:r>
      <w:r w:rsidRPr="00013BDC">
        <w:rPr>
          <w:rFonts w:eastAsiaTheme="minorEastAsia"/>
          <w:i/>
          <w:noProof/>
          <w:lang w:val="en-IE"/>
        </w:rPr>
        <w:t>Assessment of separate collection schemes in the 28 capitals of the EU: final report</w:t>
      </w:r>
      <w:r w:rsidRPr="00013BDC">
        <w:rPr>
          <w:rFonts w:eastAsiaTheme="minorEastAsia"/>
          <w:noProof/>
          <w:lang w:val="en-IE"/>
        </w:rPr>
        <w:t>.</w:t>
      </w:r>
    </w:p>
    <w:p w14:paraId="34344FFE" w14:textId="77777777" w:rsidR="00D00FD7" w:rsidRPr="00013BDC" w:rsidRDefault="00D00FD7" w:rsidP="00D00FD7">
      <w:pPr>
        <w:spacing w:after="120"/>
        <w:rPr>
          <w:rFonts w:eastAsiaTheme="minorEastAsia"/>
          <w:noProof/>
          <w:lang w:val="en-IE"/>
        </w:rPr>
      </w:pPr>
      <w:r w:rsidRPr="00013BDC">
        <w:rPr>
          <w:rFonts w:eastAsiaTheme="minorEastAsia"/>
          <w:noProof/>
          <w:lang w:val="en-IE"/>
        </w:rPr>
        <w:t xml:space="preserve">European Commission, Directorate-General for Environment, Karigl, B., Neubauer, C., Kral, U., et al., </w:t>
      </w:r>
      <w:r w:rsidRPr="00013BDC">
        <w:rPr>
          <w:rFonts w:eastAsiaTheme="minorEastAsia"/>
          <w:i/>
          <w:noProof/>
          <w:lang w:val="en-IE"/>
        </w:rPr>
        <w:t>Scoping study to assess the feasibility of further EU measures on waste prevention: final report</w:t>
      </w:r>
      <w:r w:rsidRPr="00013BDC">
        <w:rPr>
          <w:rFonts w:eastAsiaTheme="minorEastAsia"/>
          <w:noProof/>
          <w:lang w:val="en-IE"/>
        </w:rPr>
        <w:t>, Publications Office of the European Union, 2022, https://data.europa.eu/doi/10.2779/21588</w:t>
      </w:r>
    </w:p>
    <w:p w14:paraId="04628DB5" w14:textId="77777777" w:rsidR="00D00FD7" w:rsidRPr="00013BDC" w:rsidRDefault="00D00FD7" w:rsidP="00D00FD7">
      <w:pPr>
        <w:spacing w:after="120"/>
        <w:rPr>
          <w:rFonts w:eastAsia="Times New Roman"/>
          <w:noProof/>
          <w:color w:val="000000" w:themeColor="text1"/>
          <w:lang w:val="en-IE"/>
        </w:rPr>
      </w:pPr>
      <w:r w:rsidRPr="00013BDC">
        <w:rPr>
          <w:noProof/>
          <w:lang w:val="en-IE"/>
        </w:rPr>
        <w:t xml:space="preserve">European Commission, Directorate-General for Research and Innovation, </w:t>
      </w:r>
      <w:r w:rsidRPr="00013BDC">
        <w:rPr>
          <w:i/>
          <w:noProof/>
          <w:lang w:val="en-IE"/>
        </w:rPr>
        <w:t>A sustainable bioeconomy for Europe: strengthening the connection between economy, society and the environment: updated bioeconomy strategy,</w:t>
      </w:r>
      <w:r w:rsidRPr="00013BDC">
        <w:rPr>
          <w:noProof/>
          <w:lang w:val="en-IE"/>
        </w:rPr>
        <w:t xml:space="preserve"> Publications Office, 2018, </w:t>
      </w:r>
      <w:hyperlink r:id="rId155">
        <w:r w:rsidRPr="00013BDC">
          <w:rPr>
            <w:rFonts w:eastAsia="Times New Roman"/>
            <w:noProof/>
            <w:color w:val="0000FF" w:themeColor="hyperlink"/>
            <w:u w:val="single"/>
            <w:lang w:val="en-IE"/>
          </w:rPr>
          <w:t>A sustainable bioeconomy for Europe - Publications Office of the EU (europa.eu).</w:t>
        </w:r>
      </w:hyperlink>
      <w:r w:rsidRPr="00013BDC">
        <w:rPr>
          <w:rFonts w:eastAsia="Times New Roman"/>
          <w:noProof/>
          <w:color w:val="000000" w:themeColor="text1"/>
          <w:lang w:val="en-IE"/>
        </w:rPr>
        <w:t xml:space="preserve"> </w:t>
      </w:r>
    </w:p>
    <w:p w14:paraId="1BAB14A9" w14:textId="4C3ABC9C" w:rsidR="00D00FD7" w:rsidRPr="00013BDC" w:rsidRDefault="00D00FD7" w:rsidP="00D00FD7">
      <w:pPr>
        <w:spacing w:after="120"/>
        <w:rPr>
          <w:rFonts w:eastAsia="Times New Roman"/>
          <w:noProof/>
          <w:lang w:val="en-IE"/>
        </w:rPr>
      </w:pPr>
      <w:r w:rsidRPr="00013BDC">
        <w:rPr>
          <w:rFonts w:eastAsia="Times New Roman"/>
          <w:noProof/>
          <w:color w:val="000000" w:themeColor="text1"/>
          <w:lang w:val="en-IE"/>
        </w:rPr>
        <w:t xml:space="preserve">European Commission, Directorate-General for Internal Market, Industry, Entrepreneurship and SMEs, </w:t>
      </w:r>
      <w:r w:rsidRPr="00013BDC">
        <w:rPr>
          <w:rFonts w:eastAsia="Times New Roman"/>
          <w:i/>
          <w:noProof/>
          <w:color w:val="000000" w:themeColor="text1"/>
          <w:lang w:val="en-IE"/>
        </w:rPr>
        <w:t>Data on the EU textile ecosystem and its competitiveness:</w:t>
      </w:r>
      <w:r w:rsidRPr="00013BDC">
        <w:rPr>
          <w:rFonts w:eastAsia="Times New Roman"/>
          <w:noProof/>
          <w:color w:val="000000" w:themeColor="text1"/>
          <w:lang w:val="en-IE"/>
        </w:rPr>
        <w:t xml:space="preserve"> </w:t>
      </w:r>
      <w:r w:rsidRPr="00013BDC">
        <w:rPr>
          <w:rFonts w:eastAsia="Times New Roman"/>
          <w:i/>
          <w:noProof/>
          <w:color w:val="000000" w:themeColor="text1"/>
          <w:lang w:val="en-IE"/>
        </w:rPr>
        <w:t>final report</w:t>
      </w:r>
      <w:r w:rsidRPr="00013BDC">
        <w:rPr>
          <w:rFonts w:eastAsia="Times New Roman"/>
          <w:noProof/>
          <w:color w:val="000000" w:themeColor="text1"/>
          <w:lang w:val="en-IE"/>
        </w:rPr>
        <w:t xml:space="preserve">, Publications Office of the European Union, 2021, </w:t>
      </w:r>
      <w:hyperlink r:id="rId156">
        <w:r w:rsidRPr="00013BDC">
          <w:rPr>
            <w:rFonts w:eastAsia="Times New Roman"/>
            <w:noProof/>
            <w:color w:val="0000FF" w:themeColor="hyperlink"/>
            <w:u w:val="single"/>
            <w:lang w:val="en-IE"/>
          </w:rPr>
          <w:t>https://data.europa.eu/doi/10.2873/23948.</w:t>
        </w:r>
      </w:hyperlink>
    </w:p>
    <w:p w14:paraId="0D4451C4" w14:textId="77777777" w:rsidR="00D00FD7" w:rsidRPr="00013BDC" w:rsidRDefault="00D00FD7" w:rsidP="00D00FD7">
      <w:pPr>
        <w:spacing w:after="120"/>
        <w:rPr>
          <w:rFonts w:eastAsia="Times New Roman"/>
          <w:noProof/>
          <w:color w:val="0000FF" w:themeColor="hyperlink"/>
          <w:u w:val="single"/>
          <w:lang w:val="en-IE"/>
        </w:rPr>
      </w:pPr>
      <w:r w:rsidRPr="00013BDC">
        <w:rPr>
          <w:rFonts w:eastAsia="Times New Roman"/>
          <w:noProof/>
          <w:lang w:val="en-IE"/>
        </w:rPr>
        <w:t xml:space="preserve">European Commission, Joint Research Centre, Donatello, S., Danneck, J., Löw, C., et al.  </w:t>
      </w:r>
      <w:r w:rsidRPr="00013BDC">
        <w:rPr>
          <w:rFonts w:eastAsia="Times New Roman"/>
          <w:i/>
          <w:noProof/>
          <w:lang w:val="en-IE"/>
        </w:rPr>
        <w:t>Circular economy perspectives in the EU textile sector: final report</w:t>
      </w:r>
      <w:r w:rsidRPr="00013BDC">
        <w:rPr>
          <w:rFonts w:eastAsia="Times New Roman"/>
          <w:noProof/>
          <w:lang w:val="en-IE"/>
        </w:rPr>
        <w:t>, Publications Office, 2021,</w:t>
      </w:r>
      <w:r w:rsidRPr="00013BDC">
        <w:rPr>
          <w:rFonts w:eastAsia="Times New Roman"/>
          <w:noProof/>
          <w:color w:val="000000" w:themeColor="text1"/>
          <w:lang w:val="en-IE"/>
        </w:rPr>
        <w:t xml:space="preserve"> </w:t>
      </w:r>
      <w:hyperlink r:id="rId157">
        <w:r w:rsidRPr="00013BDC">
          <w:rPr>
            <w:rFonts w:eastAsia="Times New Roman"/>
            <w:noProof/>
            <w:color w:val="0000FF" w:themeColor="hyperlink"/>
            <w:u w:val="single"/>
            <w:lang w:val="en-IE"/>
          </w:rPr>
          <w:t>https://data.europa.eu/doi/10.2760/858144.</w:t>
        </w:r>
      </w:hyperlink>
    </w:p>
    <w:p w14:paraId="478687F5" w14:textId="77777777" w:rsidR="00D00FD7" w:rsidRPr="00013BDC" w:rsidRDefault="00D00FD7" w:rsidP="00D00FD7">
      <w:pPr>
        <w:spacing w:after="120"/>
        <w:rPr>
          <w:rFonts w:eastAsia="Times New Roman"/>
          <w:noProof/>
          <w:color w:val="000000" w:themeColor="text1"/>
          <w:lang w:val="en-IE"/>
        </w:rPr>
      </w:pPr>
      <w:r w:rsidRPr="00013BDC">
        <w:rPr>
          <w:noProof/>
          <w:lang w:val="en-IE"/>
        </w:rPr>
        <w:t xml:space="preserve">European Commission, JRC Publications Repository, </w:t>
      </w:r>
      <w:r w:rsidRPr="00013BDC">
        <w:rPr>
          <w:i/>
          <w:noProof/>
          <w:lang w:val="en-IE"/>
        </w:rPr>
        <w:t>Best Environmental Management Practice for the Waste Management Sector,</w:t>
      </w:r>
      <w:r w:rsidRPr="00013BDC">
        <w:rPr>
          <w:noProof/>
          <w:lang w:val="en-IE"/>
        </w:rPr>
        <w:t xml:space="preserve"> 2018, </w:t>
      </w:r>
      <w:hyperlink r:id="rId158" w:history="1">
        <w:r w:rsidRPr="00013BDC">
          <w:rPr>
            <w:noProof/>
            <w:color w:val="0000FF" w:themeColor="hyperlink"/>
            <w:u w:val="single"/>
            <w:lang w:val="en-IE"/>
          </w:rPr>
          <w:t>https://publications.jrc.ec.europa.eu/repository/handle/JRC111059</w:t>
        </w:r>
      </w:hyperlink>
      <w:r w:rsidRPr="00013BDC">
        <w:rPr>
          <w:noProof/>
          <w:lang w:val="en-IE"/>
        </w:rPr>
        <w:t>.</w:t>
      </w:r>
      <w:r w:rsidRPr="00013BDC">
        <w:rPr>
          <w:rFonts w:eastAsia="Times New Roman"/>
          <w:noProof/>
          <w:color w:val="000000" w:themeColor="text1"/>
          <w:lang w:val="en-IE"/>
        </w:rPr>
        <w:t xml:space="preserve"> </w:t>
      </w:r>
    </w:p>
    <w:p w14:paraId="4EFA9C50" w14:textId="731A0033" w:rsidR="00D00FD7" w:rsidRPr="00013BDC" w:rsidRDefault="00D00FD7" w:rsidP="00D00FD7">
      <w:pPr>
        <w:spacing w:after="120"/>
        <w:rPr>
          <w:noProof/>
          <w:lang w:val="en-IE"/>
        </w:rPr>
      </w:pPr>
      <w:r w:rsidRPr="00013BDC">
        <w:rPr>
          <w:rFonts w:eastAsia="Times New Roman"/>
          <w:noProof/>
          <w:color w:val="000000" w:themeColor="text1"/>
          <w:lang w:val="en-IE"/>
        </w:rPr>
        <w:t>European</w:t>
      </w:r>
      <w:r w:rsidRPr="00013BDC">
        <w:rPr>
          <w:noProof/>
          <w:lang w:val="en-IE"/>
        </w:rPr>
        <w:t xml:space="preserve"> Environment Agency</w:t>
      </w:r>
      <w:r w:rsidRPr="00013BDC">
        <w:rPr>
          <w:rFonts w:eastAsia="Times New Roman"/>
          <w:noProof/>
          <w:color w:val="000000" w:themeColor="text1"/>
          <w:lang w:val="en-IE"/>
        </w:rPr>
        <w:t xml:space="preserve">, </w:t>
      </w:r>
      <w:r w:rsidRPr="00013BDC">
        <w:rPr>
          <w:rFonts w:eastAsia="Times New Roman"/>
          <w:i/>
          <w:iCs/>
          <w:noProof/>
          <w:color w:val="000000" w:themeColor="text1"/>
          <w:lang w:val="en-IE"/>
        </w:rPr>
        <w:t xml:space="preserve">Progress towards preventing waste in Europe - the case of textile waste prevention, </w:t>
      </w:r>
      <w:r w:rsidRPr="00013BDC">
        <w:rPr>
          <w:rFonts w:eastAsia="Times New Roman"/>
          <w:noProof/>
          <w:color w:val="000000" w:themeColor="text1"/>
          <w:lang w:val="en-IE"/>
        </w:rPr>
        <w:t xml:space="preserve">EEA report No.15, 2021, </w:t>
      </w:r>
      <w:hyperlink r:id="rId159">
        <w:r w:rsidRPr="00013BDC">
          <w:rPr>
            <w:rFonts w:eastAsia="Times New Roman"/>
            <w:noProof/>
            <w:color w:val="0000FF" w:themeColor="hyperlink"/>
            <w:u w:val="single"/>
            <w:lang w:val="en-IE"/>
          </w:rPr>
          <w:t>https://www.eea.europa.eu/publications/progressing-towards-waste-prevention-in/at_download/file.</w:t>
        </w:r>
      </w:hyperlink>
    </w:p>
    <w:p w14:paraId="7F4B8033" w14:textId="77777777" w:rsidR="00D00FD7" w:rsidRPr="00013BDC" w:rsidRDefault="00D00FD7" w:rsidP="00D00FD7">
      <w:pPr>
        <w:spacing w:after="120"/>
        <w:rPr>
          <w:rFonts w:eastAsia="Times New Roman"/>
          <w:noProof/>
          <w:lang w:val="en-IE"/>
        </w:rPr>
      </w:pPr>
      <w:r w:rsidRPr="00013BDC">
        <w:rPr>
          <w:rFonts w:eastAsia="Times New Roman"/>
          <w:noProof/>
          <w:color w:val="000000" w:themeColor="text1"/>
          <w:lang w:val="en-IE"/>
        </w:rPr>
        <w:t>E</w:t>
      </w:r>
      <w:r w:rsidRPr="00013BDC">
        <w:rPr>
          <w:noProof/>
          <w:lang w:val="en-IE"/>
        </w:rPr>
        <w:t>uropean Environment Agency</w:t>
      </w:r>
      <w:r w:rsidRPr="00013BDC">
        <w:rPr>
          <w:rFonts w:eastAsia="Times New Roman"/>
          <w:noProof/>
          <w:color w:val="000000" w:themeColor="text1"/>
          <w:lang w:val="en-IE"/>
        </w:rPr>
        <w:t xml:space="preserve">, </w:t>
      </w:r>
      <w:r w:rsidRPr="00013BDC">
        <w:rPr>
          <w:rFonts w:eastAsia="Times New Roman"/>
          <w:i/>
          <w:noProof/>
          <w:color w:val="000000" w:themeColor="text1"/>
          <w:lang w:val="en-IE"/>
        </w:rPr>
        <w:t>Textiles and the Environment – The role of design in Europe’s circular economy,</w:t>
      </w:r>
      <w:r w:rsidRPr="00013BDC">
        <w:rPr>
          <w:rFonts w:eastAsia="Times New Roman"/>
          <w:noProof/>
          <w:color w:val="000000" w:themeColor="text1"/>
          <w:lang w:val="en-IE"/>
        </w:rPr>
        <w:t xml:space="preserve"> </w:t>
      </w:r>
      <w:hyperlink r:id="rId160">
        <w:r w:rsidRPr="00013BDC">
          <w:rPr>
            <w:rFonts w:eastAsia="Times New Roman"/>
            <w:noProof/>
            <w:color w:val="0000FF" w:themeColor="hyperlink"/>
            <w:u w:val="single"/>
            <w:lang w:val="en-IE"/>
          </w:rPr>
          <w:t>Textiles and the environment: the role of design in Europe’s circular economy — European Environment Agency (europa.eu)</w:t>
        </w:r>
      </w:hyperlink>
      <w:r w:rsidRPr="00013BDC">
        <w:rPr>
          <w:rFonts w:eastAsia="Times New Roman"/>
          <w:noProof/>
          <w:color w:val="000000" w:themeColor="text1"/>
          <w:lang w:val="en-IE"/>
        </w:rPr>
        <w:t>, 2022.</w:t>
      </w:r>
    </w:p>
    <w:p w14:paraId="0E822E40" w14:textId="77777777" w:rsidR="00D00FD7" w:rsidRPr="00013BDC" w:rsidRDefault="00D00FD7" w:rsidP="00D00FD7">
      <w:pPr>
        <w:spacing w:after="120"/>
        <w:rPr>
          <w:rFonts w:eastAsiaTheme="minorEastAsia"/>
          <w:noProof/>
          <w:color w:val="0000FF" w:themeColor="hyperlink"/>
          <w:u w:val="single"/>
          <w:lang w:val="en-IE"/>
        </w:rPr>
      </w:pPr>
      <w:r w:rsidRPr="00013BDC">
        <w:rPr>
          <w:rFonts w:eastAsiaTheme="minorEastAsia"/>
          <w:noProof/>
          <w:lang w:val="en-IE"/>
        </w:rPr>
        <w:t xml:space="preserve">European Environment Agency, </w:t>
      </w:r>
      <w:r w:rsidRPr="00013BDC">
        <w:rPr>
          <w:rFonts w:eastAsiaTheme="minorEastAsia"/>
          <w:i/>
          <w:noProof/>
          <w:lang w:val="en-IE"/>
        </w:rPr>
        <w:t xml:space="preserve">Textiles in Europe‘s circular economy, </w:t>
      </w:r>
      <w:r w:rsidRPr="00013BDC">
        <w:rPr>
          <w:rFonts w:eastAsiaTheme="minorEastAsia"/>
          <w:noProof/>
          <w:lang w:val="en-IE"/>
        </w:rPr>
        <w:t xml:space="preserve">2019, </w:t>
      </w:r>
      <w:hyperlink r:id="rId161">
        <w:r w:rsidRPr="00013BDC">
          <w:rPr>
            <w:rFonts w:eastAsiaTheme="minorEastAsia"/>
            <w:noProof/>
            <w:color w:val="0000FF" w:themeColor="hyperlink"/>
            <w:u w:val="single"/>
            <w:lang w:val="en-IE"/>
          </w:rPr>
          <w:t>Textiles in Europe's circular economy — European Environment Agency.</w:t>
        </w:r>
      </w:hyperlink>
    </w:p>
    <w:p w14:paraId="3334FB55" w14:textId="77777777" w:rsidR="00D00FD7" w:rsidRPr="00013BDC" w:rsidRDefault="00D00FD7" w:rsidP="00D00FD7">
      <w:pPr>
        <w:spacing w:after="120"/>
        <w:rPr>
          <w:rFonts w:eastAsiaTheme="minorEastAsia"/>
          <w:noProof/>
          <w:lang w:val="en-IE"/>
        </w:rPr>
      </w:pPr>
      <w:r w:rsidRPr="00013BDC">
        <w:rPr>
          <w:rFonts w:eastAsiaTheme="minorEastAsia"/>
          <w:noProof/>
          <w:lang w:val="en-IE"/>
        </w:rPr>
        <w:t xml:space="preserve">European Environment Agency, </w:t>
      </w:r>
      <w:r w:rsidRPr="00013BDC">
        <w:rPr>
          <w:rFonts w:eastAsiaTheme="minorEastAsia"/>
          <w:i/>
          <w:noProof/>
          <w:lang w:val="en-IE"/>
        </w:rPr>
        <w:t xml:space="preserve">The use of primary raw materials in the upstream supply chain of EU-27 household consumption domains million tonnes  </w:t>
      </w:r>
      <w:r w:rsidRPr="00013BDC">
        <w:rPr>
          <w:rFonts w:eastAsiaTheme="minorEastAsia"/>
          <w:noProof/>
          <w:lang w:val="en-IE"/>
        </w:rPr>
        <w:t xml:space="preserve">2020  </w:t>
      </w:r>
      <w:hyperlink r:id="rId162">
        <w:r w:rsidRPr="00013BDC">
          <w:rPr>
            <w:rFonts w:eastAsiaTheme="minorEastAsia"/>
            <w:noProof/>
            <w:color w:val="0000FF" w:themeColor="hyperlink"/>
            <w:u w:val="single"/>
            <w:lang w:val="en-IE"/>
          </w:rPr>
          <w:t>https://www.eea.europa.eu/data-and-maps/figures/the-use-of-primary-raw.</w:t>
        </w:r>
      </w:hyperlink>
    </w:p>
    <w:p w14:paraId="129ABA8F" w14:textId="77777777" w:rsidR="00D00FD7" w:rsidRPr="00013BDC" w:rsidRDefault="00D00FD7" w:rsidP="00D00FD7">
      <w:pPr>
        <w:spacing w:after="120"/>
        <w:rPr>
          <w:rFonts w:eastAsiaTheme="minorEastAsia"/>
          <w:noProof/>
          <w:color w:val="0000FF" w:themeColor="hyperlink"/>
          <w:u w:val="single"/>
          <w:lang w:val="en-IE"/>
        </w:rPr>
      </w:pPr>
      <w:r w:rsidRPr="00013BDC">
        <w:rPr>
          <w:rFonts w:eastAsiaTheme="minorEastAsia"/>
          <w:noProof/>
          <w:lang w:val="en-IE"/>
        </w:rPr>
        <w:t xml:space="preserve">European Environment Agency, </w:t>
      </w:r>
      <w:r w:rsidRPr="00013BDC">
        <w:rPr>
          <w:rFonts w:eastAsiaTheme="minorEastAsia"/>
          <w:i/>
          <w:noProof/>
          <w:lang w:val="en-IE"/>
        </w:rPr>
        <w:t>Textiles and the environment in a circular economy</w:t>
      </w:r>
      <w:r w:rsidRPr="00013BDC">
        <w:rPr>
          <w:rFonts w:eastAsiaTheme="minorEastAsia"/>
          <w:noProof/>
          <w:lang w:val="en-IE"/>
        </w:rPr>
        <w:t xml:space="preserve">, 2019, </w:t>
      </w:r>
      <w:hyperlink r:id="rId163" w:history="1">
        <w:r w:rsidRPr="00013BDC">
          <w:rPr>
            <w:rFonts w:eastAsiaTheme="minorEastAsia"/>
            <w:noProof/>
            <w:color w:val="0000FF" w:themeColor="hyperlink"/>
            <w:u w:val="single"/>
            <w:lang w:val="en-IE"/>
          </w:rPr>
          <w:t>https://www.eionet.europa.eu/etcs/etc-wmge/products/etc-wmge-reports/textiles-and-the-environment-in-a-circular-economy</w:t>
        </w:r>
      </w:hyperlink>
      <w:r w:rsidRPr="00013BDC">
        <w:rPr>
          <w:rFonts w:eastAsiaTheme="minorEastAsia"/>
          <w:noProof/>
          <w:color w:val="0000FF" w:themeColor="hyperlink"/>
          <w:u w:val="single"/>
          <w:lang w:val="en-IE"/>
        </w:rPr>
        <w:t>.</w:t>
      </w:r>
    </w:p>
    <w:p w14:paraId="54F3A8C9" w14:textId="77777777" w:rsidR="00D00FD7" w:rsidRPr="00013BDC" w:rsidRDefault="00D00FD7" w:rsidP="00D00FD7">
      <w:pPr>
        <w:spacing w:after="120"/>
        <w:rPr>
          <w:noProof/>
          <w:lang w:val="en-IE"/>
        </w:rPr>
      </w:pPr>
      <w:r w:rsidRPr="00013BDC">
        <w:rPr>
          <w:noProof/>
          <w:lang w:val="en-IE"/>
        </w:rPr>
        <w:t xml:space="preserve">European Environment Agency, </w:t>
      </w:r>
      <w:r w:rsidRPr="00013BDC">
        <w:rPr>
          <w:i/>
          <w:noProof/>
          <w:lang w:val="en-IE"/>
        </w:rPr>
        <w:t>Plastic in textiles: potentials for circularity and reduced environmental and climate impacts,</w:t>
      </w:r>
      <w:r w:rsidRPr="00013BDC">
        <w:rPr>
          <w:noProof/>
          <w:lang w:val="en-IE"/>
        </w:rPr>
        <w:t xml:space="preserve"> 2021, </w:t>
      </w:r>
      <w:r w:rsidRPr="00013BDC">
        <w:rPr>
          <w:noProof/>
          <w:color w:val="0000FF" w:themeColor="hyperlink"/>
          <w:u w:val="single"/>
          <w:lang w:val="en-IE"/>
        </w:rPr>
        <w:t>https://www.eea.europa.eu/themes/waste/resource-efficiency/plastic-in-textiles-towards-a</w:t>
      </w:r>
      <w:r w:rsidRPr="00013BDC">
        <w:rPr>
          <w:noProof/>
          <w:lang w:val="en-IE"/>
        </w:rPr>
        <w:t>.</w:t>
      </w:r>
    </w:p>
    <w:p w14:paraId="229F00A3" w14:textId="6CAAFFDB" w:rsidR="00D00FD7" w:rsidRPr="00013BDC" w:rsidRDefault="00D00FD7" w:rsidP="00D00FD7">
      <w:pPr>
        <w:spacing w:after="120"/>
        <w:rPr>
          <w:noProof/>
          <w:color w:val="0000FF" w:themeColor="hyperlink"/>
          <w:u w:val="single"/>
          <w:lang w:val="en-IE"/>
        </w:rPr>
      </w:pPr>
      <w:r w:rsidRPr="00013BDC">
        <w:rPr>
          <w:noProof/>
          <w:lang w:val="en-IE"/>
        </w:rPr>
        <w:t xml:space="preserve">European Environment Agency, </w:t>
      </w:r>
      <w:r w:rsidRPr="00013BDC">
        <w:rPr>
          <w:i/>
          <w:iCs/>
          <w:noProof/>
          <w:lang w:val="en-IE"/>
        </w:rPr>
        <w:t xml:space="preserve">Waste prevention in Europe, </w:t>
      </w:r>
      <w:r w:rsidRPr="00013BDC">
        <w:rPr>
          <w:noProof/>
          <w:lang w:val="en-IE"/>
        </w:rPr>
        <w:t xml:space="preserve">2021, </w:t>
      </w:r>
      <w:hyperlink r:id="rId164" w:history="1">
        <w:r w:rsidRPr="00013BDC">
          <w:rPr>
            <w:noProof/>
            <w:color w:val="0000FF" w:themeColor="hyperlink"/>
            <w:u w:val="single"/>
            <w:lang w:val="en-IE"/>
          </w:rPr>
          <w:t>Waste prevention in Europe — European Environment Agency (europa.eu)</w:t>
        </w:r>
      </w:hyperlink>
      <w:r w:rsidRPr="00013BDC">
        <w:rPr>
          <w:noProof/>
          <w:color w:val="0000FF" w:themeColor="hyperlink"/>
          <w:u w:val="single"/>
          <w:lang w:val="en-IE"/>
        </w:rPr>
        <w:t>.</w:t>
      </w:r>
    </w:p>
    <w:p w14:paraId="77265D15" w14:textId="3B4ED04E" w:rsidR="00581F8B" w:rsidRPr="00013BDC" w:rsidRDefault="00581F8B" w:rsidP="00D00FD7">
      <w:pPr>
        <w:spacing w:after="120"/>
        <w:rPr>
          <w:noProof/>
          <w:lang w:val="en-IE"/>
        </w:rPr>
      </w:pPr>
      <w:r w:rsidRPr="00013BDC">
        <w:rPr>
          <w:noProof/>
          <w:lang w:val="en-IE"/>
        </w:rPr>
        <w:t xml:space="preserve">European Environmental Bureau, </w:t>
      </w:r>
      <w:r w:rsidRPr="00013BDC">
        <w:rPr>
          <w:i/>
          <w:noProof/>
          <w:lang w:val="en-IE"/>
        </w:rPr>
        <w:t>Advancing resource efficiency in Europe</w:t>
      </w:r>
      <w:r w:rsidRPr="00013BDC">
        <w:rPr>
          <w:noProof/>
          <w:lang w:val="en-IE"/>
        </w:rPr>
        <w:t>, 2014.</w:t>
      </w:r>
    </w:p>
    <w:p w14:paraId="48E829FB" w14:textId="77777777" w:rsidR="00D00FD7" w:rsidRPr="00013BDC" w:rsidRDefault="00D00FD7" w:rsidP="00D00FD7">
      <w:pPr>
        <w:spacing w:after="120"/>
        <w:rPr>
          <w:rFonts w:eastAsia="Times New Roman"/>
          <w:noProof/>
          <w:lang w:val="en-IE"/>
        </w:rPr>
      </w:pPr>
      <w:r w:rsidRPr="00013BDC">
        <w:rPr>
          <w:rFonts w:eastAsia="Times New Roman"/>
          <w:noProof/>
          <w:color w:val="000000" w:themeColor="text1"/>
          <w:lang w:val="en-IE"/>
        </w:rPr>
        <w:t xml:space="preserve">European Parliament, </w:t>
      </w:r>
      <w:r w:rsidRPr="00013BDC">
        <w:rPr>
          <w:rFonts w:eastAsia="Times New Roman"/>
          <w:i/>
          <w:noProof/>
          <w:color w:val="000000" w:themeColor="text1"/>
          <w:lang w:val="en-IE"/>
        </w:rPr>
        <w:t>Environmental impact of the textile and clothing industry: What consumers need to know,</w:t>
      </w:r>
      <w:r w:rsidRPr="00013BDC">
        <w:rPr>
          <w:rFonts w:eastAsia="Times New Roman"/>
          <w:noProof/>
          <w:color w:val="000000" w:themeColor="text1"/>
          <w:lang w:val="en-IE"/>
        </w:rPr>
        <w:t xml:space="preserve"> 2019, </w:t>
      </w:r>
      <w:hyperlink r:id="rId165">
        <w:r w:rsidRPr="00013BDC">
          <w:rPr>
            <w:rFonts w:eastAsia="Times New Roman"/>
            <w:noProof/>
            <w:color w:val="0000FF" w:themeColor="hyperlink"/>
            <w:u w:val="single"/>
            <w:lang w:val="en-IE"/>
          </w:rPr>
          <w:t>https://www.europarl.europa.eu/thinktank/en/document/EPRS_BRI(2019)633143.</w:t>
        </w:r>
      </w:hyperlink>
    </w:p>
    <w:p w14:paraId="278D03DF" w14:textId="0B12FC8F" w:rsidR="00634DBD" w:rsidRPr="00013BDC" w:rsidRDefault="00D00FD7" w:rsidP="00FB3D28">
      <w:pPr>
        <w:spacing w:after="120"/>
        <w:rPr>
          <w:rFonts w:eastAsia="Times New Roman"/>
          <w:noProof/>
          <w:color w:val="0000FF" w:themeColor="hyperlink"/>
          <w:u w:val="single"/>
          <w:lang w:val="en-IE"/>
        </w:rPr>
      </w:pPr>
      <w:r w:rsidRPr="00013BDC">
        <w:rPr>
          <w:rFonts w:eastAsia="Times New Roman"/>
          <w:noProof/>
          <w:color w:val="000000" w:themeColor="text1"/>
          <w:lang w:val="en-IE"/>
        </w:rPr>
        <w:t xml:space="preserve">European Parliament, </w:t>
      </w:r>
      <w:r w:rsidRPr="00013BDC">
        <w:rPr>
          <w:rFonts w:eastAsia="Times New Roman"/>
          <w:i/>
          <w:noProof/>
          <w:color w:val="000000" w:themeColor="text1"/>
          <w:lang w:val="en-IE"/>
        </w:rPr>
        <w:t>The impact of textile production and waste on the environment,</w:t>
      </w:r>
      <w:r w:rsidRPr="00013BDC">
        <w:rPr>
          <w:rFonts w:eastAsia="Times New Roman"/>
          <w:noProof/>
          <w:color w:val="000000" w:themeColor="text1"/>
          <w:lang w:val="en-IE"/>
        </w:rPr>
        <w:t xml:space="preserve"> 2020, </w:t>
      </w:r>
      <w:hyperlink r:id="rId166">
        <w:r w:rsidRPr="00013BDC">
          <w:rPr>
            <w:rFonts w:eastAsia="Times New Roman"/>
            <w:noProof/>
            <w:color w:val="0000FF" w:themeColor="hyperlink"/>
            <w:u w:val="single"/>
            <w:lang w:val="en-IE"/>
          </w:rPr>
          <w:t>https://www.europarl.europa.eu/news/en/headlines/society/20201208STO93327/the-impact-of-textile-production-and-waste-on-the-environment-infographic.</w:t>
        </w:r>
      </w:hyperlink>
    </w:p>
    <w:p w14:paraId="6D355941" w14:textId="77777777" w:rsidR="00FB3D28" w:rsidRPr="00013BDC" w:rsidRDefault="00FB3D28" w:rsidP="00FB3D28">
      <w:pPr>
        <w:spacing w:after="120"/>
        <w:rPr>
          <w:noProof/>
          <w:lang w:val="en-IE"/>
        </w:rPr>
      </w:pPr>
      <w:r w:rsidRPr="00013BDC">
        <w:rPr>
          <w:rFonts w:eastAsia="Times New Roman"/>
          <w:noProof/>
          <w:color w:val="000000" w:themeColor="text1"/>
          <w:lang w:val="en-IE"/>
        </w:rPr>
        <w:t xml:space="preserve">EUROSTAT, </w:t>
      </w:r>
      <w:r w:rsidRPr="00013BDC">
        <w:rPr>
          <w:rFonts w:eastAsia="Times New Roman"/>
          <w:i/>
          <w:noProof/>
          <w:color w:val="000000" w:themeColor="text1"/>
          <w:lang w:val="en-IE"/>
        </w:rPr>
        <w:t>Guidance for the compilation and reporting of data on municipal waste according to Commission Implementing Decisions 2019/1004/EC and 2019/1885/EC  and the Joint Questionnaire of Eurostat and OECD, 2021</w:t>
      </w:r>
      <w:r w:rsidRPr="00013BDC">
        <w:rPr>
          <w:rFonts w:eastAsia="Times New Roman"/>
          <w:noProof/>
          <w:color w:val="000000" w:themeColor="text1"/>
          <w:lang w:val="en-IE"/>
        </w:rPr>
        <w:t xml:space="preserve">, </w:t>
      </w:r>
      <w:hyperlink r:id="rId167">
        <w:r w:rsidRPr="00013BDC">
          <w:rPr>
            <w:rFonts w:eastAsia="Times New Roman"/>
            <w:noProof/>
            <w:color w:val="0000FF" w:themeColor="hyperlink"/>
            <w:u w:val="single"/>
            <w:lang w:val="en-IE"/>
          </w:rPr>
          <w:t>https://ec.europa.eu/eurostat/documents/342366/351811/Guidance+on+municipal+waste+data+collection/.</w:t>
        </w:r>
      </w:hyperlink>
      <w:r w:rsidRPr="00013BDC">
        <w:rPr>
          <w:noProof/>
          <w:lang w:val="en-IE"/>
        </w:rPr>
        <w:t xml:space="preserve"> </w:t>
      </w:r>
    </w:p>
    <w:p w14:paraId="32AE0854" w14:textId="77777777" w:rsidR="00FB3D28" w:rsidRPr="00013BDC" w:rsidRDefault="00FB3D28" w:rsidP="00FB3D28">
      <w:pPr>
        <w:spacing w:after="120"/>
        <w:rPr>
          <w:noProof/>
          <w:lang w:val="en-IE"/>
        </w:rPr>
      </w:pPr>
      <w:r w:rsidRPr="00013BDC">
        <w:rPr>
          <w:noProof/>
          <w:lang w:val="en-IE"/>
        </w:rPr>
        <w:t xml:space="preserve">EUROSTAT, </w:t>
      </w:r>
      <w:r w:rsidRPr="00013BDC">
        <w:rPr>
          <w:i/>
          <w:noProof/>
          <w:lang w:val="en-IE"/>
        </w:rPr>
        <w:t>Guidance on classification of waste according to EWC-Stat categories</w:t>
      </w:r>
      <w:r w:rsidRPr="00013BDC">
        <w:rPr>
          <w:i/>
          <w:iCs/>
          <w:noProof/>
          <w:lang w:val="en-IE"/>
        </w:rPr>
        <w:t xml:space="preserve">, </w:t>
      </w:r>
      <w:r w:rsidRPr="00013BDC">
        <w:rPr>
          <w:noProof/>
          <w:lang w:val="en-IE"/>
        </w:rPr>
        <w:t xml:space="preserve">2010, </w:t>
      </w:r>
      <w:hyperlink r:id="rId168" w:history="1">
        <w:r w:rsidRPr="00013BDC">
          <w:rPr>
            <w:noProof/>
            <w:color w:val="0000FF" w:themeColor="hyperlink"/>
            <w:u w:val="single"/>
            <w:lang w:val="en-IE"/>
          </w:rPr>
          <w:t>https://ec.europa.eu/eurostat/documents/342366/351806/Guidance-on-EWCStat-categories-2010.pdf/0e7cd3fc-c05c-47a7-818f-1c2421e55604.</w:t>
        </w:r>
      </w:hyperlink>
    </w:p>
    <w:p w14:paraId="598256B4" w14:textId="77777777" w:rsidR="00FB3D28" w:rsidRPr="00013BDC" w:rsidRDefault="00FB3D28" w:rsidP="00FB3D28">
      <w:pPr>
        <w:spacing w:after="120"/>
        <w:rPr>
          <w:rFonts w:eastAsiaTheme="minorEastAsia"/>
          <w:noProof/>
          <w:color w:val="0000FF" w:themeColor="hyperlink"/>
          <w:u w:val="single"/>
          <w:lang w:val="en-IE"/>
        </w:rPr>
      </w:pPr>
      <w:r w:rsidRPr="00013BDC">
        <w:rPr>
          <w:rFonts w:eastAsiaTheme="minorEastAsia"/>
          <w:noProof/>
          <w:lang w:val="en-IE"/>
        </w:rPr>
        <w:t xml:space="preserve">EUROSTAT, </w:t>
      </w:r>
      <w:r w:rsidRPr="00013BDC">
        <w:rPr>
          <w:rFonts w:eastAsiaTheme="minorEastAsia"/>
          <w:i/>
          <w:noProof/>
          <w:lang w:val="en-IE"/>
        </w:rPr>
        <w:t>E-commerce statistics for individuals,</w:t>
      </w:r>
      <w:r w:rsidRPr="00013BDC">
        <w:rPr>
          <w:rFonts w:eastAsiaTheme="minorEastAsia"/>
          <w:noProof/>
          <w:lang w:val="en-IE"/>
        </w:rPr>
        <w:t xml:space="preserve"> 2022, </w:t>
      </w:r>
      <w:hyperlink r:id="rId169">
        <w:r w:rsidRPr="00013BDC">
          <w:rPr>
            <w:rFonts w:eastAsiaTheme="minorEastAsia"/>
            <w:noProof/>
            <w:color w:val="0000FF" w:themeColor="hyperlink"/>
            <w:u w:val="single"/>
            <w:lang w:val="en-IE"/>
          </w:rPr>
          <w:t>E-commerce statistics for individuals - Statistics Explained (europa.eu).</w:t>
        </w:r>
      </w:hyperlink>
    </w:p>
    <w:p w14:paraId="78452F93" w14:textId="77777777" w:rsidR="00FB3D28" w:rsidRPr="00013BDC" w:rsidRDefault="00FB3D28" w:rsidP="00FB3D28">
      <w:pPr>
        <w:spacing w:after="120"/>
        <w:rPr>
          <w:noProof/>
          <w:lang w:val="en-IE"/>
        </w:rPr>
      </w:pPr>
      <w:r w:rsidRPr="00013BDC">
        <w:rPr>
          <w:noProof/>
          <w:lang w:val="en-IE"/>
        </w:rPr>
        <w:t xml:space="preserve">EUROSTAT, </w:t>
      </w:r>
      <w:r w:rsidRPr="00013BDC">
        <w:rPr>
          <w:i/>
          <w:iCs/>
          <w:noProof/>
          <w:lang w:val="en-IE"/>
        </w:rPr>
        <w:t>Prodcom - Statistics by products – Overview</w:t>
      </w:r>
      <w:r w:rsidRPr="00013BDC">
        <w:rPr>
          <w:noProof/>
          <w:lang w:val="en-IE"/>
        </w:rPr>
        <w:t xml:space="preserve">, </w:t>
      </w:r>
      <w:hyperlink r:id="rId170" w:history="1">
        <w:r w:rsidRPr="00013BDC">
          <w:rPr>
            <w:noProof/>
            <w:color w:val="0000FF" w:themeColor="hyperlink"/>
            <w:u w:val="single"/>
            <w:lang w:val="en-IE"/>
          </w:rPr>
          <w:t>Overview - Prodcom - statistics by product - Eurostat (europa.eu)</w:t>
        </w:r>
      </w:hyperlink>
      <w:r w:rsidRPr="00013BDC">
        <w:rPr>
          <w:noProof/>
          <w:color w:val="0000FF" w:themeColor="hyperlink"/>
          <w:u w:val="single"/>
          <w:lang w:val="en-IE"/>
        </w:rPr>
        <w:t>.</w:t>
      </w:r>
    </w:p>
    <w:p w14:paraId="49E6A6F7" w14:textId="5C765DBB" w:rsidR="00FB3D28" w:rsidRPr="00013BDC" w:rsidRDefault="00FB3D28" w:rsidP="00FB3D28">
      <w:pPr>
        <w:spacing w:after="120"/>
        <w:rPr>
          <w:rFonts w:eastAsia="Times New Roman"/>
          <w:noProof/>
          <w:color w:val="0000FF" w:themeColor="hyperlink"/>
          <w:u w:val="single"/>
          <w:lang w:val="en-IE"/>
        </w:rPr>
      </w:pPr>
      <w:r w:rsidRPr="00013BDC">
        <w:rPr>
          <w:rFonts w:eastAsia="Times New Roman"/>
          <w:noProof/>
          <w:color w:val="000000" w:themeColor="text1"/>
          <w:lang w:val="en-IE"/>
        </w:rPr>
        <w:t xml:space="preserve">Farrant, L., Olsen, S.I. &amp; Wangel, A., </w:t>
      </w:r>
      <w:r w:rsidRPr="00013BDC">
        <w:rPr>
          <w:rFonts w:eastAsia="Times New Roman"/>
          <w:i/>
          <w:noProof/>
          <w:color w:val="000000" w:themeColor="text1"/>
          <w:lang w:val="en-IE"/>
        </w:rPr>
        <w:t>Environmental benefits from reusing clothes,</w:t>
      </w:r>
      <w:r w:rsidRPr="00013BDC">
        <w:rPr>
          <w:rFonts w:eastAsia="Times New Roman"/>
          <w:noProof/>
          <w:color w:val="000000" w:themeColor="text1"/>
          <w:lang w:val="en-IE"/>
        </w:rPr>
        <w:t xml:space="preserve"> The International Journal of Life Cycle Assessment 15, 726–736  2010  </w:t>
      </w:r>
      <w:hyperlink r:id="rId171">
        <w:r w:rsidRPr="00013BDC">
          <w:rPr>
            <w:rFonts w:eastAsia="Times New Roman"/>
            <w:noProof/>
            <w:color w:val="0000FF" w:themeColor="hyperlink"/>
            <w:u w:val="single"/>
            <w:lang w:val="en-IE"/>
          </w:rPr>
          <w:t>https://doi.org/10.1007/s11367-010-0197-y.</w:t>
        </w:r>
      </w:hyperlink>
    </w:p>
    <w:p w14:paraId="43F6BA28" w14:textId="13B2B1EC" w:rsidR="004B1271" w:rsidRPr="00013BDC" w:rsidRDefault="004B1271" w:rsidP="00FB3D28">
      <w:pPr>
        <w:spacing w:after="120"/>
        <w:rPr>
          <w:rFonts w:eastAsia="Times New Roman"/>
          <w:noProof/>
          <w:lang w:val="en-IE"/>
        </w:rPr>
      </w:pPr>
      <w:r w:rsidRPr="00013BDC">
        <w:rPr>
          <w:rFonts w:eastAsia="Times New Roman"/>
          <w:noProof/>
          <w:lang w:val="en-IE"/>
        </w:rPr>
        <w:t xml:space="preserve">Fashion for Good, </w:t>
      </w:r>
      <w:r w:rsidRPr="00013BDC">
        <w:rPr>
          <w:rFonts w:eastAsia="Times New Roman"/>
          <w:i/>
          <w:noProof/>
          <w:lang w:val="en-IE"/>
        </w:rPr>
        <w:t>Sorting for Circularity Europe. An evaluation and commercial assessment of textile waste across Europe</w:t>
      </w:r>
      <w:r w:rsidRPr="00013BDC">
        <w:rPr>
          <w:rFonts w:eastAsia="Times New Roman"/>
          <w:noProof/>
          <w:lang w:val="en-IE"/>
        </w:rPr>
        <w:t>, 2022.</w:t>
      </w:r>
    </w:p>
    <w:p w14:paraId="30A0347D" w14:textId="77777777" w:rsidR="00FB3D28" w:rsidRPr="00013BDC" w:rsidRDefault="00FB3D28" w:rsidP="00FB3D28">
      <w:pPr>
        <w:spacing w:after="120"/>
        <w:rPr>
          <w:noProof/>
          <w:lang w:val="en-IE"/>
        </w:rPr>
      </w:pPr>
      <w:r w:rsidRPr="00013BDC">
        <w:rPr>
          <w:noProof/>
          <w:lang w:val="en-IE"/>
        </w:rPr>
        <w:t xml:space="preserve">Fortuna and Diyamandoglu, 2017 in Gustav Sandin and Greg M., Peters, </w:t>
      </w:r>
      <w:r w:rsidRPr="00013BDC">
        <w:rPr>
          <w:i/>
          <w:noProof/>
          <w:lang w:val="en-IE"/>
        </w:rPr>
        <w:t>“</w:t>
      </w:r>
      <w:r w:rsidRPr="00013BDC">
        <w:rPr>
          <w:noProof/>
          <w:lang w:val="en-IE"/>
        </w:rPr>
        <w:t>Environmental impact of textile reuse and recycling – A review”</w:t>
      </w:r>
      <w:r w:rsidRPr="00013BDC">
        <w:rPr>
          <w:i/>
          <w:noProof/>
          <w:lang w:val="en-IE"/>
        </w:rPr>
        <w:t>,</w:t>
      </w:r>
      <w:r w:rsidRPr="00013BDC">
        <w:rPr>
          <w:noProof/>
          <w:lang w:val="en-IE"/>
        </w:rPr>
        <w:t xml:space="preserve"> </w:t>
      </w:r>
      <w:r w:rsidRPr="00013BDC">
        <w:rPr>
          <w:i/>
          <w:noProof/>
          <w:lang w:val="en-IE"/>
        </w:rPr>
        <w:t>Journal of Cleaner Production,</w:t>
      </w:r>
      <w:r w:rsidRPr="00013BDC">
        <w:rPr>
          <w:noProof/>
          <w:lang w:val="en-IE"/>
        </w:rPr>
        <w:t xml:space="preserve"> Vol. 184,</w:t>
      </w:r>
      <w:r w:rsidRPr="00013BDC">
        <w:rPr>
          <w:i/>
          <w:iCs/>
          <w:noProof/>
          <w:lang w:val="en-IE"/>
        </w:rPr>
        <w:t xml:space="preserve"> </w:t>
      </w:r>
      <w:r w:rsidRPr="00013BDC">
        <w:rPr>
          <w:noProof/>
          <w:lang w:val="en-IE"/>
        </w:rPr>
        <w:t xml:space="preserve">2018, </w:t>
      </w:r>
      <w:hyperlink r:id="rId172" w:anchor="bib21" w:history="1">
        <w:r w:rsidRPr="00013BDC">
          <w:rPr>
            <w:noProof/>
            <w:color w:val="0000FF" w:themeColor="hyperlink"/>
            <w:u w:val="single"/>
            <w:lang w:val="en-IE"/>
          </w:rPr>
          <w:t>https://www.sciencedirect.com/science/article/pii/S0959652618305985#bib21</w:t>
        </w:r>
      </w:hyperlink>
      <w:r w:rsidRPr="00013BDC">
        <w:rPr>
          <w:noProof/>
          <w:lang w:val="en-IE"/>
        </w:rPr>
        <w:t>.</w:t>
      </w:r>
    </w:p>
    <w:p w14:paraId="0D0A6253" w14:textId="77777777" w:rsidR="00FB3D28" w:rsidRPr="00013BDC" w:rsidRDefault="00FB3D28" w:rsidP="00FB3D28">
      <w:pPr>
        <w:spacing w:after="120"/>
        <w:rPr>
          <w:noProof/>
          <w:lang w:val="en-IE"/>
        </w:rPr>
      </w:pPr>
      <w:r w:rsidRPr="00013BDC">
        <w:rPr>
          <w:noProof/>
          <w:lang w:val="en-IE"/>
        </w:rPr>
        <w:t xml:space="preserve">Global Fashion Agenda &amp; The Boston Consulting Group, </w:t>
      </w:r>
      <w:hyperlink r:id="rId173" w:history="1">
        <w:r w:rsidRPr="00013BDC">
          <w:rPr>
            <w:i/>
            <w:noProof/>
            <w:color w:val="0000FF" w:themeColor="hyperlink"/>
            <w:u w:val="single"/>
            <w:lang w:val="en-IE"/>
          </w:rPr>
          <w:t>Pulse of the fashion industry</w:t>
        </w:r>
      </w:hyperlink>
      <w:r w:rsidRPr="00013BDC">
        <w:rPr>
          <w:noProof/>
          <w:lang w:val="en-IE"/>
        </w:rPr>
        <w:t>, 2017.</w:t>
      </w:r>
    </w:p>
    <w:p w14:paraId="626AC57E" w14:textId="77777777" w:rsidR="00FB3D28" w:rsidRPr="00013BDC" w:rsidRDefault="00FB3D28" w:rsidP="00FB3D28">
      <w:pPr>
        <w:spacing w:after="120"/>
        <w:rPr>
          <w:rFonts w:eastAsiaTheme="minorEastAsia"/>
          <w:noProof/>
          <w:lang w:val="en-IE"/>
        </w:rPr>
      </w:pPr>
      <w:r w:rsidRPr="00013BDC">
        <w:rPr>
          <w:rFonts w:eastAsiaTheme="minorEastAsia"/>
          <w:noProof/>
          <w:lang w:val="en-IE"/>
        </w:rPr>
        <w:t xml:space="preserve">Greenpeace, </w:t>
      </w:r>
      <w:r w:rsidRPr="00013BDC">
        <w:rPr>
          <w:rFonts w:eastAsiaTheme="minorEastAsia"/>
          <w:i/>
          <w:iCs/>
          <w:noProof/>
          <w:lang w:val="en-IE"/>
        </w:rPr>
        <w:t>Poisoned Gifts. From donations to the dumpsite: textiles waste disguised as second-hand clothes exported to East Africa</w:t>
      </w:r>
      <w:r w:rsidRPr="00013BDC">
        <w:rPr>
          <w:rFonts w:eastAsiaTheme="minorEastAsia"/>
          <w:noProof/>
          <w:lang w:val="en-IE"/>
        </w:rPr>
        <w:t xml:space="preserve">, 2022, </w:t>
      </w:r>
      <w:hyperlink r:id="rId174" w:history="1">
        <w:r w:rsidRPr="00013BDC">
          <w:rPr>
            <w:rFonts w:eastAsiaTheme="minorEastAsia"/>
            <w:noProof/>
            <w:color w:val="0000FF" w:themeColor="hyperlink"/>
            <w:u w:val="single"/>
            <w:lang w:val="en-IE"/>
          </w:rPr>
          <w:t>https://www.greenpeace.org/static/planet4-international-stateless/2022/04/9f50d3de-greenpeace-germany-poisoned-fast-fashion-briefing-factsheet-april-2022.pdf.</w:t>
        </w:r>
      </w:hyperlink>
    </w:p>
    <w:p w14:paraId="35276D95" w14:textId="77777777" w:rsidR="00FB3D28" w:rsidRPr="00013BDC" w:rsidRDefault="00FB3D28" w:rsidP="00FB3D28">
      <w:pPr>
        <w:spacing w:after="120"/>
        <w:rPr>
          <w:rFonts w:eastAsiaTheme="minorEastAsia"/>
          <w:noProof/>
          <w:color w:val="0000FF" w:themeColor="hyperlink"/>
          <w:u w:val="single"/>
          <w:lang w:val="en-IE"/>
        </w:rPr>
      </w:pPr>
      <w:r w:rsidRPr="00013BDC">
        <w:rPr>
          <w:rFonts w:eastAsiaTheme="minorEastAsia"/>
          <w:noProof/>
          <w:lang w:val="en-IE"/>
        </w:rPr>
        <w:t xml:space="preserve">Greer, L., Keane, S., Lin, C., Zhou, A., Yiliqi Tong, T., Natural Resources Defense Council, </w:t>
      </w:r>
      <w:hyperlink r:id="rId175" w:history="1">
        <w:r w:rsidRPr="00013BDC">
          <w:rPr>
            <w:rFonts w:eastAsiaTheme="minorEastAsia"/>
            <w:i/>
            <w:noProof/>
            <w:color w:val="0000FF" w:themeColor="hyperlink"/>
            <w:u w:val="single"/>
            <w:lang w:val="en-IE"/>
          </w:rPr>
          <w:t>The Textile Industry Leaps Forward with Clean by Design: less environmental impact with bigger profits</w:t>
        </w:r>
      </w:hyperlink>
      <w:r w:rsidRPr="00013BDC">
        <w:rPr>
          <w:rFonts w:eastAsiaTheme="minorEastAsia"/>
          <w:i/>
          <w:noProof/>
          <w:color w:val="0000FF" w:themeColor="hyperlink"/>
          <w:u w:val="single"/>
          <w:lang w:val="en-IE"/>
        </w:rPr>
        <w:t>,</w:t>
      </w:r>
      <w:r w:rsidRPr="00013BDC">
        <w:rPr>
          <w:rFonts w:eastAsiaTheme="minorEastAsia"/>
          <w:noProof/>
          <w:lang w:val="en-IE"/>
        </w:rPr>
        <w:t xml:space="preserve"> 2015.</w:t>
      </w:r>
    </w:p>
    <w:p w14:paraId="44A3BBCE" w14:textId="77777777" w:rsidR="00FB3D28" w:rsidRPr="00013BDC" w:rsidRDefault="00FB3D28" w:rsidP="00FB3D28">
      <w:pPr>
        <w:spacing w:after="120"/>
        <w:rPr>
          <w:rFonts w:eastAsiaTheme="minorEastAsia"/>
          <w:noProof/>
          <w:lang w:val="en-IE"/>
        </w:rPr>
      </w:pPr>
      <w:r w:rsidRPr="00013BDC">
        <w:rPr>
          <w:rFonts w:eastAsiaTheme="minorEastAsia"/>
          <w:noProof/>
          <w:lang w:val="en-IE"/>
        </w:rPr>
        <w:t xml:space="preserve">H&amp;M group, IKEA, Adidas, Bestseller, PVH, Gap Inc, Kingfisher, </w:t>
      </w:r>
      <w:r w:rsidRPr="00013BDC">
        <w:rPr>
          <w:rFonts w:eastAsiaTheme="minorEastAsia"/>
          <w:i/>
          <w:noProof/>
          <w:lang w:val="en-IE"/>
        </w:rPr>
        <w:t>Collaborative study on chemicals in recycled textiles,</w:t>
      </w:r>
      <w:r w:rsidRPr="00013BDC">
        <w:rPr>
          <w:rFonts w:eastAsiaTheme="minorEastAsia"/>
          <w:noProof/>
          <w:lang w:val="en-IE"/>
        </w:rPr>
        <w:t xml:space="preserve"> 2021, </w:t>
      </w:r>
      <w:hyperlink r:id="rId176">
        <w:r w:rsidRPr="00013BDC">
          <w:rPr>
            <w:rFonts w:eastAsiaTheme="minorEastAsia"/>
            <w:noProof/>
            <w:color w:val="0000FF" w:themeColor="hyperlink"/>
            <w:u w:val="single"/>
            <w:lang w:val="en-IE"/>
          </w:rPr>
          <w:t>https://www.naturvardsverket.se/contentassets/be04327b5a874955a5402d4f663d1632/webinar-collaborative-study-chemicals-recycled-textiles-hm-ikea.pdf.</w:t>
        </w:r>
      </w:hyperlink>
    </w:p>
    <w:p w14:paraId="58689D09" w14:textId="77777777" w:rsidR="00FB3D28" w:rsidRPr="00013BDC" w:rsidRDefault="00393BF7" w:rsidP="00FB3D28">
      <w:pPr>
        <w:spacing w:after="120"/>
        <w:rPr>
          <w:rFonts w:eastAsia="Times New Roman"/>
          <w:noProof/>
          <w:lang w:val="en-IE"/>
        </w:rPr>
      </w:pPr>
      <w:hyperlink r:id="rId177">
        <w:r w:rsidR="00FB3D28" w:rsidRPr="00013BDC">
          <w:rPr>
            <w:rFonts w:eastAsia="Times New Roman"/>
            <w:noProof/>
            <w:color w:val="0000FF" w:themeColor="hyperlink"/>
            <w:u w:val="single"/>
            <w:lang w:val="en-IE"/>
          </w:rPr>
          <w:t>Dumped in the Atacama desert  the mountain of discarded cheap clothes from the West | Daily Mail Online.</w:t>
        </w:r>
      </w:hyperlink>
    </w:p>
    <w:p w14:paraId="405D3BE2" w14:textId="77777777" w:rsidR="00FB3D28" w:rsidRPr="00013BDC" w:rsidRDefault="00FB3D28" w:rsidP="00FB3D28">
      <w:pPr>
        <w:spacing w:after="120"/>
        <w:rPr>
          <w:noProof/>
          <w:lang w:val="en-IE"/>
        </w:rPr>
      </w:pPr>
      <w:r w:rsidRPr="00013BDC">
        <w:rPr>
          <w:noProof/>
          <w:lang w:val="en-IE"/>
        </w:rPr>
        <w:t xml:space="preserve">Herjanto, H., &amp; Scheller-Sampson, J., &amp; Erickson, E., “the increasing phenomenon of second-hand clothes purchase: insights from the literature” </w:t>
      </w:r>
      <w:r w:rsidRPr="00013BDC">
        <w:rPr>
          <w:i/>
          <w:noProof/>
          <w:lang w:val="en-IE"/>
        </w:rPr>
        <w:t>Jurnal Manajemen dan Kewirausahaan</w:t>
      </w:r>
      <w:r w:rsidRPr="00013BDC">
        <w:rPr>
          <w:noProof/>
          <w:lang w:val="en-IE"/>
        </w:rPr>
        <w:t>, 18. 10.9744/jmk.18.1.1-15, 2019.</w:t>
      </w:r>
    </w:p>
    <w:p w14:paraId="53CF303B" w14:textId="77777777" w:rsidR="00FB3D28" w:rsidRPr="00013BDC" w:rsidRDefault="00FB3D28" w:rsidP="00FB3D28">
      <w:pPr>
        <w:spacing w:after="120"/>
        <w:rPr>
          <w:noProof/>
          <w:color w:val="0000FF" w:themeColor="hyperlink"/>
          <w:u w:val="single"/>
          <w:lang w:val="en-IE"/>
        </w:rPr>
      </w:pPr>
      <w:r w:rsidRPr="00013BDC">
        <w:rPr>
          <w:noProof/>
          <w:lang w:val="en-IE"/>
        </w:rPr>
        <w:t xml:space="preserve">Hur, E.  “Rebirth Fashion: Secondhand clothing consumption values and perceived risks“ </w:t>
      </w:r>
      <w:r w:rsidRPr="00013BDC">
        <w:rPr>
          <w:i/>
          <w:noProof/>
          <w:lang w:val="en-IE"/>
        </w:rPr>
        <w:t xml:space="preserve"> Journal of Cleaner Production</w:t>
      </w:r>
      <w:r w:rsidRPr="00013BDC">
        <w:rPr>
          <w:noProof/>
          <w:lang w:val="en-IE"/>
        </w:rPr>
        <w:t xml:space="preserve">  Vol. 273  p.122951  2020  </w:t>
      </w:r>
      <w:hyperlink r:id="rId178">
        <w:r w:rsidRPr="00013BDC">
          <w:rPr>
            <w:noProof/>
            <w:color w:val="0000FF" w:themeColor="hyperlink"/>
            <w:u w:val="single"/>
            <w:lang w:val="en-IE"/>
          </w:rPr>
          <w:t>https://doi.org/10.1016/j.jclepro.2020.122951.</w:t>
        </w:r>
      </w:hyperlink>
    </w:p>
    <w:p w14:paraId="4E7A2D30" w14:textId="77777777" w:rsidR="00FB3D28" w:rsidRPr="00013BDC" w:rsidRDefault="00FB3D28" w:rsidP="00FB3D28">
      <w:pPr>
        <w:spacing w:after="120"/>
        <w:rPr>
          <w:noProof/>
          <w:lang w:val="en-IE"/>
        </w:rPr>
      </w:pPr>
      <w:r w:rsidRPr="00013BDC">
        <w:rPr>
          <w:noProof/>
          <w:lang w:val="en-IE"/>
        </w:rPr>
        <w:t xml:space="preserve">ISO, ISO 14040:2006, </w:t>
      </w:r>
      <w:r w:rsidRPr="00013BDC">
        <w:rPr>
          <w:i/>
          <w:noProof/>
          <w:lang w:val="en-IE"/>
        </w:rPr>
        <w:t>Environmental management — Life cycle assessment — Principles and framework</w:t>
      </w:r>
      <w:r w:rsidRPr="00013BDC">
        <w:rPr>
          <w:noProof/>
          <w:lang w:val="en-IE"/>
        </w:rPr>
        <w:t>, 2006, rev 2022</w:t>
      </w:r>
    </w:p>
    <w:p w14:paraId="4024578A" w14:textId="77777777" w:rsidR="00FB3D28" w:rsidRPr="00013BDC" w:rsidRDefault="00FB3D28" w:rsidP="00FB3D28">
      <w:pPr>
        <w:spacing w:after="120"/>
        <w:rPr>
          <w:noProof/>
          <w:lang w:val="en-IE"/>
        </w:rPr>
      </w:pPr>
      <w:r w:rsidRPr="00013BDC">
        <w:rPr>
          <w:noProof/>
          <w:lang w:val="en-IE"/>
        </w:rPr>
        <w:t xml:space="preserve">JRC, </w:t>
      </w:r>
      <w:r w:rsidRPr="00013BDC">
        <w:rPr>
          <w:i/>
          <w:noProof/>
          <w:lang w:val="en-IE"/>
        </w:rPr>
        <w:t>Best Environmental Management Practice – Treatment of mattresses for improved recycling of materials</w:t>
      </w:r>
      <w:r w:rsidRPr="00013BDC">
        <w:rPr>
          <w:noProof/>
          <w:lang w:val="en-IE"/>
        </w:rPr>
        <w:t>, 2016.</w:t>
      </w:r>
    </w:p>
    <w:p w14:paraId="4D3F1F73" w14:textId="77777777" w:rsidR="00FB3D28" w:rsidRPr="00013BDC" w:rsidRDefault="00FB3D28" w:rsidP="00FB3D28">
      <w:pPr>
        <w:spacing w:after="120"/>
        <w:rPr>
          <w:noProof/>
          <w:lang w:val="en-IE"/>
        </w:rPr>
      </w:pPr>
      <w:r w:rsidRPr="00013BDC">
        <w:rPr>
          <w:noProof/>
          <w:lang w:val="en-IE"/>
        </w:rPr>
        <w:t xml:space="preserve">Köhler, A., Watson, D., Trzepacz, S., Löw, C., Liu, R., Danneck, J., Konstantas, A., Donatello, S., Faraca, G., </w:t>
      </w:r>
      <w:hyperlink r:id="rId179" w:history="1">
        <w:r w:rsidRPr="00013BDC">
          <w:rPr>
            <w:i/>
            <w:noProof/>
            <w:color w:val="0000FF" w:themeColor="hyperlink"/>
            <w:u w:val="single"/>
            <w:lang w:val="en-IE"/>
          </w:rPr>
          <w:t>Circular Economy Perspectives in the EU Textile sector</w:t>
        </w:r>
      </w:hyperlink>
      <w:r w:rsidRPr="00013BDC">
        <w:rPr>
          <w:noProof/>
          <w:lang w:val="en-IE"/>
        </w:rPr>
        <w:t>, Publications Office of the European Union, 2021.</w:t>
      </w:r>
    </w:p>
    <w:p w14:paraId="09A66236" w14:textId="77777777" w:rsidR="00FB3D28" w:rsidRPr="00013BDC" w:rsidRDefault="00FB3D28" w:rsidP="00FB3D28">
      <w:pPr>
        <w:spacing w:after="120"/>
        <w:rPr>
          <w:noProof/>
          <w:lang w:val="fr-BE"/>
        </w:rPr>
      </w:pPr>
      <w:r w:rsidRPr="00013BDC">
        <w:rPr>
          <w:noProof/>
          <w:lang w:val="fr-BE"/>
        </w:rPr>
        <w:t>Les joyeux recycleurs</w:t>
      </w:r>
      <w:r w:rsidRPr="00013BDC">
        <w:rPr>
          <w:i/>
          <w:noProof/>
          <w:lang w:val="fr-BE"/>
        </w:rPr>
        <w:t>, Recyclage de vos tapis et moquettes  mode d’emploi</w:t>
      </w:r>
      <w:r w:rsidRPr="00013BDC">
        <w:rPr>
          <w:noProof/>
          <w:lang w:val="fr-BE"/>
        </w:rPr>
        <w:t xml:space="preserve">, 2018, </w:t>
      </w:r>
      <w:hyperlink r:id="rId180" w:history="1">
        <w:r w:rsidRPr="00013BDC">
          <w:rPr>
            <w:noProof/>
            <w:color w:val="0000FF" w:themeColor="hyperlink"/>
            <w:u w:val="single"/>
            <w:lang w:val="fr-BE"/>
          </w:rPr>
          <w:t>Recyclage de vos tapis et moquettes  mode d'emploi - Les joyeux recycleurs</w:t>
        </w:r>
      </w:hyperlink>
      <w:r w:rsidRPr="00013BDC">
        <w:rPr>
          <w:noProof/>
          <w:lang w:val="fr-BE"/>
        </w:rPr>
        <w:t>.</w:t>
      </w:r>
    </w:p>
    <w:p w14:paraId="4F126684" w14:textId="77777777" w:rsidR="00FB3D28" w:rsidRPr="00013BDC" w:rsidRDefault="00FB3D28" w:rsidP="00FB3D28">
      <w:pPr>
        <w:spacing w:after="120"/>
        <w:rPr>
          <w:noProof/>
          <w:lang w:val="en-IE"/>
        </w:rPr>
      </w:pPr>
      <w:r w:rsidRPr="00013BDC">
        <w:rPr>
          <w:noProof/>
          <w:lang w:val="en-IE"/>
        </w:rPr>
        <w:t xml:space="preserve">Lai, O., </w:t>
      </w:r>
      <w:r w:rsidRPr="00013BDC">
        <w:rPr>
          <w:i/>
          <w:noProof/>
          <w:lang w:val="en-IE"/>
        </w:rPr>
        <w:t>What is fast fashion</w:t>
      </w:r>
      <w:r w:rsidRPr="00013BDC">
        <w:rPr>
          <w:noProof/>
          <w:lang w:val="en-IE"/>
        </w:rPr>
        <w:t>, Earth.org, 2021.</w:t>
      </w:r>
    </w:p>
    <w:p w14:paraId="0FF3B8F0" w14:textId="77777777" w:rsidR="00FB3D28" w:rsidRPr="00013BDC" w:rsidRDefault="00FB3D28" w:rsidP="00FB3D28">
      <w:pPr>
        <w:spacing w:after="120"/>
        <w:rPr>
          <w:noProof/>
          <w:lang w:val="en-IE"/>
        </w:rPr>
      </w:pPr>
      <w:r w:rsidRPr="00013BDC">
        <w:rPr>
          <w:noProof/>
          <w:lang w:val="en-IE"/>
        </w:rPr>
        <w:t xml:space="preserve">Maletic, M., </w:t>
      </w:r>
      <w:r w:rsidRPr="00013BDC">
        <w:rPr>
          <w:i/>
          <w:noProof/>
          <w:lang w:val="en-IE"/>
        </w:rPr>
        <w:t xml:space="preserve">Shoe Recycling Guide: Recycle Your Footwear Responsibly  </w:t>
      </w:r>
      <w:r w:rsidRPr="00013BDC">
        <w:rPr>
          <w:noProof/>
          <w:lang w:val="en-IE"/>
        </w:rPr>
        <w:t xml:space="preserve">Green Citizen, 2022  </w:t>
      </w:r>
      <w:hyperlink r:id="rId181">
        <w:r w:rsidRPr="00013BDC">
          <w:rPr>
            <w:rFonts w:eastAsia="Times New Roman"/>
            <w:noProof/>
            <w:color w:val="0000FF" w:themeColor="hyperlink"/>
            <w:u w:val="single"/>
            <w:lang w:val="en-IE"/>
          </w:rPr>
          <w:t>Shoe Recycling Guide: Recycle Your Footwear Responsibly (greencitizen.com).</w:t>
        </w:r>
      </w:hyperlink>
    </w:p>
    <w:p w14:paraId="140A80A5" w14:textId="77777777" w:rsidR="00FB3D28" w:rsidRPr="00013BDC" w:rsidRDefault="00FB3D28" w:rsidP="00FB3D28">
      <w:pPr>
        <w:spacing w:after="120"/>
        <w:rPr>
          <w:rFonts w:eastAsia="Times New Roman"/>
          <w:noProof/>
          <w:color w:val="000000" w:themeColor="text1"/>
          <w:lang w:val="en-IE"/>
        </w:rPr>
      </w:pPr>
      <w:r w:rsidRPr="00013BDC">
        <w:rPr>
          <w:rFonts w:eastAsia="Times New Roman"/>
          <w:noProof/>
          <w:color w:val="000000" w:themeColor="text1"/>
          <w:lang w:val="en-IE"/>
        </w:rPr>
        <w:t xml:space="preserve">McKinsey, Global Fashion Agenda </w:t>
      </w:r>
      <w:hyperlink r:id="rId182" w:history="1">
        <w:r w:rsidRPr="00013BDC">
          <w:rPr>
            <w:rFonts w:eastAsia="Times New Roman"/>
            <w:i/>
            <w:noProof/>
            <w:color w:val="0000FF" w:themeColor="hyperlink"/>
            <w:u w:val="single"/>
            <w:lang w:val="en-IE"/>
          </w:rPr>
          <w:t>Fashion on climate</w:t>
        </w:r>
      </w:hyperlink>
      <w:r w:rsidRPr="00013BDC">
        <w:rPr>
          <w:rFonts w:eastAsia="Times New Roman"/>
          <w:i/>
          <w:noProof/>
          <w:color w:val="000000" w:themeColor="text1"/>
          <w:lang w:val="en-IE"/>
        </w:rPr>
        <w:t>. How the fashion industry can urgently act to reduce its greenhouse gas emissions</w:t>
      </w:r>
      <w:r w:rsidRPr="00013BDC">
        <w:rPr>
          <w:rFonts w:eastAsia="Times New Roman"/>
          <w:noProof/>
          <w:color w:val="000000" w:themeColor="text1"/>
          <w:lang w:val="en-IE"/>
        </w:rPr>
        <w:t>, 2020.</w:t>
      </w:r>
    </w:p>
    <w:p w14:paraId="71F5E8EB" w14:textId="77777777" w:rsidR="00FB3D28" w:rsidRPr="00013BDC" w:rsidRDefault="00FB3D28" w:rsidP="00FB3D28">
      <w:pPr>
        <w:spacing w:after="120"/>
        <w:rPr>
          <w:rFonts w:eastAsia="Times New Roman"/>
          <w:noProof/>
          <w:lang w:val="en-IE"/>
        </w:rPr>
      </w:pPr>
      <w:r w:rsidRPr="00013BDC">
        <w:rPr>
          <w:rFonts w:eastAsia="Times New Roman"/>
          <w:noProof/>
          <w:color w:val="000000" w:themeColor="text1"/>
          <w:lang w:val="en-IE"/>
        </w:rPr>
        <w:t xml:space="preserve">McKinsey &amp; Company, </w:t>
      </w:r>
      <w:r w:rsidRPr="00013BDC">
        <w:rPr>
          <w:rFonts w:eastAsia="Times New Roman"/>
          <w:i/>
          <w:noProof/>
          <w:color w:val="000000" w:themeColor="text1"/>
          <w:lang w:val="en-IE"/>
        </w:rPr>
        <w:t>Apparel, Fashion &amp; Luxury Group  Scaling textile recycling in Europe–turning waste into value</w:t>
      </w:r>
      <w:r w:rsidRPr="00013BDC">
        <w:rPr>
          <w:rFonts w:eastAsia="Times New Roman"/>
          <w:noProof/>
          <w:color w:val="000000" w:themeColor="text1"/>
          <w:lang w:val="en-IE"/>
        </w:rPr>
        <w:t xml:space="preserve">  2022.</w:t>
      </w:r>
    </w:p>
    <w:p w14:paraId="01F57B4E" w14:textId="77777777" w:rsidR="00FB3D28" w:rsidRPr="00013BDC" w:rsidRDefault="00FB3D28" w:rsidP="00FB3D28">
      <w:pPr>
        <w:spacing w:after="120"/>
        <w:rPr>
          <w:rFonts w:eastAsiaTheme="minorEastAsia"/>
          <w:noProof/>
          <w:lang w:val="en-IE"/>
        </w:rPr>
      </w:pPr>
      <w:r w:rsidRPr="00013BDC">
        <w:rPr>
          <w:rFonts w:eastAsiaTheme="minorEastAsia"/>
          <w:noProof/>
          <w:lang w:val="en-IE"/>
        </w:rPr>
        <w:t xml:space="preserve">McKinsey &amp; Company, </w:t>
      </w:r>
      <w:r w:rsidRPr="00013BDC">
        <w:rPr>
          <w:rFonts w:eastAsiaTheme="minorEastAsia"/>
          <w:i/>
          <w:noProof/>
          <w:lang w:val="en-IE"/>
        </w:rPr>
        <w:t>Scaling textile recycling in Europe–turning waste into value</w:t>
      </w:r>
      <w:r w:rsidRPr="00013BDC">
        <w:rPr>
          <w:rFonts w:eastAsiaTheme="minorEastAsia"/>
          <w:noProof/>
          <w:lang w:val="en-IE"/>
        </w:rPr>
        <w:t>, 2022.</w:t>
      </w:r>
    </w:p>
    <w:p w14:paraId="41882399" w14:textId="77777777" w:rsidR="00FB3D28" w:rsidRPr="00013BDC" w:rsidRDefault="00FB3D28" w:rsidP="00FB3D28">
      <w:pPr>
        <w:spacing w:after="120"/>
        <w:rPr>
          <w:noProof/>
          <w:lang w:val="en-IE"/>
        </w:rPr>
      </w:pPr>
      <w:r w:rsidRPr="00013BDC">
        <w:rPr>
          <w:noProof/>
          <w:lang w:val="en-IE"/>
        </w:rPr>
        <w:t xml:space="preserve">MDPI, </w:t>
      </w:r>
      <w:r w:rsidRPr="00013BDC">
        <w:rPr>
          <w:i/>
          <w:noProof/>
          <w:lang w:val="en-IE"/>
        </w:rPr>
        <w:t>A Systematic Literature Review for the Recycling and Reuse of Wasted Clothing</w:t>
      </w:r>
      <w:r w:rsidRPr="00013BDC">
        <w:rPr>
          <w:noProof/>
          <w:lang w:val="en-IE"/>
        </w:rPr>
        <w:t xml:space="preserve">  2021  </w:t>
      </w:r>
      <w:hyperlink r:id="rId183" w:history="1">
        <w:r w:rsidRPr="00013BDC">
          <w:rPr>
            <w:noProof/>
            <w:color w:val="0000FF" w:themeColor="hyperlink"/>
            <w:u w:val="single"/>
            <w:lang w:val="en-IE"/>
          </w:rPr>
          <w:t>https://www.mdpi.com/2071-1050/13/24/13732/pdf</w:t>
        </w:r>
      </w:hyperlink>
      <w:r w:rsidRPr="00013BDC">
        <w:rPr>
          <w:noProof/>
          <w:lang w:val="en-IE"/>
        </w:rPr>
        <w:t>.</w:t>
      </w:r>
    </w:p>
    <w:p w14:paraId="1ECA6A45" w14:textId="77777777" w:rsidR="00FB3D28" w:rsidRPr="00013BDC" w:rsidRDefault="00FB3D28" w:rsidP="00FB3D28">
      <w:pPr>
        <w:spacing w:after="0"/>
        <w:rPr>
          <w:rFonts w:eastAsia="Times New Roman"/>
          <w:noProof/>
          <w:lang w:val="en-IE"/>
        </w:rPr>
      </w:pPr>
      <w:r w:rsidRPr="00013BDC">
        <w:rPr>
          <w:rFonts w:eastAsia="Times New Roman"/>
          <w:noProof/>
          <w:lang w:val="en-IE"/>
        </w:rPr>
        <w:t xml:space="preserve">Migiro, G., </w:t>
      </w:r>
      <w:r w:rsidRPr="00013BDC">
        <w:rPr>
          <w:rFonts w:eastAsia="Times New Roman"/>
          <w:i/>
          <w:noProof/>
          <w:lang w:val="en-IE"/>
        </w:rPr>
        <w:t>Top 10 Textile Importing Countries In The World</w:t>
      </w:r>
      <w:r w:rsidRPr="00013BDC">
        <w:rPr>
          <w:rFonts w:eastAsia="Times New Roman"/>
          <w:noProof/>
          <w:lang w:val="en-IE"/>
        </w:rPr>
        <w:t xml:space="preserve">, WorldAtlas  in Economics  2020. </w:t>
      </w:r>
    </w:p>
    <w:p w14:paraId="565BA0B2" w14:textId="77777777" w:rsidR="00FB3D28" w:rsidRPr="00013BDC" w:rsidRDefault="00393BF7" w:rsidP="00FB3D28">
      <w:pPr>
        <w:spacing w:after="120"/>
        <w:rPr>
          <w:rFonts w:eastAsia="Times New Roman"/>
          <w:noProof/>
          <w:color w:val="0000FF" w:themeColor="hyperlink"/>
          <w:u w:val="single"/>
          <w:lang w:val="en-IE"/>
        </w:rPr>
      </w:pPr>
      <w:hyperlink r:id="rId184">
        <w:r w:rsidR="00FB3D28" w:rsidRPr="00013BDC">
          <w:rPr>
            <w:rFonts w:eastAsia="Times New Roman"/>
            <w:noProof/>
            <w:color w:val="0000FF" w:themeColor="hyperlink"/>
            <w:u w:val="single"/>
            <w:lang w:val="en-IE"/>
          </w:rPr>
          <w:t>https://www.worldatlas.com/articles/top-10-textile-importing-countries-in-the-world.html.</w:t>
        </w:r>
      </w:hyperlink>
    </w:p>
    <w:p w14:paraId="1430BF62" w14:textId="77777777" w:rsidR="00FB3D28" w:rsidRPr="00013BDC" w:rsidRDefault="00FB3D28" w:rsidP="00FB3D28">
      <w:pPr>
        <w:spacing w:after="120"/>
        <w:rPr>
          <w:rFonts w:eastAsia="Times New Roman"/>
          <w:noProof/>
          <w:color w:val="0000FF" w:themeColor="hyperlink"/>
          <w:u w:val="single"/>
          <w:lang w:val="en-IE"/>
        </w:rPr>
      </w:pPr>
      <w:r w:rsidRPr="00013BDC">
        <w:rPr>
          <w:noProof/>
          <w:lang w:val="en-IE"/>
        </w:rPr>
        <w:t xml:space="preserve">NRDC, </w:t>
      </w:r>
      <w:hyperlink r:id="rId185" w:history="1">
        <w:r w:rsidRPr="00013BDC">
          <w:rPr>
            <w:rFonts w:eastAsia="Times New Roman"/>
            <w:i/>
            <w:noProof/>
            <w:color w:val="0000FF" w:themeColor="hyperlink"/>
            <w:u w:val="single"/>
            <w:lang w:val="en-IE"/>
          </w:rPr>
          <w:t>Encourage Textile Manufacturers to Reduce Pollution</w:t>
        </w:r>
      </w:hyperlink>
      <w:r w:rsidRPr="00013BDC">
        <w:rPr>
          <w:noProof/>
          <w:color w:val="0563C1"/>
          <w:u w:val="single"/>
          <w:lang w:val="en-IE"/>
        </w:rPr>
        <w:t xml:space="preserve">  </w:t>
      </w:r>
      <w:r w:rsidRPr="00013BDC">
        <w:rPr>
          <w:noProof/>
          <w:lang w:val="en-IE"/>
        </w:rPr>
        <w:t>2022.</w:t>
      </w:r>
    </w:p>
    <w:p w14:paraId="2D2AC99A" w14:textId="698632FF" w:rsidR="00FB3D28" w:rsidRPr="00013BDC" w:rsidRDefault="00FB3D28" w:rsidP="00FB3D28">
      <w:pPr>
        <w:spacing w:after="120"/>
        <w:rPr>
          <w:rFonts w:eastAsia="Times New Roman"/>
          <w:noProof/>
          <w:color w:val="0000FF" w:themeColor="hyperlink"/>
          <w:u w:val="single"/>
          <w:lang w:val="en-IE"/>
        </w:rPr>
      </w:pPr>
      <w:r w:rsidRPr="00013BDC">
        <w:rPr>
          <w:rFonts w:eastAsia="Times New Roman"/>
          <w:noProof/>
          <w:color w:val="000000" w:themeColor="text1"/>
          <w:lang w:val="en-IE"/>
        </w:rPr>
        <w:t xml:space="preserve">OECD, </w:t>
      </w:r>
      <w:r w:rsidRPr="00013BDC">
        <w:rPr>
          <w:rFonts w:eastAsia="Times New Roman"/>
          <w:i/>
          <w:noProof/>
          <w:color w:val="000000" w:themeColor="text1"/>
          <w:lang w:val="en-IE"/>
        </w:rPr>
        <w:t xml:space="preserve">Germany supports sustainable textile production, </w:t>
      </w:r>
      <w:r w:rsidRPr="00013BDC">
        <w:rPr>
          <w:rFonts w:eastAsia="Times New Roman"/>
          <w:noProof/>
          <w:color w:val="000000" w:themeColor="text1"/>
          <w:lang w:val="en-IE"/>
        </w:rPr>
        <w:t xml:space="preserve">Development co-operation tips tools insights practices in practice 2022, </w:t>
      </w:r>
      <w:hyperlink r:id="rId186">
        <w:r w:rsidRPr="00013BDC">
          <w:rPr>
            <w:rFonts w:eastAsia="Times New Roman"/>
            <w:noProof/>
            <w:color w:val="0000FF" w:themeColor="hyperlink"/>
            <w:u w:val="single"/>
            <w:lang w:val="en-IE"/>
          </w:rPr>
          <w:t>Germany supports sustainable textile production - OECD.</w:t>
        </w:r>
      </w:hyperlink>
    </w:p>
    <w:p w14:paraId="5C5F55C0" w14:textId="4D6D2BD6" w:rsidR="00A45413" w:rsidRPr="00013BDC" w:rsidRDefault="00A45413" w:rsidP="00FB3D28">
      <w:pPr>
        <w:spacing w:after="120"/>
        <w:rPr>
          <w:rFonts w:eastAsia="Times New Roman"/>
          <w:noProof/>
          <w:color w:val="000000" w:themeColor="text1"/>
          <w:lang w:val="en-IE"/>
        </w:rPr>
      </w:pPr>
      <w:r w:rsidRPr="00013BDC">
        <w:rPr>
          <w:rFonts w:eastAsia="Times New Roman"/>
          <w:noProof/>
          <w:color w:val="000000" w:themeColor="text1"/>
          <w:lang w:val="en-IE"/>
        </w:rPr>
        <w:t xml:space="preserve">OECD, </w:t>
      </w:r>
      <w:r w:rsidRPr="00013BDC">
        <w:rPr>
          <w:rFonts w:eastAsia="Times New Roman"/>
          <w:i/>
          <w:noProof/>
          <w:color w:val="000000" w:themeColor="text1"/>
          <w:lang w:val="en-IE"/>
        </w:rPr>
        <w:t>Understanding the Spillovers and Transboundary Impacts of Public Policies, Implementing the 2030 Agenda for More Resilient Societies,</w:t>
      </w:r>
      <w:r w:rsidRPr="00013BDC">
        <w:rPr>
          <w:rFonts w:eastAsia="Times New Roman"/>
          <w:noProof/>
          <w:color w:val="000000" w:themeColor="text1"/>
          <w:lang w:val="en-IE"/>
        </w:rPr>
        <w:t xml:space="preserve"> 2021, https://www.oecd.org/gov/pcsd/understanding-the-spillovers-and-transboundary-impacts-of-public-policies-862c0db7-en.htm.</w:t>
      </w:r>
    </w:p>
    <w:p w14:paraId="5D84D8DC" w14:textId="77777777" w:rsidR="00FB3D28" w:rsidRPr="00013BDC" w:rsidRDefault="00FB3D28" w:rsidP="00FB3D28">
      <w:pPr>
        <w:spacing w:after="120"/>
        <w:rPr>
          <w:rFonts w:eastAsiaTheme="minorEastAsia"/>
          <w:noProof/>
          <w:color w:val="0000FF" w:themeColor="hyperlink"/>
          <w:u w:val="single"/>
          <w:lang w:val="en-IE"/>
        </w:rPr>
      </w:pPr>
      <w:r w:rsidRPr="00013BDC">
        <w:rPr>
          <w:rFonts w:eastAsiaTheme="minorEastAsia"/>
          <w:noProof/>
          <w:lang w:val="en-IE"/>
        </w:rPr>
        <w:t xml:space="preserve">Recycling Magazine, </w:t>
      </w:r>
      <w:r w:rsidRPr="00013BDC">
        <w:rPr>
          <w:rFonts w:eastAsiaTheme="minorEastAsia"/>
          <w:i/>
          <w:iCs/>
          <w:noProof/>
          <w:lang w:val="en-IE"/>
        </w:rPr>
        <w:t>World’s first fully automated textile sorting plant in Malmö</w:t>
      </w:r>
      <w:r w:rsidRPr="00013BDC">
        <w:rPr>
          <w:rFonts w:eastAsiaTheme="minorEastAsia"/>
          <w:noProof/>
          <w:lang w:val="en-IE"/>
        </w:rPr>
        <w:t xml:space="preserve">, 2021, </w:t>
      </w:r>
      <w:hyperlink r:id="rId187" w:history="1">
        <w:r w:rsidRPr="00013BDC">
          <w:rPr>
            <w:rFonts w:eastAsiaTheme="minorEastAsia"/>
            <w:noProof/>
            <w:color w:val="0000FF" w:themeColor="hyperlink"/>
            <w:u w:val="single"/>
            <w:lang w:val="en-IE"/>
          </w:rPr>
          <w:t>World’s first fully automated textile sorting plant in Malmö - RECYCLING magazine (recycling-magazine.com).</w:t>
        </w:r>
      </w:hyperlink>
    </w:p>
    <w:p w14:paraId="4C804770" w14:textId="77777777" w:rsidR="00FB3D28" w:rsidRPr="00013BDC" w:rsidRDefault="00FB3D28" w:rsidP="00FB3D28">
      <w:pPr>
        <w:spacing w:after="120"/>
        <w:rPr>
          <w:noProof/>
          <w:lang w:val="en-IE"/>
        </w:rPr>
      </w:pPr>
      <w:r w:rsidRPr="00013BDC">
        <w:rPr>
          <w:noProof/>
          <w:lang w:val="en-IE"/>
        </w:rPr>
        <w:t xml:space="preserve">Refashion press release, </w:t>
      </w:r>
      <w:r w:rsidRPr="00013BDC">
        <w:rPr>
          <w:i/>
          <w:iCs/>
          <w:noProof/>
          <w:lang w:val="en-IE"/>
        </w:rPr>
        <w:t>Lauch of RECYCLE by Refashion,</w:t>
      </w:r>
      <w:r w:rsidRPr="00013BDC">
        <w:rPr>
          <w:noProof/>
          <w:lang w:val="en-IE"/>
        </w:rPr>
        <w:t xml:space="preserve"> 2021, </w:t>
      </w:r>
      <w:hyperlink r:id="rId188" w:history="1">
        <w:r w:rsidRPr="00013BDC">
          <w:rPr>
            <w:noProof/>
            <w:color w:val="0000FF" w:themeColor="hyperlink"/>
            <w:u w:val="single"/>
            <w:lang w:val="en-IE"/>
          </w:rPr>
          <w:t>https://refashion.fr/pro/en/press-releases</w:t>
        </w:r>
      </w:hyperlink>
      <w:r w:rsidRPr="00013BDC">
        <w:rPr>
          <w:noProof/>
          <w:lang w:val="en-IE"/>
        </w:rPr>
        <w:t xml:space="preserve"> ; </w:t>
      </w:r>
      <w:hyperlink r:id="rId189" w:history="1">
        <w:r w:rsidRPr="00013BDC">
          <w:rPr>
            <w:noProof/>
            <w:color w:val="0000FF" w:themeColor="hyperlink"/>
            <w:u w:val="single"/>
            <w:lang w:val="en-IE"/>
          </w:rPr>
          <w:t>https://www.textile.fr/actualite/recycle-plateforme-digitale-de-mise-en-relation-des-acteurs-du-recyclage-de-refashion</w:t>
        </w:r>
      </w:hyperlink>
      <w:r w:rsidRPr="00013BDC">
        <w:rPr>
          <w:noProof/>
          <w:lang w:val="en-IE"/>
        </w:rPr>
        <w:t>.</w:t>
      </w:r>
    </w:p>
    <w:p w14:paraId="19F99B5F" w14:textId="77777777" w:rsidR="00FB3D28" w:rsidRPr="00013BDC" w:rsidRDefault="00FB3D28" w:rsidP="00FB3D28">
      <w:pPr>
        <w:spacing w:after="120"/>
        <w:rPr>
          <w:noProof/>
          <w:lang w:val="en-IE"/>
        </w:rPr>
      </w:pPr>
      <w:r w:rsidRPr="00013BDC">
        <w:rPr>
          <w:noProof/>
          <w:lang w:val="en-IE"/>
        </w:rPr>
        <w:t xml:space="preserve">RREUSE, </w:t>
      </w:r>
      <w:r w:rsidRPr="00013BDC">
        <w:rPr>
          <w:i/>
          <w:noProof/>
          <w:lang w:val="en-IE"/>
        </w:rPr>
        <w:t xml:space="preserve">Job creation in the reuse sector: data insights from social enterprises, </w:t>
      </w:r>
      <w:r w:rsidRPr="00013BDC">
        <w:rPr>
          <w:noProof/>
          <w:lang w:val="en-IE"/>
        </w:rPr>
        <w:t>2021.</w:t>
      </w:r>
    </w:p>
    <w:p w14:paraId="17CA4E47" w14:textId="77777777" w:rsidR="00FB3D28" w:rsidRPr="00013BDC" w:rsidRDefault="00FB3D28" w:rsidP="00FB3D28">
      <w:pPr>
        <w:spacing w:after="120"/>
        <w:rPr>
          <w:noProof/>
          <w:lang w:val="en-IE"/>
        </w:rPr>
      </w:pPr>
      <w:r w:rsidRPr="00013BDC">
        <w:rPr>
          <w:noProof/>
          <w:lang w:val="en-IE"/>
        </w:rPr>
        <w:t xml:space="preserve">RREUSE, </w:t>
      </w:r>
      <w:r w:rsidRPr="00013BDC">
        <w:rPr>
          <w:i/>
          <w:noProof/>
          <w:lang w:val="en-IE"/>
        </w:rPr>
        <w:t>Vision for a new fashion season: social and circular stakeholder workshop</w:t>
      </w:r>
      <w:r w:rsidRPr="00013BDC">
        <w:rPr>
          <w:noProof/>
          <w:lang w:val="en-IE"/>
        </w:rPr>
        <w:t xml:space="preserve"> The Policy hub – response to interview questionnaire. </w:t>
      </w:r>
    </w:p>
    <w:p w14:paraId="4729A733" w14:textId="77777777" w:rsidR="00FB3D28" w:rsidRPr="00013BDC" w:rsidRDefault="00FB3D28" w:rsidP="00FB3D28">
      <w:pPr>
        <w:spacing w:after="120"/>
        <w:rPr>
          <w:noProof/>
          <w:lang w:val="en-IE"/>
        </w:rPr>
      </w:pPr>
      <w:r w:rsidRPr="00013BDC">
        <w:rPr>
          <w:noProof/>
          <w:lang w:val="en-IE"/>
        </w:rPr>
        <w:t xml:space="preserve">RREUSE, </w:t>
      </w:r>
      <w:r w:rsidRPr="00013BDC">
        <w:rPr>
          <w:i/>
          <w:noProof/>
          <w:lang w:val="en-IE"/>
        </w:rPr>
        <w:t xml:space="preserve">Research study on developing reuse networks in Europe, </w:t>
      </w:r>
      <w:r w:rsidRPr="00013BDC">
        <w:rPr>
          <w:noProof/>
          <w:lang w:val="en-IE"/>
        </w:rPr>
        <w:t>2022</w:t>
      </w:r>
    </w:p>
    <w:p w14:paraId="24002C37" w14:textId="77777777" w:rsidR="00FB3D28" w:rsidRPr="00013BDC" w:rsidRDefault="00FB3D28" w:rsidP="00FB3D28">
      <w:pPr>
        <w:spacing w:after="120"/>
        <w:rPr>
          <w:noProof/>
          <w:lang w:val="en-IE"/>
        </w:rPr>
      </w:pPr>
      <w:r w:rsidRPr="00013BDC">
        <w:rPr>
          <w:noProof/>
          <w:lang w:val="en-IE"/>
        </w:rPr>
        <w:t xml:space="preserve">Sandin, G., and M. Peters, G., </w:t>
      </w:r>
      <w:r w:rsidRPr="00013BDC">
        <w:rPr>
          <w:i/>
          <w:noProof/>
          <w:lang w:val="en-IE"/>
        </w:rPr>
        <w:t>Environmental impact of textile reuse and recycling – A review</w:t>
      </w:r>
      <w:r w:rsidRPr="00013BDC">
        <w:rPr>
          <w:noProof/>
          <w:lang w:val="en-IE"/>
        </w:rPr>
        <w:t xml:space="preserve">, 2018, </w:t>
      </w:r>
      <w:hyperlink r:id="rId190" w:anchor="bib21">
        <w:r w:rsidRPr="00013BDC">
          <w:rPr>
            <w:noProof/>
            <w:color w:val="0000FF" w:themeColor="hyperlink"/>
            <w:u w:val="single"/>
            <w:lang w:val="en-IE"/>
          </w:rPr>
          <w:t>https://www.sciencedirect.com/science/article/pii/S0959652618305985#bib21</w:t>
        </w:r>
      </w:hyperlink>
      <w:r w:rsidRPr="00013BDC">
        <w:rPr>
          <w:noProof/>
          <w:lang w:val="en-IE"/>
        </w:rPr>
        <w:t>.</w:t>
      </w:r>
    </w:p>
    <w:p w14:paraId="35AD07E8" w14:textId="77777777" w:rsidR="00FB3D28" w:rsidRPr="00013BDC" w:rsidRDefault="00393BF7" w:rsidP="00FB3D28">
      <w:pPr>
        <w:spacing w:after="120"/>
        <w:rPr>
          <w:noProof/>
          <w:lang w:val="en-IE"/>
        </w:rPr>
      </w:pPr>
      <w:hyperlink r:id="rId191" w:anchor="section-cited-by">
        <w:r w:rsidR="00FB3D28" w:rsidRPr="00013BDC">
          <w:rPr>
            <w:noProof/>
            <w:lang w:val="en-IE"/>
          </w:rPr>
          <w:t xml:space="preserve">Scheffer, M.R. </w:t>
        </w:r>
      </w:hyperlink>
      <w:r w:rsidR="00FB3D28" w:rsidRPr="00013BDC">
        <w:rPr>
          <w:noProof/>
          <w:lang w:val="en-IE"/>
        </w:rPr>
        <w:t>’Shishoo R. (ed.). The global textile and clothing industry</w:t>
      </w:r>
      <w:r w:rsidR="00FB3D28" w:rsidRPr="00013BDC">
        <w:rPr>
          <w:i/>
          <w:noProof/>
          <w:lang w:val="en-IE"/>
        </w:rPr>
        <w:t xml:space="preserve"> </w:t>
      </w:r>
      <w:r w:rsidR="00FB3D28" w:rsidRPr="00013BDC">
        <w:rPr>
          <w:noProof/>
          <w:lang w:val="en-IE"/>
        </w:rPr>
        <w:t xml:space="preserve">Technological advances and future challenges  </w:t>
      </w:r>
      <w:r w:rsidR="00FB3D28" w:rsidRPr="00013BDC">
        <w:rPr>
          <w:i/>
          <w:noProof/>
          <w:lang w:val="en-IE"/>
        </w:rPr>
        <w:t xml:space="preserve">Trends in textile markets and their implications for textile products and processes </w:t>
      </w:r>
      <w:r w:rsidR="00FB3D28" w:rsidRPr="00013BDC">
        <w:rPr>
          <w:noProof/>
          <w:lang w:val="en-IE"/>
        </w:rPr>
        <w:t xml:space="preserve"> Cambridge: Woodhead Publishing Ltd  2012  pp. 8– 28.</w:t>
      </w:r>
    </w:p>
    <w:p w14:paraId="4A152586" w14:textId="77777777" w:rsidR="00FB3D28" w:rsidRPr="00013BDC" w:rsidRDefault="00FB3D28" w:rsidP="00FB3D28">
      <w:pPr>
        <w:spacing w:after="120"/>
        <w:rPr>
          <w:noProof/>
          <w:lang w:val="en-IE"/>
        </w:rPr>
      </w:pPr>
      <w:r w:rsidRPr="00013BDC">
        <w:rPr>
          <w:noProof/>
          <w:lang w:val="en-IE"/>
        </w:rPr>
        <w:t xml:space="preserve">Shaikh, M.A., </w:t>
      </w:r>
      <w:hyperlink r:id="rId192" w:history="1">
        <w:r w:rsidRPr="00013BDC">
          <w:rPr>
            <w:i/>
            <w:noProof/>
            <w:color w:val="0000FF" w:themeColor="hyperlink"/>
            <w:u w:val="single"/>
            <w:lang w:val="en-IE"/>
          </w:rPr>
          <w:t>Water conservation in textile industry</w:t>
        </w:r>
      </w:hyperlink>
      <w:r w:rsidRPr="00013BDC">
        <w:rPr>
          <w:i/>
          <w:noProof/>
          <w:lang w:val="en-IE"/>
        </w:rPr>
        <w:t>,</w:t>
      </w:r>
      <w:r w:rsidRPr="00013BDC">
        <w:rPr>
          <w:noProof/>
          <w:lang w:val="en-IE"/>
        </w:rPr>
        <w:t xml:space="preserve"> College of Textile Engineering, SFDAC, 2009.</w:t>
      </w:r>
    </w:p>
    <w:p w14:paraId="284D6225" w14:textId="77777777" w:rsidR="00FB3D28" w:rsidRPr="00013BDC" w:rsidRDefault="00FB3D28" w:rsidP="00FB3D28">
      <w:pPr>
        <w:spacing w:after="120"/>
        <w:rPr>
          <w:rFonts w:eastAsia="Times New Roman"/>
          <w:noProof/>
          <w:color w:val="0000FF" w:themeColor="hyperlink"/>
          <w:u w:val="single"/>
          <w:lang w:val="en-IE"/>
        </w:rPr>
      </w:pPr>
      <w:r w:rsidRPr="00013BDC">
        <w:rPr>
          <w:rFonts w:eastAsia="Times New Roman"/>
          <w:noProof/>
          <w:color w:val="000000" w:themeColor="text1"/>
          <w:lang w:val="en-IE"/>
        </w:rPr>
        <w:t xml:space="preserve">Statista, </w:t>
      </w:r>
      <w:r w:rsidRPr="00013BDC">
        <w:rPr>
          <w:rFonts w:eastAsia="Times New Roman"/>
          <w:i/>
          <w:iCs/>
          <w:noProof/>
          <w:color w:val="000000" w:themeColor="text1"/>
          <w:lang w:val="en-IE"/>
        </w:rPr>
        <w:t xml:space="preserve">Fashion e-commerce revenue forecast in Europe from 2017 to 2025, by segment, </w:t>
      </w:r>
      <w:r w:rsidRPr="00013BDC">
        <w:rPr>
          <w:rFonts w:eastAsia="Times New Roman"/>
          <w:noProof/>
          <w:color w:val="000000" w:themeColor="text1"/>
          <w:lang w:val="en-IE"/>
        </w:rPr>
        <w:t xml:space="preserve">2022 </w:t>
      </w:r>
      <w:hyperlink r:id="rId193">
        <w:r w:rsidRPr="00013BDC">
          <w:rPr>
            <w:rFonts w:eastAsia="Times New Roman"/>
            <w:noProof/>
            <w:color w:val="0000FF" w:themeColor="hyperlink"/>
            <w:u w:val="single"/>
            <w:lang w:val="en-IE"/>
          </w:rPr>
          <w:t>Europe: e-commerce fashion segment revenue | Statista.</w:t>
        </w:r>
      </w:hyperlink>
    </w:p>
    <w:p w14:paraId="3BBADE76" w14:textId="77777777" w:rsidR="00FB3D28" w:rsidRPr="00013BDC" w:rsidRDefault="00FB3D28" w:rsidP="00FB3D28">
      <w:pPr>
        <w:spacing w:after="120"/>
        <w:rPr>
          <w:noProof/>
          <w:lang w:val="en-IE"/>
        </w:rPr>
      </w:pPr>
      <w:r w:rsidRPr="00013BDC">
        <w:rPr>
          <w:noProof/>
          <w:lang w:val="en-IE"/>
        </w:rPr>
        <w:t xml:space="preserve">STATISTA, </w:t>
      </w:r>
      <w:r w:rsidRPr="00013BDC">
        <w:rPr>
          <w:i/>
          <w:noProof/>
          <w:lang w:val="en-IE"/>
        </w:rPr>
        <w:t xml:space="preserve">Household consumption of textiles and clothing in the European Union from 2009 to 2020, </w:t>
      </w:r>
      <w:r w:rsidRPr="00013BDC">
        <w:rPr>
          <w:noProof/>
          <w:lang w:val="en-IE"/>
        </w:rPr>
        <w:t>2022.</w:t>
      </w:r>
    </w:p>
    <w:p w14:paraId="0AF5377A" w14:textId="0329725B" w:rsidR="00FB3D28" w:rsidRPr="00013BDC" w:rsidRDefault="00393BF7" w:rsidP="00FB3D28">
      <w:pPr>
        <w:spacing w:after="120"/>
        <w:rPr>
          <w:noProof/>
          <w:color w:val="0000FF" w:themeColor="hyperlink"/>
          <w:u w:val="single"/>
          <w:lang w:val="en-IE"/>
        </w:rPr>
      </w:pPr>
      <w:hyperlink r:id="rId194" w:history="1">
        <w:r w:rsidR="00FB3D28" w:rsidRPr="00013BDC">
          <w:rPr>
            <w:noProof/>
            <w:color w:val="0000FF" w:themeColor="hyperlink"/>
            <w:u w:val="single"/>
            <w:lang w:val="en-IE"/>
          </w:rPr>
          <w:t>Textile &amp; clothing EU household consumption 2009-2020 | Statista.</w:t>
        </w:r>
      </w:hyperlink>
    </w:p>
    <w:p w14:paraId="7C5DF84B" w14:textId="77777777" w:rsidR="00FB3D28" w:rsidRPr="00013BDC" w:rsidRDefault="00FB3D28" w:rsidP="00FB3D28">
      <w:pPr>
        <w:spacing w:after="120"/>
        <w:rPr>
          <w:noProof/>
          <w:lang w:val="en-IE"/>
        </w:rPr>
      </w:pPr>
      <w:r w:rsidRPr="00013BDC">
        <w:rPr>
          <w:noProof/>
          <w:lang w:val="en-IE"/>
        </w:rPr>
        <w:t xml:space="preserve">Swedish Environmental Protection Agency, </w:t>
      </w:r>
      <w:r w:rsidRPr="00013BDC">
        <w:rPr>
          <w:i/>
          <w:noProof/>
          <w:lang w:val="en-IE"/>
        </w:rPr>
        <w:t>Response to interview questionnaire</w:t>
      </w:r>
      <w:r w:rsidRPr="00013BDC">
        <w:rPr>
          <w:noProof/>
          <w:lang w:val="en-IE"/>
        </w:rPr>
        <w:t>, 2022.</w:t>
      </w:r>
    </w:p>
    <w:p w14:paraId="3C0B3F32" w14:textId="77777777" w:rsidR="00FB3D28" w:rsidRPr="00013BDC" w:rsidRDefault="00FB3D28" w:rsidP="00FB3D28">
      <w:pPr>
        <w:spacing w:after="0"/>
        <w:rPr>
          <w:rFonts w:eastAsia="Times New Roman"/>
          <w:noProof/>
          <w:color w:val="000000" w:themeColor="text1"/>
          <w:lang w:val="en-IE"/>
        </w:rPr>
      </w:pPr>
      <w:r w:rsidRPr="00013BDC">
        <w:rPr>
          <w:rFonts w:eastAsia="Times New Roman"/>
          <w:noProof/>
          <w:color w:val="000000" w:themeColor="text1"/>
          <w:lang w:val="en-IE"/>
        </w:rPr>
        <w:t xml:space="preserve">The Conversation, </w:t>
      </w:r>
      <w:r w:rsidRPr="00013BDC">
        <w:rPr>
          <w:rFonts w:eastAsia="Times New Roman"/>
          <w:i/>
          <w:noProof/>
          <w:color w:val="000000" w:themeColor="text1"/>
          <w:lang w:val="en-IE"/>
        </w:rPr>
        <w:t xml:space="preserve">Do you shop for second-hand clothes? You’re likely to be more stylish, </w:t>
      </w:r>
      <w:r w:rsidRPr="00013BDC">
        <w:rPr>
          <w:rFonts w:eastAsia="Times New Roman"/>
          <w:noProof/>
          <w:color w:val="000000" w:themeColor="text1"/>
          <w:lang w:val="en-IE"/>
        </w:rPr>
        <w:t>2022.</w:t>
      </w:r>
    </w:p>
    <w:p w14:paraId="16843503" w14:textId="77777777" w:rsidR="00FB3D28" w:rsidRPr="00013BDC" w:rsidRDefault="00393BF7" w:rsidP="00FB3D28">
      <w:pPr>
        <w:spacing w:after="120"/>
        <w:rPr>
          <w:rFonts w:eastAsia="Times New Roman"/>
          <w:noProof/>
          <w:color w:val="000000" w:themeColor="text1"/>
          <w:lang w:val="en-IE"/>
        </w:rPr>
      </w:pPr>
      <w:hyperlink r:id="rId195">
        <w:r w:rsidR="00FB3D28" w:rsidRPr="00013BDC">
          <w:rPr>
            <w:rFonts w:eastAsia="Times New Roman"/>
            <w:noProof/>
            <w:color w:val="0000FF" w:themeColor="hyperlink"/>
            <w:u w:val="single"/>
            <w:lang w:val="en-IE"/>
          </w:rPr>
          <w:t>Do you shop for second-hand clothes? You're likely to be more stylish (theconversation.com).</w:t>
        </w:r>
      </w:hyperlink>
      <w:r w:rsidR="00FB3D28" w:rsidRPr="00013BDC">
        <w:rPr>
          <w:noProof/>
          <w:lang w:val="en-IE"/>
        </w:rPr>
        <w:t xml:space="preserve"> </w:t>
      </w:r>
    </w:p>
    <w:p w14:paraId="68F27161" w14:textId="77777777" w:rsidR="00FB3D28" w:rsidRPr="00013BDC" w:rsidRDefault="00FB3D28" w:rsidP="00FB3D28">
      <w:pPr>
        <w:spacing w:after="120"/>
        <w:rPr>
          <w:noProof/>
          <w:color w:val="0000FF" w:themeColor="hyperlink"/>
          <w:u w:val="single"/>
          <w:lang w:val="en-IE"/>
        </w:rPr>
      </w:pPr>
      <w:r w:rsidRPr="00013BDC">
        <w:rPr>
          <w:noProof/>
          <w:lang w:val="en-IE"/>
        </w:rPr>
        <w:t xml:space="preserve">The Exchange, </w:t>
      </w:r>
      <w:r w:rsidRPr="00013BDC">
        <w:rPr>
          <w:i/>
          <w:noProof/>
          <w:lang w:val="en-IE"/>
        </w:rPr>
        <w:t>Africa is fighting a losing battle banning used apparel</w:t>
      </w:r>
      <w:r w:rsidRPr="00013BDC">
        <w:rPr>
          <w:noProof/>
          <w:lang w:val="en-IE"/>
        </w:rPr>
        <w:t xml:space="preserve">, 2021, </w:t>
      </w:r>
      <w:hyperlink r:id="rId196">
        <w:r w:rsidRPr="00013BDC">
          <w:rPr>
            <w:noProof/>
            <w:color w:val="0000FF" w:themeColor="hyperlink"/>
            <w:u w:val="single"/>
            <w:lang w:val="en-IE"/>
          </w:rPr>
          <w:t>https://theexchange.africa/industry-and-trade/africa-second-hand-clothes-imports-ban/.</w:t>
        </w:r>
      </w:hyperlink>
    </w:p>
    <w:p w14:paraId="37F48668" w14:textId="77777777" w:rsidR="00FB3D28" w:rsidRPr="00013BDC" w:rsidRDefault="00FB3D28" w:rsidP="00FB3D28">
      <w:pPr>
        <w:spacing w:after="120"/>
        <w:rPr>
          <w:noProof/>
          <w:lang w:val="en-IE"/>
        </w:rPr>
      </w:pPr>
      <w:r w:rsidRPr="00013BDC">
        <w:rPr>
          <w:noProof/>
          <w:lang w:val="en-IE"/>
        </w:rPr>
        <w:t xml:space="preserve">The Policy Hub, </w:t>
      </w:r>
      <w:r w:rsidRPr="00013BDC">
        <w:rPr>
          <w:i/>
          <w:noProof/>
          <w:lang w:val="en-IE"/>
        </w:rPr>
        <w:t>Circularity for Apparel and Footwear</w:t>
      </w:r>
      <w:r w:rsidRPr="00013BDC">
        <w:rPr>
          <w:noProof/>
          <w:lang w:val="en-IE"/>
        </w:rPr>
        <w:t>, Response to interview questionnaire, 2022.</w:t>
      </w:r>
    </w:p>
    <w:p w14:paraId="3AD51A66" w14:textId="77777777" w:rsidR="00FB3D28" w:rsidRPr="00013BDC" w:rsidRDefault="00FB3D28" w:rsidP="00FB3D28">
      <w:pPr>
        <w:spacing w:after="120"/>
        <w:rPr>
          <w:noProof/>
          <w:lang w:val="en-IE"/>
        </w:rPr>
      </w:pPr>
      <w:r w:rsidRPr="00013BDC">
        <w:rPr>
          <w:noProof/>
          <w:lang w:val="en-IE"/>
        </w:rPr>
        <w:t xml:space="preserve">Tojo, N., Kogg, B., Kiørboe, N., Kjær B. and Aalto K., </w:t>
      </w:r>
      <w:r w:rsidRPr="00013BDC">
        <w:rPr>
          <w:i/>
          <w:noProof/>
          <w:lang w:val="en-IE"/>
        </w:rPr>
        <w:t>Prevention of Textile Waste. Material flows of textiles in three Nordic countries and suggestions on policy instruments</w:t>
      </w:r>
      <w:r w:rsidRPr="00013BDC">
        <w:rPr>
          <w:noProof/>
          <w:lang w:val="en-IE"/>
        </w:rPr>
        <w:t>, NORDEN, http://dx.doi.org/10.6027/TN2012-545</w:t>
      </w:r>
    </w:p>
    <w:p w14:paraId="7893A967" w14:textId="3B388798" w:rsidR="00F01646" w:rsidRPr="00013BDC" w:rsidRDefault="007F5D80" w:rsidP="003D4074">
      <w:pPr>
        <w:spacing w:after="120"/>
        <w:rPr>
          <w:rFonts w:eastAsia="Times New Roman"/>
          <w:noProof/>
          <w:lang w:val="en-IE"/>
        </w:rPr>
      </w:pPr>
      <w:r w:rsidRPr="00013BDC">
        <w:rPr>
          <w:noProof/>
          <w:lang w:val="en-IE"/>
        </w:rPr>
        <w:t>United Nations,</w:t>
      </w:r>
      <w:r w:rsidR="003D4074" w:rsidRPr="00013BDC">
        <w:rPr>
          <w:noProof/>
          <w:lang w:val="en-IE"/>
        </w:rPr>
        <w:t xml:space="preserve"> Kuwonu, F.,</w:t>
      </w:r>
      <w:r w:rsidRPr="00013BDC">
        <w:rPr>
          <w:noProof/>
          <w:lang w:val="en-IE"/>
        </w:rPr>
        <w:t xml:space="preserve"> </w:t>
      </w:r>
      <w:hyperlink r:id="rId197" w:history="1">
        <w:r w:rsidR="00F01646" w:rsidRPr="00013BDC">
          <w:rPr>
            <w:rStyle w:val="Hyperlink"/>
            <w:noProof/>
            <w:lang w:val="en-IE"/>
          </w:rPr>
          <w:t>Protectionist ban on imported used clothing | Africa Renewal (un.org)</w:t>
        </w:r>
      </w:hyperlink>
      <w:r w:rsidRPr="00013BDC">
        <w:rPr>
          <w:noProof/>
          <w:lang w:val="en-IE"/>
        </w:rPr>
        <w:t xml:space="preserve">, </w:t>
      </w:r>
      <w:r w:rsidR="003D4074" w:rsidRPr="00013BDC">
        <w:rPr>
          <w:noProof/>
          <w:lang w:val="en-IE"/>
        </w:rPr>
        <w:t>December 2017 - March 2018</w:t>
      </w:r>
    </w:p>
    <w:p w14:paraId="1C6293FF" w14:textId="21C0B2AF" w:rsidR="00FB3D28" w:rsidRPr="00013BDC" w:rsidRDefault="00FB3D28" w:rsidP="00FB3D28">
      <w:pPr>
        <w:spacing w:after="120"/>
        <w:rPr>
          <w:rFonts w:eastAsia="Times New Roman"/>
          <w:noProof/>
          <w:lang w:val="en-IE"/>
        </w:rPr>
      </w:pPr>
      <w:r w:rsidRPr="00013BDC">
        <w:rPr>
          <w:rFonts w:eastAsia="Times New Roman"/>
          <w:noProof/>
          <w:lang w:val="en-IE"/>
        </w:rPr>
        <w:t xml:space="preserve">Watson, D., Kant Hvass, K., Moora, H., Martin, K., Nausėdė, V., Gurauskiene, I., &amp; Akule, D., </w:t>
      </w:r>
      <w:r w:rsidRPr="00013BDC">
        <w:rPr>
          <w:rFonts w:eastAsia="Times New Roman"/>
          <w:i/>
          <w:noProof/>
          <w:lang w:val="en-IE"/>
        </w:rPr>
        <w:t xml:space="preserve">Textile circularity in the Baltic countries: current status and recommendations for the future </w:t>
      </w:r>
      <w:r w:rsidRPr="00013BDC">
        <w:rPr>
          <w:rFonts w:eastAsia="Times New Roman"/>
          <w:noProof/>
          <w:lang w:val="en-IE"/>
        </w:rPr>
        <w:t xml:space="preserve"> Nordic Council of Ministers TemaNord Report  2020b.</w:t>
      </w:r>
    </w:p>
    <w:p w14:paraId="0CD4686B" w14:textId="4731701A" w:rsidR="00FB3D28" w:rsidRPr="00013BDC" w:rsidRDefault="00FB3D28" w:rsidP="00FB3D28">
      <w:pPr>
        <w:spacing w:after="120"/>
        <w:rPr>
          <w:rFonts w:eastAsia="Times New Roman"/>
          <w:noProof/>
          <w:lang w:val="en-IE"/>
        </w:rPr>
      </w:pPr>
      <w:r w:rsidRPr="00013BDC">
        <w:rPr>
          <w:rFonts w:eastAsia="Times New Roman"/>
          <w:noProof/>
          <w:lang w:val="en-IE"/>
        </w:rPr>
        <w:t xml:space="preserve">Watson, D., Trzepacz, S., Kiørboe, N., Elander, M., Ljungkvist Nordin, H., Lander Svendsen N., &amp; Wittus Skottfelt, S., </w:t>
      </w:r>
      <w:r w:rsidRPr="00013BDC">
        <w:rPr>
          <w:rFonts w:eastAsia="Times New Roman"/>
          <w:i/>
          <w:noProof/>
          <w:lang w:val="en-IE"/>
        </w:rPr>
        <w:t>Towards 2025: Separate Collection and Treatment of Used Textiles in 6 EU countries</w:t>
      </w:r>
      <w:r w:rsidRPr="00013BDC">
        <w:rPr>
          <w:rFonts w:eastAsia="Times New Roman"/>
          <w:noProof/>
          <w:lang w:val="en-IE"/>
        </w:rPr>
        <w:t xml:space="preserve">  2020a.</w:t>
      </w:r>
    </w:p>
    <w:p w14:paraId="4BB68EFC" w14:textId="77777777" w:rsidR="00FB3D28" w:rsidRPr="00013BDC" w:rsidRDefault="00FB3D28" w:rsidP="00FB3D28">
      <w:pPr>
        <w:spacing w:after="120"/>
        <w:rPr>
          <w:rFonts w:eastAsia="Times New Roman"/>
          <w:noProof/>
          <w:lang w:val="en-IE"/>
        </w:rPr>
      </w:pPr>
      <w:r w:rsidRPr="00013BDC">
        <w:rPr>
          <w:rFonts w:eastAsia="Times New Roman"/>
          <w:noProof/>
          <w:lang w:val="en-IE"/>
        </w:rPr>
        <w:t xml:space="preserve">Watson, D., Aare, A., K., Trzepacz, S., and Dahl Petersen, C., </w:t>
      </w:r>
      <w:r w:rsidRPr="00013BDC">
        <w:rPr>
          <w:rFonts w:eastAsia="Times New Roman"/>
          <w:i/>
          <w:noProof/>
          <w:lang w:val="en-IE"/>
        </w:rPr>
        <w:t>Used Textile Collection in European Cities,</w:t>
      </w:r>
      <w:r w:rsidRPr="00013BDC">
        <w:rPr>
          <w:rFonts w:eastAsia="Times New Roman"/>
          <w:noProof/>
          <w:lang w:val="en-IE"/>
        </w:rPr>
        <w:t xml:space="preserve"> Study commissioned by Rijkswaterstaat under the European Clothing Action Plan (ECAP)  2018a.</w:t>
      </w:r>
    </w:p>
    <w:p w14:paraId="359849A4" w14:textId="77777777" w:rsidR="00FB3D28" w:rsidRPr="00013BDC" w:rsidRDefault="00FB3D28" w:rsidP="00FB3D28">
      <w:pPr>
        <w:spacing w:before="120" w:after="120"/>
        <w:jc w:val="center"/>
        <w:rPr>
          <w:rFonts w:eastAsia="Calibri"/>
          <w:b/>
          <w:noProof/>
          <w:lang w:val="en-IE"/>
        </w:rPr>
      </w:pPr>
    </w:p>
    <w:p w14:paraId="2E4DE83A" w14:textId="3CF7DC42" w:rsidR="00FB3D28" w:rsidRPr="00013BDC" w:rsidRDefault="00101833" w:rsidP="00737FFB">
      <w:pPr>
        <w:pStyle w:val="AnnexTitle"/>
        <w:rPr>
          <w:rFonts w:eastAsia="Calibri"/>
          <w:noProof/>
          <w:lang w:val="en-IE"/>
        </w:rPr>
      </w:pPr>
      <w:bookmarkStart w:id="735" w:name="_Toc139032996"/>
      <w:r w:rsidRPr="00013BDC">
        <w:rPr>
          <w:noProof/>
          <w:lang w:val="en-IE"/>
        </w:rPr>
        <w:t>B</w:t>
      </w:r>
      <w:r w:rsidR="00635164" w:rsidRPr="00013BDC">
        <w:rPr>
          <w:noProof/>
          <w:lang w:val="en-IE"/>
        </w:rPr>
        <w:t>ibliography for food waste</w:t>
      </w:r>
      <w:bookmarkEnd w:id="735"/>
    </w:p>
    <w:p w14:paraId="7DD2D621" w14:textId="2E5D727E" w:rsidR="00FB3D28" w:rsidRPr="00013BDC" w:rsidRDefault="00FB3D28" w:rsidP="00FB3D28">
      <w:pPr>
        <w:widowControl w:val="0"/>
        <w:autoSpaceDE w:val="0"/>
        <w:autoSpaceDN w:val="0"/>
        <w:adjustRightInd w:val="0"/>
        <w:ind w:left="480" w:hanging="480"/>
        <w:rPr>
          <w:noProof/>
          <w:lang w:val="en-IE"/>
        </w:rPr>
      </w:pPr>
      <w:r w:rsidRPr="00013BDC">
        <w:rPr>
          <w:noProof/>
          <w:lang w:val="en-IE"/>
        </w:rPr>
        <w:t>Aguiar, A., Chepeliev, M., Corong, E., Mcdougal, R., Van der Mensbrugghe, D., The gtap data base: Version 10. J. Glob. Econ. Anal. 4 1–27, 2019a, https://doi.org/10.21642/JGEA.040101AF</w:t>
      </w:r>
    </w:p>
    <w:p w14:paraId="1C6DA0C2" w14:textId="6663220C" w:rsidR="00FB3D28" w:rsidRPr="00013BDC" w:rsidRDefault="00FB3D28" w:rsidP="00FB3D28">
      <w:pPr>
        <w:widowControl w:val="0"/>
        <w:autoSpaceDE w:val="0"/>
        <w:autoSpaceDN w:val="0"/>
        <w:adjustRightInd w:val="0"/>
        <w:ind w:left="480" w:hanging="480"/>
        <w:rPr>
          <w:noProof/>
          <w:lang w:val="en-IE"/>
        </w:rPr>
      </w:pPr>
      <w:r w:rsidRPr="00013BDC">
        <w:rPr>
          <w:noProof/>
          <w:lang w:val="en-IE"/>
        </w:rPr>
        <w:t>Aguiar A Corong E.L an der Mensbrugghe D Bekkers E Koopman R Teh R 2019b. The WTO Global Trade Model: Technical documentation WTO Staff Working Papers.</w:t>
      </w:r>
    </w:p>
    <w:p w14:paraId="041E0140" w14:textId="2CB5402B" w:rsidR="006D0C68" w:rsidRPr="00013BDC" w:rsidRDefault="006D0C68" w:rsidP="00FB3D28">
      <w:pPr>
        <w:widowControl w:val="0"/>
        <w:autoSpaceDE w:val="0"/>
        <w:autoSpaceDN w:val="0"/>
        <w:adjustRightInd w:val="0"/>
        <w:ind w:left="480" w:hanging="480"/>
        <w:rPr>
          <w:noProof/>
          <w:lang w:val="en-IE"/>
        </w:rPr>
      </w:pPr>
      <w:r w:rsidRPr="00013BDC">
        <w:rPr>
          <w:noProof/>
          <w:lang w:val="en-IE"/>
        </w:rPr>
        <w:t>Andreasi Bassi, S., Biganzoli, F., Ferrara, N., Amadei, A., Valente, A., Sala, S. and Ardente, F. (2023) Updated characterisation and normalisation factors for the Environmental Footprint 3.1 method, EUR 31414 EN, Publications Office of the European Union, Luxembourg, ISBN 978-92-76-99069-7, doi:10.2760/798894, JRC130796.</w:t>
      </w:r>
    </w:p>
    <w:p w14:paraId="34BCF431"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it-IT"/>
        </w:rPr>
        <w:t xml:space="preserve">Barba Navaretti G Castellani D Pieri F 2014. </w:t>
      </w:r>
      <w:r w:rsidRPr="00013BDC">
        <w:rPr>
          <w:noProof/>
          <w:lang w:val="en-IE"/>
        </w:rPr>
        <w:t>Age and firm growth: evidence from three European countries. Small Bus. Econ. 43 823–837. https://doi.org/10.1007/s11187-014-9564-6</w:t>
      </w:r>
    </w:p>
    <w:p w14:paraId="4FF0BABD" w14:textId="7633FEB0" w:rsidR="00FB3D28" w:rsidRPr="00013BDC" w:rsidRDefault="00FB3D28" w:rsidP="00FB3D28">
      <w:pPr>
        <w:widowControl w:val="0"/>
        <w:autoSpaceDE w:val="0"/>
        <w:autoSpaceDN w:val="0"/>
        <w:adjustRightInd w:val="0"/>
        <w:ind w:left="480" w:hanging="480"/>
        <w:rPr>
          <w:noProof/>
          <w:lang w:val="en-IE"/>
        </w:rPr>
      </w:pPr>
      <w:r w:rsidRPr="00013BDC">
        <w:rPr>
          <w:noProof/>
          <w:lang w:val="en-IE"/>
        </w:rPr>
        <w:t>Bartelings H Verma M Boysen K 2021. Waste management and circular economy in a CGE framework Heleen Bartelings. 24th Annual Conference on Global Economic Analysis p. 14.</w:t>
      </w:r>
    </w:p>
    <w:p w14:paraId="5C43DFE4"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Beck T DEMIRGÜÇ-KUNT A MAKSIMOVIC V 2005. Financial and Legal Constraints to Growth: Does Firm Size Matter? J. Finance 60 137–177. https://doi.org/10.1111/j.1540-6261.2005.00727.x</w:t>
      </w:r>
    </w:p>
    <w:p w14:paraId="32F10F03"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Boulanger P Boysen-Urban K Philippidis G 2021. European union agricultural support ‘coupling’ in simulation modelling: Measuring the sustainability impacts. Sustainability 13 1–17. https://doi.org/10.3390/su13063264</w:t>
      </w:r>
    </w:p>
    <w:p w14:paraId="64D9B01E"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Boulanger P Philippidis G 2015. The EU budget battle: Assessing the trade and welfare impacts of CAP budgetary reform. Food Policy 51 119–130. https://doi.org/10.1016/j.foodpol.2015.01.004</w:t>
      </w:r>
    </w:p>
    <w:p w14:paraId="0E465A6D"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Boysen-Urban K M’barek R Philippidis G ferrer Perez H 2022. Exploring changing food attitudes to respect planetary boundaries - A global model-based analysis. https://doi.org/10.2760/744504</w:t>
      </w:r>
    </w:p>
    <w:p w14:paraId="3C07ADD0" w14:textId="77777777" w:rsidR="00FB3D28" w:rsidRPr="00F22C02" w:rsidRDefault="00FB3D28" w:rsidP="00FB3D28">
      <w:pPr>
        <w:widowControl w:val="0"/>
        <w:autoSpaceDE w:val="0"/>
        <w:autoSpaceDN w:val="0"/>
        <w:adjustRightInd w:val="0"/>
        <w:ind w:left="480" w:hanging="480"/>
        <w:rPr>
          <w:noProof/>
        </w:rPr>
      </w:pPr>
      <w:r w:rsidRPr="00F22C02">
        <w:rPr>
          <w:noProof/>
          <w:lang w:val="pt-PT"/>
        </w:rPr>
        <w:t xml:space="preserve">Caldeira C De Laurentiis V Ghose A Corrado S Sala S 2021. </w:t>
      </w:r>
      <w:r w:rsidRPr="00013BDC">
        <w:rPr>
          <w:noProof/>
          <w:lang w:val="en-IE"/>
        </w:rPr>
        <w:t xml:space="preserve">Grown and thrown: Exploring approaches to estimate food waste in EU countries. </w:t>
      </w:r>
      <w:r w:rsidRPr="00F22C02">
        <w:rPr>
          <w:noProof/>
        </w:rPr>
        <w:t>Resour. Conserv. Recycl. 168 105426. https://doi.org/10.1016/j.resconrec.2021.105426</w:t>
      </w:r>
    </w:p>
    <w:p w14:paraId="0DA3D078" w14:textId="77777777" w:rsidR="00FB3D28" w:rsidRPr="00013BDC" w:rsidRDefault="00FB3D28" w:rsidP="00FB3D28">
      <w:pPr>
        <w:widowControl w:val="0"/>
        <w:autoSpaceDE w:val="0"/>
        <w:autoSpaceDN w:val="0"/>
        <w:adjustRightInd w:val="0"/>
        <w:ind w:left="480" w:hanging="480"/>
        <w:rPr>
          <w:noProof/>
          <w:lang w:val="en-IE"/>
        </w:rPr>
      </w:pPr>
      <w:r w:rsidRPr="00F22C02">
        <w:rPr>
          <w:noProof/>
        </w:rPr>
        <w:t xml:space="preserve">Castellani V Fusi A Sala S 2017. </w:t>
      </w:r>
      <w:r w:rsidRPr="00013BDC">
        <w:rPr>
          <w:noProof/>
          <w:lang w:val="en-IE"/>
        </w:rPr>
        <w:t>Consumer Footprint Basket of Products indicator on Food. https://doi.org/10.2760/668763</w:t>
      </w:r>
    </w:p>
    <w:p w14:paraId="60813F25"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Champions 12.3 2017. The Business Case for Reducing Food Loss and Waste.</w:t>
      </w:r>
    </w:p>
    <w:p w14:paraId="59604715" w14:textId="77777777" w:rsidR="00FB3D28" w:rsidRPr="00013BDC" w:rsidRDefault="00FB3D28" w:rsidP="00FB3D28">
      <w:pPr>
        <w:widowControl w:val="0"/>
        <w:autoSpaceDE w:val="0"/>
        <w:autoSpaceDN w:val="0"/>
        <w:adjustRightInd w:val="0"/>
        <w:ind w:left="480" w:hanging="480"/>
        <w:rPr>
          <w:noProof/>
          <w:lang w:val="de-DE"/>
        </w:rPr>
      </w:pPr>
      <w:r w:rsidRPr="00013BDC">
        <w:rPr>
          <w:noProof/>
          <w:lang w:val="en-IE"/>
        </w:rPr>
        <w:t xml:space="preserve">Christopherson S 2015. How does financialization affect manufacturing investment? Preliminary evidence from the US and UK in: J. R. Bryson J. Clark V. Vanchan (Eds Handbook of Manufacturing Industries in the World Economy. </w:t>
      </w:r>
      <w:r w:rsidRPr="00013BDC">
        <w:rPr>
          <w:noProof/>
          <w:lang w:val="de-DE"/>
        </w:rPr>
        <w:t>Edward Elgar Cheltenham pp. 42–57.</w:t>
      </w:r>
    </w:p>
    <w:p w14:paraId="5D93C5E5" w14:textId="77777777" w:rsidR="00FB3D28" w:rsidRPr="00F22C02" w:rsidRDefault="00FB3D28" w:rsidP="00FB3D28">
      <w:pPr>
        <w:widowControl w:val="0"/>
        <w:autoSpaceDE w:val="0"/>
        <w:autoSpaceDN w:val="0"/>
        <w:adjustRightInd w:val="0"/>
        <w:ind w:left="480" w:hanging="480"/>
        <w:rPr>
          <w:noProof/>
        </w:rPr>
      </w:pPr>
      <w:r w:rsidRPr="00013BDC">
        <w:rPr>
          <w:noProof/>
          <w:lang w:val="de-DE"/>
        </w:rPr>
        <w:t xml:space="preserve">Corong E 2017. The Standard GTAP Model: Version 7. J. Glob. </w:t>
      </w:r>
      <w:r w:rsidRPr="00F22C02">
        <w:rPr>
          <w:noProof/>
        </w:rPr>
        <w:t>Econ. Anal. 2 1–118. https://doi.org/10.21642/jgea.0201xxad</w:t>
      </w:r>
    </w:p>
    <w:p w14:paraId="091BD728" w14:textId="77777777" w:rsidR="00FB3D28" w:rsidRPr="00013BDC" w:rsidRDefault="00FB3D28" w:rsidP="00FB3D28">
      <w:pPr>
        <w:widowControl w:val="0"/>
        <w:autoSpaceDE w:val="0"/>
        <w:autoSpaceDN w:val="0"/>
        <w:adjustRightInd w:val="0"/>
        <w:ind w:left="480" w:hanging="480"/>
        <w:rPr>
          <w:noProof/>
          <w:lang w:val="it-IT"/>
        </w:rPr>
      </w:pPr>
      <w:r w:rsidRPr="00F22C02">
        <w:rPr>
          <w:noProof/>
        </w:rPr>
        <w:t xml:space="preserve">Crenna E Sinkko T Sala S 2019. </w:t>
      </w:r>
      <w:r w:rsidRPr="00013BDC">
        <w:rPr>
          <w:noProof/>
          <w:lang w:val="en-IE"/>
        </w:rPr>
        <w:t xml:space="preserve">Biodiversity impacts due to food consumption in Europe. </w:t>
      </w:r>
      <w:r w:rsidRPr="00013BDC">
        <w:rPr>
          <w:noProof/>
          <w:lang w:val="it-IT"/>
        </w:rPr>
        <w:t>J. Clean. Prod. 227 378–391. https://doi.org/10.1016/J.JCLEPRO.2019.04.054</w:t>
      </w:r>
    </w:p>
    <w:p w14:paraId="0C19E1C4"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it-IT"/>
        </w:rPr>
        <w:t xml:space="preserve">Crippa M Solazzo E Guizzardi D Monforti-Ferrario F Tubiello F.N Leip A 2021. </w:t>
      </w:r>
      <w:r w:rsidRPr="00013BDC">
        <w:rPr>
          <w:noProof/>
          <w:lang w:val="en-IE"/>
        </w:rPr>
        <w:t>Food systems are responsible for a third of global anthropogenic GHG emissions. Nat. Food 2 198–209. https://doi.org/10.1038/s43016-021-00225-9</w:t>
      </w:r>
    </w:p>
    <w:p w14:paraId="57F6D393" w14:textId="06038978" w:rsidR="00FB3D28" w:rsidRPr="00013BDC" w:rsidRDefault="00FB3D28" w:rsidP="00FB3D28">
      <w:pPr>
        <w:widowControl w:val="0"/>
        <w:autoSpaceDE w:val="0"/>
        <w:autoSpaceDN w:val="0"/>
        <w:adjustRightInd w:val="0"/>
        <w:ind w:left="480" w:hanging="480"/>
        <w:rPr>
          <w:noProof/>
          <w:lang w:val="en-IE"/>
        </w:rPr>
      </w:pPr>
      <w:r w:rsidRPr="00013BDC">
        <w:rPr>
          <w:noProof/>
          <w:lang w:val="en-IE"/>
        </w:rPr>
        <w:t>Daioglou V Stehfest E Wicke B Faaij A van Vuuren D.P 2016. Projections of the availability and cost of residues from agriculture and forestry. GCB Bioenergy 8 456–470. https://doi.org/10.1111/gcbb.12285</w:t>
      </w:r>
    </w:p>
    <w:p w14:paraId="331F9129" w14:textId="44F0995B" w:rsidR="00FB3D28" w:rsidRPr="00F22C02" w:rsidRDefault="005C765D" w:rsidP="00FB3D28">
      <w:pPr>
        <w:widowControl w:val="0"/>
        <w:autoSpaceDE w:val="0"/>
        <w:autoSpaceDN w:val="0"/>
        <w:adjustRightInd w:val="0"/>
        <w:ind w:left="480" w:hanging="480"/>
        <w:rPr>
          <w:noProof/>
          <w:lang w:val="pt-PT"/>
        </w:rPr>
      </w:pPr>
      <w:r w:rsidRPr="00013BDC">
        <w:rPr>
          <w:noProof/>
          <w:lang w:val="en-IE"/>
        </w:rPr>
        <w:t>De Jong B, Boysen-Urban K, De Laurentiis V, Philippidis G, Bartelings  H, Mancini L, Biganzoli F, Sanyé Mengual E, Sala S, Lasarte-López J, Rokicki B, M’barek R. Assessing the economic, social and environmental impacts of food waste reduction targets. A model-based analysis. Publications Office of the European Union, Luxembourg, 2023, doi:10.2760/77251, JRC133971.</w:t>
      </w:r>
      <w:r w:rsidR="008D7389" w:rsidRPr="00013BDC">
        <w:rPr>
          <w:noProof/>
        </w:rPr>
        <w:t xml:space="preserve">De Laurentiis, V, Mancini, L, Casonato, C, Boysen-Urban, K, De Jong, B, M’Barek, R, Sanyé Mengual, E, Sala, S </w:t>
      </w:r>
      <w:r w:rsidR="008D7389" w:rsidRPr="00013BDC">
        <w:rPr>
          <w:i/>
          <w:iCs/>
          <w:noProof/>
        </w:rPr>
        <w:t>Setting the scene for an EU initiative on food waste reduction targets</w:t>
      </w:r>
      <w:r w:rsidR="008D7389" w:rsidRPr="00013BDC">
        <w:rPr>
          <w:noProof/>
        </w:rPr>
        <w:t>. Publication Office of the European Union, Luxembourg,</w:t>
      </w:r>
      <w:r w:rsidR="000A3799" w:rsidRPr="00013BDC">
        <w:rPr>
          <w:noProof/>
        </w:rPr>
        <w:t xml:space="preserve"> </w:t>
      </w:r>
      <w:r w:rsidR="008D7389" w:rsidRPr="00013BDC">
        <w:rPr>
          <w:noProof/>
        </w:rPr>
        <w:t>doi: 10.2760/13859, JRC133967</w:t>
      </w:r>
      <w:r w:rsidR="00FB3D28" w:rsidRPr="00013BDC">
        <w:rPr>
          <w:noProof/>
          <w:lang w:val="en-IE"/>
        </w:rPr>
        <w:t xml:space="preserve">De Laurentiis V Caldeira C Biganzoli F Serenella S European Commission. Joint Research Centre 2021. Building a balancing system for food waste accounting at national level. </w:t>
      </w:r>
      <w:r w:rsidR="00FB3D28" w:rsidRPr="00F22C02">
        <w:rPr>
          <w:noProof/>
          <w:lang w:val="pt-PT"/>
        </w:rPr>
        <w:t>Luxembourg. https://doi.org/10.2760/316306</w:t>
      </w:r>
    </w:p>
    <w:p w14:paraId="5D1094CE" w14:textId="77777777" w:rsidR="00FB3D28" w:rsidRPr="00F22C02" w:rsidRDefault="00FB3D28" w:rsidP="00FB3D28">
      <w:pPr>
        <w:widowControl w:val="0"/>
        <w:autoSpaceDE w:val="0"/>
        <w:autoSpaceDN w:val="0"/>
        <w:adjustRightInd w:val="0"/>
        <w:ind w:left="480" w:hanging="480"/>
        <w:rPr>
          <w:noProof/>
          <w:lang w:val="fr-BE"/>
        </w:rPr>
      </w:pPr>
      <w:r w:rsidRPr="00F22C02">
        <w:rPr>
          <w:noProof/>
          <w:lang w:val="pt-PT"/>
        </w:rPr>
        <w:t xml:space="preserve">De Laurentiis V Caldeira C Sala S 2020. </w:t>
      </w:r>
      <w:r w:rsidRPr="00013BDC">
        <w:rPr>
          <w:noProof/>
          <w:lang w:val="en-IE"/>
        </w:rPr>
        <w:t xml:space="preserve">No time to waste: assessing the performance of food waste prevention actions. </w:t>
      </w:r>
      <w:r w:rsidRPr="00F22C02">
        <w:rPr>
          <w:noProof/>
          <w:lang w:val="fr-BE"/>
        </w:rPr>
        <w:t>Resour. Conserv. Recycl. 161 104946. https://doi.org/https://doi.org/10.1016/j.resconrec.2020.104946</w:t>
      </w:r>
    </w:p>
    <w:p w14:paraId="6029848A"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Demirel P Danisman G.O 2019. Eco‐innovation and firm growth in the circular economy: Evidence from European small‐ and medium‐sized enterprises. Bus. Strateg. Environ. 28 1608–1618. https://doi.org/10.1002/bse.2336</w:t>
      </w:r>
    </w:p>
    <w:p w14:paraId="33CE9CF1"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EC - Joint Research Centre, 2022. European Platform on Life Cycle Assessment. Consumption Footprint Platform [WWW Document]. URL https://eplca.jrc.ec.europa.eu/ConsumptionFootprintPlatform.html</w:t>
      </w:r>
    </w:p>
    <w:p w14:paraId="1867983A"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EC - European Commission 2021. Commission recommendation of 16.12.2021 on the use of the Environmental Footprint methods to measure and communicate the life cycle environmental performance of products and organisations. (2021) 9332 final.</w:t>
      </w:r>
    </w:p>
    <w:p w14:paraId="5947B845"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EC - European Commission 2020. A Farm to Fork Strategy for a fair healthy and environmentally-friendly food system. COM/2020/381 final.</w:t>
      </w:r>
    </w:p>
    <w:p w14:paraId="2F7508AF"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EEA 2022. Annual European Union greenhouse gas inventory 1990–2020 and inventory report 2022 Submission to the UNFCCC Secretariat.</w:t>
      </w:r>
    </w:p>
    <w:p w14:paraId="37DADE58"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ESTAT 2022. Food waste and food waste prevention by NACE Rev. 2 activity - tonnes of fresh mass [WWW Document]. Eur. Comm.</w:t>
      </w:r>
    </w:p>
    <w:p w14:paraId="6290955B"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European Commission D.-G. for R. and I Borzęcka M Oberč B Haffner R, et al 2018. Research and innovation perspective of the mid-and long-term potential for advanced biofuels in Europe : final report. https://doi.org/10.2777/37969</w:t>
      </w:r>
    </w:p>
    <w:p w14:paraId="5FBEB785" w14:textId="77777777" w:rsidR="00FB3D28" w:rsidRPr="00013BDC" w:rsidRDefault="00FB3D28" w:rsidP="00FB3D28">
      <w:pPr>
        <w:widowControl w:val="0"/>
        <w:autoSpaceDE w:val="0"/>
        <w:autoSpaceDN w:val="0"/>
        <w:adjustRightInd w:val="0"/>
        <w:ind w:left="480" w:hanging="480"/>
        <w:rPr>
          <w:noProof/>
          <w:lang w:val="en-IE"/>
        </w:rPr>
      </w:pPr>
      <w:r w:rsidRPr="00F22C02">
        <w:rPr>
          <w:noProof/>
          <w:lang w:val="en-IE"/>
        </w:rPr>
        <w:t xml:space="preserve">Ferrari E Chatzopoulos T Perez-Dominguez I Boulanger P Boysen-Urban K Himics M Robert M 2021. </w:t>
      </w:r>
      <w:r w:rsidRPr="00013BDC">
        <w:rPr>
          <w:noProof/>
          <w:lang w:val="en-IE"/>
        </w:rPr>
        <w:t>Cumulative economic impact of trade agreements on EU agriculture – 2021 update. Luxembourg. https://doi.org/10.2760/501873</w:t>
      </w:r>
    </w:p>
    <w:p w14:paraId="32936600"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FΑΟ 2013. Food wastage footprint Fao.</w:t>
      </w:r>
    </w:p>
    <w:p w14:paraId="5BBCCB11"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Ipinnaiye O Dineen D Lenihan H 2017. Drivers of SME performance: a holistic and multivariate approach. Small Bus. Econ. 48 883–911. https://doi.org/10.1007/s11187-016-9819-5</w:t>
      </w:r>
    </w:p>
    <w:p w14:paraId="74C7266F"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Kaza S Yao L.C Bhada-Tata P Van Woerden F 2018. What a Waste 2.0 : A Global Snapshot of Solid Waste Management to 2050 Urban Development. Washington DC.</w:t>
      </w:r>
    </w:p>
    <w:p w14:paraId="171A79AC"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Keramidas K Fosse F Diaz-Vazquez A Schade B Tchung-Ming S Weitzel M Vandyck T Wojtowicz K 2021. Global Energy and Climate Outlook 2020: A New Normal Beyond Covid-19 Luxembourg: Publications Office of the European Union. https://doi.org/10.2760/608429</w:t>
      </w:r>
    </w:p>
    <w:p w14:paraId="6DBA6D02"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it-IT"/>
        </w:rPr>
        <w:t xml:space="preserve">Kuiper M Cui H.D 2021. </w:t>
      </w:r>
      <w:r w:rsidRPr="00013BDC">
        <w:rPr>
          <w:noProof/>
          <w:lang w:val="en-IE"/>
        </w:rPr>
        <w:t>Using food loss reduction to reach food security and environmental objectives – A search for promising leverage points. Food Policy 98 101915. https://doi.org/10.1016/j.foodpol.2020.101915</w:t>
      </w:r>
    </w:p>
    <w:p w14:paraId="23F4E867" w14:textId="77777777" w:rsidR="00FB3D28" w:rsidRPr="00F22C02" w:rsidRDefault="00FB3D28" w:rsidP="00FB3D28">
      <w:pPr>
        <w:widowControl w:val="0"/>
        <w:autoSpaceDE w:val="0"/>
        <w:autoSpaceDN w:val="0"/>
        <w:adjustRightInd w:val="0"/>
        <w:ind w:left="480" w:hanging="480"/>
        <w:rPr>
          <w:noProof/>
          <w:lang w:val="nl-NL"/>
        </w:rPr>
      </w:pPr>
      <w:r w:rsidRPr="00013BDC">
        <w:rPr>
          <w:noProof/>
          <w:lang w:val="en-IE"/>
        </w:rPr>
        <w:t xml:space="preserve">Lai Y Saridakis G Blackburn R Johnstone S 2016. Are the HR responses of small firms different from large firms in times of recession? </w:t>
      </w:r>
      <w:r w:rsidRPr="00F22C02">
        <w:rPr>
          <w:noProof/>
          <w:lang w:val="nl-NL"/>
        </w:rPr>
        <w:t>J. Bus. Ventur. 31 113–131. https://doi.org/10.1016/j.jbusvent.2015.04.005</w:t>
      </w:r>
    </w:p>
    <w:p w14:paraId="058488DE" w14:textId="77777777" w:rsidR="00FB3D28" w:rsidRPr="00013BDC" w:rsidRDefault="00FB3D28" w:rsidP="00FB3D28">
      <w:pPr>
        <w:widowControl w:val="0"/>
        <w:autoSpaceDE w:val="0"/>
        <w:autoSpaceDN w:val="0"/>
        <w:adjustRightInd w:val="0"/>
        <w:ind w:left="480" w:hanging="480"/>
        <w:rPr>
          <w:noProof/>
          <w:lang w:val="en-IE"/>
        </w:rPr>
      </w:pPr>
      <w:r w:rsidRPr="00F22C02">
        <w:rPr>
          <w:noProof/>
          <w:lang w:val="nl-NL"/>
        </w:rPr>
        <w:t xml:space="preserve">Lasarte-López. J Ronzon T Van Leeuwen M Rossi W M’barek R 2022. </w:t>
      </w:r>
      <w:r w:rsidRPr="00013BDC">
        <w:rPr>
          <w:noProof/>
          <w:lang w:val="en-IE"/>
        </w:rPr>
        <w:t>Estimating employment and value added in the bioeconomy of EU regions. https://doi.org/http://dx.doi.org/10.2760/850726</w:t>
      </w:r>
    </w:p>
    <w:p w14:paraId="48837122"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M’barek R 2012. An integrated modelling platform for agro-economic commodity and policy analysis (iMAP) : a look back and the way forward. https://doi.org/10.2791/78367</w:t>
      </w:r>
    </w:p>
    <w:p w14:paraId="7597FFF0"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M’barek R Delincé J 2015. iMAP an integrated Modelling Platform for Agro-economic Commodity and Policy Analysis: New developments and policy support 2012-14. Joint Research Centre Institute for Prospective Technological Studies. https://doi.org/10.2791/651649</w:t>
      </w:r>
    </w:p>
    <w:p w14:paraId="63428B2D"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fr-BE"/>
        </w:rPr>
        <w:t xml:space="preserve">MAGNET 2022. MAGNET model description [WWW Document]. </w:t>
      </w:r>
      <w:r w:rsidRPr="00013BDC">
        <w:rPr>
          <w:noProof/>
          <w:lang w:val="en-IE"/>
        </w:rPr>
        <w:t>URL https://www.magnet-model.eu/model/ (accessed 11.24.22).</w:t>
      </w:r>
    </w:p>
    <w:p w14:paraId="0AE23A42"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Mateev M Anastasov Y 2011. On the Growth of Micro Small and Medium-Sized Firms in Central and Eastern Europe: A Dynamic Panel Analysis. Bank. Financ. Rev. 3 81–104.</w:t>
      </w:r>
    </w:p>
    <w:p w14:paraId="23E1A196" w14:textId="77777777" w:rsidR="00FB3D28" w:rsidRPr="00F22C02" w:rsidRDefault="00FB3D28" w:rsidP="00FB3D28">
      <w:pPr>
        <w:widowControl w:val="0"/>
        <w:autoSpaceDE w:val="0"/>
        <w:autoSpaceDN w:val="0"/>
        <w:adjustRightInd w:val="0"/>
        <w:ind w:left="480" w:hanging="480"/>
        <w:rPr>
          <w:noProof/>
          <w:lang w:val="sv-SE"/>
        </w:rPr>
      </w:pPr>
      <w:r w:rsidRPr="00013BDC">
        <w:rPr>
          <w:noProof/>
          <w:lang w:val="en-IE"/>
        </w:rPr>
        <w:t xml:space="preserve">Mazzucato M Parris S 2015. High-growth firms in changing competitive environments: the US pharmaceutical industry (1963 to 2002). </w:t>
      </w:r>
      <w:r w:rsidRPr="00F22C02">
        <w:rPr>
          <w:noProof/>
          <w:lang w:val="sv-SE"/>
        </w:rPr>
        <w:t>Small Bus. Econ. 44 145–170. https://doi.org/10.1007/s11187-014-9583-3</w:t>
      </w:r>
    </w:p>
    <w:p w14:paraId="2200C665" w14:textId="77777777" w:rsidR="00FB3D28" w:rsidRPr="00F22C02" w:rsidRDefault="00FB3D28" w:rsidP="00FB3D28">
      <w:pPr>
        <w:widowControl w:val="0"/>
        <w:autoSpaceDE w:val="0"/>
        <w:autoSpaceDN w:val="0"/>
        <w:adjustRightInd w:val="0"/>
        <w:ind w:left="480" w:hanging="480"/>
        <w:rPr>
          <w:noProof/>
          <w:lang w:val="sv-SE"/>
        </w:rPr>
      </w:pPr>
      <w:r w:rsidRPr="00F22C02">
        <w:rPr>
          <w:noProof/>
          <w:lang w:val="sv-SE"/>
        </w:rPr>
        <w:t>Naturvårdsverket 2022. Livsmedelsavfall i Sverige 2020.</w:t>
      </w:r>
    </w:p>
    <w:p w14:paraId="12C7CE6F"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it-IT"/>
        </w:rPr>
        <w:t xml:space="preserve">Notarnicola B Tassielli G Renzulli P.A Castellani V Sala S 2017. </w:t>
      </w:r>
      <w:r w:rsidRPr="00013BDC">
        <w:rPr>
          <w:noProof/>
          <w:lang w:val="en-IE"/>
        </w:rPr>
        <w:t>Environmental impacts of food consumption in Europe. J. Clean. Prod. 140 753–765. https://doi.org/10.1016/j.jclepro.2016.06.080</w:t>
      </w:r>
    </w:p>
    <w:p w14:paraId="16474594"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OECD-FAO 2021. OECD-FAO agricultural outlook 2021-2030.</w:t>
      </w:r>
    </w:p>
    <w:p w14:paraId="4744FCA8" w14:textId="77777777" w:rsidR="00FB3D28" w:rsidRPr="00F22C02" w:rsidRDefault="00FB3D28" w:rsidP="00FB3D28">
      <w:pPr>
        <w:widowControl w:val="0"/>
        <w:autoSpaceDE w:val="0"/>
        <w:autoSpaceDN w:val="0"/>
        <w:adjustRightInd w:val="0"/>
        <w:ind w:left="480" w:hanging="480"/>
        <w:rPr>
          <w:noProof/>
          <w:lang w:val="en-IE"/>
        </w:rPr>
      </w:pPr>
      <w:r w:rsidRPr="00013BDC">
        <w:rPr>
          <w:noProof/>
          <w:lang w:val="en-IE"/>
        </w:rPr>
        <w:t xml:space="preserve">OECD 2021. OECD SME and Entrepreneurship Outlook 2021. </w:t>
      </w:r>
      <w:r w:rsidRPr="00F22C02">
        <w:rPr>
          <w:noProof/>
          <w:lang w:val="en-IE"/>
        </w:rPr>
        <w:t>OECD. https://doi.org/10.1787/97a5bbfe-en</w:t>
      </w:r>
    </w:p>
    <w:p w14:paraId="3C9D9438" w14:textId="77777777" w:rsidR="00FB3D28" w:rsidRPr="00013BDC" w:rsidRDefault="00FB3D28" w:rsidP="00FB3D28">
      <w:pPr>
        <w:widowControl w:val="0"/>
        <w:autoSpaceDE w:val="0"/>
        <w:autoSpaceDN w:val="0"/>
        <w:adjustRightInd w:val="0"/>
        <w:ind w:left="480" w:hanging="480"/>
        <w:rPr>
          <w:noProof/>
          <w:lang w:val="en-IE"/>
        </w:rPr>
      </w:pPr>
      <w:r w:rsidRPr="00F22C02">
        <w:rPr>
          <w:noProof/>
          <w:lang w:val="en-IE"/>
        </w:rPr>
        <w:t xml:space="preserve">Philippidis G Bartelings H Helming J M’barek R Ronzon T Smeets E van Meijl H Schutes L 2018. </w:t>
      </w:r>
      <w:r w:rsidRPr="00013BDC">
        <w:rPr>
          <w:noProof/>
          <w:lang w:val="en-IE"/>
        </w:rPr>
        <w:t>The MAGNET model framework for assessing policy coherence and SDGs - Application to the bioeconomy. Publications Office of the European Union Luxembourg. https://doi.org/10.2760/560977</w:t>
      </w:r>
    </w:p>
    <w:p w14:paraId="387AD744" w14:textId="77777777" w:rsidR="000B57F3" w:rsidRPr="00013BDC" w:rsidRDefault="000B57F3" w:rsidP="00FB3D28">
      <w:pPr>
        <w:widowControl w:val="0"/>
        <w:autoSpaceDE w:val="0"/>
        <w:autoSpaceDN w:val="0"/>
        <w:adjustRightInd w:val="0"/>
        <w:ind w:left="480" w:hanging="480"/>
        <w:rPr>
          <w:noProof/>
          <w:lang w:val="en-IE"/>
        </w:rPr>
      </w:pPr>
    </w:p>
    <w:p w14:paraId="044C045C" w14:textId="77777777" w:rsidR="00FB3D28" w:rsidRPr="00013BDC" w:rsidRDefault="00FB3D28" w:rsidP="00FB3D28">
      <w:pPr>
        <w:widowControl w:val="0"/>
        <w:autoSpaceDE w:val="0"/>
        <w:autoSpaceDN w:val="0"/>
        <w:adjustRightInd w:val="0"/>
        <w:ind w:left="480" w:hanging="480"/>
        <w:rPr>
          <w:noProof/>
          <w:lang w:val="it-IT"/>
        </w:rPr>
      </w:pPr>
      <w:r w:rsidRPr="00013BDC">
        <w:rPr>
          <w:noProof/>
          <w:lang w:val="en-IE"/>
        </w:rPr>
        <w:t xml:space="preserve">Philippidis G Ferrer Pérez H Gracia de Rentería P M’barek R Sanjuán López A.I 2021. Eating your greens: a global sustainability assessment. </w:t>
      </w:r>
      <w:r w:rsidRPr="00F22C02">
        <w:rPr>
          <w:noProof/>
          <w:lang w:val="it-IT"/>
        </w:rPr>
        <w:t xml:space="preserve">Resour. Conserv. Recycl. </w:t>
      </w:r>
      <w:r w:rsidRPr="00013BDC">
        <w:rPr>
          <w:noProof/>
          <w:lang w:val="it-IT"/>
        </w:rPr>
        <w:t>168. https://doi.org/10.1016/j.resconrec.2021.105460</w:t>
      </w:r>
    </w:p>
    <w:p w14:paraId="734FF2FE" w14:textId="77777777" w:rsidR="00FB3D28" w:rsidRPr="00F22C02" w:rsidRDefault="00FB3D28" w:rsidP="00FB3D28">
      <w:pPr>
        <w:widowControl w:val="0"/>
        <w:autoSpaceDE w:val="0"/>
        <w:autoSpaceDN w:val="0"/>
        <w:adjustRightInd w:val="0"/>
        <w:ind w:left="480" w:hanging="480"/>
        <w:rPr>
          <w:noProof/>
          <w:lang w:val="en-IE"/>
        </w:rPr>
      </w:pPr>
      <w:r w:rsidRPr="00013BDC">
        <w:rPr>
          <w:noProof/>
          <w:lang w:val="it-IT"/>
        </w:rPr>
        <w:t xml:space="preserve">Philippidis G Sartori M Ferrari E M’Barek R 2019. </w:t>
      </w:r>
      <w:r w:rsidRPr="00013BDC">
        <w:rPr>
          <w:noProof/>
          <w:lang w:val="en-IE"/>
        </w:rPr>
        <w:t xml:space="preserve">Waste not want not: A bio-economic impact assessment of household food waste reductions in the EU. </w:t>
      </w:r>
      <w:r w:rsidRPr="00F22C02">
        <w:rPr>
          <w:noProof/>
          <w:lang w:val="en-IE"/>
        </w:rPr>
        <w:t>Resour. Conserv. Recycl. 146 514–522. https://doi.org/10.1016/j.resconrec.2019.04.016</w:t>
      </w:r>
    </w:p>
    <w:p w14:paraId="5D29F59B" w14:textId="77777777" w:rsidR="00FB3D28" w:rsidRPr="00013BDC" w:rsidRDefault="00FB3D28" w:rsidP="00FB3D28">
      <w:pPr>
        <w:widowControl w:val="0"/>
        <w:autoSpaceDE w:val="0"/>
        <w:autoSpaceDN w:val="0"/>
        <w:adjustRightInd w:val="0"/>
        <w:ind w:left="480" w:hanging="480"/>
        <w:rPr>
          <w:noProof/>
          <w:lang w:val="it-IT"/>
        </w:rPr>
      </w:pPr>
      <w:r w:rsidRPr="00F22C02">
        <w:rPr>
          <w:noProof/>
          <w:lang w:val="en-IE"/>
        </w:rPr>
        <w:t xml:space="preserve">Philippidis G Shutes L M’barek R Ronzon T Tabeau A van Meijl H 2020. </w:t>
      </w:r>
      <w:r w:rsidRPr="00013BDC">
        <w:rPr>
          <w:noProof/>
          <w:lang w:val="en-IE"/>
        </w:rPr>
        <w:t xml:space="preserve">Snakes and ladders: World development pathways’ synergies and trade-offs through the lens of the Sustainable Development Goals. </w:t>
      </w:r>
      <w:r w:rsidRPr="00013BDC">
        <w:rPr>
          <w:noProof/>
          <w:lang w:val="it-IT"/>
        </w:rPr>
        <w:t>J. Clean. Prod. 267. https://doi.org/10.1016/j.jclepro.2020.122147</w:t>
      </w:r>
    </w:p>
    <w:p w14:paraId="2DC0148D"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it-IT"/>
        </w:rPr>
        <w:t xml:space="preserve">Polizzi di Sorrentino E Woelbert E Sala S 2016. </w:t>
      </w:r>
      <w:r w:rsidRPr="00013BDC">
        <w:rPr>
          <w:noProof/>
          <w:lang w:val="en-IE"/>
        </w:rPr>
        <w:t>Consumers and their behavior: state of the art in behavioral science supporting use phase modeling in LCA and ecodesign. Int. J. Life Cycle Assess. 21 237–251. https://doi.org/10.1007/s11367-015-1016-2</w:t>
      </w:r>
    </w:p>
    <w:p w14:paraId="3CE12583"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Rigtering J.P.C Kraus S Eggers F Jensen S.H 2014. A comparative analysis of the entrepreneurial orientation/growth relationship in service firms and manufacturing firms. Serv. Ind. J. 34 275–294. https://doi.org/10.1080/02642069.2013.778978</w:t>
      </w:r>
    </w:p>
    <w:p w14:paraId="2468E696" w14:textId="77777777" w:rsidR="00FB3D28" w:rsidRPr="00F22C02" w:rsidRDefault="00FB3D28" w:rsidP="00FB3D28">
      <w:pPr>
        <w:widowControl w:val="0"/>
        <w:autoSpaceDE w:val="0"/>
        <w:autoSpaceDN w:val="0"/>
        <w:adjustRightInd w:val="0"/>
        <w:ind w:left="480" w:hanging="480"/>
        <w:rPr>
          <w:noProof/>
        </w:rPr>
      </w:pPr>
      <w:r w:rsidRPr="00013BDC">
        <w:rPr>
          <w:noProof/>
          <w:lang w:val="en-IE"/>
        </w:rPr>
        <w:t xml:space="preserve">Sala S Castellani V 2019. The consumer footprint: Monitoring sustainable development goal 12 with process-based life cycle assessment. </w:t>
      </w:r>
      <w:r w:rsidRPr="00F22C02">
        <w:rPr>
          <w:noProof/>
        </w:rPr>
        <w:t>J. Clean. Prod. 240 118050.</w:t>
      </w:r>
    </w:p>
    <w:p w14:paraId="6762D3B8" w14:textId="77777777" w:rsidR="00FB3D28" w:rsidRPr="00F22C02" w:rsidRDefault="00FB3D28" w:rsidP="00FB3D28">
      <w:pPr>
        <w:widowControl w:val="0"/>
        <w:autoSpaceDE w:val="0"/>
        <w:autoSpaceDN w:val="0"/>
        <w:adjustRightInd w:val="0"/>
        <w:ind w:left="480" w:hanging="480"/>
        <w:rPr>
          <w:noProof/>
          <w:lang w:val="pt-PT"/>
        </w:rPr>
      </w:pPr>
      <w:r w:rsidRPr="00F22C02">
        <w:rPr>
          <w:noProof/>
        </w:rPr>
        <w:t xml:space="preserve">Sala S Crenna E Secchi M Sanyé-Mengual E 2020. </w:t>
      </w:r>
      <w:r w:rsidRPr="00013BDC">
        <w:rPr>
          <w:noProof/>
          <w:lang w:val="en-IE"/>
        </w:rPr>
        <w:t xml:space="preserve">Environmental sustainability of European production and consumption assessed against planetary boundaries. </w:t>
      </w:r>
      <w:r w:rsidRPr="00F22C02">
        <w:rPr>
          <w:noProof/>
          <w:lang w:val="pt-PT"/>
        </w:rPr>
        <w:t>J. Environ. Manage. 269 110686. https://doi.org/10.1016/j.jenvman.2020.110686</w:t>
      </w:r>
    </w:p>
    <w:p w14:paraId="556121C5" w14:textId="77777777" w:rsidR="00FB3D28" w:rsidRPr="00013BDC" w:rsidRDefault="00FB3D28" w:rsidP="00FB3D28">
      <w:pPr>
        <w:widowControl w:val="0"/>
        <w:autoSpaceDE w:val="0"/>
        <w:autoSpaceDN w:val="0"/>
        <w:adjustRightInd w:val="0"/>
        <w:ind w:left="480" w:hanging="480"/>
        <w:rPr>
          <w:noProof/>
          <w:lang w:val="en-IE"/>
        </w:rPr>
      </w:pPr>
      <w:r w:rsidRPr="00F22C02">
        <w:rPr>
          <w:noProof/>
          <w:lang w:val="pt-PT"/>
        </w:rPr>
        <w:t xml:space="preserve">Sala S Sanye Mengual E 2022. </w:t>
      </w:r>
      <w:r w:rsidRPr="00013BDC">
        <w:rPr>
          <w:noProof/>
          <w:lang w:val="en-IE"/>
        </w:rPr>
        <w:t>Consumption Footprint: assessing the environmental impacts of EU consumption, European Commission, JRC126257.</w:t>
      </w:r>
    </w:p>
    <w:p w14:paraId="0A5959F0"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Sanye Mengual, E., and Sala, S., Consumption Footprint and Domestic Footprint: Assessing the environmental impacts of EU consumption and production, EUR 31390 EN, Publications Office of the European Union, Luxembourg, 2023, ISBN 978-92-76-61754-9, doi:10.2760/218540, JRC128571.</w:t>
      </w:r>
    </w:p>
    <w:p w14:paraId="20DBF7B9" w14:textId="703B837D" w:rsidR="00FB3D28" w:rsidRPr="00013BDC" w:rsidRDefault="00FB3D28" w:rsidP="00FB3D28">
      <w:pPr>
        <w:widowControl w:val="0"/>
        <w:autoSpaceDE w:val="0"/>
        <w:autoSpaceDN w:val="0"/>
        <w:adjustRightInd w:val="0"/>
        <w:ind w:left="480" w:hanging="480"/>
        <w:rPr>
          <w:noProof/>
          <w:lang w:val="en-IE"/>
        </w:rPr>
      </w:pPr>
      <w:r w:rsidRPr="00F22C02">
        <w:rPr>
          <w:noProof/>
        </w:rPr>
        <w:t xml:space="preserve">Sanyé-Mengual, E., Secchi, M., Corrado, S., Beylot, A., &amp; Sala, S. (2019). </w:t>
      </w:r>
      <w:r w:rsidRPr="00013BDC">
        <w:rPr>
          <w:noProof/>
          <w:lang w:val="en-IE"/>
        </w:rPr>
        <w:t>Assessing the decoupling of economic growth from environmental impacts in the European Union: A consumption-based approach. Journal of cleaner production, 236, 117535.</w:t>
      </w:r>
    </w:p>
    <w:p w14:paraId="36304640" w14:textId="6EC09E49" w:rsidR="00231272" w:rsidRPr="00013BDC" w:rsidRDefault="006D0C68" w:rsidP="00FB3D28">
      <w:pPr>
        <w:widowControl w:val="0"/>
        <w:autoSpaceDE w:val="0"/>
        <w:autoSpaceDN w:val="0"/>
        <w:adjustRightInd w:val="0"/>
        <w:ind w:left="480" w:hanging="480"/>
        <w:rPr>
          <w:noProof/>
          <w:lang w:val="en-IE"/>
        </w:rPr>
      </w:pPr>
      <w:r w:rsidRPr="00013BDC">
        <w:rPr>
          <w:noProof/>
          <w:lang w:val="en-IE"/>
        </w:rPr>
        <w:t>Sanyé Mengual E, Foschi J, Orza V, Sinkko T, Wierzgala P, Sala S. (2023a) Consumption Footprint: methodological overview, A life cycle assessment-based model to assess environmental impacts of consumption, Publications Office of the European Union, Luxembourg, doi:10.2760/413081, JRC132734</w:t>
      </w:r>
    </w:p>
    <w:p w14:paraId="6E855ABA" w14:textId="5E57C699" w:rsidR="006D0C68" w:rsidRPr="00013BDC" w:rsidRDefault="006D0C68" w:rsidP="00FB3D28">
      <w:pPr>
        <w:widowControl w:val="0"/>
        <w:autoSpaceDE w:val="0"/>
        <w:autoSpaceDN w:val="0"/>
        <w:adjustRightInd w:val="0"/>
        <w:ind w:left="480" w:hanging="480"/>
        <w:rPr>
          <w:noProof/>
          <w:lang w:val="en-IE"/>
        </w:rPr>
      </w:pPr>
      <w:r w:rsidRPr="00F22C02">
        <w:rPr>
          <w:noProof/>
          <w:lang w:val="en-IE"/>
        </w:rPr>
        <w:t xml:space="preserve">Sanyé-Mengual, E., Biganzoli, F., Valente, A., Pfister, S., &amp; Sala, S. (2023b). </w:t>
      </w:r>
      <w:r w:rsidRPr="00013BDC">
        <w:rPr>
          <w:noProof/>
          <w:lang w:val="en-IE"/>
        </w:rPr>
        <w:t>What are the main environmental impacts and products contributing to the biodiversity footprint of EU consumption? A comparison of life cycle impact assessment methods and models. The International Journal of Life Cycle Assessment, 1-17.</w:t>
      </w:r>
    </w:p>
    <w:p w14:paraId="31BB3C24"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Sartori M Philippidis G Ferrari E Borrelli P Lugato E Montanarella L Panagos P 2019. A linkage between the biophysical and the economic: Assessing the global market impacts of soil erosion. Land use policy 86 299–312. https://doi.org/10.1016/j.landusepol.2019.05.014</w:t>
      </w:r>
    </w:p>
    <w:p w14:paraId="76FEF2F0"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The Netherlands Nutrition Centre Foundation 2019. Synthesis report on Food Waste in Dutch Households in 2019.</w:t>
      </w:r>
    </w:p>
    <w:p w14:paraId="2DBAD46E"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UN General Assembly 2015. Transforming our world: the 2030 Agenda for Sustainable Development. New York United Nations.</w:t>
      </w:r>
    </w:p>
    <w:p w14:paraId="73744185"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Woltjer G Kuiper M 2014. The MAGNET model: Module description. Wageningen UR. 144.</w:t>
      </w:r>
    </w:p>
    <w:p w14:paraId="4E02890C"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WRAP, 2020, Banbury, UK progress against Courtauld 2025 targets and Sustainable Development Goal 12.3, Prepared by Andrew Parry, Billy Harris, Karen Fisher and Hamish Forbes</w:t>
      </w:r>
    </w:p>
    <w:p w14:paraId="52506368" w14:textId="77777777" w:rsidR="00FB3D28" w:rsidRPr="00013BDC" w:rsidRDefault="00FB3D28" w:rsidP="00FB3D28">
      <w:pPr>
        <w:widowControl w:val="0"/>
        <w:autoSpaceDE w:val="0"/>
        <w:autoSpaceDN w:val="0"/>
        <w:adjustRightInd w:val="0"/>
        <w:ind w:left="480" w:hanging="480"/>
        <w:rPr>
          <w:noProof/>
          <w:lang w:val="en-IE"/>
        </w:rPr>
      </w:pPr>
      <w:r w:rsidRPr="00013BDC">
        <w:rPr>
          <w:noProof/>
          <w:lang w:val="en-IE"/>
        </w:rPr>
        <w:t>WRAP 2022. The Food Waste Reduction Roadmap Progress Report 2022.</w:t>
      </w:r>
    </w:p>
    <w:p w14:paraId="710262A5" w14:textId="77777777" w:rsidR="00FB3D28" w:rsidRPr="00013BDC" w:rsidRDefault="00FB3D28" w:rsidP="00FB3D28">
      <w:pPr>
        <w:widowControl w:val="0"/>
        <w:autoSpaceDE w:val="0"/>
        <w:autoSpaceDN w:val="0"/>
        <w:adjustRightInd w:val="0"/>
        <w:ind w:left="480" w:hanging="480"/>
        <w:rPr>
          <w:noProof/>
          <w:lang w:val="de-DE"/>
        </w:rPr>
      </w:pPr>
      <w:r w:rsidRPr="00013BDC">
        <w:rPr>
          <w:noProof/>
          <w:lang w:val="de-DE"/>
        </w:rPr>
        <w:t>WUR 2022. Minder voedselverspilling in supermarkten.</w:t>
      </w:r>
    </w:p>
    <w:p w14:paraId="4098172F" w14:textId="74A9BA50" w:rsidR="00B878B0" w:rsidRPr="00B878B0" w:rsidRDefault="00FB3D28" w:rsidP="00FB3D28">
      <w:pPr>
        <w:keepNext/>
        <w:pageBreakBefore/>
        <w:spacing w:after="120"/>
        <w:jc w:val="left"/>
        <w:outlineLvl w:val="0"/>
        <w:rPr>
          <w:noProof/>
          <w:sz w:val="22"/>
          <w:szCs w:val="22"/>
        </w:rPr>
      </w:pPr>
      <w:r w:rsidRPr="00013BDC">
        <w:rPr>
          <w:rFonts w:ascii="EC Square Sans Pro" w:eastAsia="Verdana" w:hAnsi="EC Square Sans Pro" w:cs="Verdana"/>
          <w:b/>
          <w:noProof/>
          <w:lang w:val="de-DE" w:eastAsia="en-GB"/>
        </w:rPr>
        <w:t xml:space="preserve"> </w:t>
      </w:r>
      <w:bookmarkStart w:id="736" w:name="_Toc127379870"/>
      <w:bookmarkStart w:id="737" w:name="_Toc139032997"/>
      <w:r w:rsidRPr="00013BDC">
        <w:rPr>
          <w:rFonts w:ascii="EC Square Sans Pro" w:eastAsia="Verdana" w:hAnsi="EC Square Sans Pro" w:cs="Verdana"/>
          <w:b/>
          <w:noProof/>
          <w:lang w:val="en-IE" w:eastAsia="en-GB"/>
        </w:rPr>
        <w:t>List of figures</w:t>
      </w:r>
      <w:bookmarkEnd w:id="736"/>
      <w:bookmarkEnd w:id="737"/>
      <w:r w:rsidRPr="00013BDC">
        <w:rPr>
          <w:rFonts w:eastAsia="Verdana"/>
          <w:b/>
          <w:noProof/>
          <w:sz w:val="20"/>
          <w:szCs w:val="20"/>
          <w:lang w:val="en-IE" w:eastAsia="en-GB"/>
        </w:rPr>
        <w:fldChar w:fldCharType="begin"/>
      </w:r>
      <w:r w:rsidRPr="00013BDC">
        <w:rPr>
          <w:rFonts w:eastAsia="Verdana"/>
          <w:b/>
          <w:noProof/>
          <w:sz w:val="20"/>
          <w:szCs w:val="20"/>
          <w:lang w:val="en-IE" w:eastAsia="en-GB"/>
        </w:rPr>
        <w:instrText xml:space="preserve"> TOC \f f \h \z \t "JRC_Figure_caption;1" \c "Figure" </w:instrText>
      </w:r>
      <w:r w:rsidRPr="00013BDC">
        <w:rPr>
          <w:rFonts w:eastAsia="Verdana"/>
          <w:b/>
          <w:noProof/>
          <w:sz w:val="20"/>
          <w:szCs w:val="20"/>
          <w:lang w:val="en-IE" w:eastAsia="en-GB"/>
        </w:rPr>
        <w:fldChar w:fldCharType="separate"/>
      </w:r>
    </w:p>
    <w:p w14:paraId="25BE483B" w14:textId="1E2F471F"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2998" w:history="1">
        <w:r w:rsidR="00B878B0" w:rsidRPr="00B878B0">
          <w:rPr>
            <w:rStyle w:val="Hyperlink"/>
            <w:rFonts w:ascii="Times New Roman" w:hAnsi="Times New Roman" w:cs="Times New Roman"/>
            <w:noProof/>
            <w:sz w:val="22"/>
            <w:lang w:val="en-IE"/>
          </w:rPr>
          <w:t>Figure 1 – Method used for calculating total supply of new clothing and home textiles to European final users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50</w:t>
        </w:r>
      </w:hyperlink>
    </w:p>
    <w:p w14:paraId="0FE5D754" w14:textId="1BE3E3B9"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2999" w:history="1">
        <w:r w:rsidR="00B878B0" w:rsidRPr="00B878B0">
          <w:rPr>
            <w:rStyle w:val="Hyperlink"/>
            <w:rFonts w:ascii="Times New Roman" w:hAnsi="Times New Roman" w:cs="Times New Roman"/>
            <w:noProof/>
            <w:sz w:val="22"/>
            <w:lang w:val="en-IE"/>
          </w:rPr>
          <w:t>Figure 2 EPR fee to product cost ratios identified by Ecologic</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55</w:t>
        </w:r>
      </w:hyperlink>
    </w:p>
    <w:p w14:paraId="7F826776" w14:textId="7EF74D7A"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0" w:history="1">
        <w:r w:rsidR="00B878B0" w:rsidRPr="00B878B0">
          <w:rPr>
            <w:rStyle w:val="Hyperlink"/>
            <w:rFonts w:ascii="Times New Roman" w:hAnsi="Times New Roman" w:cs="Times New Roman"/>
            <w:noProof/>
            <w:sz w:val="22"/>
            <w:lang w:val="en-IE"/>
          </w:rPr>
          <w:t>Figure 3 – Graphical representation of the CGE model framework</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64</w:t>
        </w:r>
      </w:hyperlink>
    </w:p>
    <w:p w14:paraId="48C811AD" w14:textId="521E38D2"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1" w:history="1">
        <w:r w:rsidR="00B878B0" w:rsidRPr="00B878B0">
          <w:rPr>
            <w:rStyle w:val="Hyperlink"/>
            <w:rFonts w:ascii="Times New Roman" w:hAnsi="Times New Roman" w:cs="Times New Roman"/>
            <w:noProof/>
            <w:sz w:val="22"/>
            <w:lang w:val="en-IE"/>
          </w:rPr>
          <w:t>Figure 4 – Waste stream schematic as implemented in MAGNET</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67</w:t>
        </w:r>
      </w:hyperlink>
    </w:p>
    <w:p w14:paraId="3E5B04C5" w14:textId="21802D9C"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2" w:history="1">
        <w:r w:rsidR="00B878B0" w:rsidRPr="00B878B0">
          <w:rPr>
            <w:rStyle w:val="Hyperlink"/>
            <w:rFonts w:ascii="Times New Roman" w:hAnsi="Times New Roman" w:cs="Times New Roman"/>
            <w:noProof/>
            <w:sz w:val="22"/>
            <w:lang w:val="en-IE"/>
          </w:rPr>
          <w:t>Figure 5 – The new waste stream schematic including food waste producers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68</w:t>
        </w:r>
      </w:hyperlink>
    </w:p>
    <w:p w14:paraId="44D2DB20" w14:textId="540D9BF5"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3" w:history="1">
        <w:r w:rsidR="00B878B0" w:rsidRPr="00B878B0">
          <w:rPr>
            <w:rStyle w:val="Hyperlink"/>
            <w:rFonts w:ascii="Times New Roman" w:hAnsi="Times New Roman" w:cs="Times New Roman"/>
            <w:noProof/>
            <w:sz w:val="22"/>
            <w:lang w:val="en-IE"/>
          </w:rPr>
          <w:t>Figure 6 – Overview of the modelling approach</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70</w:t>
        </w:r>
      </w:hyperlink>
    </w:p>
    <w:p w14:paraId="682D2121" w14:textId="09E24E28"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4" w:history="1">
        <w:r w:rsidR="00B878B0" w:rsidRPr="00B878B0">
          <w:rPr>
            <w:rStyle w:val="Hyperlink"/>
            <w:rFonts w:ascii="Times New Roman" w:hAnsi="Times New Roman" w:cs="Times New Roman"/>
            <w:noProof/>
            <w:sz w:val="22"/>
            <w:lang w:val="en-IE"/>
          </w:rPr>
          <w:t>Figure 7 – Methodology for deriving data on food waste amounts for 2030, disaggregated by product group</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73</w:t>
        </w:r>
      </w:hyperlink>
    </w:p>
    <w:p w14:paraId="265CEC45" w14:textId="410FF4CF"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5" w:history="1">
        <w:r w:rsidR="00B878B0" w:rsidRPr="00B878B0">
          <w:rPr>
            <w:rStyle w:val="Hyperlink"/>
            <w:rFonts w:ascii="Times New Roman" w:hAnsi="Times New Roman" w:cs="Times New Roman"/>
            <w:noProof/>
            <w:sz w:val="22"/>
            <w:lang w:val="en-IE"/>
          </w:rPr>
          <w:t>Figure 8 – Modelling approach for the macro-scale assessment of projected environmental impacts deriving from the setting of food waste reduction targets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77</w:t>
        </w:r>
      </w:hyperlink>
    </w:p>
    <w:p w14:paraId="55E0E184" w14:textId="67F08F37"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6" w:history="1">
        <w:r w:rsidR="00B878B0" w:rsidRPr="00B878B0">
          <w:rPr>
            <w:rStyle w:val="Hyperlink"/>
            <w:rFonts w:ascii="Times New Roman" w:hAnsi="Times New Roman" w:cs="Times New Roman"/>
            <w:i/>
            <w:noProof/>
            <w:sz w:val="22"/>
            <w:lang w:val="en-IE"/>
          </w:rPr>
          <w:t>Figure 9 – The waste hierarchy</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79</w:t>
        </w:r>
      </w:hyperlink>
    </w:p>
    <w:p w14:paraId="2F38659D" w14:textId="7A8D6221"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7" w:history="1">
        <w:r w:rsidR="00B878B0" w:rsidRPr="00B878B0">
          <w:rPr>
            <w:rStyle w:val="Hyperlink"/>
            <w:rFonts w:ascii="Times New Roman" w:hAnsi="Times New Roman" w:cs="Times New Roman"/>
            <w:noProof/>
            <w:sz w:val="22"/>
            <w:lang w:val="en-IE"/>
          </w:rPr>
          <w:t>Figure 10 – Production value of textile and apparel, 2019 in EUR million</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102</w:t>
        </w:r>
      </w:hyperlink>
    </w:p>
    <w:p w14:paraId="219EF7A7" w14:textId="51DE5130"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8" w:history="1">
        <w:r w:rsidR="00B878B0" w:rsidRPr="00B878B0">
          <w:rPr>
            <w:rStyle w:val="Hyperlink"/>
            <w:rFonts w:ascii="Times New Roman" w:hAnsi="Times New Roman" w:cs="Times New Roman"/>
            <w:noProof/>
            <w:sz w:val="22"/>
            <w:lang w:val="en-IE"/>
          </w:rPr>
          <w:t>Figure 11 – Gross investment of textile manufacturers, 2019 in EUR million</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102</w:t>
        </w:r>
      </w:hyperlink>
    </w:p>
    <w:p w14:paraId="6A8F7D4F" w14:textId="426D7833"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09"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noProof/>
            <w:sz w:val="22"/>
            <w:lang w:val="en-IE"/>
          </w:rPr>
          <w:t>12</w:t>
        </w:r>
        <w:r w:rsidR="00B878B0" w:rsidRPr="00B878B0">
          <w:rPr>
            <w:rStyle w:val="Hyperlink"/>
            <w:rFonts w:ascii="Times New Roman" w:hAnsi="Times New Roman" w:cs="Times New Roman"/>
            <w:i/>
            <w:noProof/>
            <w:sz w:val="22"/>
            <w:lang w:val="en-IE"/>
          </w:rPr>
          <w:t xml:space="preserve"> </w:t>
        </w:r>
        <w:r w:rsidR="00B878B0" w:rsidRPr="00B878B0">
          <w:rPr>
            <w:rStyle w:val="Hyperlink"/>
            <w:rFonts w:ascii="Times New Roman" w:eastAsia="Times New Roman" w:hAnsi="Times New Roman" w:cs="Times New Roman"/>
            <w:i/>
            <w:noProof/>
            <w:sz w:val="22"/>
            <w:lang w:val="en-IE"/>
          </w:rPr>
          <w:t>–</w:t>
        </w:r>
        <w:r w:rsidR="00B878B0" w:rsidRPr="00B878B0">
          <w:rPr>
            <w:rStyle w:val="Hyperlink"/>
            <w:rFonts w:ascii="Times New Roman" w:hAnsi="Times New Roman" w:cs="Times New Roman"/>
            <w:i/>
            <w:noProof/>
            <w:sz w:val="22"/>
            <w:lang w:val="en-IE"/>
          </w:rPr>
          <w:t xml:space="preserve"> </w:t>
        </w:r>
        <w:r w:rsidR="00B878B0" w:rsidRPr="00B878B0">
          <w:rPr>
            <w:rStyle w:val="Hyperlink"/>
            <w:rFonts w:ascii="Times New Roman" w:eastAsia="Times New Roman" w:hAnsi="Times New Roman" w:cs="Times New Roman"/>
            <w:i/>
            <w:noProof/>
            <w:sz w:val="22"/>
            <w:lang w:val="en-IE"/>
          </w:rPr>
          <w:t>Online purchases of goods in the EU, 2021</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104</w:t>
        </w:r>
      </w:hyperlink>
    </w:p>
    <w:p w14:paraId="1DC73005" w14:textId="7D3F0C27"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0" w:history="1">
        <w:r w:rsidR="00B878B0" w:rsidRPr="00B878B0">
          <w:rPr>
            <w:rStyle w:val="Hyperlink"/>
            <w:rFonts w:ascii="Times New Roman" w:eastAsia="Times New Roman" w:hAnsi="Times New Roman" w:cs="Times New Roman"/>
            <w:i/>
            <w:noProof/>
            <w:sz w:val="22"/>
            <w:lang w:val="en-IE"/>
          </w:rPr>
          <w:t>Figure</w:t>
        </w:r>
        <w:r w:rsidR="00B878B0" w:rsidRPr="00B878B0">
          <w:rPr>
            <w:rStyle w:val="Hyperlink"/>
            <w:rFonts w:ascii="Times New Roman" w:hAnsi="Times New Roman" w:cs="Times New Roman"/>
            <w:i/>
            <w:noProof/>
            <w:sz w:val="22"/>
            <w:lang w:val="en-IE"/>
          </w:rPr>
          <w:t xml:space="preserve"> </w:t>
        </w:r>
        <w:r w:rsidR="00B878B0" w:rsidRPr="00B878B0">
          <w:rPr>
            <w:rStyle w:val="Hyperlink"/>
            <w:rFonts w:ascii="Times New Roman" w:eastAsia="Times New Roman" w:hAnsi="Times New Roman" w:cs="Times New Roman"/>
            <w:noProof/>
            <w:sz w:val="22"/>
            <w:lang w:val="en-IE"/>
          </w:rPr>
          <w:t>13</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Enterprises in the EU with e-commerce sales in percentage</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104</w:t>
        </w:r>
      </w:hyperlink>
    </w:p>
    <w:p w14:paraId="7D89EE01" w14:textId="14D5A173"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1" w:history="1">
        <w:r w:rsidR="00B878B0" w:rsidRPr="00B878B0">
          <w:rPr>
            <w:rStyle w:val="Hyperlink"/>
            <w:rFonts w:ascii="Times New Roman" w:eastAsia="Times New Roman" w:hAnsi="Times New Roman" w:cs="Times New Roman"/>
            <w:i/>
            <w:noProof/>
            <w:sz w:val="22"/>
            <w:lang w:val="en-IE"/>
          </w:rPr>
          <w:t>Figure</w:t>
        </w:r>
        <w:r w:rsidR="00B878B0" w:rsidRPr="00B878B0">
          <w:rPr>
            <w:rStyle w:val="Hyperlink"/>
            <w:rFonts w:ascii="Times New Roman" w:hAnsi="Times New Roman" w:cs="Times New Roman"/>
            <w:i/>
            <w:noProof/>
            <w:sz w:val="22"/>
            <w:lang w:val="en-IE"/>
          </w:rPr>
          <w:t xml:space="preserve"> </w:t>
        </w:r>
        <w:r w:rsidR="00B878B0" w:rsidRPr="00B878B0">
          <w:rPr>
            <w:rStyle w:val="Hyperlink"/>
            <w:rFonts w:ascii="Times New Roman" w:eastAsia="Times New Roman" w:hAnsi="Times New Roman" w:cs="Times New Roman"/>
            <w:noProof/>
            <w:sz w:val="22"/>
            <w:lang w:val="en-IE"/>
          </w:rPr>
          <w:t>14</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Primary commodity prices (2016 = 100) </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105</w:t>
        </w:r>
      </w:hyperlink>
    </w:p>
    <w:p w14:paraId="2F7C936D" w14:textId="1A397D94"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2"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noProof/>
            <w:sz w:val="22"/>
            <w:lang w:val="en-IE"/>
          </w:rPr>
          <w:t>15</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Household consumption of textiles and clothing, billion tonnes, 2009-2020</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107</w:t>
        </w:r>
      </w:hyperlink>
    </w:p>
    <w:p w14:paraId="59308833" w14:textId="7309565C"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3" w:history="1">
        <w:r w:rsidR="00B878B0" w:rsidRPr="00B878B0">
          <w:rPr>
            <w:rStyle w:val="Hyperlink"/>
            <w:rFonts w:ascii="Times New Roman" w:hAnsi="Times New Roman" w:cs="Times New Roman"/>
            <w:noProof/>
            <w:sz w:val="22"/>
            <w:lang w:val="en-IE"/>
          </w:rPr>
          <w:t xml:space="preserve">Figure </w:t>
        </w:r>
        <w:r w:rsidR="00B878B0" w:rsidRPr="00B878B0">
          <w:rPr>
            <w:rStyle w:val="Hyperlink"/>
            <w:rFonts w:ascii="Times New Roman" w:hAnsi="Times New Roman" w:cs="Times New Roman"/>
            <w:noProof/>
            <w:sz w:val="22"/>
          </w:rPr>
          <w:t>16</w:t>
        </w:r>
        <w:r w:rsidR="00B878B0" w:rsidRPr="00B878B0">
          <w:rPr>
            <w:rStyle w:val="Hyperlink"/>
            <w:rFonts w:ascii="Times New Roman" w:hAnsi="Times New Roman" w:cs="Times New Roman"/>
            <w:noProof/>
            <w:sz w:val="22"/>
            <w:lang w:val="en-IE"/>
          </w:rPr>
          <w:t xml:space="preserve"> Reported movements of textile goods within the EU in 2019 and 2021 in tonnes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108</w:t>
        </w:r>
      </w:hyperlink>
    </w:p>
    <w:p w14:paraId="35E5F0EF" w14:textId="4DF89D56"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4" w:history="1">
        <w:r w:rsidR="00B878B0" w:rsidRPr="00B878B0">
          <w:rPr>
            <w:rStyle w:val="Hyperlink"/>
            <w:rFonts w:ascii="Times New Roman" w:eastAsia="Times New Roman" w:hAnsi="Times New Roman" w:cs="Times New Roman"/>
            <w:i/>
            <w:noProof/>
            <w:sz w:val="22"/>
            <w:lang w:val="en-IE"/>
          </w:rPr>
          <w:t>Figure 17. Generation of textile waste in the EU at different stages of textile life cycle.</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109</w:t>
        </w:r>
      </w:hyperlink>
    </w:p>
    <w:p w14:paraId="5158C396" w14:textId="2FB0217B"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5" w:history="1">
        <w:r w:rsidR="00B878B0" w:rsidRPr="00B878B0">
          <w:rPr>
            <w:rStyle w:val="Hyperlink"/>
            <w:rFonts w:ascii="Times New Roman" w:eastAsia="Times New Roman" w:hAnsi="Times New Roman" w:cs="Times New Roman"/>
            <w:i/>
            <w:noProof/>
            <w:sz w:val="22"/>
            <w:lang w:val="en-IE"/>
          </w:rPr>
          <w:t>Figure 18. Overview of the textile ecosystem</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114</w:t>
        </w:r>
      </w:hyperlink>
    </w:p>
    <w:p w14:paraId="55542543" w14:textId="2E6B4A2E"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6" w:history="1">
        <w:r w:rsidR="00B878B0" w:rsidRPr="00B878B0">
          <w:rPr>
            <w:rStyle w:val="Hyperlink"/>
            <w:rFonts w:ascii="Times New Roman" w:eastAsia="Times New Roman" w:hAnsi="Times New Roman" w:cs="Times New Roman"/>
            <w:i/>
            <w:noProof/>
            <w:sz w:val="22"/>
            <w:lang w:val="en-IE"/>
          </w:rPr>
          <w:t>Figure 19 – Textiles sorting process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119</w:t>
        </w:r>
      </w:hyperlink>
    </w:p>
    <w:p w14:paraId="18265807" w14:textId="38CF2788"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7" w:history="1">
        <w:r w:rsidR="00B878B0" w:rsidRPr="00B878B0">
          <w:rPr>
            <w:rStyle w:val="Hyperlink"/>
            <w:rFonts w:ascii="Times New Roman" w:hAnsi="Times New Roman" w:cs="Times New Roman"/>
            <w:noProof/>
            <w:sz w:val="22"/>
            <w:lang w:val="en-IE"/>
          </w:rPr>
          <w:t>Figure 20 - Recycling techniques in the EU</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124</w:t>
        </w:r>
      </w:hyperlink>
    </w:p>
    <w:p w14:paraId="120BD279" w14:textId="06AF03D5"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8"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noProof/>
            <w:sz w:val="22"/>
          </w:rPr>
          <w:t>21</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Classification of textile reuse and recycling routes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130</w:t>
        </w:r>
      </w:hyperlink>
    </w:p>
    <w:p w14:paraId="6A961BD5" w14:textId="4B71A47D"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19"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noProof/>
            <w:sz w:val="22"/>
          </w:rPr>
          <w:t>22</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Map of textile recycling in 2020</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131</w:t>
        </w:r>
      </w:hyperlink>
    </w:p>
    <w:p w14:paraId="1BB6BD35" w14:textId="2526577A"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0" w:history="1">
        <w:r w:rsidR="00B878B0" w:rsidRPr="00B878B0">
          <w:rPr>
            <w:rStyle w:val="Hyperlink"/>
            <w:rFonts w:ascii="Times New Roman" w:hAnsi="Times New Roman" w:cs="Times New Roman"/>
            <w:noProof/>
            <w:sz w:val="22"/>
            <w:lang w:val="en-IE"/>
          </w:rPr>
          <w:t>Figure 23</w:t>
        </w:r>
        <w:r w:rsidR="00B878B0" w:rsidRPr="00B878B0">
          <w:rPr>
            <w:rStyle w:val="Hyperlink"/>
            <w:rFonts w:ascii="Times New Roman" w:hAnsi="Times New Roman" w:cs="Times New Roman"/>
            <w:noProof/>
            <w:sz w:val="22"/>
            <w:lang w:val="en-IE" w:eastAsia="en-GB"/>
          </w:rPr>
          <w:t>– Mass flow analysis for textile generation and waste management in the EU-27 (for the status quo reference year 2019) The mass flows in each node are expressed in Mt/year.</w:t>
        </w:r>
        <w:r w:rsidR="00B878B0" w:rsidRPr="00B878B0">
          <w:rPr>
            <w:rStyle w:val="Hyperlink"/>
            <w:rFonts w:ascii="Times New Roman" w:hAnsi="Times New Roman" w:cs="Times New Roman"/>
            <w:noProof/>
            <w:sz w:val="22"/>
            <w:lang w:val="en-IE"/>
          </w:rPr>
          <w:t xml:space="preserve"> The mass flows in each node are expressed in Mt/year</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135</w:t>
        </w:r>
      </w:hyperlink>
    </w:p>
    <w:p w14:paraId="4C855346" w14:textId="74599B5E"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1"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iCs/>
            <w:noProof/>
            <w:sz w:val="22"/>
          </w:rPr>
          <w:t>24</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w:t>
        </w:r>
        <w:r w:rsidR="00B878B0" w:rsidRPr="00B878B0">
          <w:rPr>
            <w:rStyle w:val="Hyperlink"/>
            <w:rFonts w:ascii="Times New Roman" w:eastAsia="Times New Roman" w:hAnsi="Times New Roman" w:cs="Times New Roman"/>
            <w:i/>
            <w:noProof/>
            <w:sz w:val="22"/>
            <w:lang w:val="en-IE" w:eastAsia="en-IE"/>
          </w:rPr>
          <w:t>Sankey diagram</w:t>
        </w:r>
        <w:r w:rsidR="00B878B0" w:rsidRPr="00B878B0">
          <w:rPr>
            <w:rStyle w:val="Hyperlink"/>
            <w:rFonts w:ascii="Times New Roman" w:hAnsi="Times New Roman" w:cs="Times New Roman"/>
            <w:i/>
            <w:noProof/>
            <w:sz w:val="22"/>
            <w:lang w:val="en-IE"/>
          </w:rPr>
          <w:t xml:space="preserve"> of the product flows and food waste generated along the Food Supply Chain in the EU27 in 2018</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140</w:t>
        </w:r>
      </w:hyperlink>
    </w:p>
    <w:p w14:paraId="31D88709" w14:textId="207A99F5"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2"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iCs/>
            <w:noProof/>
            <w:sz w:val="22"/>
          </w:rPr>
          <w:t>25</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Conceptual framework for food loss and food waste</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141</w:t>
        </w:r>
      </w:hyperlink>
    </w:p>
    <w:p w14:paraId="5AC13F9B" w14:textId="003BD2DD"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3"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iCs/>
            <w:noProof/>
            <w:sz w:val="22"/>
          </w:rPr>
          <w:t>26</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Food waste generated in the EU27 by food group (2020 data). Mt in fresh weight.</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144</w:t>
        </w:r>
      </w:hyperlink>
    </w:p>
    <w:p w14:paraId="42B20742" w14:textId="4D24CD0A"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4"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iCs/>
            <w:noProof/>
            <w:sz w:val="22"/>
          </w:rPr>
          <w:t>27</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Relationship between food available at the beginning of the food supply chain (based on 2019 data) and food waste along the entire food supply chain, by food group in the EU. Each dot represents 1 Mt of food; red dots represent the amount wasted. The ratio of Food waste/Food available is given in brackets for each food group. (Please note, that due to rounding, the number of dots may slightly differ from percentages).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144</w:t>
        </w:r>
      </w:hyperlink>
    </w:p>
    <w:p w14:paraId="42CD42AC" w14:textId="4423FF03"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5"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iCs/>
            <w:noProof/>
            <w:sz w:val="22"/>
          </w:rPr>
          <w:t>28</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 xml:space="preserve"> Amount of food waste (in fresh weight) generated in the EU27 during the different stages of the food supply chain (bars) and breakdown by main food groups (pie charts).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145</w:t>
        </w:r>
      </w:hyperlink>
    </w:p>
    <w:p w14:paraId="57839634" w14:textId="3C7D1303"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6"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iCs/>
            <w:noProof/>
            <w:sz w:val="22"/>
          </w:rPr>
          <w:t>29</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i/>
            <w:noProof/>
            <w:sz w:val="22"/>
            <w:lang w:val="en-IE"/>
          </w:rPr>
          <w:t>Amount of food waste (in fresh weight) generated in the EU27 during the different stages of the food supply chain (bars) and breakdown by main food groups (pie charts).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146</w:t>
        </w:r>
      </w:hyperlink>
    </w:p>
    <w:p w14:paraId="6E261AEF" w14:textId="6BBE752A"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7"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iCs/>
            <w:noProof/>
            <w:sz w:val="22"/>
          </w:rPr>
          <w:t>30</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noProof/>
            <w:sz w:val="22"/>
            <w:lang w:val="en-IE"/>
          </w:rPr>
          <w:t xml:space="preserve"> </w:t>
        </w:r>
        <w:r w:rsidR="00B878B0" w:rsidRPr="00B878B0">
          <w:rPr>
            <w:rStyle w:val="Hyperlink"/>
            <w:rFonts w:ascii="Times New Roman" w:hAnsi="Times New Roman" w:cs="Times New Roman"/>
            <w:i/>
            <w:noProof/>
            <w:sz w:val="22"/>
            <w:lang w:val="en-IE"/>
          </w:rPr>
          <w:t xml:space="preserve">Generation of selected streams of waste (expected to including food waste) from primary production, in </w:t>
        </w:r>
        <w:r w:rsidR="00B878B0" w:rsidRPr="00B878B0">
          <w:rPr>
            <w:rStyle w:val="Hyperlink"/>
            <w:rFonts w:ascii="Times New Roman" w:hAnsi="Times New Roman" w:cs="Times New Roman"/>
            <w:noProof/>
            <w:sz w:val="22"/>
            <w:lang w:val="en-IE"/>
          </w:rPr>
          <w:t xml:space="preserve">M </w:t>
        </w:r>
        <w:r w:rsidR="00B878B0" w:rsidRPr="00B878B0">
          <w:rPr>
            <w:rStyle w:val="Hyperlink"/>
            <w:rFonts w:ascii="Times New Roman" w:eastAsia="Times New Roman" w:hAnsi="Times New Roman" w:cs="Times New Roman"/>
            <w:noProof/>
            <w:sz w:val="22"/>
            <w:lang w:val="en-IE" w:eastAsia="en-IE"/>
          </w:rPr>
          <w:t>tonnes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152</w:t>
        </w:r>
      </w:hyperlink>
    </w:p>
    <w:p w14:paraId="46E43F0E" w14:textId="4AA70539"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8"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iCs/>
            <w:noProof/>
            <w:sz w:val="22"/>
          </w:rPr>
          <w:t>31</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noProof/>
            <w:sz w:val="22"/>
            <w:lang w:val="en-IE"/>
          </w:rPr>
          <w:t xml:space="preserve"> </w:t>
        </w:r>
        <w:r w:rsidR="00B878B0" w:rsidRPr="00B878B0">
          <w:rPr>
            <w:rStyle w:val="Hyperlink"/>
            <w:rFonts w:ascii="Times New Roman" w:hAnsi="Times New Roman" w:cs="Times New Roman"/>
            <w:i/>
            <w:noProof/>
            <w:sz w:val="22"/>
            <w:lang w:val="en-IE"/>
          </w:rPr>
          <w:t xml:space="preserve">Generation of selected streams of waste (expected to including food waste) from processing and manufacturing sector, in M </w:t>
        </w:r>
        <w:r w:rsidR="00B878B0" w:rsidRPr="00B878B0">
          <w:rPr>
            <w:rStyle w:val="Hyperlink"/>
            <w:rFonts w:ascii="Times New Roman" w:eastAsia="Times New Roman" w:hAnsi="Times New Roman" w:cs="Times New Roman"/>
            <w:i/>
            <w:iCs/>
            <w:noProof/>
            <w:sz w:val="22"/>
            <w:lang w:val="en-IE" w:eastAsia="en-IE"/>
          </w:rPr>
          <w:t>tonnes</w:t>
        </w:r>
        <w:r w:rsidR="00B878B0" w:rsidRPr="00B878B0">
          <w:rPr>
            <w:rStyle w:val="Hyperlink"/>
            <w:rFonts w:ascii="Times New Roman" w:hAnsi="Times New Roman" w:cs="Times New Roman"/>
            <w:i/>
            <w:noProof/>
            <w:sz w:val="22"/>
            <w:lang w:val="en-IE"/>
          </w:rPr>
          <w:t>.</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152</w:t>
        </w:r>
      </w:hyperlink>
    </w:p>
    <w:p w14:paraId="3D53DC38" w14:textId="45007420"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29" w:history="1">
        <w:r w:rsidR="00B878B0" w:rsidRPr="00B878B0">
          <w:rPr>
            <w:rStyle w:val="Hyperlink"/>
            <w:rFonts w:ascii="Times New Roman" w:eastAsia="Times New Roman" w:hAnsi="Times New Roman" w:cs="Times New Roman"/>
            <w:i/>
            <w:noProof/>
            <w:sz w:val="22"/>
            <w:lang w:val="en-IE"/>
          </w:rPr>
          <w:t xml:space="preserve">Figure </w:t>
        </w:r>
        <w:r w:rsidR="00B878B0" w:rsidRPr="00B878B0">
          <w:rPr>
            <w:rStyle w:val="Hyperlink"/>
            <w:rFonts w:ascii="Times New Roman" w:eastAsia="Times New Roman" w:hAnsi="Times New Roman" w:cs="Times New Roman"/>
            <w:i/>
            <w:iCs/>
            <w:noProof/>
            <w:sz w:val="22"/>
          </w:rPr>
          <w:t>32</w:t>
        </w:r>
        <w:r w:rsidR="00B878B0" w:rsidRPr="00B878B0">
          <w:rPr>
            <w:rStyle w:val="Hyperlink"/>
            <w:rFonts w:ascii="Times New Roman" w:eastAsia="Times New Roman" w:hAnsi="Times New Roman" w:cs="Times New Roman"/>
            <w:i/>
            <w:noProof/>
            <w:sz w:val="22"/>
            <w:lang w:val="en-IE"/>
          </w:rPr>
          <w:t xml:space="preserve"> –</w:t>
        </w:r>
        <w:r w:rsidR="00B878B0" w:rsidRPr="00B878B0">
          <w:rPr>
            <w:rStyle w:val="Hyperlink"/>
            <w:rFonts w:ascii="Times New Roman" w:hAnsi="Times New Roman" w:cs="Times New Roman"/>
            <w:noProof/>
            <w:sz w:val="22"/>
            <w:lang w:val="en-IE"/>
          </w:rPr>
          <w:t xml:space="preserve"> </w:t>
        </w:r>
        <w:r w:rsidR="00B878B0" w:rsidRPr="00B878B0">
          <w:rPr>
            <w:rStyle w:val="Hyperlink"/>
            <w:rFonts w:ascii="Times New Roman" w:hAnsi="Times New Roman" w:cs="Times New Roman"/>
            <w:i/>
            <w:noProof/>
            <w:sz w:val="22"/>
            <w:lang w:val="en-IE"/>
          </w:rPr>
          <w:t xml:space="preserve">Generation </w:t>
        </w:r>
        <w:r w:rsidR="00B878B0" w:rsidRPr="00B878B0">
          <w:rPr>
            <w:rStyle w:val="Hyperlink"/>
            <w:rFonts w:ascii="Times New Roman" w:eastAsia="Times New Roman" w:hAnsi="Times New Roman" w:cs="Times New Roman"/>
            <w:i/>
            <w:iCs/>
            <w:noProof/>
            <w:sz w:val="22"/>
            <w:lang w:val="en-IE" w:eastAsia="en-IE"/>
          </w:rPr>
          <w:t>of selected streams of waste (expected to including food waste) from services sector, in M tonnes.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153</w:t>
        </w:r>
      </w:hyperlink>
    </w:p>
    <w:p w14:paraId="55342BE8" w14:textId="20B3ACFF"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30" w:history="1">
        <w:r w:rsidR="00B878B0" w:rsidRPr="00B878B0">
          <w:rPr>
            <w:rStyle w:val="Hyperlink"/>
            <w:rFonts w:ascii="Times New Roman" w:eastAsia="Times New Roman" w:hAnsi="Times New Roman" w:cs="Times New Roman"/>
            <w:noProof/>
            <w:sz w:val="22"/>
            <w:lang w:val="en-IE"/>
          </w:rPr>
          <w:t xml:space="preserve">Figure </w:t>
        </w:r>
        <w:r w:rsidR="00B878B0" w:rsidRPr="00B878B0">
          <w:rPr>
            <w:rStyle w:val="Hyperlink"/>
            <w:rFonts w:ascii="Times New Roman" w:eastAsia="Times New Roman" w:hAnsi="Times New Roman" w:cs="Times New Roman"/>
            <w:noProof/>
            <w:sz w:val="22"/>
          </w:rPr>
          <w:t>33</w:t>
        </w:r>
        <w:r w:rsidR="00B878B0" w:rsidRPr="00B878B0">
          <w:rPr>
            <w:rStyle w:val="Hyperlink"/>
            <w:rFonts w:ascii="Times New Roman" w:eastAsia="Times New Roman" w:hAnsi="Times New Roman" w:cs="Times New Roman"/>
            <w:noProof/>
            <w:sz w:val="22"/>
            <w:lang w:val="en-IE"/>
          </w:rPr>
          <w:t xml:space="preserve"> –</w:t>
        </w:r>
        <w:r w:rsidR="00B878B0" w:rsidRPr="00B878B0">
          <w:rPr>
            <w:rStyle w:val="Hyperlink"/>
            <w:rFonts w:ascii="Times New Roman" w:hAnsi="Times New Roman" w:cs="Times New Roman"/>
            <w:noProof/>
            <w:sz w:val="22"/>
            <w:lang w:val="en-IE"/>
          </w:rPr>
          <w:t xml:space="preserve"> Generation of municipal waste in per capita (kg per capita, 2012-2020)</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153</w:t>
        </w:r>
      </w:hyperlink>
    </w:p>
    <w:p w14:paraId="4B17A158" w14:textId="5BCF23E3" w:rsidR="004C6084" w:rsidRPr="00013BDC" w:rsidRDefault="00FB3D28" w:rsidP="004F3D0D">
      <w:pPr>
        <w:spacing w:after="120"/>
        <w:rPr>
          <w:noProof/>
          <w:sz w:val="20"/>
          <w:lang w:val="en-IE"/>
        </w:rPr>
      </w:pPr>
      <w:r w:rsidRPr="00013BDC">
        <w:rPr>
          <w:noProof/>
          <w:sz w:val="20"/>
          <w:lang w:val="en-IE"/>
        </w:rPr>
        <w:fldChar w:fldCharType="end"/>
      </w:r>
    </w:p>
    <w:p w14:paraId="25D87947" w14:textId="77777777" w:rsidR="004C6084" w:rsidRPr="00013BDC" w:rsidRDefault="004C6084">
      <w:pPr>
        <w:pStyle w:val="TableofFigures"/>
        <w:rPr>
          <w:rFonts w:ascii="Times New Roman" w:hAnsi="Times New Roman" w:cs="Times New Roman"/>
          <w:b/>
          <w:noProof/>
          <w:sz w:val="24"/>
          <w:szCs w:val="24"/>
          <w:lang w:val="en-IE"/>
        </w:rPr>
      </w:pPr>
    </w:p>
    <w:p w14:paraId="59E8FFFC" w14:textId="0C6BFD13" w:rsidR="00795D3D" w:rsidRPr="00013BDC" w:rsidRDefault="00795D3D">
      <w:pPr>
        <w:pStyle w:val="TableofFigures"/>
        <w:rPr>
          <w:rFonts w:ascii="Times New Roman" w:hAnsi="Times New Roman" w:cs="Times New Roman"/>
          <w:b/>
          <w:noProof/>
          <w:sz w:val="24"/>
          <w:szCs w:val="24"/>
          <w:lang w:val="en-IE"/>
        </w:rPr>
      </w:pPr>
      <w:r w:rsidRPr="00013BDC">
        <w:rPr>
          <w:rFonts w:ascii="Times New Roman" w:hAnsi="Times New Roman" w:cs="Times New Roman"/>
          <w:b/>
          <w:noProof/>
          <w:sz w:val="24"/>
          <w:szCs w:val="24"/>
          <w:lang w:val="en-IE"/>
        </w:rPr>
        <w:t>List of tables</w:t>
      </w:r>
    </w:p>
    <w:p w14:paraId="56EFD8CF" w14:textId="34290363" w:rsidR="00B878B0" w:rsidRPr="00B878B0" w:rsidRDefault="00795D3D">
      <w:pPr>
        <w:pStyle w:val="TableofFigures"/>
        <w:rPr>
          <w:rFonts w:ascii="Times New Roman" w:eastAsiaTheme="minorEastAsia" w:hAnsi="Times New Roman" w:cs="Times New Roman"/>
          <w:noProof/>
          <w:color w:val="auto"/>
          <w:sz w:val="22"/>
          <w:lang w:val="en-IE" w:eastAsia="en-IE"/>
        </w:rPr>
      </w:pPr>
      <w:r w:rsidRPr="00013BDC">
        <w:rPr>
          <w:rStyle w:val="Hyperlink"/>
          <w:noProof/>
        </w:rPr>
        <w:fldChar w:fldCharType="begin"/>
      </w:r>
      <w:r w:rsidRPr="00013BDC">
        <w:rPr>
          <w:rStyle w:val="Hyperlink"/>
          <w:noProof/>
          <w:sz w:val="22"/>
          <w:lang w:val="en-IE"/>
        </w:rPr>
        <w:instrText xml:space="preserve"> TOC \h \z \c "Table" </w:instrText>
      </w:r>
      <w:r w:rsidRPr="00013BDC">
        <w:rPr>
          <w:rStyle w:val="Hyperlink"/>
          <w:noProof/>
        </w:rPr>
        <w:fldChar w:fldCharType="separate"/>
      </w:r>
      <w:hyperlink w:anchor="_Toc139033031"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1</w:t>
        </w:r>
        <w:r w:rsidR="00B878B0" w:rsidRPr="00B878B0">
          <w:rPr>
            <w:rStyle w:val="Hyperlink"/>
            <w:rFonts w:ascii="Times New Roman" w:hAnsi="Times New Roman" w:cs="Times New Roman"/>
            <w:noProof/>
            <w:sz w:val="22"/>
            <w:lang w:val="en-IE"/>
          </w:rPr>
          <w:t xml:space="preserve"> - Overview of how the RSB comments are incorporated</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w:t>
        </w:r>
      </w:hyperlink>
    </w:p>
    <w:p w14:paraId="4A5D53D1" w14:textId="06DB52D1"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32"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2</w:t>
        </w:r>
        <w:r w:rsidR="00B878B0" w:rsidRPr="00B878B0">
          <w:rPr>
            <w:rStyle w:val="Hyperlink"/>
            <w:rFonts w:ascii="Times New Roman" w:hAnsi="Times New Roman" w:cs="Times New Roman"/>
            <w:noProof/>
            <w:sz w:val="22"/>
            <w:lang w:val="en-IE"/>
          </w:rPr>
          <w:t xml:space="preserve"> – Overview of Benefits of the Preferred Option</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35</w:t>
        </w:r>
      </w:hyperlink>
    </w:p>
    <w:p w14:paraId="796551DD" w14:textId="7DBDDDC9"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33"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3</w:t>
        </w:r>
        <w:r w:rsidR="00B878B0" w:rsidRPr="00B878B0">
          <w:rPr>
            <w:rStyle w:val="Hyperlink"/>
            <w:rFonts w:ascii="Times New Roman" w:hAnsi="Times New Roman" w:cs="Times New Roman"/>
            <w:noProof/>
            <w:sz w:val="22"/>
            <w:lang w:val="en-IE"/>
          </w:rPr>
          <w:t xml:space="preserve"> – Overview of Costs of the Preferred Option</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37</w:t>
        </w:r>
      </w:hyperlink>
    </w:p>
    <w:p w14:paraId="3F027C6D" w14:textId="29D7418E"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34"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4</w:t>
        </w:r>
        <w:r w:rsidR="00B878B0" w:rsidRPr="00B878B0">
          <w:rPr>
            <w:rStyle w:val="Hyperlink"/>
            <w:rFonts w:ascii="Times New Roman" w:hAnsi="Times New Roman" w:cs="Times New Roman"/>
            <w:noProof/>
            <w:sz w:val="22"/>
            <w:lang w:val="en-IE"/>
          </w:rPr>
          <w:t xml:space="preserve"> – Overview of Benefits of the Preferred Option</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40</w:t>
        </w:r>
      </w:hyperlink>
    </w:p>
    <w:p w14:paraId="5D6C463A" w14:textId="4ABBB507"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35"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5</w:t>
        </w:r>
        <w:r w:rsidR="00B878B0" w:rsidRPr="00B878B0">
          <w:rPr>
            <w:rStyle w:val="Hyperlink"/>
            <w:rFonts w:ascii="Times New Roman" w:hAnsi="Times New Roman" w:cs="Times New Roman"/>
            <w:noProof/>
            <w:sz w:val="22"/>
            <w:lang w:val="en-IE"/>
          </w:rPr>
          <w:t xml:space="preserve"> – Overview of Costs of the Preferred Option</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42</w:t>
        </w:r>
      </w:hyperlink>
    </w:p>
    <w:p w14:paraId="1DCEF6BD" w14:textId="4ECC4F90"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36"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6</w:t>
        </w:r>
        <w:r w:rsidR="00B878B0" w:rsidRPr="00B878B0">
          <w:rPr>
            <w:rStyle w:val="Hyperlink"/>
            <w:rFonts w:ascii="Times New Roman" w:hAnsi="Times New Roman" w:cs="Times New Roman"/>
            <w:noProof/>
            <w:sz w:val="22"/>
            <w:lang w:val="en-IE"/>
          </w:rPr>
          <w:t xml:space="preserve"> – Overview of relevant Sustainable Development Goals for the Preferred Option</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42</w:t>
        </w:r>
      </w:hyperlink>
    </w:p>
    <w:p w14:paraId="27DC7812" w14:textId="39749D87"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37"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7</w:t>
        </w:r>
        <w:r w:rsidR="00B878B0" w:rsidRPr="00B878B0">
          <w:rPr>
            <w:rStyle w:val="Hyperlink"/>
            <w:rFonts w:ascii="Times New Roman" w:hAnsi="Times New Roman" w:cs="Times New Roman"/>
            <w:noProof/>
            <w:sz w:val="22"/>
            <w:lang w:val="en-IE"/>
          </w:rPr>
          <w:t>– Summary of overall costs and benefits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45</w:t>
        </w:r>
      </w:hyperlink>
    </w:p>
    <w:p w14:paraId="4FF701FC" w14:textId="3818E7F6"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38"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8</w:t>
        </w:r>
        <w:r w:rsidR="00B878B0" w:rsidRPr="00B878B0">
          <w:rPr>
            <w:rStyle w:val="Hyperlink"/>
            <w:rFonts w:ascii="Times New Roman" w:hAnsi="Times New Roman" w:cs="Times New Roman"/>
            <w:noProof/>
            <w:sz w:val="22"/>
            <w:lang w:val="en-IE"/>
          </w:rPr>
          <w:t xml:space="preserve"> – Categorisation of impacts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51</w:t>
        </w:r>
      </w:hyperlink>
    </w:p>
    <w:p w14:paraId="52140A45" w14:textId="24891B60"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39"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9</w:t>
        </w:r>
        <w:r w:rsidR="00B878B0" w:rsidRPr="00B878B0">
          <w:rPr>
            <w:rStyle w:val="Hyperlink"/>
            <w:rFonts w:ascii="Times New Roman" w:hAnsi="Times New Roman" w:cs="Times New Roman"/>
            <w:noProof/>
            <w:sz w:val="22"/>
            <w:lang w:val="en-IE"/>
          </w:rPr>
          <w:t>: Assumptions made to calculate the administrative burden</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52</w:t>
        </w:r>
      </w:hyperlink>
    </w:p>
    <w:p w14:paraId="65DADE38" w14:textId="0ACF9112"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0"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10</w:t>
        </w:r>
        <w:r w:rsidR="00B878B0" w:rsidRPr="00B878B0">
          <w:rPr>
            <w:rStyle w:val="Hyperlink"/>
            <w:rFonts w:ascii="Times New Roman" w:hAnsi="Times New Roman" w:cs="Times New Roman"/>
            <w:noProof/>
            <w:sz w:val="22"/>
            <w:lang w:val="en-IE"/>
          </w:rPr>
          <w:t xml:space="preserve"> – Sales value by textile treatment route, euro per tonne</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54</w:t>
        </w:r>
      </w:hyperlink>
    </w:p>
    <w:p w14:paraId="188BEC6D" w14:textId="25DD2EF3"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1" w:history="1">
        <w:r w:rsidR="00B878B0" w:rsidRPr="00B878B0">
          <w:rPr>
            <w:rStyle w:val="Hyperlink"/>
            <w:rFonts w:ascii="Times New Roman" w:hAnsi="Times New Roman" w:cs="Times New Roman"/>
            <w:noProof/>
            <w:sz w:val="22"/>
            <w:lang w:val="en-IE"/>
          </w:rPr>
          <w:t>Table 11 - Economic costs and benefits that are relevant for the assessment but could not be quantified</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56</w:t>
        </w:r>
      </w:hyperlink>
    </w:p>
    <w:p w14:paraId="4AF9E285" w14:textId="225AF1D5"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2"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12</w:t>
        </w:r>
        <w:r w:rsidR="00B878B0" w:rsidRPr="00B878B0">
          <w:rPr>
            <w:rStyle w:val="Hyperlink"/>
            <w:rFonts w:ascii="Times New Roman" w:hAnsi="Times New Roman" w:cs="Times New Roman"/>
            <w:noProof/>
            <w:sz w:val="22"/>
            <w:lang w:val="en-IE"/>
          </w:rPr>
          <w:t xml:space="preserve"> – Employment benefits of textiles waste management</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57</w:t>
        </w:r>
      </w:hyperlink>
    </w:p>
    <w:p w14:paraId="6F73E8BF" w14:textId="09FC9643"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3"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13</w:t>
        </w:r>
        <w:r w:rsidR="00B878B0" w:rsidRPr="00B878B0">
          <w:rPr>
            <w:rStyle w:val="Hyperlink"/>
            <w:rFonts w:ascii="Times New Roman" w:hAnsi="Times New Roman" w:cs="Times New Roman"/>
            <w:noProof/>
            <w:sz w:val="22"/>
            <w:lang w:val="en-IE"/>
          </w:rPr>
          <w:t xml:space="preserve"> – Discarded and retained environmental benefits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58</w:t>
        </w:r>
      </w:hyperlink>
    </w:p>
    <w:p w14:paraId="4CB4DED2" w14:textId="1138B3D2"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4"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14</w:t>
        </w:r>
        <w:r w:rsidR="00B878B0" w:rsidRPr="00B878B0">
          <w:rPr>
            <w:rStyle w:val="Hyperlink"/>
            <w:rFonts w:ascii="Times New Roman" w:hAnsi="Times New Roman" w:cs="Times New Roman"/>
            <w:noProof/>
            <w:sz w:val="22"/>
            <w:lang w:val="en-IE"/>
          </w:rPr>
          <w:t xml:space="preserve"> – CO2 equivalent emissions saved by destination of textile at EoL (in tonnes per tonne of textile), EEB</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59</w:t>
        </w:r>
      </w:hyperlink>
    </w:p>
    <w:p w14:paraId="51D50CCF" w14:textId="79B03EF0"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5"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15</w:t>
        </w:r>
        <w:r w:rsidR="00B878B0" w:rsidRPr="00B878B0">
          <w:rPr>
            <w:rStyle w:val="Hyperlink"/>
            <w:rFonts w:ascii="Times New Roman" w:hAnsi="Times New Roman" w:cs="Times New Roman"/>
            <w:noProof/>
            <w:sz w:val="22"/>
            <w:lang w:val="en-IE"/>
          </w:rPr>
          <w:t xml:space="preserve"> – Overview of the three considered quality levels and associated scenarios used by EuRIC</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60</w:t>
        </w:r>
      </w:hyperlink>
    </w:p>
    <w:p w14:paraId="755937F7" w14:textId="2A7A054D"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6"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16</w:t>
        </w:r>
        <w:r w:rsidR="00B878B0" w:rsidRPr="00B878B0">
          <w:rPr>
            <w:rStyle w:val="Hyperlink"/>
            <w:rFonts w:ascii="Times New Roman" w:hAnsi="Times New Roman" w:cs="Times New Roman"/>
            <w:noProof/>
            <w:sz w:val="22"/>
            <w:lang w:val="en-IE"/>
          </w:rPr>
          <w:t xml:space="preserve"> – Overview of waste savings used by EuRIC</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61</w:t>
        </w:r>
      </w:hyperlink>
    </w:p>
    <w:p w14:paraId="7AC4E59B" w14:textId="3C27A203"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7"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17</w:t>
        </w:r>
        <w:r w:rsidR="00B878B0" w:rsidRPr="00B878B0">
          <w:rPr>
            <w:rStyle w:val="Hyperlink"/>
            <w:rFonts w:ascii="Times New Roman" w:hAnsi="Times New Roman" w:cs="Times New Roman"/>
            <w:noProof/>
            <w:sz w:val="22"/>
            <w:lang w:val="en-IE"/>
          </w:rPr>
          <w:t xml:space="preserve"> – Values of water savings per tonne used by EuRIC</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61</w:t>
        </w:r>
      </w:hyperlink>
    </w:p>
    <w:p w14:paraId="6EA95448" w14:textId="41E8E272"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8" w:history="1">
        <w:r w:rsidR="00B878B0" w:rsidRPr="00B878B0">
          <w:rPr>
            <w:rStyle w:val="Hyperlink"/>
            <w:rFonts w:ascii="Times New Roman" w:hAnsi="Times New Roman" w:cs="Times New Roman"/>
            <w:noProof/>
            <w:sz w:val="22"/>
            <w:lang w:val="en-IE"/>
          </w:rPr>
          <w:t>Table 18 - Type of environmental costs and benefits that could not be quantified</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63</w:t>
        </w:r>
      </w:hyperlink>
    </w:p>
    <w:p w14:paraId="71133A6D" w14:textId="34320821"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49"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19</w:t>
        </w:r>
        <w:r w:rsidR="00B878B0" w:rsidRPr="00B878B0">
          <w:rPr>
            <w:rStyle w:val="Hyperlink"/>
            <w:rFonts w:ascii="Times New Roman" w:hAnsi="Times New Roman" w:cs="Times New Roman"/>
            <w:noProof/>
            <w:sz w:val="22"/>
            <w:lang w:val="en-IE"/>
          </w:rPr>
          <w:t xml:space="preserve"> – Overview regional and sectoral aggregation</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71</w:t>
        </w:r>
      </w:hyperlink>
    </w:p>
    <w:p w14:paraId="09B55393" w14:textId="7754A4ED"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0"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20</w:t>
        </w:r>
        <w:r w:rsidR="00B878B0" w:rsidRPr="00B878B0">
          <w:rPr>
            <w:rStyle w:val="Hyperlink"/>
            <w:rFonts w:ascii="Times New Roman" w:hAnsi="Times New Roman" w:cs="Times New Roman"/>
            <w:noProof/>
            <w:sz w:val="22"/>
            <w:lang w:val="en-IE"/>
          </w:rPr>
          <w:t xml:space="preserve"> – Mapping between the FW MFA and MAGNET models in terms of commodities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73</w:t>
        </w:r>
      </w:hyperlink>
    </w:p>
    <w:p w14:paraId="0C53D824" w14:textId="39E49334"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1" w:history="1">
        <w:r w:rsidR="00B878B0" w:rsidRPr="00B878B0">
          <w:rPr>
            <w:rStyle w:val="Hyperlink"/>
            <w:rFonts w:ascii="Times New Roman" w:hAnsi="Times New Roman" w:cs="Times New Roman"/>
            <w:noProof/>
            <w:sz w:val="22"/>
            <w:lang w:val="en-IE"/>
          </w:rPr>
          <w:t>Table 21. Monetary valuation coefficients based on Amadei et al., (2021).</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78</w:t>
        </w:r>
      </w:hyperlink>
    </w:p>
    <w:p w14:paraId="0797973A" w14:textId="628087CE"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2"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22</w:t>
        </w:r>
        <w:r w:rsidR="00B878B0" w:rsidRPr="00B878B0">
          <w:rPr>
            <w:rStyle w:val="Hyperlink"/>
            <w:rFonts w:ascii="Times New Roman" w:hAnsi="Times New Roman" w:cs="Times New Roman"/>
            <w:noProof/>
            <w:sz w:val="22"/>
            <w:lang w:val="en-IE"/>
          </w:rPr>
          <w:t xml:space="preserve"> – Breakdown of waste generation by material</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85</w:t>
        </w:r>
      </w:hyperlink>
    </w:p>
    <w:p w14:paraId="5D913DBF" w14:textId="6C82E348"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3"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23</w:t>
        </w:r>
        <w:r w:rsidR="00B878B0" w:rsidRPr="00B878B0">
          <w:rPr>
            <w:rStyle w:val="Hyperlink"/>
            <w:rFonts w:ascii="Times New Roman" w:hAnsi="Times New Roman" w:cs="Times New Roman"/>
            <w:noProof/>
            <w:sz w:val="22"/>
            <w:lang w:val="en-IE"/>
          </w:rPr>
          <w:t xml:space="preserve"> – Mapping of the main links to WFD</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86</w:t>
        </w:r>
      </w:hyperlink>
    </w:p>
    <w:p w14:paraId="27FAB2A3" w14:textId="2B304284"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4"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24</w:t>
        </w:r>
        <w:r w:rsidR="00B878B0" w:rsidRPr="00B878B0">
          <w:rPr>
            <w:rStyle w:val="Hyperlink"/>
            <w:rFonts w:ascii="Times New Roman" w:hAnsi="Times New Roman" w:cs="Times New Roman"/>
            <w:noProof/>
            <w:sz w:val="22"/>
            <w:lang w:val="en-IE"/>
          </w:rPr>
          <w:t xml:space="preserve"> – Company sizes in the EU textile sector, 2021</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103</w:t>
        </w:r>
      </w:hyperlink>
    </w:p>
    <w:p w14:paraId="57A3E06B" w14:textId="14309BF1"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5"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25</w:t>
        </w:r>
        <w:r w:rsidR="00B878B0" w:rsidRPr="00B878B0">
          <w:rPr>
            <w:rStyle w:val="Hyperlink"/>
            <w:rFonts w:ascii="Times New Roman" w:hAnsi="Times New Roman" w:cs="Times New Roman"/>
            <w:noProof/>
            <w:sz w:val="22"/>
            <w:lang w:val="en-IE"/>
          </w:rPr>
          <w:t xml:space="preserve"> –Estimated composition of flows at category and subcategory level of the estimated post-consumer textile waste</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111</w:t>
        </w:r>
      </w:hyperlink>
    </w:p>
    <w:p w14:paraId="44E55478" w14:textId="1BBC05FA"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6"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26</w:t>
        </w:r>
        <w:r w:rsidR="00B878B0" w:rsidRPr="00B878B0">
          <w:rPr>
            <w:rStyle w:val="Hyperlink"/>
            <w:rFonts w:ascii="Times New Roman" w:hAnsi="Times New Roman" w:cs="Times New Roman"/>
            <w:noProof/>
            <w:sz w:val="22"/>
            <w:lang w:val="en-IE"/>
          </w:rPr>
          <w:t xml:space="preserve"> – Scope of separate collection schemes in the EU Member States, 2022</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115</w:t>
        </w:r>
      </w:hyperlink>
    </w:p>
    <w:p w14:paraId="2CE65324" w14:textId="425C8792"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7" w:history="1">
        <w:r w:rsidR="00B878B0" w:rsidRPr="00B878B0">
          <w:rPr>
            <w:rStyle w:val="Hyperlink"/>
            <w:rFonts w:ascii="Times New Roman" w:hAnsi="Times New Roman" w:cs="Times New Roman"/>
            <w:noProof/>
            <w:sz w:val="22"/>
            <w:lang w:val="en-IE"/>
          </w:rPr>
          <w:t>Table 27 – Textile waste generation and collection in Member States, tonnes and collection rate</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116</w:t>
        </w:r>
      </w:hyperlink>
    </w:p>
    <w:p w14:paraId="1B1053DD" w14:textId="42881119"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8" w:history="1">
        <w:r w:rsidR="00B878B0" w:rsidRPr="00B878B0">
          <w:rPr>
            <w:rStyle w:val="Hyperlink"/>
            <w:rFonts w:ascii="Times New Roman" w:hAnsi="Times New Roman" w:cs="Times New Roman"/>
            <w:noProof/>
            <w:sz w:val="22"/>
            <w:lang w:val="en-IE"/>
          </w:rPr>
          <w:t>Table 28. Import and export of used textiles from and to third countries for EU Member States in 2020</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121</w:t>
        </w:r>
      </w:hyperlink>
    </w:p>
    <w:p w14:paraId="5C6DF936" w14:textId="48A52F56"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59" w:history="1">
        <w:r w:rsidR="00B878B0" w:rsidRPr="00B878B0">
          <w:rPr>
            <w:rStyle w:val="Hyperlink"/>
            <w:rFonts w:ascii="Times New Roman" w:hAnsi="Times New Roman" w:cs="Times New Roman"/>
            <w:noProof/>
            <w:sz w:val="22"/>
            <w:lang w:val="en-IE"/>
          </w:rPr>
          <w:t>Table 29. Imports of used textiles from within the EU by Member States in 2021.</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122</w:t>
        </w:r>
      </w:hyperlink>
    </w:p>
    <w:p w14:paraId="01FE61BD" w14:textId="52C893B7"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60"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30</w:t>
        </w:r>
        <w:r w:rsidR="00B878B0" w:rsidRPr="00B878B0">
          <w:rPr>
            <w:rStyle w:val="Hyperlink"/>
            <w:rFonts w:ascii="Times New Roman" w:hAnsi="Times New Roman" w:cs="Times New Roman"/>
            <w:noProof/>
            <w:sz w:val="22"/>
            <w:lang w:val="en-IE"/>
          </w:rPr>
          <w:t xml:space="preserve"> – Textile waste sorting capacity compared to collection in Member States, tonnes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125</w:t>
        </w:r>
      </w:hyperlink>
    </w:p>
    <w:p w14:paraId="16F85053" w14:textId="35DBA08C"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61"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31</w:t>
        </w:r>
        <w:r w:rsidR="00B878B0" w:rsidRPr="00B878B0">
          <w:rPr>
            <w:rStyle w:val="Hyperlink"/>
            <w:rFonts w:ascii="Times New Roman" w:hAnsi="Times New Roman" w:cs="Times New Roman"/>
            <w:noProof/>
            <w:sz w:val="22"/>
            <w:lang w:val="en-IE"/>
          </w:rPr>
          <w:t xml:space="preserve"> – Recycling processes for major fibres/recycling</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132</w:t>
        </w:r>
      </w:hyperlink>
    </w:p>
    <w:p w14:paraId="4F2E50A1" w14:textId="4749ED6D"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62" w:history="1">
        <w:r w:rsidR="00B878B0" w:rsidRPr="00B878B0">
          <w:rPr>
            <w:rStyle w:val="Hyperlink"/>
            <w:rFonts w:ascii="Times New Roman" w:hAnsi="Times New Roman" w:cs="Times New Roman"/>
            <w:noProof/>
            <w:sz w:val="22"/>
            <w:lang w:val="en-IE"/>
          </w:rPr>
          <w:t xml:space="preserve">Table </w:t>
        </w:r>
        <w:r w:rsidR="00B878B0" w:rsidRPr="00B878B0">
          <w:rPr>
            <w:rStyle w:val="Hyperlink"/>
            <w:rFonts w:ascii="Times New Roman" w:hAnsi="Times New Roman" w:cs="Times New Roman"/>
            <w:noProof/>
            <w:sz w:val="22"/>
          </w:rPr>
          <w:t>32</w:t>
        </w:r>
        <w:r w:rsidR="00B878B0" w:rsidRPr="00B878B0">
          <w:rPr>
            <w:rStyle w:val="Hyperlink"/>
            <w:rFonts w:ascii="Times New Roman" w:hAnsi="Times New Roman" w:cs="Times New Roman"/>
            <w:noProof/>
            <w:sz w:val="22"/>
            <w:lang w:val="en-IE"/>
          </w:rPr>
          <w:t xml:space="preserve"> – Estimates of food waste in EU-28 in 2012 from this quantification study; includes food and inedible parts associated with food</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147</w:t>
        </w:r>
      </w:hyperlink>
    </w:p>
    <w:p w14:paraId="3ED7FE1D" w14:textId="2C8FE183"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63" w:history="1">
        <w:r w:rsidR="00B878B0" w:rsidRPr="00B878B0">
          <w:rPr>
            <w:rStyle w:val="Hyperlink"/>
            <w:rFonts w:ascii="Times New Roman" w:hAnsi="Times New Roman" w:cs="Times New Roman"/>
            <w:noProof/>
            <w:sz w:val="22"/>
            <w:lang w:val="en-IE"/>
          </w:rPr>
          <w:t>Table 33– Food waste amounts by Member State and by stage of the food supply chain for the reference year 2020.</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148</w:t>
        </w:r>
      </w:hyperlink>
    </w:p>
    <w:p w14:paraId="7F3C7F44" w14:textId="5B8BB94A" w:rsidR="00B878B0" w:rsidRPr="00B878B0" w:rsidRDefault="00393BF7">
      <w:pPr>
        <w:pStyle w:val="TableofFigures"/>
        <w:rPr>
          <w:rFonts w:ascii="Times New Roman" w:eastAsiaTheme="minorEastAsia" w:hAnsi="Times New Roman" w:cs="Times New Roman"/>
          <w:noProof/>
          <w:color w:val="auto"/>
          <w:sz w:val="22"/>
          <w:lang w:val="en-IE" w:eastAsia="en-IE"/>
        </w:rPr>
      </w:pPr>
      <w:hyperlink w:anchor="_Toc139033064" w:history="1">
        <w:r w:rsidR="00B878B0" w:rsidRPr="00B878B0">
          <w:rPr>
            <w:rStyle w:val="Hyperlink"/>
            <w:rFonts w:ascii="Times New Roman" w:hAnsi="Times New Roman" w:cs="Times New Roman"/>
            <w:noProof/>
            <w:sz w:val="22"/>
            <w:lang w:val="en-IE"/>
          </w:rPr>
          <w:t>Table 34 – Comparison of data reported by Member States with FUSION estimations with and without impact of UK data.</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149</w:t>
        </w:r>
      </w:hyperlink>
    </w:p>
    <w:p w14:paraId="4EEB40A6" w14:textId="1195A6EE" w:rsidR="00B878B0" w:rsidRDefault="00393BF7">
      <w:pPr>
        <w:pStyle w:val="TableofFigures"/>
        <w:rPr>
          <w:rFonts w:asciiTheme="minorHAnsi" w:eastAsiaTheme="minorEastAsia" w:hAnsiTheme="minorHAnsi"/>
          <w:noProof/>
          <w:color w:val="auto"/>
          <w:sz w:val="22"/>
          <w:lang w:val="en-IE" w:eastAsia="en-IE"/>
        </w:rPr>
      </w:pPr>
      <w:hyperlink w:anchor="_Toc139033065" w:history="1">
        <w:r w:rsidR="00B878B0" w:rsidRPr="00B878B0">
          <w:rPr>
            <w:rStyle w:val="Hyperlink"/>
            <w:rFonts w:ascii="Times New Roman" w:hAnsi="Times New Roman" w:cs="Times New Roman"/>
            <w:i/>
            <w:noProof/>
            <w:sz w:val="22"/>
            <w:lang w:val="en-IE"/>
          </w:rPr>
          <w:t xml:space="preserve">Table </w:t>
        </w:r>
        <w:r w:rsidR="00B878B0" w:rsidRPr="00B878B0">
          <w:rPr>
            <w:rStyle w:val="Hyperlink"/>
            <w:rFonts w:ascii="Times New Roman" w:hAnsi="Times New Roman" w:cs="Times New Roman"/>
            <w:i/>
            <w:iCs/>
            <w:noProof/>
            <w:sz w:val="22"/>
          </w:rPr>
          <w:t>35</w:t>
        </w:r>
        <w:r w:rsidR="00B878B0" w:rsidRPr="00B878B0">
          <w:rPr>
            <w:rStyle w:val="Hyperlink"/>
            <w:rFonts w:ascii="Times New Roman" w:hAnsi="Times New Roman" w:cs="Times New Roman"/>
            <w:i/>
            <w:noProof/>
            <w:sz w:val="22"/>
            <w:lang w:val="en-IE"/>
          </w:rPr>
          <w:t xml:space="preserve"> – Relevant waste categories and economic activities in WstatR for calculating Food waste estimates</w:t>
        </w:r>
        <w:r w:rsidR="00B878B0" w:rsidRPr="00B878B0">
          <w:rPr>
            <w:rFonts w:ascii="Times New Roman" w:hAnsi="Times New Roman" w:cs="Times New Roman"/>
            <w:noProof/>
            <w:webHidden/>
            <w:sz w:val="22"/>
          </w:rPr>
          <w:tab/>
        </w:r>
        <w:r w:rsidR="004C5576">
          <w:rPr>
            <w:rFonts w:ascii="Times New Roman" w:hAnsi="Times New Roman" w:cs="Times New Roman"/>
            <w:noProof/>
            <w:webHidden/>
            <w:sz w:val="22"/>
          </w:rPr>
          <w:t>150</w:t>
        </w:r>
      </w:hyperlink>
    </w:p>
    <w:p w14:paraId="453198BA" w14:textId="321BFE57" w:rsidR="00795D3D" w:rsidRPr="007E0C85" w:rsidRDefault="00795D3D" w:rsidP="00997D2E">
      <w:pPr>
        <w:pStyle w:val="TableofFigures"/>
        <w:rPr>
          <w:noProof/>
          <w:lang w:val="en-IE"/>
        </w:rPr>
      </w:pPr>
      <w:r w:rsidRPr="00013BDC">
        <w:rPr>
          <w:rStyle w:val="Hyperlink"/>
          <w:rFonts w:ascii="Times New Roman" w:hAnsi="Times New Roman" w:cs="Times New Roman"/>
          <w:noProof/>
        </w:rPr>
        <w:fldChar w:fldCharType="end"/>
      </w:r>
    </w:p>
    <w:sectPr w:rsidR="00795D3D" w:rsidRPr="007E0C85">
      <w:headerReference w:type="even" r:id="rId198"/>
      <w:headerReference w:type="default" r:id="rId199"/>
      <w:footerReference w:type="even" r:id="rId200"/>
      <w:footerReference w:type="default" r:id="rId201"/>
      <w:headerReference w:type="first" r:id="rId202"/>
      <w:footerReference w:type="first" r:id="rId20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3C81C" w14:textId="77777777" w:rsidR="009C2DE3" w:rsidRDefault="009C2DE3" w:rsidP="000E3086">
      <w:r>
        <w:separator/>
      </w:r>
    </w:p>
  </w:endnote>
  <w:endnote w:type="continuationSeparator" w:id="0">
    <w:p w14:paraId="2ED2495A" w14:textId="77777777" w:rsidR="009C2DE3" w:rsidRDefault="009C2DE3" w:rsidP="000E3086">
      <w:r>
        <w:continuationSeparator/>
      </w:r>
    </w:p>
  </w:endnote>
  <w:endnote w:type="continuationNotice" w:id="1">
    <w:p w14:paraId="56D2E44D" w14:textId="77777777" w:rsidR="009C2DE3" w:rsidRDefault="009C2D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quot;Calibri&quot;,sans-serif">
    <w:altName w:val="Cambria"/>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Muli Light">
    <w:altName w:val="Cambria"/>
    <w:panose1 w:val="00000000000000000000"/>
    <w:charset w:val="00"/>
    <w:family w:val="roman"/>
    <w:notTrueType/>
    <w:pitch w:val="default"/>
  </w:font>
  <w:font w:name="EC Square Sans Pro">
    <w:altName w:val="Calibri"/>
    <w:charset w:val="00"/>
    <w:family w:val="swiss"/>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DCCE" w14:textId="77777777" w:rsidR="003502CA" w:rsidRDefault="003502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30D5" w14:textId="77777777" w:rsidR="00830770" w:rsidRDefault="00830770">
    <w:r>
      <w:cr/>
    </w:r>
  </w:p>
  <w:p w14:paraId="6647319F" w14:textId="77777777" w:rsidR="00830770" w:rsidRDefault="00830770">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977207819"/>
      <w:docPartObj>
        <w:docPartGallery w:val="Page Numbers (Bottom of Page)"/>
        <w:docPartUnique/>
      </w:docPartObj>
    </w:sdtPr>
    <w:sdtEndPr/>
    <w:sdtContent>
      <w:p w14:paraId="4B0B6DBB" w14:textId="42406E83"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080AB0">
          <w:rPr>
            <w:noProof/>
          </w:rPr>
          <w:t>4</w:t>
        </w:r>
        <w:r w:rsidRPr="006126D3">
          <w:rPr>
            <w:sz w:val="22"/>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74193" w14:textId="323288C6"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080AB0">
      <w:rPr>
        <w:noProof/>
      </w:rPr>
      <w:t>3</w:t>
    </w:r>
    <w:r w:rsidRPr="006126D3">
      <w:rPr>
        <w:sz w:val="22"/>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9C01" w14:textId="77777777" w:rsidR="00830770" w:rsidRDefault="00830770">
    <w:r>
      <w:cr/>
    </w:r>
  </w:p>
  <w:p w14:paraId="03BB9414" w14:textId="77777777" w:rsidR="00830770" w:rsidRDefault="00830770">
    <w:r>
      <w:cr/>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360430460"/>
      <w:docPartObj>
        <w:docPartGallery w:val="Page Numbers (Bottom of Page)"/>
        <w:docPartUnique/>
      </w:docPartObj>
    </w:sdtPr>
    <w:sdtEndPr/>
    <w:sdtContent>
      <w:p w14:paraId="345B16B4" w14:textId="69260E26"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080AB0">
          <w:rPr>
            <w:noProof/>
          </w:rPr>
          <w:t>11</w:t>
        </w:r>
        <w:r w:rsidRPr="006126D3">
          <w:rPr>
            <w:sz w:val="22"/>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7B1E" w14:textId="41BC6056"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080AB0">
      <w:rPr>
        <w:noProof/>
      </w:rPr>
      <w:t>5</w:t>
    </w:r>
    <w:r w:rsidRPr="006126D3">
      <w:rPr>
        <w:sz w:val="22"/>
        <w:szCs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EC33" w14:textId="77777777" w:rsidR="00830770" w:rsidRDefault="00830770">
    <w:r>
      <w:cr/>
    </w:r>
  </w:p>
  <w:p w14:paraId="701A16C6" w14:textId="77777777" w:rsidR="00830770" w:rsidRDefault="00830770">
    <w:r>
      <w:cr/>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686785359"/>
      <w:docPartObj>
        <w:docPartGallery w:val="Page Numbers (Bottom of Page)"/>
        <w:docPartUnique/>
      </w:docPartObj>
    </w:sdtPr>
    <w:sdtEndPr/>
    <w:sdtContent>
      <w:p w14:paraId="0F8BCBEF" w14:textId="0E2C483F"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5C765D">
          <w:rPr>
            <w:noProof/>
          </w:rPr>
          <w:t>68</w:t>
        </w:r>
        <w:r w:rsidRPr="006126D3">
          <w:rPr>
            <w:sz w:val="22"/>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0F96" w14:textId="218EB861"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1921AB">
      <w:rPr>
        <w:noProof/>
      </w:rPr>
      <w:t>17</w:t>
    </w:r>
    <w:r w:rsidRPr="006126D3">
      <w:rPr>
        <w:sz w:val="22"/>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F56C" w14:textId="77777777" w:rsidR="00830770" w:rsidRDefault="00830770">
    <w:r>
      <w:cr/>
    </w:r>
  </w:p>
  <w:p w14:paraId="7509EB6D" w14:textId="77777777" w:rsidR="00830770" w:rsidRDefault="0083077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3502CA" w:rsidRPr="00D94637" w14:paraId="32C11EB9" w14:textId="77777777" w:rsidTr="003502CA">
      <w:trPr>
        <w:jc w:val="center"/>
      </w:trPr>
      <w:tc>
        <w:tcPr>
          <w:tcW w:w="5000" w:type="pct"/>
          <w:gridSpan w:val="7"/>
          <w:shd w:val="clear" w:color="auto" w:fill="auto"/>
          <w:tcMar>
            <w:top w:w="57" w:type="dxa"/>
          </w:tcMar>
        </w:tcPr>
        <w:p w14:paraId="740D068C" w14:textId="77777777" w:rsidR="003502CA" w:rsidRPr="00D94637" w:rsidRDefault="003502CA" w:rsidP="00D94637">
          <w:pPr>
            <w:pStyle w:val="FooterText"/>
            <w:pBdr>
              <w:top w:val="single" w:sz="4" w:space="1" w:color="auto"/>
            </w:pBdr>
            <w:spacing w:before="200"/>
            <w:rPr>
              <w:sz w:val="2"/>
              <w:szCs w:val="2"/>
            </w:rPr>
          </w:pPr>
          <w:bookmarkStart w:id="2" w:name="FOOTER_STANDARD"/>
        </w:p>
      </w:tc>
    </w:tr>
    <w:tr w:rsidR="003502CA" w:rsidRPr="00B310DC" w14:paraId="2CB77F40" w14:textId="77777777" w:rsidTr="003502CA">
      <w:trPr>
        <w:jc w:val="center"/>
      </w:trPr>
      <w:tc>
        <w:tcPr>
          <w:tcW w:w="2500" w:type="pct"/>
          <w:gridSpan w:val="2"/>
          <w:shd w:val="clear" w:color="auto" w:fill="auto"/>
          <w:tcMar>
            <w:top w:w="0" w:type="dxa"/>
          </w:tcMar>
        </w:tcPr>
        <w:p w14:paraId="35C46E68" w14:textId="278C5F28" w:rsidR="003502CA" w:rsidRPr="00AD7BF2" w:rsidRDefault="003502CA" w:rsidP="004F54B2">
          <w:pPr>
            <w:pStyle w:val="FooterText"/>
          </w:pPr>
          <w:r>
            <w:t>11624/23</w:t>
          </w:r>
          <w:r w:rsidRPr="002511D8">
            <w:t xml:space="preserve"> </w:t>
          </w:r>
          <w:r>
            <w:t>ADD 4</w:t>
          </w:r>
        </w:p>
      </w:tc>
      <w:tc>
        <w:tcPr>
          <w:tcW w:w="625" w:type="pct"/>
          <w:shd w:val="clear" w:color="auto" w:fill="auto"/>
          <w:tcMar>
            <w:top w:w="0" w:type="dxa"/>
          </w:tcMar>
        </w:tcPr>
        <w:p w14:paraId="4BCC6565" w14:textId="77777777" w:rsidR="003502CA" w:rsidRPr="00AD7BF2" w:rsidRDefault="003502CA" w:rsidP="00D94637">
          <w:pPr>
            <w:pStyle w:val="FooterText"/>
            <w:jc w:val="center"/>
          </w:pPr>
        </w:p>
      </w:tc>
      <w:tc>
        <w:tcPr>
          <w:tcW w:w="1286" w:type="pct"/>
          <w:gridSpan w:val="3"/>
          <w:shd w:val="clear" w:color="auto" w:fill="auto"/>
          <w:tcMar>
            <w:top w:w="0" w:type="dxa"/>
          </w:tcMar>
        </w:tcPr>
        <w:p w14:paraId="7B5AB6D1" w14:textId="4560DF64" w:rsidR="003502CA" w:rsidRPr="002511D8" w:rsidRDefault="003502CA" w:rsidP="00D94637">
          <w:pPr>
            <w:pStyle w:val="FooterText"/>
            <w:jc w:val="center"/>
          </w:pPr>
          <w:r>
            <w:t>PHL/bsl</w:t>
          </w:r>
        </w:p>
      </w:tc>
      <w:tc>
        <w:tcPr>
          <w:tcW w:w="589" w:type="pct"/>
          <w:shd w:val="clear" w:color="auto" w:fill="auto"/>
          <w:tcMar>
            <w:top w:w="0" w:type="dxa"/>
          </w:tcMar>
        </w:tcPr>
        <w:p w14:paraId="62247C0A" w14:textId="2643003C" w:rsidR="003502CA" w:rsidRPr="00B310DC" w:rsidRDefault="003502CA" w:rsidP="00D94637">
          <w:pPr>
            <w:pStyle w:val="FooterText"/>
            <w:jc w:val="right"/>
          </w:pPr>
          <w:r>
            <w:fldChar w:fldCharType="begin"/>
          </w:r>
          <w:r>
            <w:instrText xml:space="preserve"> PAGE  \* MERGEFORMAT </w:instrText>
          </w:r>
          <w:r>
            <w:fldChar w:fldCharType="separate"/>
          </w:r>
          <w:r>
            <w:rPr>
              <w:noProof/>
            </w:rPr>
            <w:t>0</w:t>
          </w:r>
          <w:r>
            <w:fldChar w:fldCharType="end"/>
          </w:r>
        </w:p>
      </w:tc>
    </w:tr>
    <w:tr w:rsidR="003502CA" w:rsidRPr="00D94637" w14:paraId="6C51A9D6" w14:textId="77777777" w:rsidTr="003502CA">
      <w:trPr>
        <w:jc w:val="center"/>
      </w:trPr>
      <w:tc>
        <w:tcPr>
          <w:tcW w:w="1774" w:type="pct"/>
          <w:shd w:val="clear" w:color="auto" w:fill="auto"/>
        </w:tcPr>
        <w:p w14:paraId="16997825" w14:textId="36895590" w:rsidR="003502CA" w:rsidRPr="00AD7BF2" w:rsidRDefault="003502CA" w:rsidP="00D94637">
          <w:pPr>
            <w:pStyle w:val="FooterText"/>
            <w:spacing w:before="40"/>
          </w:pPr>
        </w:p>
      </w:tc>
      <w:tc>
        <w:tcPr>
          <w:tcW w:w="1455" w:type="pct"/>
          <w:gridSpan w:val="3"/>
          <w:shd w:val="clear" w:color="auto" w:fill="auto"/>
        </w:tcPr>
        <w:p w14:paraId="18A2D845" w14:textId="63CC5978" w:rsidR="003502CA" w:rsidRPr="00AD7BF2" w:rsidRDefault="003502CA" w:rsidP="00D204D6">
          <w:pPr>
            <w:pStyle w:val="FooterText"/>
            <w:spacing w:before="40"/>
            <w:jc w:val="center"/>
          </w:pPr>
          <w:r>
            <w:t>TREE.1.A</w:t>
          </w:r>
        </w:p>
      </w:tc>
      <w:tc>
        <w:tcPr>
          <w:tcW w:w="742" w:type="pct"/>
          <w:shd w:val="clear" w:color="auto" w:fill="auto"/>
        </w:tcPr>
        <w:p w14:paraId="3A4F84B7" w14:textId="58CD8623" w:rsidR="003502CA" w:rsidRPr="00D94637" w:rsidRDefault="003502CA" w:rsidP="002F0099">
          <w:pPr>
            <w:pStyle w:val="FooterText"/>
            <w:jc w:val="center"/>
            <w:rPr>
              <w:b/>
              <w:position w:val="-4"/>
              <w:sz w:val="36"/>
            </w:rPr>
          </w:pPr>
        </w:p>
      </w:tc>
      <w:tc>
        <w:tcPr>
          <w:tcW w:w="1029" w:type="pct"/>
          <w:gridSpan w:val="2"/>
          <w:shd w:val="clear" w:color="auto" w:fill="auto"/>
        </w:tcPr>
        <w:p w14:paraId="17A33C6C" w14:textId="6005077E" w:rsidR="003502CA" w:rsidRPr="000310C2" w:rsidRDefault="003502CA" w:rsidP="00D94637">
          <w:pPr>
            <w:pStyle w:val="FooterText"/>
            <w:jc w:val="right"/>
            <w:rPr>
              <w:spacing w:val="-20"/>
              <w:sz w:val="16"/>
            </w:rPr>
          </w:pPr>
          <w:r>
            <w:rPr>
              <w:b/>
              <w:spacing w:val="-20"/>
              <w:position w:val="-4"/>
              <w:sz w:val="36"/>
            </w:rPr>
            <w:t>EN</w:t>
          </w:r>
        </w:p>
      </w:tc>
    </w:tr>
    <w:bookmarkEnd w:id="2"/>
  </w:tbl>
  <w:p w14:paraId="6F6A21E4" w14:textId="4303CEDE" w:rsidR="00535FC8" w:rsidRPr="003502CA" w:rsidRDefault="00535FC8" w:rsidP="003502CA">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285003159"/>
      <w:docPartObj>
        <w:docPartGallery w:val="Page Numbers (Bottom of Page)"/>
        <w:docPartUnique/>
      </w:docPartObj>
    </w:sdtPr>
    <w:sdtEndPr/>
    <w:sdtContent>
      <w:p w14:paraId="48E5DE01" w14:textId="77777777"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Pr>
            <w:noProof/>
          </w:rPr>
          <w:t>3</w:t>
        </w:r>
        <w:r w:rsidRPr="006126D3">
          <w:rPr>
            <w:sz w:val="22"/>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80CB" w14:textId="0B74BC21"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5C765D">
      <w:rPr>
        <w:noProof/>
      </w:rPr>
      <w:t>90</w:t>
    </w:r>
    <w:r w:rsidRPr="006126D3">
      <w:rPr>
        <w:sz w:val="22"/>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901F7" w14:textId="77777777" w:rsidR="00830770" w:rsidRDefault="00830770">
    <w:r>
      <w:cr/>
    </w:r>
  </w:p>
  <w:p w14:paraId="54FD1F4B" w14:textId="77777777" w:rsidR="00830770" w:rsidRDefault="00830770">
    <w:r>
      <w:cr/>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484119808"/>
      <w:docPartObj>
        <w:docPartGallery w:val="Page Numbers (Bottom of Page)"/>
        <w:docPartUnique/>
      </w:docPartObj>
    </w:sdtPr>
    <w:sdtEndPr/>
    <w:sdtContent>
      <w:p w14:paraId="34202B21" w14:textId="079B08FE"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5C765D">
          <w:rPr>
            <w:noProof/>
          </w:rPr>
          <w:t>139</w:t>
        </w:r>
        <w:r w:rsidRPr="006126D3">
          <w:rPr>
            <w:sz w:val="22"/>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98AE" w14:textId="77777777" w:rsidR="00830770" w:rsidRDefault="00830770" w:rsidP="000E3086">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141</w:t>
    </w:r>
    <w:r>
      <w:rPr>
        <w:color w:val="2B579A"/>
        <w:shd w:val="clear" w:color="auto" w:fill="E6E6E6"/>
      </w:rPr>
      <w:fldChar w:fldCharType="end"/>
    </w:r>
  </w:p>
  <w:p w14:paraId="3DC13F93" w14:textId="77777777" w:rsidR="00830770" w:rsidRDefault="0083077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7FF7" w14:textId="77777777" w:rsidR="00830770" w:rsidRDefault="00830770">
    <w:r>
      <w:cr/>
    </w:r>
  </w:p>
  <w:p w14:paraId="7ECBDBDA" w14:textId="77777777" w:rsidR="00830770" w:rsidRDefault="00830770">
    <w:r>
      <w:cr/>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087226302"/>
      <w:docPartObj>
        <w:docPartGallery w:val="Page Numbers (Bottom of Page)"/>
        <w:docPartUnique/>
      </w:docPartObj>
    </w:sdtPr>
    <w:sdtEndPr/>
    <w:sdtContent>
      <w:p w14:paraId="5873EAB0" w14:textId="6CAC0538"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5C765D">
          <w:rPr>
            <w:noProof/>
          </w:rPr>
          <w:t>140</w:t>
        </w:r>
        <w:r w:rsidRPr="006126D3">
          <w:rPr>
            <w:sz w:val="22"/>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101A" w14:textId="77777777" w:rsidR="00830770" w:rsidRDefault="00830770" w:rsidP="000E3086">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141</w:t>
    </w:r>
    <w:r>
      <w:rPr>
        <w:color w:val="2B579A"/>
        <w:shd w:val="clear" w:color="auto" w:fill="E6E6E6"/>
      </w:rPr>
      <w:fldChar w:fldCharType="end"/>
    </w:r>
  </w:p>
  <w:p w14:paraId="0A7C60C2" w14:textId="77777777" w:rsidR="00830770" w:rsidRDefault="0083077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D704" w14:textId="77777777" w:rsidR="00830770" w:rsidRDefault="00830770" w:rsidP="000E308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470297695"/>
      <w:docPartObj>
        <w:docPartGallery w:val="Page Numbers (Bottom of Page)"/>
        <w:docPartUnique/>
      </w:docPartObj>
    </w:sdtPr>
    <w:sdtEndPr>
      <w:rPr>
        <w:noProof/>
      </w:rPr>
    </w:sdtEndPr>
    <w:sdtContent>
      <w:p w14:paraId="1454E520" w14:textId="31CFDF34" w:rsidR="00830770" w:rsidRPr="008E5141" w:rsidRDefault="00830770" w:rsidP="008E5141">
        <w:pPr>
          <w:pStyle w:val="Footer"/>
          <w:jc w:val="center"/>
          <w:rPr>
            <w:sz w:val="22"/>
            <w:szCs w:val="22"/>
          </w:rPr>
        </w:pPr>
        <w:r w:rsidRPr="008E5141">
          <w:rPr>
            <w:sz w:val="22"/>
            <w:szCs w:val="22"/>
          </w:rPr>
          <w:fldChar w:fldCharType="begin"/>
        </w:r>
        <w:r w:rsidRPr="008E5141">
          <w:rPr>
            <w:sz w:val="22"/>
            <w:szCs w:val="22"/>
          </w:rPr>
          <w:instrText xml:space="preserve"> PAGE   \* MERGEFORMAT </w:instrText>
        </w:r>
        <w:r w:rsidRPr="008E5141">
          <w:rPr>
            <w:sz w:val="22"/>
            <w:szCs w:val="22"/>
          </w:rPr>
          <w:fldChar w:fldCharType="separate"/>
        </w:r>
        <w:r w:rsidR="005C765D">
          <w:rPr>
            <w:noProof/>
            <w:sz w:val="22"/>
            <w:szCs w:val="22"/>
          </w:rPr>
          <w:t>167</w:t>
        </w:r>
        <w:r w:rsidRPr="008E5141">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3502CA" w:rsidRPr="00D94637" w14:paraId="1FCDDED6" w14:textId="77777777" w:rsidTr="003502CA">
      <w:trPr>
        <w:jc w:val="center"/>
      </w:trPr>
      <w:tc>
        <w:tcPr>
          <w:tcW w:w="5000" w:type="pct"/>
          <w:gridSpan w:val="7"/>
          <w:shd w:val="clear" w:color="auto" w:fill="auto"/>
          <w:tcMar>
            <w:top w:w="57" w:type="dxa"/>
          </w:tcMar>
        </w:tcPr>
        <w:p w14:paraId="2932E026" w14:textId="77777777" w:rsidR="003502CA" w:rsidRPr="00D94637" w:rsidRDefault="003502CA" w:rsidP="00D94637">
          <w:pPr>
            <w:pStyle w:val="FooterText"/>
            <w:pBdr>
              <w:top w:val="single" w:sz="4" w:space="1" w:color="auto"/>
            </w:pBdr>
            <w:spacing w:before="200"/>
            <w:rPr>
              <w:sz w:val="2"/>
              <w:szCs w:val="2"/>
            </w:rPr>
          </w:pPr>
        </w:p>
      </w:tc>
    </w:tr>
    <w:tr w:rsidR="003502CA" w:rsidRPr="00B310DC" w14:paraId="2DC5DE0A" w14:textId="77777777" w:rsidTr="003502CA">
      <w:trPr>
        <w:jc w:val="center"/>
      </w:trPr>
      <w:tc>
        <w:tcPr>
          <w:tcW w:w="2500" w:type="pct"/>
          <w:gridSpan w:val="2"/>
          <w:shd w:val="clear" w:color="auto" w:fill="auto"/>
          <w:tcMar>
            <w:top w:w="0" w:type="dxa"/>
          </w:tcMar>
        </w:tcPr>
        <w:p w14:paraId="37EA77BB" w14:textId="0AD4AE07" w:rsidR="003502CA" w:rsidRPr="00AD7BF2" w:rsidRDefault="003502CA" w:rsidP="004F54B2">
          <w:pPr>
            <w:pStyle w:val="FooterText"/>
          </w:pPr>
          <w:r>
            <w:t>11624/23</w:t>
          </w:r>
          <w:r w:rsidRPr="002511D8">
            <w:t xml:space="preserve"> </w:t>
          </w:r>
          <w:r>
            <w:t>ADD 4</w:t>
          </w:r>
        </w:p>
      </w:tc>
      <w:tc>
        <w:tcPr>
          <w:tcW w:w="625" w:type="pct"/>
          <w:shd w:val="clear" w:color="auto" w:fill="auto"/>
          <w:tcMar>
            <w:top w:w="0" w:type="dxa"/>
          </w:tcMar>
        </w:tcPr>
        <w:p w14:paraId="39001F6B" w14:textId="77777777" w:rsidR="003502CA" w:rsidRPr="00AD7BF2" w:rsidRDefault="003502CA" w:rsidP="00D94637">
          <w:pPr>
            <w:pStyle w:val="FooterText"/>
            <w:jc w:val="center"/>
          </w:pPr>
        </w:p>
      </w:tc>
      <w:tc>
        <w:tcPr>
          <w:tcW w:w="1286" w:type="pct"/>
          <w:gridSpan w:val="3"/>
          <w:shd w:val="clear" w:color="auto" w:fill="auto"/>
          <w:tcMar>
            <w:top w:w="0" w:type="dxa"/>
          </w:tcMar>
        </w:tcPr>
        <w:p w14:paraId="54C22795" w14:textId="4BD64D26" w:rsidR="003502CA" w:rsidRPr="002511D8" w:rsidRDefault="003502CA" w:rsidP="00D94637">
          <w:pPr>
            <w:pStyle w:val="FooterText"/>
            <w:jc w:val="center"/>
          </w:pPr>
          <w:r>
            <w:t>PHL/bsl</w:t>
          </w:r>
        </w:p>
      </w:tc>
      <w:tc>
        <w:tcPr>
          <w:tcW w:w="589" w:type="pct"/>
          <w:shd w:val="clear" w:color="auto" w:fill="auto"/>
          <w:tcMar>
            <w:top w:w="0" w:type="dxa"/>
          </w:tcMar>
        </w:tcPr>
        <w:p w14:paraId="3775658F" w14:textId="30F86EEE" w:rsidR="003502CA" w:rsidRPr="00B310DC" w:rsidRDefault="003502CA" w:rsidP="00D94637">
          <w:pPr>
            <w:pStyle w:val="FooterText"/>
            <w:jc w:val="right"/>
          </w:pPr>
        </w:p>
      </w:tc>
    </w:tr>
    <w:tr w:rsidR="003502CA" w:rsidRPr="00D94637" w14:paraId="0D08526B" w14:textId="77777777" w:rsidTr="003502CA">
      <w:trPr>
        <w:jc w:val="center"/>
      </w:trPr>
      <w:tc>
        <w:tcPr>
          <w:tcW w:w="1774" w:type="pct"/>
          <w:shd w:val="clear" w:color="auto" w:fill="auto"/>
        </w:tcPr>
        <w:p w14:paraId="1AE3FD3A" w14:textId="62FD7634" w:rsidR="003502CA" w:rsidRPr="00AD7BF2" w:rsidRDefault="003502CA" w:rsidP="00D94637">
          <w:pPr>
            <w:pStyle w:val="FooterText"/>
            <w:spacing w:before="40"/>
          </w:pPr>
        </w:p>
      </w:tc>
      <w:tc>
        <w:tcPr>
          <w:tcW w:w="1455" w:type="pct"/>
          <w:gridSpan w:val="3"/>
          <w:shd w:val="clear" w:color="auto" w:fill="auto"/>
        </w:tcPr>
        <w:p w14:paraId="37765A82" w14:textId="0FDC2C8A" w:rsidR="003502CA" w:rsidRPr="00AD7BF2" w:rsidRDefault="003502CA" w:rsidP="00D204D6">
          <w:pPr>
            <w:pStyle w:val="FooterText"/>
            <w:spacing w:before="40"/>
            <w:jc w:val="center"/>
          </w:pPr>
          <w:r>
            <w:t>TREE.1.A</w:t>
          </w:r>
        </w:p>
      </w:tc>
      <w:tc>
        <w:tcPr>
          <w:tcW w:w="742" w:type="pct"/>
          <w:shd w:val="clear" w:color="auto" w:fill="auto"/>
        </w:tcPr>
        <w:p w14:paraId="527B0F28" w14:textId="2B4004C9" w:rsidR="003502CA" w:rsidRPr="00D94637" w:rsidRDefault="003502CA" w:rsidP="002F0099">
          <w:pPr>
            <w:pStyle w:val="FooterText"/>
            <w:jc w:val="center"/>
            <w:rPr>
              <w:b/>
              <w:position w:val="-4"/>
              <w:sz w:val="36"/>
            </w:rPr>
          </w:pPr>
        </w:p>
      </w:tc>
      <w:tc>
        <w:tcPr>
          <w:tcW w:w="1029" w:type="pct"/>
          <w:gridSpan w:val="2"/>
          <w:shd w:val="clear" w:color="auto" w:fill="auto"/>
        </w:tcPr>
        <w:p w14:paraId="56015AE1" w14:textId="773B2DCD" w:rsidR="003502CA" w:rsidRPr="000310C2" w:rsidRDefault="003502CA" w:rsidP="00D94637">
          <w:pPr>
            <w:pStyle w:val="FooterText"/>
            <w:jc w:val="right"/>
            <w:rPr>
              <w:spacing w:val="-20"/>
              <w:sz w:val="16"/>
            </w:rPr>
          </w:pPr>
          <w:r>
            <w:rPr>
              <w:b/>
              <w:spacing w:val="-20"/>
              <w:position w:val="-4"/>
              <w:sz w:val="36"/>
            </w:rPr>
            <w:t>EN</w:t>
          </w:r>
        </w:p>
      </w:tc>
    </w:tr>
  </w:tbl>
  <w:p w14:paraId="08770CFE" w14:textId="77777777" w:rsidR="003502CA" w:rsidRPr="003502CA" w:rsidRDefault="003502CA" w:rsidP="003502CA">
    <w:pPr>
      <w:pStyle w:val="FooterCouncil"/>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00F0" w14:textId="77777777" w:rsidR="00830770" w:rsidRDefault="00830770" w:rsidP="000E30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9982" w14:textId="77777777" w:rsidR="003502CA" w:rsidRDefault="003502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B605" w14:textId="77777777" w:rsidR="003502CA" w:rsidRPr="00080AB0" w:rsidRDefault="003502CA" w:rsidP="00080AB0">
    <w:pPr>
      <w:pStyle w:val="FooterCoverPage"/>
      <w:rPr>
        <w:rFonts w:ascii="Arial" w:hAnsi="Arial" w:cs="Arial"/>
        <w:b/>
        <w:sz w:val="48"/>
      </w:rPr>
    </w:pPr>
    <w:r w:rsidRPr="00080AB0">
      <w:rPr>
        <w:rFonts w:ascii="Arial" w:hAnsi="Arial" w:cs="Arial"/>
        <w:b/>
        <w:sz w:val="48"/>
      </w:rPr>
      <w:t>EN</w:t>
    </w:r>
    <w:r w:rsidRPr="00080AB0">
      <w:rPr>
        <w:rFonts w:ascii="Arial" w:hAnsi="Arial" w:cs="Arial"/>
        <w:b/>
        <w:sz w:val="48"/>
      </w:rPr>
      <w:tab/>
    </w:r>
    <w:r w:rsidRPr="00080AB0">
      <w:rPr>
        <w:rFonts w:ascii="Arial" w:hAnsi="Arial" w:cs="Arial"/>
        <w:b/>
        <w:sz w:val="48"/>
      </w:rPr>
      <w:tab/>
    </w:r>
    <w:r w:rsidRPr="00080AB0">
      <w:tab/>
    </w:r>
    <w:r w:rsidRPr="00080AB0">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5805" w14:textId="77777777" w:rsidR="003502CA" w:rsidRDefault="003502C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2B6C" w14:textId="77777777" w:rsidR="00830770" w:rsidRDefault="00830770">
    <w:r>
      <w:cr/>
    </w:r>
  </w:p>
  <w:p w14:paraId="571693EB" w14:textId="77777777" w:rsidR="00830770" w:rsidRDefault="00830770">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311025006"/>
      <w:docPartObj>
        <w:docPartGallery w:val="Page Numbers (Bottom of Page)"/>
        <w:docPartUnique/>
      </w:docPartObj>
    </w:sdtPr>
    <w:sdtEndPr/>
    <w:sdtContent>
      <w:p w14:paraId="48643D17" w14:textId="21670234"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080AB0">
          <w:rPr>
            <w:noProof/>
          </w:rPr>
          <w:t>2</w:t>
        </w:r>
        <w:r w:rsidRPr="006126D3">
          <w:rPr>
            <w:sz w:val="22"/>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544F" w14:textId="6ACCCE4F" w:rsidR="00830770" w:rsidRPr="006126D3" w:rsidRDefault="00830770" w:rsidP="006126D3">
    <w:pPr>
      <w:pStyle w:val="Footer"/>
      <w:jc w:val="center"/>
      <w:rPr>
        <w:sz w:val="22"/>
        <w:szCs w:val="22"/>
      </w:rPr>
    </w:pPr>
    <w:r w:rsidRPr="006126D3">
      <w:rPr>
        <w:sz w:val="22"/>
        <w:szCs w:val="22"/>
      </w:rPr>
      <w:fldChar w:fldCharType="begin"/>
    </w:r>
    <w:r>
      <w:instrText xml:space="preserve"> PAGE   \* MERGEFORMAT </w:instrText>
    </w:r>
    <w:r w:rsidRPr="006126D3">
      <w:rPr>
        <w:sz w:val="22"/>
        <w:szCs w:val="22"/>
      </w:rPr>
      <w:fldChar w:fldCharType="separate"/>
    </w:r>
    <w:r w:rsidR="00080AB0">
      <w:rPr>
        <w:noProof/>
      </w:rPr>
      <w:t>1</w:t>
    </w:r>
    <w:r w:rsidRPr="006126D3">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68AD9" w14:textId="77777777" w:rsidR="009C2DE3" w:rsidRDefault="009C2DE3" w:rsidP="000E3086">
      <w:r>
        <w:separator/>
      </w:r>
    </w:p>
  </w:footnote>
  <w:footnote w:type="continuationSeparator" w:id="0">
    <w:p w14:paraId="199986FA" w14:textId="77777777" w:rsidR="009C2DE3" w:rsidRDefault="009C2DE3" w:rsidP="000E3086">
      <w:r>
        <w:continuationSeparator/>
      </w:r>
    </w:p>
  </w:footnote>
  <w:footnote w:type="continuationNotice" w:id="1">
    <w:p w14:paraId="594DB58F" w14:textId="77777777" w:rsidR="009C2DE3" w:rsidRDefault="009C2DE3">
      <w:pPr>
        <w:spacing w:after="0"/>
      </w:pPr>
    </w:p>
  </w:footnote>
  <w:footnote w:id="2">
    <w:p w14:paraId="452C9102" w14:textId="2BEC3B23" w:rsidR="00830770" w:rsidRPr="00C40335" w:rsidRDefault="00830770" w:rsidP="009B74E7">
      <w:pPr>
        <w:spacing w:after="0"/>
        <w:jc w:val="left"/>
        <w:rPr>
          <w:rFonts w:eastAsia="Times New Roman"/>
          <w:sz w:val="20"/>
          <w:szCs w:val="20"/>
          <w:lang w:val="en-IE"/>
        </w:rPr>
      </w:pPr>
      <w:r w:rsidRPr="00941395">
        <w:rPr>
          <w:sz w:val="20"/>
          <w:szCs w:val="20"/>
          <w:vertAlign w:val="superscript"/>
          <w:lang w:val="en-IE"/>
        </w:rPr>
        <w:footnoteRef/>
      </w:r>
      <w:r w:rsidRPr="00C40335">
        <w:rPr>
          <w:sz w:val="20"/>
          <w:szCs w:val="20"/>
          <w:lang w:val="en-IE"/>
        </w:rPr>
        <w:t xml:space="preserve"> </w:t>
      </w:r>
      <w:r w:rsidRPr="00941395">
        <w:rPr>
          <w:sz w:val="20"/>
          <w:szCs w:val="20"/>
          <w:lang w:val="en-IE"/>
        </w:rPr>
        <w:t xml:space="preserve">Directive (EU) 2018/851 of the European Parliament and of the Council of 30 May 2018 amending Directive 2008/98/EC on waste </w:t>
      </w:r>
      <w:r w:rsidRPr="00941395">
        <w:rPr>
          <w:i/>
          <w:sz w:val="20"/>
          <w:szCs w:val="20"/>
          <w:lang w:val="en-IE"/>
        </w:rPr>
        <w:t>(OJ L 150, 14.6.2018, p. 109–140),</w:t>
      </w:r>
      <w:r w:rsidRPr="00941395">
        <w:rPr>
          <w:sz w:val="20"/>
          <w:szCs w:val="20"/>
          <w:lang w:val="en-IE"/>
        </w:rPr>
        <w:t xml:space="preserve"> </w:t>
      </w:r>
      <w:hyperlink r:id="rId1">
        <w:r w:rsidRPr="00941395">
          <w:rPr>
            <w:rStyle w:val="Hyperlink"/>
            <w:rFonts w:eastAsia="Times New Roman"/>
            <w:sz w:val="20"/>
            <w:szCs w:val="20"/>
            <w:lang w:val="en-IE"/>
          </w:rPr>
          <w:t>EUR-Lex - 32018L0851 - EN - EUR-Lex (europa.eu).</w:t>
        </w:r>
      </w:hyperlink>
    </w:p>
  </w:footnote>
  <w:footnote w:id="3">
    <w:p w14:paraId="0B3DBDFC" w14:textId="32EB4D98" w:rsidR="00830770" w:rsidRPr="001034FB" w:rsidRDefault="00830770">
      <w:pPr>
        <w:pStyle w:val="FootnoteText"/>
        <w:rPr>
          <w:lang w:val="fr-BE"/>
        </w:rPr>
      </w:pPr>
      <w:r w:rsidRPr="00941395">
        <w:rPr>
          <w:rStyle w:val="FootnoteReference"/>
          <w:lang w:val="en-IE"/>
        </w:rPr>
        <w:footnoteRef/>
      </w:r>
      <w:r w:rsidRPr="00796F55">
        <w:rPr>
          <w:lang w:val="fr-BE"/>
        </w:rPr>
        <w:t xml:space="preserve"> </w:t>
      </w:r>
      <w:hyperlink r:id="rId2" w:history="1">
        <w:r w:rsidRPr="00796F55">
          <w:rPr>
            <w:rStyle w:val="Hyperlink"/>
            <w:lang w:val="fr-BE"/>
          </w:rPr>
          <w:t>EUR-Lex - 4438420 - EN - EUR-Lex (europa.eu)</w:t>
        </w:r>
      </w:hyperlink>
    </w:p>
  </w:footnote>
  <w:footnote w:id="4">
    <w:p w14:paraId="14BAD601" w14:textId="4391F2C6" w:rsidR="00830770" w:rsidRPr="00941395" w:rsidRDefault="00830770" w:rsidP="00612A0D">
      <w:pPr>
        <w:spacing w:after="0"/>
        <w:jc w:val="left"/>
        <w:rPr>
          <w:rFonts w:eastAsia="Times New Roman"/>
          <w:sz w:val="20"/>
          <w:szCs w:val="20"/>
          <w:lang w:val="en-IE"/>
        </w:rPr>
      </w:pPr>
      <w:r w:rsidRPr="00941395">
        <w:rPr>
          <w:rStyle w:val="FootnoteReference"/>
          <w:lang w:val="en-IE"/>
        </w:rPr>
        <w:footnoteRef/>
      </w:r>
      <w:r w:rsidRPr="00612A0D">
        <w:rPr>
          <w:lang w:val="en-IE"/>
        </w:rPr>
        <w:t xml:space="preserve"> </w:t>
      </w:r>
      <w:r w:rsidRPr="00941395">
        <w:rPr>
          <w:sz w:val="20"/>
          <w:szCs w:val="20"/>
          <w:lang w:val="en-IE"/>
        </w:rPr>
        <w:t>Communication from the Commission to the European Parliament, the Council, the European Economic and Social Committee and the Committee of the Regions 11.03.2020 A new Circular Economy Action Plan For a cleaner and more competitive Europe,</w:t>
      </w:r>
      <w:r w:rsidRPr="00941395">
        <w:rPr>
          <w:lang w:val="en-IE"/>
        </w:rPr>
        <w:t xml:space="preserve"> </w:t>
      </w:r>
      <w:r w:rsidRPr="00941395">
        <w:rPr>
          <w:sz w:val="20"/>
          <w:szCs w:val="20"/>
          <w:lang w:val="en-IE"/>
        </w:rPr>
        <w:t xml:space="preserve">COM(2020) 98 final, </w:t>
      </w:r>
      <w:hyperlink r:id="rId3">
        <w:r w:rsidRPr="00150E81">
          <w:rPr>
            <w:rStyle w:val="Hyperlink"/>
            <w:rFonts w:eastAsia="Times New Roman"/>
            <w:sz w:val="20"/>
            <w:szCs w:val="20"/>
            <w:lang w:val="en-IE"/>
          </w:rPr>
          <w:t>EUR-Lex - 52020DC0098 - EN - EUR-Lex (europa.eu)</w:t>
        </w:r>
      </w:hyperlink>
      <w:r w:rsidRPr="00941395">
        <w:rPr>
          <w:rStyle w:val="Hyperlink"/>
          <w:rFonts w:eastAsia="Times New Roman"/>
          <w:sz w:val="20"/>
          <w:szCs w:val="20"/>
          <w:lang w:val="en-IE"/>
        </w:rPr>
        <w:t>.</w:t>
      </w:r>
    </w:p>
  </w:footnote>
  <w:footnote w:id="5">
    <w:p w14:paraId="3F47BB76" w14:textId="34500077" w:rsidR="00830770" w:rsidRPr="00941395" w:rsidRDefault="00830770">
      <w:pPr>
        <w:pStyle w:val="FootnoteText"/>
        <w:rPr>
          <w:lang w:val="en-IE"/>
        </w:rPr>
      </w:pPr>
      <w:r w:rsidRPr="00941395">
        <w:rPr>
          <w:rStyle w:val="FootnoteReference"/>
          <w:lang w:val="en-IE"/>
        </w:rPr>
        <w:footnoteRef/>
      </w:r>
      <w:r w:rsidRPr="00941395">
        <w:rPr>
          <w:lang w:val="en-IE"/>
        </w:rPr>
        <w:t xml:space="preserve"> European Commission, Have your say, published initiatives, Environmental impact of waste management – revision of EU waste framework, </w:t>
      </w:r>
      <w:hyperlink r:id="rId4" w:history="1">
        <w:r w:rsidRPr="00941395">
          <w:rPr>
            <w:rStyle w:val="Hyperlink"/>
            <w:lang w:val="en-IE"/>
          </w:rPr>
          <w:t>https://ec.europa.eu/info/law/better-regulation/have-your-say/initiatives/13225-Environmental-impact-of-waste-management-revision-of-EU-waste-framework_en</w:t>
        </w:r>
      </w:hyperlink>
      <w:r w:rsidRPr="00941395">
        <w:rPr>
          <w:lang w:val="en-IE"/>
        </w:rPr>
        <w:t>.</w:t>
      </w:r>
    </w:p>
  </w:footnote>
  <w:footnote w:id="6">
    <w:p w14:paraId="19375C4C" w14:textId="20FE8B56" w:rsidR="00830770" w:rsidRPr="00941395" w:rsidRDefault="00830770">
      <w:pPr>
        <w:pStyle w:val="FootnoteText"/>
        <w:rPr>
          <w:lang w:val="en-IE"/>
        </w:rPr>
      </w:pPr>
      <w:r w:rsidRPr="00941395">
        <w:rPr>
          <w:rStyle w:val="FootnoteReference"/>
          <w:lang w:val="en-IE"/>
        </w:rPr>
        <w:footnoteRef/>
      </w:r>
      <w:r w:rsidRPr="00941395">
        <w:rPr>
          <w:lang w:val="en-IE"/>
        </w:rPr>
        <w:t xml:space="preserve"> European Commission, Have your say, published initiatives, Food waste-reduction targets, </w:t>
      </w:r>
      <w:hyperlink r:id="rId5" w:history="1">
        <w:r w:rsidRPr="00941395">
          <w:rPr>
            <w:rStyle w:val="Hyperlink"/>
            <w:lang w:val="en-IE"/>
          </w:rPr>
          <w:t>https://ec.europa.eu/info/law/better-regulation/have-your-say/initiatives/13223-Food-waste-reduction-targets_en</w:t>
        </w:r>
      </w:hyperlink>
      <w:r w:rsidRPr="00941395">
        <w:rPr>
          <w:lang w:val="en-IE"/>
        </w:rPr>
        <w:t>.</w:t>
      </w:r>
    </w:p>
  </w:footnote>
  <w:footnote w:id="7">
    <w:p w14:paraId="2FCAE82B" w14:textId="69D78E61" w:rsidR="00830770" w:rsidRPr="00941395" w:rsidRDefault="00830770" w:rsidP="0014344F">
      <w:pPr>
        <w:spacing w:after="0"/>
        <w:jc w:val="left"/>
        <w:rPr>
          <w:sz w:val="20"/>
          <w:szCs w:val="20"/>
          <w:lang w:val="en-IE"/>
        </w:rPr>
      </w:pPr>
      <w:r w:rsidRPr="00941395">
        <w:rPr>
          <w:sz w:val="20"/>
          <w:szCs w:val="20"/>
          <w:vertAlign w:val="superscript"/>
          <w:lang w:val="en-IE"/>
        </w:rPr>
        <w:footnoteRef/>
      </w:r>
      <w:r w:rsidRPr="00941395">
        <w:rPr>
          <w:sz w:val="20"/>
          <w:szCs w:val="20"/>
          <w:lang w:val="en-IE"/>
        </w:rPr>
        <w:t xml:space="preserve"> European Commission, Joint Research Centre, Donatello, S., Danneck, J., Löw, C., et al., </w:t>
      </w:r>
      <w:r w:rsidRPr="00941395">
        <w:rPr>
          <w:i/>
          <w:sz w:val="20"/>
          <w:szCs w:val="20"/>
          <w:lang w:val="en-IE"/>
        </w:rPr>
        <w:t>Circular economy perspectives in the EU textile sector: final report</w:t>
      </w:r>
      <w:r w:rsidRPr="00941395">
        <w:rPr>
          <w:sz w:val="20"/>
          <w:szCs w:val="20"/>
          <w:lang w:val="en-IE"/>
        </w:rPr>
        <w:t xml:space="preserve">, Publications Office, 2021, </w:t>
      </w:r>
      <w:hyperlink r:id="rId6" w:history="1">
        <w:r w:rsidRPr="00941395">
          <w:rPr>
            <w:rStyle w:val="Hyperlink"/>
            <w:sz w:val="20"/>
            <w:szCs w:val="20"/>
            <w:lang w:val="en-IE"/>
          </w:rPr>
          <w:t>https://data.europa.eu/doi/10.2760/858144.</w:t>
        </w:r>
      </w:hyperlink>
    </w:p>
  </w:footnote>
  <w:footnote w:id="8">
    <w:p w14:paraId="6881253F" w14:textId="2A1454C5" w:rsidR="00830770" w:rsidRPr="00941395" w:rsidRDefault="00830770" w:rsidP="0014344F">
      <w:pPr>
        <w:spacing w:after="0"/>
        <w:jc w:val="left"/>
        <w:rPr>
          <w:rFonts w:eastAsia="Times New Roman"/>
          <w:sz w:val="20"/>
          <w:szCs w:val="20"/>
          <w:lang w:val="en-IE"/>
        </w:rPr>
      </w:pPr>
      <w:r w:rsidRPr="00941395">
        <w:rPr>
          <w:sz w:val="20"/>
          <w:szCs w:val="20"/>
          <w:vertAlign w:val="superscript"/>
          <w:lang w:val="en-IE"/>
        </w:rPr>
        <w:footnoteRef/>
      </w:r>
      <w:r w:rsidRPr="00941395">
        <w:rPr>
          <w:sz w:val="20"/>
          <w:szCs w:val="20"/>
          <w:lang w:val="en-IE"/>
        </w:rPr>
        <w:t xml:space="preserve"> European Commission, Directorate-General for Internal Market, Industry, Entrepreneurship and SMEs, Duhoux, T., Maes, E., Hirschnitz-Garbers, M., et al., </w:t>
      </w:r>
      <w:r w:rsidRPr="00941395">
        <w:rPr>
          <w:i/>
          <w:sz w:val="20"/>
          <w:szCs w:val="20"/>
          <w:lang w:val="en-IE"/>
        </w:rPr>
        <w:t>Study on the technical, regulatory, economic and environmental effectiveness of textile fibres recycling: final report</w:t>
      </w:r>
      <w:r w:rsidRPr="00941395">
        <w:rPr>
          <w:sz w:val="20"/>
          <w:szCs w:val="20"/>
          <w:lang w:val="en-IE"/>
        </w:rPr>
        <w:t xml:space="preserve">, Publications Office, 2021. </w:t>
      </w:r>
      <w:hyperlink r:id="rId7" w:history="1">
        <w:r w:rsidRPr="00941395">
          <w:rPr>
            <w:rStyle w:val="Hyperlink"/>
            <w:sz w:val="20"/>
            <w:szCs w:val="20"/>
            <w:lang w:val="en-IE"/>
          </w:rPr>
          <w:t>https://op.europa.eu/en/publication-detail/-/publication/739a1cca-6145-11ec-9c6c-01aa75ed71a1</w:t>
        </w:r>
      </w:hyperlink>
      <w:r w:rsidRPr="00941395">
        <w:rPr>
          <w:sz w:val="20"/>
          <w:szCs w:val="20"/>
          <w:lang w:val="en-IE"/>
        </w:rPr>
        <w:t xml:space="preserve"> </w:t>
      </w:r>
    </w:p>
  </w:footnote>
  <w:footnote w:id="9">
    <w:p w14:paraId="7A84284B" w14:textId="7730DA69" w:rsidR="00830770" w:rsidRPr="002D4F2A" w:rsidRDefault="00830770">
      <w:pPr>
        <w:pStyle w:val="FootnoteText"/>
        <w:rPr>
          <w:lang w:val="en-IE"/>
        </w:rPr>
      </w:pPr>
      <w:r w:rsidRPr="00941395">
        <w:rPr>
          <w:rStyle w:val="FootnoteReference"/>
          <w:lang w:val="en-IE"/>
        </w:rPr>
        <w:footnoteRef/>
      </w:r>
      <w:r w:rsidRPr="00941395">
        <w:rPr>
          <w:lang w:val="en-IE"/>
        </w:rPr>
        <w:t xml:space="preserve"> European Commission, Directorate-General for Environment, Stahl, H., Merz, C., </w:t>
      </w:r>
      <w:r w:rsidRPr="00941395">
        <w:rPr>
          <w:i/>
          <w:lang w:val="en-IE"/>
        </w:rPr>
        <w:t>Study to support the Commission in gathering structured information and defining of reporting obligations on waste oils and other hazardous waste : final report,</w:t>
      </w:r>
      <w:r w:rsidRPr="00941395">
        <w:rPr>
          <w:lang w:val="en-IE"/>
        </w:rPr>
        <w:t xml:space="preserve"> Publications Office, 2020, </w:t>
      </w:r>
      <w:hyperlink r:id="rId8" w:history="1">
        <w:r w:rsidRPr="00941395">
          <w:rPr>
            <w:rStyle w:val="Hyperlink"/>
            <w:lang w:val="en-IE"/>
          </w:rPr>
          <w:t>https://data.europa.eu/doi/10.2779/14834</w:t>
        </w:r>
      </w:hyperlink>
      <w:r w:rsidRPr="00941395">
        <w:rPr>
          <w:lang w:val="en-IE"/>
        </w:rPr>
        <w:t xml:space="preserve"> </w:t>
      </w:r>
    </w:p>
  </w:footnote>
  <w:footnote w:id="10">
    <w:p w14:paraId="19C2F061" w14:textId="1EDFF405" w:rsidR="00830770" w:rsidRPr="004855B4" w:rsidRDefault="00830770" w:rsidP="00D46493">
      <w:pPr>
        <w:pStyle w:val="WDBodySmall"/>
        <w:rPr>
          <w:rFonts w:ascii="Times New Roman" w:hAnsi="Times New Roman"/>
          <w:sz w:val="20"/>
          <w:lang w:val="en-IE"/>
        </w:rPr>
      </w:pPr>
      <w:r w:rsidRPr="00941395">
        <w:rPr>
          <w:rStyle w:val="FootnoteReference"/>
          <w:rFonts w:ascii="Times New Roman" w:hAnsi="Times New Roman" w:cs="Times New Roman"/>
          <w:sz w:val="20"/>
          <w:szCs w:val="20"/>
          <w:lang w:val="en-IE"/>
        </w:rPr>
        <w:footnoteRef/>
      </w:r>
      <w:r w:rsidRPr="00941395">
        <w:rPr>
          <w:rFonts w:ascii="Times New Roman" w:hAnsi="Times New Roman"/>
          <w:sz w:val="20"/>
          <w:lang w:val="en-IE"/>
        </w:rPr>
        <w:t xml:space="preserve"> European Commission, Have your say, Published initiatives, Environmental impact of waste management – revision of EU waste framework, </w:t>
      </w:r>
      <w:hyperlink r:id="rId9" w:history="1">
        <w:r w:rsidRPr="00941395">
          <w:rPr>
            <w:rStyle w:val="Hyperlink"/>
            <w:rFonts w:ascii="Times New Roman" w:hAnsi="Times New Roman"/>
            <w:sz w:val="20"/>
            <w:lang w:val="en-IE"/>
          </w:rPr>
          <w:t>https://ec.europa.eu/info/law/better-regulation/have-your-say/initiatives/13225-Environmental-impact-of-waste-management-revision-of-EU-waste-framework_en</w:t>
        </w:r>
      </w:hyperlink>
      <w:r w:rsidRPr="00941395">
        <w:rPr>
          <w:rFonts w:ascii="Times New Roman" w:hAnsi="Times New Roman"/>
          <w:sz w:val="20"/>
          <w:lang w:val="en-IE"/>
        </w:rPr>
        <w:t>.</w:t>
      </w:r>
    </w:p>
  </w:footnote>
  <w:footnote w:id="11">
    <w:p w14:paraId="668C6FA2" w14:textId="1F518708" w:rsidR="00830770" w:rsidRPr="004855B4" w:rsidRDefault="00830770" w:rsidP="00D46493">
      <w:pPr>
        <w:pStyle w:val="FootnoteText"/>
        <w:jc w:val="left"/>
        <w:rPr>
          <w:lang w:val="en-IE"/>
        </w:rPr>
      </w:pPr>
      <w:r w:rsidRPr="00941395">
        <w:rPr>
          <w:rStyle w:val="FootnoteReference"/>
          <w:lang w:val="en-IE"/>
        </w:rPr>
        <w:footnoteRef/>
      </w:r>
      <w:r w:rsidRPr="00941395">
        <w:rPr>
          <w:lang w:val="en-IE"/>
        </w:rPr>
        <w:t xml:space="preserve"> European Commission, Have your say, published initiatives, Food waste – reduction targets, </w:t>
      </w:r>
      <w:hyperlink r:id="rId10" w:history="1">
        <w:r w:rsidRPr="00941395">
          <w:rPr>
            <w:rStyle w:val="Hyperlink"/>
            <w:lang w:val="en-IE"/>
          </w:rPr>
          <w:t>https://ec.europa.eu/info/law/better-regulation/have-your-say/initiatives/13223-Food-waste-reduction-targets_en</w:t>
        </w:r>
      </w:hyperlink>
      <w:r w:rsidRPr="00941395">
        <w:rPr>
          <w:rStyle w:val="Hyperlink"/>
          <w:lang w:val="en-IE"/>
        </w:rPr>
        <w:t>.</w:t>
      </w:r>
    </w:p>
  </w:footnote>
  <w:footnote w:id="12">
    <w:p w14:paraId="390C9C9C" w14:textId="23C981F2" w:rsidR="00830770" w:rsidRPr="00941395" w:rsidRDefault="00830770">
      <w:pPr>
        <w:pStyle w:val="FootnoteText"/>
        <w:rPr>
          <w:lang w:val="en-IE"/>
        </w:rPr>
      </w:pPr>
      <w:r w:rsidRPr="00941395">
        <w:rPr>
          <w:rStyle w:val="FootnoteReference"/>
          <w:lang w:val="en-IE"/>
        </w:rPr>
        <w:footnoteRef/>
      </w:r>
      <w:r w:rsidRPr="00941395">
        <w:rPr>
          <w:lang w:val="en-IE"/>
        </w:rPr>
        <w:t xml:space="preserve"> 198 indicated on </w:t>
      </w:r>
      <w:hyperlink r:id="rId11" w:history="1">
        <w:r w:rsidRPr="00941395">
          <w:rPr>
            <w:rStyle w:val="Hyperlink"/>
            <w:lang w:val="en-IE"/>
          </w:rPr>
          <w:t>Environmental impact of waste management – revision of EU waste framework (europa.eu)</w:t>
        </w:r>
      </w:hyperlink>
      <w:r w:rsidRPr="00941395">
        <w:rPr>
          <w:lang w:val="en-IE"/>
        </w:rPr>
        <w:t>because one is a duplication from WEEE forum.</w:t>
      </w:r>
    </w:p>
  </w:footnote>
  <w:footnote w:id="13">
    <w:p w14:paraId="1EF917D4" w14:textId="06454F60" w:rsidR="00830770" w:rsidRPr="00C45018" w:rsidRDefault="00830770">
      <w:pPr>
        <w:pStyle w:val="FootnoteText"/>
        <w:rPr>
          <w:lang w:val="de-DE"/>
        </w:rPr>
      </w:pPr>
      <w:r w:rsidRPr="00941395">
        <w:rPr>
          <w:rStyle w:val="FootnoteReference"/>
          <w:lang w:val="en-IE"/>
        </w:rPr>
        <w:footnoteRef/>
      </w:r>
      <w:r w:rsidRPr="00C45018">
        <w:rPr>
          <w:lang w:val="de-DE"/>
        </w:rPr>
        <w:t xml:space="preserve"> Wirtschaftskammer Österreich - Austrian Federal Economic Chamber</w:t>
      </w:r>
    </w:p>
  </w:footnote>
  <w:footnote w:id="14">
    <w:p w14:paraId="16930F5A" w14:textId="79782B1A" w:rsidR="00830770" w:rsidRPr="00941395" w:rsidRDefault="00830770">
      <w:pPr>
        <w:pStyle w:val="FootnoteText"/>
        <w:rPr>
          <w:lang w:val="en-IE"/>
        </w:rPr>
      </w:pPr>
      <w:r w:rsidRPr="00941395">
        <w:rPr>
          <w:rStyle w:val="FootnoteReference"/>
          <w:lang w:val="en-IE"/>
        </w:rPr>
        <w:footnoteRef/>
      </w:r>
      <w:r w:rsidRPr="00941395">
        <w:rPr>
          <w:lang w:val="en-IE"/>
        </w:rPr>
        <w:t xml:space="preserve"> Policy Hub - Circularity for Apparel and Footwear</w:t>
      </w:r>
    </w:p>
  </w:footnote>
  <w:footnote w:id="15">
    <w:p w14:paraId="36EE9EFC" w14:textId="429DEB0F" w:rsidR="00830770" w:rsidRPr="00E126AD" w:rsidRDefault="00830770">
      <w:pPr>
        <w:pStyle w:val="FootnoteText"/>
        <w:rPr>
          <w:lang w:val="en-IE"/>
        </w:rPr>
      </w:pPr>
      <w:r w:rsidRPr="00941395">
        <w:rPr>
          <w:rStyle w:val="FootnoteReference"/>
          <w:lang w:val="en-IE"/>
        </w:rPr>
        <w:footnoteRef/>
      </w:r>
      <w:r w:rsidRPr="00941395">
        <w:rPr>
          <w:lang w:val="en-IE"/>
        </w:rPr>
        <w:t xml:space="preserve"> Ebimex grupa sp. z o.o. – PL textiles sorter and recycler</w:t>
      </w:r>
    </w:p>
  </w:footnote>
  <w:footnote w:id="16">
    <w:p w14:paraId="2DD3CFF5" w14:textId="2C18F359" w:rsidR="00830770" w:rsidRPr="00941395" w:rsidRDefault="00830770">
      <w:pPr>
        <w:pStyle w:val="FootnoteText"/>
        <w:rPr>
          <w:lang w:val="en-IE"/>
        </w:rPr>
      </w:pPr>
      <w:r w:rsidRPr="00941395">
        <w:rPr>
          <w:rStyle w:val="FootnoteReference"/>
          <w:lang w:val="en-IE"/>
        </w:rPr>
        <w:footnoteRef/>
      </w:r>
      <w:r w:rsidRPr="00941395">
        <w:rPr>
          <w:lang w:val="en-IE"/>
        </w:rPr>
        <w:t xml:space="preserve"> ANA Members in Europe -</w:t>
      </w:r>
    </w:p>
  </w:footnote>
  <w:footnote w:id="17">
    <w:p w14:paraId="112BB53E" w14:textId="182AA7E6" w:rsidR="00830770" w:rsidRPr="003502CA" w:rsidRDefault="00830770">
      <w:pPr>
        <w:pStyle w:val="FootnoteText"/>
        <w:rPr>
          <w:lang w:val="en-IE"/>
        </w:rPr>
      </w:pPr>
      <w:r w:rsidRPr="00941395">
        <w:rPr>
          <w:rStyle w:val="FootnoteReference"/>
          <w:lang w:val="en-IE"/>
        </w:rPr>
        <w:footnoteRef/>
      </w:r>
      <w:r w:rsidRPr="003502CA">
        <w:rPr>
          <w:lang w:val="en-IE"/>
        </w:rPr>
        <w:t xml:space="preserve"> ETSA (European Textiles Services Association)</w:t>
      </w:r>
    </w:p>
  </w:footnote>
  <w:footnote w:id="18">
    <w:p w14:paraId="057290D3" w14:textId="77777777" w:rsidR="00830770" w:rsidRPr="003502CA" w:rsidRDefault="00830770" w:rsidP="00670FAF">
      <w:pPr>
        <w:pStyle w:val="FootnoteText"/>
        <w:rPr>
          <w:lang w:val="en-IE"/>
        </w:rPr>
      </w:pPr>
      <w:r w:rsidRPr="00941395">
        <w:rPr>
          <w:rStyle w:val="FootnoteReference"/>
          <w:lang w:val="en-IE"/>
        </w:rPr>
        <w:footnoteRef/>
      </w:r>
      <w:r w:rsidRPr="003502CA">
        <w:rPr>
          <w:lang w:val="en-IE"/>
        </w:rPr>
        <w:t xml:space="preserve"> Ebimex grupa sp. z o.o.</w:t>
      </w:r>
    </w:p>
  </w:footnote>
  <w:footnote w:id="19">
    <w:p w14:paraId="74D990BA" w14:textId="53A7424B" w:rsidR="00830770" w:rsidRPr="00BE7C79" w:rsidRDefault="00830770">
      <w:pPr>
        <w:pStyle w:val="FootnoteText"/>
      </w:pPr>
      <w:r>
        <w:rPr>
          <w:rStyle w:val="FootnoteReference"/>
        </w:rPr>
        <w:footnoteRef/>
      </w:r>
      <w:r>
        <w:t xml:space="preserve"> Czech Republic, Hungary, Slovenia</w:t>
      </w:r>
    </w:p>
  </w:footnote>
  <w:footnote w:id="20">
    <w:p w14:paraId="3850CF32" w14:textId="7AC8B25A" w:rsidR="00830770" w:rsidRPr="00BC3726" w:rsidRDefault="00830770">
      <w:pPr>
        <w:pStyle w:val="FootnoteText"/>
        <w:rPr>
          <w:lang w:val="en-IE"/>
        </w:rPr>
      </w:pPr>
      <w:r w:rsidRPr="00941395">
        <w:rPr>
          <w:rStyle w:val="FootnoteReference"/>
          <w:lang w:val="en-IE"/>
        </w:rPr>
        <w:footnoteRef/>
      </w:r>
      <w:r w:rsidRPr="00941395">
        <w:rPr>
          <w:lang w:val="en-IE"/>
        </w:rPr>
        <w:t xml:space="preserve"> </w:t>
      </w:r>
      <w:r w:rsidRPr="00150E81">
        <w:rPr>
          <w:lang w:val="en-IE"/>
        </w:rPr>
        <w:t xml:space="preserve">Communication from the Commission to the European Parliament, The Council, The European Economic and Social Committee and the Committee of the Regions 20.05.2020 Farm to fork strategy for a fair, healthy and environmentally friendly food system, </w:t>
      </w:r>
      <w:r w:rsidRPr="00A64868">
        <w:rPr>
          <w:lang w:val="en-IE"/>
        </w:rPr>
        <w:t>COM(2020) 381 final</w:t>
      </w:r>
      <w:r>
        <w:rPr>
          <w:lang w:val="en-IE"/>
        </w:rPr>
        <w:t xml:space="preserve">, </w:t>
      </w:r>
      <w:hyperlink r:id="rId12" w:anchor=":~:text=Bruselas%2C%2020.5.2020%20COM%20%282020%29%20381%20final%20COMUNICACI%C3%93N%20DE,justo%2C%20saludable%20y%20respetuoso%20con%20el%20medio%20ambiente">
        <w:r w:rsidRPr="00150E81">
          <w:rPr>
            <w:rStyle w:val="Hyperlink"/>
            <w:rFonts w:eastAsia="Times New Roman"/>
            <w:lang w:val="en-IE"/>
          </w:rPr>
          <w:t>EUR-Lex - 52020DC0381 - EN - EUR-Lex (europa.eu).</w:t>
        </w:r>
      </w:hyperlink>
    </w:p>
  </w:footnote>
  <w:footnote w:id="21">
    <w:p w14:paraId="4FD28465" w14:textId="1E124737" w:rsidR="00830770" w:rsidRPr="00941395" w:rsidRDefault="00830770">
      <w:pPr>
        <w:pStyle w:val="FootnoteText"/>
        <w:rPr>
          <w:lang w:val="en-IE"/>
        </w:rPr>
      </w:pPr>
      <w:r w:rsidRPr="00941395">
        <w:rPr>
          <w:rStyle w:val="FootnoteReference"/>
          <w:lang w:val="en-IE"/>
        </w:rPr>
        <w:footnoteRef/>
      </w:r>
      <w:r w:rsidRPr="00941395">
        <w:rPr>
          <w:lang w:val="en-IE"/>
        </w:rPr>
        <w:t xml:space="preserve"> Commission assessment of these approaches is explained in Annex 10, as the same target level has been selected for all Member States.</w:t>
      </w:r>
    </w:p>
  </w:footnote>
  <w:footnote w:id="22">
    <w:p w14:paraId="15C6D0FE" w14:textId="77777777" w:rsidR="00830770" w:rsidRPr="00941395" w:rsidRDefault="00830770" w:rsidP="00FE1647">
      <w:pPr>
        <w:spacing w:after="0"/>
        <w:jc w:val="left"/>
        <w:rPr>
          <w:sz w:val="20"/>
          <w:lang w:val="en-IE"/>
        </w:rPr>
      </w:pPr>
      <w:r w:rsidRPr="00941395">
        <w:rPr>
          <w:sz w:val="20"/>
          <w:szCs w:val="20"/>
          <w:vertAlign w:val="superscript"/>
          <w:lang w:val="en-IE"/>
        </w:rPr>
        <w:footnoteRef/>
      </w:r>
      <w:r w:rsidRPr="00941395">
        <w:rPr>
          <w:color w:val="2B579A"/>
          <w:sz w:val="20"/>
          <w:lang w:val="en-IE"/>
        </w:rPr>
        <w:t xml:space="preserve"> </w:t>
      </w:r>
      <w:r w:rsidRPr="00941395">
        <w:rPr>
          <w:sz w:val="20"/>
          <w:lang w:val="en-IE"/>
        </w:rPr>
        <w:t xml:space="preserve">Statement on EU legally binding targets to reduce </w:t>
      </w:r>
    </w:p>
    <w:p w14:paraId="6783FBB1" w14:textId="7ACB9CF3" w:rsidR="00830770" w:rsidRPr="00941395" w:rsidRDefault="00830770" w:rsidP="00A45B28">
      <w:pPr>
        <w:spacing w:after="0"/>
        <w:jc w:val="left"/>
        <w:rPr>
          <w:sz w:val="20"/>
          <w:lang w:val="en-IE"/>
        </w:rPr>
      </w:pPr>
      <w:r w:rsidRPr="00941395">
        <w:rPr>
          <w:sz w:val="20"/>
          <w:lang w:val="en-IE"/>
        </w:rPr>
        <w:t>food waste, https://eeb.org/wp-content/uploads/2022/09/Statement-on-EU-legally-binding-targets-to-reduce-food-waste-Sept-2022.pdf.</w:t>
      </w:r>
    </w:p>
  </w:footnote>
  <w:footnote w:id="23">
    <w:p w14:paraId="3F9DEA37" w14:textId="5568DB33" w:rsidR="00830770" w:rsidRPr="00941395" w:rsidRDefault="00830770">
      <w:pPr>
        <w:pStyle w:val="FootnoteText"/>
        <w:rPr>
          <w:lang w:val="en-IE"/>
        </w:rPr>
      </w:pPr>
      <w:r w:rsidRPr="00941395">
        <w:rPr>
          <w:rStyle w:val="FootnoteReference"/>
          <w:lang w:val="en-IE"/>
        </w:rPr>
        <w:footnoteRef/>
      </w:r>
      <w:r w:rsidRPr="00941395">
        <w:rPr>
          <w:lang w:val="en-IE"/>
        </w:rPr>
        <w:t xml:space="preserve"> All received contributions were considered valid.</w:t>
      </w:r>
    </w:p>
  </w:footnote>
  <w:footnote w:id="24">
    <w:p w14:paraId="18340CC6" w14:textId="51C3C2CF" w:rsidR="001A3C2E" w:rsidRPr="00013BDC" w:rsidRDefault="001A3C2E">
      <w:pPr>
        <w:pStyle w:val="FootnoteText"/>
        <w:rPr>
          <w:lang w:val="en-US"/>
        </w:rPr>
      </w:pPr>
      <w:r>
        <w:rPr>
          <w:rStyle w:val="FootnoteReference"/>
        </w:rPr>
        <w:footnoteRef/>
      </w:r>
      <w:r>
        <w:t xml:space="preserve"> </w:t>
      </w:r>
      <w:r>
        <w:rPr>
          <w:lang w:val="en-US"/>
        </w:rPr>
        <w:t xml:space="preserve">More details on the </w:t>
      </w:r>
      <w:r w:rsidR="007F285C">
        <w:rPr>
          <w:lang w:val="en-US"/>
        </w:rPr>
        <w:t>p</w:t>
      </w:r>
      <w:r>
        <w:rPr>
          <w:lang w:val="en-US"/>
        </w:rPr>
        <w:t xml:space="preserve">ublic consultation on food waste can be found at: </w:t>
      </w:r>
      <w:r w:rsidR="007F285C" w:rsidRPr="007F285C">
        <w:rPr>
          <w:lang w:val="en-US"/>
        </w:rPr>
        <w:t xml:space="preserve">De Laurentiis, V, Mancini, L, Casonato, C, Boysen-Urban, K, De Jong, B, M’Barek, R, Sanyé Mengual, E, Sala, S. </w:t>
      </w:r>
      <w:r w:rsidR="007F285C" w:rsidRPr="00013BDC">
        <w:rPr>
          <w:i/>
          <w:iCs/>
          <w:lang w:val="en-US"/>
        </w:rPr>
        <w:t>Setting the scene for an EU initiative on food waste reduction targets</w:t>
      </w:r>
      <w:r w:rsidR="007F285C" w:rsidRPr="007F285C">
        <w:rPr>
          <w:lang w:val="en-US"/>
        </w:rPr>
        <w:t>. Publication Office of the European Union, Luxembourg,</w:t>
      </w:r>
      <w:r w:rsidR="000A3799">
        <w:rPr>
          <w:lang w:val="en-US"/>
        </w:rPr>
        <w:t xml:space="preserve"> 2023,</w:t>
      </w:r>
      <w:r w:rsidR="007F285C" w:rsidRPr="007F285C">
        <w:rPr>
          <w:lang w:val="en-US"/>
        </w:rPr>
        <w:t xml:space="preserve"> doi: 10.2760/13859, JRC133967</w:t>
      </w:r>
    </w:p>
  </w:footnote>
  <w:footnote w:id="25">
    <w:p w14:paraId="0B2499A0" w14:textId="77777777" w:rsidR="00830770" w:rsidRPr="00941395" w:rsidRDefault="00830770" w:rsidP="00D144A0">
      <w:pPr>
        <w:spacing w:after="0"/>
        <w:jc w:val="left"/>
        <w:rPr>
          <w:sz w:val="20"/>
          <w:szCs w:val="20"/>
          <w:lang w:val="en-IE"/>
        </w:rPr>
      </w:pPr>
      <w:r w:rsidRPr="00941395">
        <w:rPr>
          <w:sz w:val="20"/>
          <w:szCs w:val="20"/>
          <w:vertAlign w:val="superscript"/>
          <w:lang w:val="en-IE"/>
        </w:rPr>
        <w:footnoteRef/>
      </w:r>
      <w:r w:rsidRPr="00941395">
        <w:rPr>
          <w:sz w:val="20"/>
          <w:szCs w:val="20"/>
          <w:lang w:val="en-IE"/>
        </w:rPr>
        <w:t xml:space="preserve"> European Commission, </w:t>
      </w:r>
      <w:r w:rsidRPr="00941395">
        <w:rPr>
          <w:i/>
          <w:sz w:val="20"/>
          <w:szCs w:val="20"/>
          <w:lang w:val="en-IE"/>
        </w:rPr>
        <w:t>EU strategy for sustainable and circular textiles</w:t>
      </w:r>
      <w:r w:rsidRPr="00941395">
        <w:rPr>
          <w:sz w:val="20"/>
          <w:szCs w:val="20"/>
          <w:lang w:val="en-IE"/>
        </w:rPr>
        <w:t xml:space="preserve">, 2022, </w:t>
      </w:r>
      <w:hyperlink r:id="rId13">
        <w:r w:rsidRPr="00941395">
          <w:rPr>
            <w:rStyle w:val="Hyperlink"/>
            <w:sz w:val="20"/>
            <w:szCs w:val="20"/>
            <w:lang w:val="en-IE"/>
          </w:rPr>
          <w:t>https://ec.europa.eu/environment/publications/textiles-strategy_en.</w:t>
        </w:r>
      </w:hyperlink>
    </w:p>
  </w:footnote>
  <w:footnote w:id="26">
    <w:p w14:paraId="588E61BF" w14:textId="171FC1E6" w:rsidR="0053306C" w:rsidRPr="00013BDC" w:rsidRDefault="0053306C">
      <w:pPr>
        <w:pStyle w:val="FootnoteText"/>
        <w:rPr>
          <w:lang w:val="en-US"/>
        </w:rPr>
      </w:pPr>
      <w:r>
        <w:rPr>
          <w:rStyle w:val="FootnoteReference"/>
        </w:rPr>
        <w:footnoteRef/>
      </w:r>
      <w:r>
        <w:t xml:space="preserve"> </w:t>
      </w:r>
      <w:r w:rsidR="00C17C0F">
        <w:t xml:space="preserve">More details </w:t>
      </w:r>
      <w:r w:rsidR="00AF6253">
        <w:t xml:space="preserve">on targeted consultations on food waste can be found at: </w:t>
      </w:r>
      <w:r w:rsidR="00C17C0F" w:rsidRPr="00C17C0F">
        <w:t xml:space="preserve">De Laurentiis, V, Mancini, L, Casonato, C, Boysen-Urban, K, De Jong, B, M’Barek, R, Sanyé Mengual, E, Sala, S. </w:t>
      </w:r>
      <w:r w:rsidR="00C17C0F" w:rsidRPr="00013BDC">
        <w:rPr>
          <w:i/>
          <w:iCs/>
        </w:rPr>
        <w:t>Setting the scene for an EU initiative on food waste reduction targets</w:t>
      </w:r>
      <w:r w:rsidR="00C17C0F" w:rsidRPr="00C17C0F">
        <w:t>. Publication Office of the European Union, Luxembourg,</w:t>
      </w:r>
      <w:r w:rsidR="000A3799">
        <w:t xml:space="preserve"> 2023,</w:t>
      </w:r>
      <w:r w:rsidR="00C17C0F" w:rsidRPr="00C17C0F">
        <w:t xml:space="preserve"> doi: 10.2760/13859, JRC133967</w:t>
      </w:r>
    </w:p>
  </w:footnote>
  <w:footnote w:id="27">
    <w:p w14:paraId="6A4EC7D1" w14:textId="1074F14E" w:rsidR="00830770" w:rsidRPr="00941395" w:rsidRDefault="00830770" w:rsidP="008B70FE">
      <w:pPr>
        <w:rPr>
          <w:sz w:val="20"/>
          <w:szCs w:val="20"/>
          <w:lang w:val="en-IE"/>
        </w:rPr>
      </w:pPr>
      <w:r w:rsidRPr="00941395">
        <w:rPr>
          <w:sz w:val="20"/>
          <w:szCs w:val="20"/>
          <w:vertAlign w:val="superscript"/>
          <w:lang w:val="en-IE"/>
        </w:rPr>
        <w:footnoteRef/>
      </w:r>
      <w:r w:rsidRPr="00941395">
        <w:rPr>
          <w:sz w:val="20"/>
          <w:szCs w:val="20"/>
          <w:lang w:val="en-IE"/>
        </w:rPr>
        <w:t xml:space="preserve"> European Commission, EU Food Loss and Waste Prevention Hub, https://ec.europa.eu/food/safety/food_waste/eu-food-loss-waste-prevention-hub/eu-member-states.</w:t>
      </w:r>
    </w:p>
  </w:footnote>
  <w:footnote w:id="28">
    <w:p w14:paraId="6F5FF9E8" w14:textId="02AE57F5" w:rsidR="00830770" w:rsidRPr="00941395" w:rsidRDefault="00830770" w:rsidP="000B66F1">
      <w:pPr>
        <w:pStyle w:val="FootnoteText"/>
        <w:jc w:val="left"/>
        <w:rPr>
          <w:lang w:val="en-IE"/>
        </w:rPr>
      </w:pPr>
      <w:r w:rsidRPr="00941395">
        <w:rPr>
          <w:rStyle w:val="FootnoteReference"/>
          <w:lang w:val="en-IE"/>
        </w:rPr>
        <w:footnoteRef/>
      </w:r>
      <w:r w:rsidRPr="00941395">
        <w:rPr>
          <w:lang w:val="en-IE"/>
        </w:rPr>
        <w:t xml:space="preserve"> European Parliament and Council Directive 94/62/EC of 20 December 1994 on packaging and packaging waste </w:t>
      </w:r>
      <w:r w:rsidRPr="00941395">
        <w:rPr>
          <w:i/>
          <w:lang w:val="en-IE"/>
        </w:rPr>
        <w:t>(OJ L 365, 31.12.1994, p. 10–23)</w:t>
      </w:r>
      <w:r w:rsidRPr="00941395">
        <w:rPr>
          <w:lang w:val="en-IE"/>
        </w:rPr>
        <w:t xml:space="preserve">, </w:t>
      </w:r>
      <w:hyperlink r:id="rId14" w:history="1">
        <w:r w:rsidRPr="00941395">
          <w:rPr>
            <w:rStyle w:val="Hyperlink"/>
            <w:lang w:val="en-IE"/>
          </w:rPr>
          <w:t>EUR-Lex - 31994L0062 - EN - EUR-Lex (europa.eu)</w:t>
        </w:r>
      </w:hyperlink>
      <w:r w:rsidRPr="00941395">
        <w:rPr>
          <w:rStyle w:val="Hyperlink"/>
          <w:lang w:val="en-IE"/>
        </w:rPr>
        <w:t>.</w:t>
      </w:r>
    </w:p>
  </w:footnote>
  <w:footnote w:id="29">
    <w:p w14:paraId="2BD385AA" w14:textId="3C280A42" w:rsidR="00830770" w:rsidRPr="00941395" w:rsidRDefault="00830770" w:rsidP="00857923">
      <w:pPr>
        <w:pStyle w:val="FootnoteText"/>
        <w:rPr>
          <w:lang w:val="en-IE"/>
        </w:rPr>
      </w:pPr>
      <w:r w:rsidRPr="00941395">
        <w:rPr>
          <w:rStyle w:val="FootnoteReference"/>
          <w:lang w:val="en-IE"/>
        </w:rPr>
        <w:footnoteRef/>
      </w:r>
      <w:r w:rsidRPr="00941395">
        <w:rPr>
          <w:lang w:val="en-IE"/>
        </w:rPr>
        <w:t xml:space="preserve"> See footnote</w:t>
      </w:r>
      <w:r>
        <w:rPr>
          <w:lang w:val="en-IE"/>
        </w:rPr>
        <w:t xml:space="preserve"> </w:t>
      </w:r>
      <w:r>
        <w:rPr>
          <w:lang w:val="en-IE"/>
        </w:rPr>
        <w:fldChar w:fldCharType="begin"/>
      </w:r>
      <w:r>
        <w:rPr>
          <w:lang w:val="en-IE"/>
        </w:rPr>
        <w:instrText xml:space="preserve"> NOTEREF _Ref133594304 \h </w:instrText>
      </w:r>
      <w:r>
        <w:rPr>
          <w:lang w:val="en-IE"/>
        </w:rPr>
      </w:r>
      <w:r>
        <w:rPr>
          <w:lang w:val="en-IE"/>
        </w:rPr>
        <w:fldChar w:fldCharType="separate"/>
      </w:r>
      <w:r w:rsidR="004C5576">
        <w:rPr>
          <w:lang w:val="en-IE"/>
        </w:rPr>
        <w:t>24</w:t>
      </w:r>
      <w:r>
        <w:rPr>
          <w:lang w:val="en-IE"/>
        </w:rPr>
        <w:fldChar w:fldCharType="end"/>
      </w:r>
      <w:r w:rsidRPr="00941395">
        <w:rPr>
          <w:lang w:val="en-IE"/>
        </w:rPr>
        <w:t>.</w:t>
      </w:r>
    </w:p>
  </w:footnote>
  <w:footnote w:id="30">
    <w:p w14:paraId="38AE6265" w14:textId="47DB1828" w:rsidR="00830770" w:rsidRPr="00941395" w:rsidRDefault="00830770" w:rsidP="0000623E">
      <w:pPr>
        <w:pStyle w:val="FootnoteText"/>
        <w:rPr>
          <w:lang w:val="en-IE"/>
        </w:rPr>
      </w:pPr>
      <w:r w:rsidRPr="00941395">
        <w:rPr>
          <w:rStyle w:val="FootnoteReference"/>
          <w:lang w:val="en-IE"/>
        </w:rPr>
        <w:footnoteRef/>
      </w:r>
      <w:r w:rsidRPr="00941395">
        <w:rPr>
          <w:lang w:val="en-IE"/>
        </w:rPr>
        <w:t xml:space="preserve"> See e.g. Champions 12.3, </w:t>
      </w:r>
      <w:r w:rsidRPr="00941395">
        <w:rPr>
          <w:i/>
          <w:lang w:val="en-IE"/>
        </w:rPr>
        <w:t>The Business Case for Reducing Food Loss and Waste</w:t>
      </w:r>
      <w:r w:rsidRPr="00941395">
        <w:rPr>
          <w:lang w:val="en-IE"/>
        </w:rPr>
        <w:t>, 2017.</w:t>
      </w:r>
    </w:p>
  </w:footnote>
  <w:footnote w:id="31">
    <w:p w14:paraId="3DB5B8E2" w14:textId="173F4B54" w:rsidR="00830770" w:rsidRPr="00941395" w:rsidRDefault="00830770" w:rsidP="00432BC6">
      <w:pPr>
        <w:pStyle w:val="FootnoteText"/>
        <w:jc w:val="left"/>
        <w:rPr>
          <w:lang w:val="en-IE"/>
        </w:rPr>
      </w:pPr>
      <w:r w:rsidRPr="00941395">
        <w:rPr>
          <w:rStyle w:val="FootnoteReference"/>
          <w:lang w:val="en-IE"/>
        </w:rPr>
        <w:footnoteRef/>
      </w:r>
      <w:r w:rsidRPr="00941395">
        <w:rPr>
          <w:lang w:val="en-IE"/>
        </w:rPr>
        <w:t xml:space="preserve"> Directive (EU) 2019/904 of the European Parliament and of the Council of 5 June 2019 on the reduction of the impact of certain plastic products on the environment </w:t>
      </w:r>
      <w:r w:rsidRPr="00941395">
        <w:rPr>
          <w:i/>
          <w:lang w:val="en-IE"/>
        </w:rPr>
        <w:t>(OJ L 155, 12.6.2019, p. 1–19),</w:t>
      </w:r>
      <w:r w:rsidRPr="00941395">
        <w:rPr>
          <w:lang w:val="en-IE"/>
        </w:rPr>
        <w:t xml:space="preserve"> </w:t>
      </w:r>
      <w:hyperlink r:id="rId15" w:history="1">
        <w:r w:rsidRPr="00941395">
          <w:rPr>
            <w:rStyle w:val="Hyperlink"/>
            <w:lang w:val="en-IE"/>
          </w:rPr>
          <w:t>EUR-Lex - 32019L0904 - EN - EUR-Lex (europa.eu)</w:t>
        </w:r>
      </w:hyperlink>
      <w:r w:rsidRPr="00941395">
        <w:rPr>
          <w:rStyle w:val="Hyperlink"/>
          <w:lang w:val="en-IE"/>
        </w:rPr>
        <w:t>.</w:t>
      </w:r>
    </w:p>
  </w:footnote>
  <w:footnote w:id="32">
    <w:p w14:paraId="23F8FBEF" w14:textId="4B9D5BDC" w:rsidR="00830770" w:rsidRPr="00941395" w:rsidRDefault="00830770" w:rsidP="00432BC6">
      <w:pPr>
        <w:pStyle w:val="FootnoteText"/>
        <w:jc w:val="left"/>
        <w:rPr>
          <w:lang w:val="en-IE"/>
        </w:rPr>
      </w:pPr>
      <w:r w:rsidRPr="00941395">
        <w:rPr>
          <w:rStyle w:val="FootnoteReference"/>
          <w:lang w:val="en-IE"/>
        </w:rPr>
        <w:footnoteRef/>
      </w:r>
      <w:r w:rsidRPr="00941395">
        <w:rPr>
          <w:lang w:val="en-IE"/>
        </w:rPr>
        <w:t xml:space="preserve"> European Commission, All Environment Publications, Proposal for a revision of EU legislation on Packaging and Packaging Waste, https://environment.ec.europa.eu/publications/proposal-packaging-and-packaging-waste_en.</w:t>
      </w:r>
    </w:p>
  </w:footnote>
  <w:footnote w:id="33">
    <w:p w14:paraId="3470C690" w14:textId="6DD0E16B" w:rsidR="00830770" w:rsidRPr="00941395" w:rsidRDefault="00830770" w:rsidP="00432BC6">
      <w:pPr>
        <w:autoSpaceDE w:val="0"/>
        <w:autoSpaceDN w:val="0"/>
        <w:spacing w:after="0"/>
        <w:jc w:val="left"/>
        <w:rPr>
          <w:lang w:val="en-IE"/>
        </w:rPr>
      </w:pPr>
      <w:r w:rsidRPr="00941395">
        <w:rPr>
          <w:rStyle w:val="FootnoteReference"/>
          <w:sz w:val="20"/>
          <w:szCs w:val="20"/>
          <w:lang w:val="en-IE"/>
        </w:rPr>
        <w:footnoteRef/>
      </w:r>
      <w:r w:rsidRPr="00941395">
        <w:rPr>
          <w:sz w:val="20"/>
          <w:szCs w:val="20"/>
          <w:lang w:val="en-IE"/>
        </w:rPr>
        <w:t xml:space="preserve"> Proposal for a Regulation of the European Parliament and of the Council establishing a framework for setting eco-design requirements for Sustainable Products</w:t>
      </w:r>
      <w:r w:rsidRPr="00941395">
        <w:rPr>
          <w:lang w:val="en-IE"/>
        </w:rPr>
        <w:t xml:space="preserve"> </w:t>
      </w:r>
      <w:r w:rsidRPr="00941395">
        <w:rPr>
          <w:sz w:val="20"/>
          <w:szCs w:val="20"/>
          <w:lang w:val="en-IE"/>
        </w:rPr>
        <w:t>and repealing Directive 2009/125/EC,</w:t>
      </w:r>
      <w:r w:rsidRPr="00941395">
        <w:rPr>
          <w:lang w:val="en-IE"/>
        </w:rPr>
        <w:t xml:space="preserve"> </w:t>
      </w:r>
      <w:r w:rsidRPr="00941395">
        <w:rPr>
          <w:sz w:val="20"/>
          <w:szCs w:val="20"/>
          <w:lang w:val="en-IE"/>
        </w:rPr>
        <w:t xml:space="preserve">COM(2022) 142 final, </w:t>
      </w:r>
      <w:hyperlink r:id="rId16" w:history="1">
        <w:r w:rsidRPr="00941395">
          <w:rPr>
            <w:rStyle w:val="Hyperlink"/>
            <w:sz w:val="20"/>
            <w:szCs w:val="20"/>
            <w:lang w:val="en-IE"/>
          </w:rPr>
          <w:t>EUR-Lex - 52022PC0142 - EN - EUR-Lex (europa.eu)</w:t>
        </w:r>
      </w:hyperlink>
      <w:r w:rsidRPr="00941395">
        <w:rPr>
          <w:rFonts w:cs="Segoe UI"/>
          <w:sz w:val="20"/>
          <w:szCs w:val="20"/>
          <w:lang w:val="en-IE"/>
        </w:rPr>
        <w:t>.</w:t>
      </w:r>
    </w:p>
  </w:footnote>
  <w:footnote w:id="34">
    <w:p w14:paraId="012A2FA0" w14:textId="506D42A0" w:rsidR="00830770" w:rsidRPr="00941395" w:rsidRDefault="00830770" w:rsidP="00432BC6">
      <w:pPr>
        <w:pStyle w:val="FootnoteText"/>
        <w:jc w:val="left"/>
        <w:rPr>
          <w:lang w:val="en-IE"/>
        </w:rPr>
      </w:pPr>
      <w:r w:rsidRPr="00941395">
        <w:rPr>
          <w:rStyle w:val="FootnoteReference"/>
          <w:lang w:val="en-IE"/>
        </w:rPr>
        <w:footnoteRef/>
      </w:r>
      <w:r w:rsidRPr="00941395">
        <w:rPr>
          <w:lang w:val="en-IE"/>
        </w:rPr>
        <w:t xml:space="preserve"> </w:t>
      </w:r>
      <w:r w:rsidRPr="00B1029B">
        <w:rPr>
          <w:lang w:val="en-IE"/>
        </w:rPr>
        <w:t>Joint Research Centre. 2023. “Techno-scientific assessment of the management options for used and waste textiles - Preparatory study for the possible setting of preparation for re-use and recycling targets” (unpublished work).</w:t>
      </w:r>
    </w:p>
  </w:footnote>
  <w:footnote w:id="35">
    <w:p w14:paraId="4A71B151" w14:textId="770BD5BB" w:rsidR="00830770" w:rsidRPr="00941395" w:rsidRDefault="00830770" w:rsidP="00432BC6">
      <w:pPr>
        <w:pStyle w:val="FootnoteText"/>
        <w:jc w:val="left"/>
        <w:rPr>
          <w:lang w:val="en-IE"/>
        </w:rPr>
      </w:pPr>
      <w:r w:rsidRPr="00941395">
        <w:rPr>
          <w:rStyle w:val="FootnoteReference"/>
          <w:lang w:val="en-IE"/>
        </w:rPr>
        <w:footnoteRef/>
      </w:r>
      <w:r w:rsidRPr="00941395">
        <w:rPr>
          <w:lang w:val="en-IE"/>
        </w:rPr>
        <w:t xml:space="preserve"> </w:t>
      </w:r>
      <w:hyperlink r:id="rId17" w:history="1">
        <w:r w:rsidRPr="00941395">
          <w:rPr>
            <w:rStyle w:val="Hyperlink"/>
            <w:lang w:val="en-IE"/>
          </w:rPr>
          <w:t>https://ec.europa.eu/eurostat/web/prodcom</w:t>
        </w:r>
      </w:hyperlink>
      <w:r w:rsidRPr="00941395">
        <w:rPr>
          <w:lang w:val="en-IE"/>
        </w:rPr>
        <w:t>.</w:t>
      </w:r>
    </w:p>
  </w:footnote>
  <w:footnote w:id="36">
    <w:p w14:paraId="06AC4001" w14:textId="66B244A9" w:rsidR="00830770" w:rsidRPr="00941395" w:rsidRDefault="00830770" w:rsidP="004B2922">
      <w:pPr>
        <w:pStyle w:val="FootnoteText"/>
        <w:rPr>
          <w:lang w:val="en-IE"/>
        </w:rPr>
      </w:pPr>
      <w:r w:rsidRPr="00941395">
        <w:rPr>
          <w:rStyle w:val="FootnoteReference"/>
          <w:lang w:val="en-IE"/>
        </w:rPr>
        <w:footnoteRef/>
      </w:r>
      <w:r w:rsidRPr="00941395">
        <w:rPr>
          <w:lang w:val="en-IE"/>
        </w:rPr>
        <w:t xml:space="preserve"> </w:t>
      </w:r>
      <w:hyperlink r:id="rId18" w:history="1">
        <w:r w:rsidRPr="00941395">
          <w:rPr>
            <w:rStyle w:val="Hyperlink"/>
            <w:lang w:val="en-IE"/>
          </w:rPr>
          <w:t>https://ec.europa.eu/eurostat/web/international-trade-in-goods/data/focus-on-comext</w:t>
        </w:r>
      </w:hyperlink>
      <w:r w:rsidRPr="00941395">
        <w:rPr>
          <w:lang w:val="en-IE"/>
        </w:rPr>
        <w:t>.</w:t>
      </w:r>
    </w:p>
  </w:footnote>
  <w:footnote w:id="37">
    <w:p w14:paraId="1920218F" w14:textId="201263D6" w:rsidR="00830770" w:rsidRPr="00941395" w:rsidRDefault="00830770" w:rsidP="004B2922">
      <w:pPr>
        <w:pStyle w:val="FootnoteText"/>
        <w:rPr>
          <w:lang w:val="en-IE"/>
        </w:rPr>
      </w:pPr>
      <w:r w:rsidRPr="00941395">
        <w:rPr>
          <w:rStyle w:val="FootnoteReference"/>
          <w:lang w:val="en-IE"/>
        </w:rPr>
        <w:footnoteRef/>
      </w:r>
      <w:r w:rsidRPr="00941395">
        <w:rPr>
          <w:lang w:val="en-IE"/>
        </w:rPr>
        <w:t xml:space="preserve"> </w:t>
      </w:r>
      <w:r w:rsidRPr="001275B1">
        <w:rPr>
          <w:lang w:val="en-IE"/>
        </w:rPr>
        <w:t>European Commission, Joint Research Centre, Donatello, S., Danneck, J., Löw, C., et al., Circular economy perspectives in the EU textile sector: final report, Publications Office, 2021, https://data.europa.eu/doi/10.2760/858144.</w:t>
      </w:r>
    </w:p>
  </w:footnote>
  <w:footnote w:id="38">
    <w:p w14:paraId="00B43176" w14:textId="44E1F640" w:rsidR="00830770" w:rsidRPr="00941395" w:rsidRDefault="00830770" w:rsidP="004B2922">
      <w:pPr>
        <w:pStyle w:val="FootnoteText"/>
        <w:rPr>
          <w:lang w:val="en-IE"/>
        </w:rPr>
      </w:pPr>
      <w:r w:rsidRPr="00941395">
        <w:rPr>
          <w:rStyle w:val="FootnoteReference"/>
          <w:lang w:val="en-IE"/>
        </w:rPr>
        <w:footnoteRef/>
      </w:r>
      <w:r w:rsidRPr="00941395">
        <w:rPr>
          <w:lang w:val="en-IE"/>
        </w:rPr>
        <w:t xml:space="preserve"> </w:t>
      </w:r>
      <w:r w:rsidRPr="00E844C0">
        <w:rPr>
          <w:lang w:val="en-IE"/>
        </w:rPr>
        <w:t>European Commission, EU strategy for sustainable and circular textiles, 2022, https://ec.europa.eu/environment/publications/textiles-strategy_en.</w:t>
      </w:r>
    </w:p>
  </w:footnote>
  <w:footnote w:id="39">
    <w:p w14:paraId="6FF06732" w14:textId="1171CC4A" w:rsidR="00830770" w:rsidRPr="00941395" w:rsidRDefault="00830770" w:rsidP="00292961">
      <w:pPr>
        <w:pStyle w:val="FootnoteText"/>
        <w:jc w:val="left"/>
        <w:rPr>
          <w:lang w:val="en-IE"/>
        </w:rPr>
      </w:pPr>
      <w:r w:rsidRPr="00941395">
        <w:rPr>
          <w:rStyle w:val="FootnoteReference"/>
          <w:lang w:val="en-IE"/>
        </w:rPr>
        <w:footnoteRef/>
      </w:r>
      <w:r w:rsidRPr="00941395">
        <w:rPr>
          <w:lang w:val="en-IE"/>
        </w:rPr>
        <w:t xml:space="preserve"> CESME, “3.1.5 HUMANITA textile recycling”, </w:t>
      </w:r>
      <w:r w:rsidRPr="00941395">
        <w:rPr>
          <w:i/>
          <w:lang w:val="en-IE"/>
        </w:rPr>
        <w:t>The CESME White Book,</w:t>
      </w:r>
      <w:r w:rsidRPr="00941395">
        <w:rPr>
          <w:lang w:val="en-IE"/>
        </w:rPr>
        <w:t xml:space="preserve"> </w:t>
      </w:r>
      <w:hyperlink r:id="rId19" w:history="1">
        <w:r w:rsidRPr="00941395">
          <w:rPr>
            <w:rStyle w:val="Hyperlink"/>
            <w:lang w:val="en-IE"/>
          </w:rPr>
          <w:t>https://www.cesme-book.eu/book/level-1-d/3.1-best-practices/3.1.2-humanita-textile-recycling</w:t>
        </w:r>
      </w:hyperlink>
      <w:r w:rsidRPr="00941395">
        <w:rPr>
          <w:lang w:val="en-IE"/>
        </w:rPr>
        <w:t>.</w:t>
      </w:r>
    </w:p>
  </w:footnote>
  <w:footnote w:id="40">
    <w:p w14:paraId="74B3D103" w14:textId="5D7775F1" w:rsidR="00830770" w:rsidRPr="00941395" w:rsidRDefault="00830770" w:rsidP="00292961">
      <w:pPr>
        <w:pStyle w:val="FootnoteText"/>
        <w:jc w:val="left"/>
        <w:rPr>
          <w:lang w:val="en-IE"/>
        </w:rPr>
      </w:pPr>
      <w:r w:rsidRPr="00941395">
        <w:rPr>
          <w:rStyle w:val="FootnoteReference"/>
          <w:lang w:val="en-IE"/>
        </w:rPr>
        <w:footnoteRef/>
      </w:r>
      <w:r w:rsidRPr="00941395">
        <w:rPr>
          <w:lang w:val="en-IE"/>
        </w:rPr>
        <w:t xml:space="preserve"> ECAP, </w:t>
      </w:r>
      <w:r w:rsidRPr="00941395">
        <w:rPr>
          <w:i/>
          <w:lang w:val="en-IE"/>
        </w:rPr>
        <w:t>Used Textile Collection in European Cities</w:t>
      </w:r>
      <w:r w:rsidRPr="00941395">
        <w:rPr>
          <w:lang w:val="en-IE"/>
        </w:rPr>
        <w:t>, 2018.</w:t>
      </w:r>
    </w:p>
  </w:footnote>
  <w:footnote w:id="41">
    <w:p w14:paraId="1D170858" w14:textId="31D27AC9" w:rsidR="00830770" w:rsidRPr="00941395" w:rsidRDefault="00830770" w:rsidP="00292961">
      <w:pPr>
        <w:pStyle w:val="FootnoteText"/>
        <w:jc w:val="left"/>
        <w:rPr>
          <w:lang w:val="en-IE"/>
        </w:rPr>
      </w:pPr>
      <w:r w:rsidRPr="00941395">
        <w:rPr>
          <w:rStyle w:val="FootnoteReference"/>
          <w:lang w:val="en-IE"/>
        </w:rPr>
        <w:footnoteRef/>
      </w:r>
      <w:r w:rsidRPr="00941395">
        <w:rPr>
          <w:lang w:val="en-IE"/>
        </w:rPr>
        <w:t xml:space="preserve"> Commission Staff Working Document Impact Assessment Accompanying the document Proposal for a regulation of the European Parliament and of the Council on shipments of waste and amending Regulations (EU) No 1257/2013 and (EU) No 2020/1056, SWD(2021) 331 final.</w:t>
      </w:r>
    </w:p>
  </w:footnote>
  <w:footnote w:id="42">
    <w:p w14:paraId="17FA79F3" w14:textId="204FB9DD" w:rsidR="00830770" w:rsidRPr="00941395" w:rsidRDefault="00830770" w:rsidP="00292961">
      <w:pPr>
        <w:pStyle w:val="FootnoteText"/>
        <w:jc w:val="left"/>
        <w:rPr>
          <w:lang w:val="en-IE"/>
        </w:rPr>
      </w:pPr>
      <w:r w:rsidRPr="00941395">
        <w:rPr>
          <w:rStyle w:val="FootnoteReference"/>
          <w:lang w:val="en-IE"/>
        </w:rPr>
        <w:footnoteRef/>
      </w:r>
      <w:r w:rsidRPr="00941395">
        <w:rPr>
          <w:lang w:val="en-IE"/>
        </w:rPr>
        <w:t xml:space="preserve"> Proposal for a Regulation of the European Parliament and of the Council on shipments of waste and amending Regulations (EU) No 1257/2013 and (EU) No 2020/1056, COM(2021) 709 final, </w:t>
      </w:r>
      <w:hyperlink r:id="rId20" w:history="1">
        <w:r w:rsidRPr="00941395">
          <w:rPr>
            <w:rStyle w:val="Hyperlink"/>
            <w:lang w:val="en-IE"/>
          </w:rPr>
          <w:t>https://eur-lex.europa.eu/legal-content/EN/TXT/?uri=CELEX:52021PC0709</w:t>
        </w:r>
      </w:hyperlink>
      <w:r w:rsidRPr="00941395">
        <w:rPr>
          <w:lang w:val="en-IE"/>
        </w:rPr>
        <w:t>.</w:t>
      </w:r>
    </w:p>
  </w:footnote>
  <w:footnote w:id="43">
    <w:p w14:paraId="666D7607" w14:textId="38546117" w:rsidR="00830770" w:rsidRPr="00941395" w:rsidRDefault="00830770" w:rsidP="00292961">
      <w:pPr>
        <w:pStyle w:val="FootnoteText"/>
        <w:jc w:val="left"/>
        <w:rPr>
          <w:lang w:val="en-IE"/>
        </w:rPr>
      </w:pPr>
      <w:r w:rsidRPr="00941395">
        <w:rPr>
          <w:rStyle w:val="FootnoteReference"/>
          <w:lang w:val="en-IE"/>
        </w:rPr>
        <w:footnoteRef/>
      </w:r>
      <w:r w:rsidRPr="00941395">
        <w:rPr>
          <w:lang w:val="en-IE"/>
        </w:rPr>
        <w:t xml:space="preserve"> COWI, Eunomia, </w:t>
      </w:r>
      <w:r w:rsidRPr="00941395">
        <w:rPr>
          <w:i/>
          <w:lang w:val="en-IE"/>
        </w:rPr>
        <w:t>Study on investment needs in the waste sector and on the financing of municipal waste management in Member States</w:t>
      </w:r>
      <w:r w:rsidRPr="00941395">
        <w:rPr>
          <w:lang w:val="en-IE"/>
        </w:rPr>
        <w:t>, 2019.</w:t>
      </w:r>
    </w:p>
  </w:footnote>
  <w:footnote w:id="44">
    <w:p w14:paraId="16DEE91E" w14:textId="77C2244D" w:rsidR="00830770" w:rsidRPr="00941395" w:rsidRDefault="00830770">
      <w:pPr>
        <w:pStyle w:val="FootnoteText"/>
        <w:rPr>
          <w:lang w:val="en-IE"/>
        </w:rPr>
      </w:pPr>
      <w:r w:rsidRPr="00941395">
        <w:rPr>
          <w:rStyle w:val="FootnoteReference"/>
          <w:lang w:val="en-IE"/>
        </w:rPr>
        <w:footnoteRef/>
      </w:r>
      <w:r w:rsidRPr="00941395">
        <w:rPr>
          <w:lang w:val="en-IE"/>
        </w:rPr>
        <w:t xml:space="preserve"> JRC, Technical report on Material Flow Analysis of textile, forthcoming’</w:t>
      </w:r>
    </w:p>
  </w:footnote>
  <w:footnote w:id="45">
    <w:p w14:paraId="42FEB56B" w14:textId="3046423D" w:rsidR="00830770" w:rsidRPr="00941395" w:rsidRDefault="00830770">
      <w:pPr>
        <w:pStyle w:val="FootnoteText"/>
        <w:rPr>
          <w:lang w:val="en-IE"/>
        </w:rPr>
      </w:pPr>
      <w:r w:rsidRPr="00941395">
        <w:rPr>
          <w:rStyle w:val="FootnoteReference"/>
          <w:lang w:val="en-IE"/>
        </w:rPr>
        <w:footnoteRef/>
      </w:r>
      <w:r w:rsidRPr="00941395">
        <w:rPr>
          <w:lang w:val="en-IE"/>
        </w:rPr>
        <w:t xml:space="preserve"> Fashion for Good, </w:t>
      </w:r>
      <w:r w:rsidRPr="00941395">
        <w:rPr>
          <w:i/>
          <w:lang w:val="en-IE"/>
        </w:rPr>
        <w:t>Sorting for Circularity Europe. An evaluation and commercial assessment of textile waste across Europe</w:t>
      </w:r>
      <w:r w:rsidRPr="00941395">
        <w:rPr>
          <w:lang w:val="en-IE"/>
        </w:rPr>
        <w:t>, 2022.</w:t>
      </w:r>
    </w:p>
  </w:footnote>
  <w:footnote w:id="46">
    <w:p w14:paraId="4CAD619F" w14:textId="77777777" w:rsidR="00830770" w:rsidRPr="00941395" w:rsidRDefault="00830770" w:rsidP="003D3D55">
      <w:pPr>
        <w:pStyle w:val="FootnoteText"/>
        <w:rPr>
          <w:lang w:val="en-IE"/>
        </w:rPr>
      </w:pPr>
      <w:r w:rsidRPr="00941395">
        <w:rPr>
          <w:rStyle w:val="FootnoteReference"/>
          <w:lang w:val="en-IE"/>
        </w:rPr>
        <w:footnoteRef/>
      </w:r>
      <w:r w:rsidRPr="00941395">
        <w:rPr>
          <w:lang w:val="en-IE"/>
        </w:rPr>
        <w:t xml:space="preserve"> Ecologic, 2021.  Extended Producer Responsibility and Ecomodulation of Fees</w:t>
      </w:r>
    </w:p>
  </w:footnote>
  <w:footnote w:id="47">
    <w:p w14:paraId="1977C3EA" w14:textId="48E8F8CA" w:rsidR="00830770" w:rsidRPr="00941395" w:rsidRDefault="00830770" w:rsidP="002925D9">
      <w:pPr>
        <w:pStyle w:val="FootnoteText"/>
        <w:rPr>
          <w:lang w:val="en-IE"/>
        </w:rPr>
      </w:pPr>
      <w:r w:rsidRPr="00941395">
        <w:rPr>
          <w:rStyle w:val="FootnoteReference"/>
          <w:lang w:val="en-IE"/>
        </w:rPr>
        <w:footnoteRef/>
      </w:r>
      <w:r w:rsidRPr="00941395">
        <w:rPr>
          <w:lang w:val="en-IE"/>
        </w:rPr>
        <w:t xml:space="preserve"> Gray, A., Jones, A. and Percy, S, Jobs, 2004. from Recycling: Report on Stage II of the Research, Local Economy Policy Unit, London South Bank University; Cascadia, </w:t>
      </w:r>
      <w:r w:rsidRPr="00941395">
        <w:rPr>
          <w:i/>
          <w:lang w:val="en-IE"/>
        </w:rPr>
        <w:t>Recycling and economic development: a review of existing literature on job creation, capital investment, and tax revenues,</w:t>
      </w:r>
      <w:r w:rsidRPr="00941395">
        <w:rPr>
          <w:lang w:val="en-IE"/>
        </w:rPr>
        <w:t xml:space="preserve"> King Country Linkup, 2009, </w:t>
      </w:r>
      <w:hyperlink r:id="rId21" w:history="1">
        <w:r w:rsidRPr="00941395">
          <w:rPr>
            <w:rStyle w:val="Hyperlink"/>
            <w:lang w:val="en-IE"/>
          </w:rPr>
          <w:t>https://kingcounty.gov/~/media/depts/dnrp/solid-waste/linkup/documents/recycling-economic-development-review.ashx?la=en</w:t>
        </w:r>
      </w:hyperlink>
      <w:hyperlink r:id="rId22" w:history="1">
        <w:r w:rsidRPr="00941395">
          <w:rPr>
            <w:rStyle w:val="Hyperlink"/>
            <w:lang w:val="en-IE"/>
          </w:rPr>
          <w:t>https://kingcounty.gov/~/media/depts/dnrp/solid-waste/linkup/documents/recycling-economic-development-review.ashx?la=en</w:t>
        </w:r>
      </w:hyperlink>
      <w:r w:rsidRPr="00941395">
        <w:rPr>
          <w:lang w:val="en-IE"/>
        </w:rPr>
        <w:t xml:space="preserve">; Friends of the Earth, </w:t>
      </w:r>
      <w:r w:rsidRPr="00941395">
        <w:rPr>
          <w:i/>
          <w:lang w:val="en-IE"/>
        </w:rPr>
        <w:t>More Jobs, Less Waste: Potential for Job Creation Through Higher Rates of Recycling in the UK and EU,</w:t>
      </w:r>
      <w:r w:rsidRPr="00941395">
        <w:rPr>
          <w:lang w:val="en-IE"/>
        </w:rPr>
        <w:t xml:space="preserve"> 2010, </w:t>
      </w:r>
      <w:hyperlink r:id="rId23" w:history="1">
        <w:r w:rsidRPr="00941395">
          <w:rPr>
            <w:rStyle w:val="Hyperlink"/>
            <w:lang w:val="en-IE"/>
          </w:rPr>
          <w:t>https://www.foeeurope.org/sites/default/files/publications/foee_more_jobs_less_waste_0910.pdf</w:t>
        </w:r>
      </w:hyperlink>
      <w:r w:rsidRPr="00941395">
        <w:rPr>
          <w:lang w:val="en-IE"/>
        </w:rPr>
        <w:t>; Eunomia,  Development of a modelling tool on waste generation and management, Final Report for the European Commission DG Environment under Framework Contract No. ENV.C.2/FRA/2011/0020, 2014.</w:t>
      </w:r>
    </w:p>
  </w:footnote>
  <w:footnote w:id="48">
    <w:p w14:paraId="33E5574A" w14:textId="52223BCD" w:rsidR="00830770" w:rsidRPr="00941395" w:rsidRDefault="00830770" w:rsidP="009A796C">
      <w:pPr>
        <w:pStyle w:val="FootnoteText"/>
        <w:jc w:val="left"/>
        <w:rPr>
          <w:lang w:val="en-IE"/>
        </w:rPr>
      </w:pPr>
      <w:r w:rsidRPr="00941395">
        <w:rPr>
          <w:rStyle w:val="FootnoteReference"/>
          <w:lang w:val="en-IE"/>
        </w:rPr>
        <w:footnoteRef/>
      </w:r>
      <w:r w:rsidRPr="00941395">
        <w:rPr>
          <w:lang w:val="en-IE"/>
        </w:rPr>
        <w:t xml:space="preserve"> European Environmental Bureau, </w:t>
      </w:r>
      <w:r w:rsidRPr="00941395">
        <w:rPr>
          <w:i/>
          <w:lang w:val="en-IE"/>
        </w:rPr>
        <w:t>Advancing resource efficiency in Europe</w:t>
      </w:r>
      <w:r w:rsidRPr="00941395">
        <w:rPr>
          <w:lang w:val="en-IE"/>
        </w:rPr>
        <w:t>, 2014.</w:t>
      </w:r>
    </w:p>
  </w:footnote>
  <w:footnote w:id="49">
    <w:p w14:paraId="572128E4" w14:textId="0BC642E8" w:rsidR="00830770" w:rsidRPr="00941395" w:rsidRDefault="00830770" w:rsidP="009A796C">
      <w:pPr>
        <w:pStyle w:val="FootnoteText"/>
        <w:jc w:val="left"/>
        <w:rPr>
          <w:lang w:val="en-IE"/>
        </w:rPr>
      </w:pPr>
      <w:r w:rsidRPr="00941395">
        <w:rPr>
          <w:rStyle w:val="FootnoteReference"/>
          <w:lang w:val="en-IE"/>
        </w:rPr>
        <w:footnoteRef/>
      </w:r>
      <w:r w:rsidRPr="00941395">
        <w:rPr>
          <w:lang w:val="en-IE"/>
        </w:rPr>
        <w:t xml:space="preserve"> SWD(2022) 541 final</w:t>
      </w:r>
    </w:p>
  </w:footnote>
  <w:footnote w:id="50">
    <w:p w14:paraId="0D5A5882" w14:textId="23DB7900" w:rsidR="00830770" w:rsidRPr="00941395" w:rsidRDefault="00830770" w:rsidP="009A796C">
      <w:pPr>
        <w:pStyle w:val="FootnoteText"/>
        <w:jc w:val="left"/>
        <w:rPr>
          <w:lang w:val="en-IE"/>
        </w:rPr>
      </w:pPr>
      <w:r w:rsidRPr="00941395">
        <w:rPr>
          <w:rStyle w:val="FootnoteReference"/>
          <w:lang w:val="en-IE"/>
        </w:rPr>
        <w:footnoteRef/>
      </w:r>
      <w:r w:rsidRPr="00941395">
        <w:rPr>
          <w:lang w:val="en-IE"/>
        </w:rPr>
        <w:t xml:space="preserve"> COM(2022) 531 final</w:t>
      </w:r>
    </w:p>
  </w:footnote>
  <w:footnote w:id="51">
    <w:p w14:paraId="335491FA" w14:textId="3D92C4D1" w:rsidR="00830770" w:rsidRPr="00941395" w:rsidRDefault="00830770" w:rsidP="009A796C">
      <w:pPr>
        <w:pStyle w:val="FootnoteText"/>
        <w:jc w:val="left"/>
        <w:rPr>
          <w:lang w:val="en-IE"/>
        </w:rPr>
      </w:pPr>
      <w:r w:rsidRPr="00941395">
        <w:rPr>
          <w:rStyle w:val="FootnoteReference"/>
          <w:lang w:val="en-IE"/>
        </w:rPr>
        <w:footnoteRef/>
      </w:r>
      <w:r w:rsidRPr="00941395">
        <w:rPr>
          <w:lang w:val="en-IE"/>
        </w:rPr>
        <w:t xml:space="preserve"> Norion consult for EuRIC, LCA-based assessment of the management of European used textiles, 2023.  </w:t>
      </w:r>
    </w:p>
  </w:footnote>
  <w:footnote w:id="52">
    <w:p w14:paraId="290E5E72" w14:textId="6FE89F47" w:rsidR="00830770" w:rsidRPr="00941395" w:rsidRDefault="00830770" w:rsidP="009A796C">
      <w:pPr>
        <w:pStyle w:val="FootnoteText"/>
        <w:jc w:val="left"/>
        <w:rPr>
          <w:lang w:val="en-IE"/>
        </w:rPr>
      </w:pPr>
      <w:r w:rsidRPr="00941395">
        <w:rPr>
          <w:rStyle w:val="FootnoteReference"/>
          <w:lang w:val="en-IE"/>
        </w:rPr>
        <w:footnoteRef/>
      </w:r>
      <w:r w:rsidRPr="00941395">
        <w:rPr>
          <w:lang w:val="en-IE"/>
        </w:rPr>
        <w:t xml:space="preserve"> The EuRIC study provides values in relation to mechanical recycling (taken as open loop in the context of the calculations for this study) and chemical recycling (taken as closed loop in the context of the calculations for this study.  Where more than one value was provided an average was applied.</w:t>
      </w:r>
    </w:p>
  </w:footnote>
  <w:footnote w:id="53">
    <w:p w14:paraId="58895EE9" w14:textId="77777777" w:rsidR="005C765D" w:rsidRPr="005C765D" w:rsidRDefault="005C765D" w:rsidP="005C765D">
      <w:pPr>
        <w:pStyle w:val="FootnoteText"/>
      </w:pPr>
      <w:r>
        <w:rPr>
          <w:rStyle w:val="FootnoteReference"/>
        </w:rPr>
        <w:footnoteRef/>
      </w:r>
      <w:r>
        <w:t xml:space="preserve"> </w:t>
      </w:r>
      <w:r w:rsidRPr="005C765D">
        <w:t xml:space="preserve">This assessment is based on: De Jong B, Boysen-Urban K, De Laurentiis V, Philippidis G, Bartelings  H, Mancini L, Biganzoli F, Sanyé Mengual E, Sala S, Lasarte-López J, Rokicki B, M’barek R. </w:t>
      </w:r>
      <w:r w:rsidRPr="005C765D">
        <w:rPr>
          <w:i/>
        </w:rPr>
        <w:t xml:space="preserve">Assessing the economic, social and environmental impacts of food waste reduction targets. A model-based analysis. </w:t>
      </w:r>
      <w:r w:rsidRPr="005C765D">
        <w:t>Publications Office of the European Union, Luxembourg, 2023, doi:10.2760/77251, JRC133971.</w:t>
      </w:r>
    </w:p>
    <w:p w14:paraId="1DBBA9A1" w14:textId="6F061397" w:rsidR="005C765D" w:rsidRDefault="005C765D">
      <w:pPr>
        <w:pStyle w:val="FootnoteText"/>
      </w:pPr>
    </w:p>
  </w:footnote>
  <w:footnote w:id="54">
    <w:p w14:paraId="70E8C9A6" w14:textId="04A83B25" w:rsidR="00830770" w:rsidRPr="00941395" w:rsidRDefault="00830770">
      <w:pPr>
        <w:pStyle w:val="FootnoteText"/>
        <w:rPr>
          <w:lang w:val="en-IE"/>
        </w:rPr>
      </w:pPr>
      <w:r w:rsidRPr="00941395">
        <w:rPr>
          <w:rStyle w:val="FootnoteReference"/>
          <w:lang w:val="en-IE"/>
        </w:rPr>
        <w:footnoteRef/>
      </w:r>
      <w:r w:rsidRPr="00941395">
        <w:rPr>
          <w:lang w:val="en-IE"/>
        </w:rPr>
        <w:t xml:space="preserve"> </w:t>
      </w:r>
      <w:r w:rsidRPr="00941395">
        <w:rPr>
          <w:rFonts w:eastAsia="Times New Roman"/>
          <w:lang w:val="en-IE"/>
        </w:rPr>
        <w:t xml:space="preserve">European Commission, Directorate-General for Research and Innovation, </w:t>
      </w:r>
      <w:r w:rsidRPr="00941395">
        <w:rPr>
          <w:rFonts w:eastAsia="Times New Roman"/>
          <w:i/>
          <w:iCs/>
          <w:lang w:val="en-IE"/>
        </w:rPr>
        <w:t>A sustainable bioeconomy for Europe: strengthening the connection between economy, society and the environment: updated bioeconomy strategy</w:t>
      </w:r>
      <w:r w:rsidRPr="00941395">
        <w:rPr>
          <w:rFonts w:eastAsia="Times New Roman"/>
          <w:lang w:val="en-IE"/>
        </w:rPr>
        <w:t>, Publications Office, 2018,</w:t>
      </w:r>
      <w:r w:rsidRPr="00941395">
        <w:rPr>
          <w:rFonts w:eastAsia="Times New Roman"/>
          <w:color w:val="666666"/>
          <w:lang w:val="en-IE"/>
        </w:rPr>
        <w:t xml:space="preserve"> </w:t>
      </w:r>
      <w:hyperlink r:id="rId24">
        <w:r w:rsidRPr="00941395">
          <w:rPr>
            <w:rStyle w:val="Hyperlink"/>
            <w:lang w:val="en-IE"/>
          </w:rPr>
          <w:t>A sustainable bioeconomy for Europe - Publications Office of the EU (europa.eu).</w:t>
        </w:r>
      </w:hyperlink>
    </w:p>
  </w:footnote>
  <w:footnote w:id="55">
    <w:p w14:paraId="07D8E671" w14:textId="78B926D7" w:rsidR="00830770" w:rsidRPr="00941395" w:rsidRDefault="00830770">
      <w:pPr>
        <w:pStyle w:val="FootnoteText"/>
        <w:rPr>
          <w:lang w:val="en-IE"/>
        </w:rPr>
      </w:pPr>
      <w:r w:rsidRPr="00941395">
        <w:rPr>
          <w:rStyle w:val="FootnoteReference"/>
          <w:lang w:val="en-IE"/>
        </w:rPr>
        <w:footnoteRef/>
      </w:r>
      <w:r w:rsidRPr="00941395">
        <w:rPr>
          <w:lang w:val="en-IE"/>
        </w:rPr>
        <w:t xml:space="preserve"> Amadei, A.M., De Laurentiis, V. and Sala, S., 2021. A review of monetary valuation in life cycle assessment: State of the art and future needs. Journal of Cleaner Production, 329, p.129668.</w:t>
      </w:r>
    </w:p>
  </w:footnote>
  <w:footnote w:id="56">
    <w:p w14:paraId="46522B4D" w14:textId="524E3A3F" w:rsidR="00830770" w:rsidRPr="00941395" w:rsidRDefault="00830770">
      <w:pPr>
        <w:pStyle w:val="FootnoteText"/>
        <w:rPr>
          <w:lang w:val="en-IE"/>
        </w:rPr>
      </w:pPr>
      <w:r w:rsidRPr="00941395">
        <w:rPr>
          <w:rStyle w:val="FootnoteReference"/>
          <w:lang w:val="en-IE"/>
        </w:rPr>
        <w:footnoteRef/>
      </w:r>
      <w:r w:rsidRPr="00941395">
        <w:rPr>
          <w:lang w:val="en-IE"/>
        </w:rPr>
        <w:t xml:space="preserve"> European Commission, Climate Action, 2030 Climate Target Plan, https://climate.ec.europa.eu/eu-action/european-green-deal/2030-climate-target-plan_en.</w:t>
      </w:r>
    </w:p>
  </w:footnote>
  <w:footnote w:id="57">
    <w:p w14:paraId="5448584C" w14:textId="35FCBDA3" w:rsidR="00830770" w:rsidRPr="00941395" w:rsidRDefault="00830770">
      <w:pPr>
        <w:pStyle w:val="FootnoteText"/>
        <w:rPr>
          <w:lang w:val="en-IE"/>
        </w:rPr>
      </w:pPr>
      <w:r w:rsidRPr="00941395">
        <w:rPr>
          <w:rStyle w:val="FootnoteReference"/>
          <w:lang w:val="en-IE"/>
        </w:rPr>
        <w:footnoteRef/>
      </w:r>
      <w:r w:rsidRPr="00941395">
        <w:rPr>
          <w:lang w:val="en-IE"/>
        </w:rPr>
        <w:t xml:space="preserve"> European Commission, All Environment Publications, Proposal for Ecodesign for Sustainable Products Regulation https://environment.ec.europa.eu/publications/proposal-ecodesign-sustainable-products-regulation_en.</w:t>
      </w:r>
    </w:p>
  </w:footnote>
  <w:footnote w:id="58">
    <w:p w14:paraId="49EFABD0" w14:textId="0E6BB928" w:rsidR="00830770" w:rsidRPr="00941395" w:rsidRDefault="00830770">
      <w:pPr>
        <w:pStyle w:val="FootnoteText"/>
        <w:rPr>
          <w:lang w:val="en-IE"/>
        </w:rPr>
      </w:pPr>
      <w:r w:rsidRPr="00941395">
        <w:rPr>
          <w:rStyle w:val="FootnoteReference"/>
          <w:lang w:val="en-IE"/>
        </w:rPr>
        <w:footnoteRef/>
      </w:r>
      <w:r w:rsidRPr="00941395">
        <w:rPr>
          <w:lang w:val="en-IE"/>
        </w:rPr>
        <w:t xml:space="preserve"> European Commission, Food safety, Farm to Fork strategy, Legislative framework for sustainable food systems, https://food.ec.europa.eu/horizontal-topics/farm-fork-strategy/legislative-framework_en.</w:t>
      </w:r>
    </w:p>
  </w:footnote>
  <w:footnote w:id="59">
    <w:p w14:paraId="00E91EA9" w14:textId="5C1A84AE" w:rsidR="00830770" w:rsidRPr="00941395" w:rsidRDefault="00830770">
      <w:pPr>
        <w:pStyle w:val="FootnoteText"/>
        <w:rPr>
          <w:lang w:val="en-IE"/>
        </w:rPr>
      </w:pPr>
      <w:r w:rsidRPr="00941395">
        <w:rPr>
          <w:rStyle w:val="FootnoteReference"/>
          <w:lang w:val="en-IE"/>
        </w:rPr>
        <w:footnoteRef/>
      </w:r>
      <w:r w:rsidRPr="00941395">
        <w:rPr>
          <w:lang w:val="en-IE"/>
        </w:rPr>
        <w:t xml:space="preserve"> European Commission, 2020 Strategic Foresight Report, Resilience Dashboards, https://commission.europa.eu/strategy-and-policy/strategic-planning/strategic-foresight/2020-strategic-foresight-report/resilience-dashboards_en.</w:t>
      </w:r>
    </w:p>
  </w:footnote>
  <w:footnote w:id="60">
    <w:p w14:paraId="4D0E9B92" w14:textId="6BD6A886" w:rsidR="00830770" w:rsidRPr="00941395" w:rsidRDefault="00830770">
      <w:pPr>
        <w:pStyle w:val="FootnoteText"/>
        <w:rPr>
          <w:lang w:val="en-IE"/>
        </w:rPr>
      </w:pPr>
      <w:r w:rsidRPr="00941395">
        <w:rPr>
          <w:rStyle w:val="FootnoteReference"/>
          <w:lang w:val="en-IE"/>
        </w:rPr>
        <w:footnoteRef/>
      </w:r>
      <w:r w:rsidRPr="00941395">
        <w:rPr>
          <w:lang w:val="en-IE"/>
        </w:rPr>
        <w:t xml:space="preserve"> </w:t>
      </w:r>
      <w:r w:rsidRPr="00150E81">
        <w:rPr>
          <w:lang w:val="en-IE"/>
        </w:rPr>
        <w:t>Decision (EU) 2022/591 of the European Parliament and of the Council of 6 April 2022 on a General Union Environment Action Programme to 2030</w:t>
      </w:r>
      <w:r w:rsidRPr="00941395">
        <w:rPr>
          <w:lang w:val="en-IE"/>
        </w:rPr>
        <w:t xml:space="preserve"> </w:t>
      </w:r>
      <w:r w:rsidRPr="00941395">
        <w:rPr>
          <w:i/>
          <w:lang w:val="en-IE"/>
        </w:rPr>
        <w:t>(OJ L 114, 12.4.2022, p. 22–36)</w:t>
      </w:r>
      <w:r w:rsidRPr="00855892">
        <w:rPr>
          <w:i/>
          <w:lang w:val="en-IE"/>
        </w:rPr>
        <w:t>,</w:t>
      </w:r>
      <w:r w:rsidRPr="00150E81">
        <w:rPr>
          <w:lang w:val="en-IE"/>
        </w:rPr>
        <w:t xml:space="preserve"> </w:t>
      </w:r>
      <w:hyperlink r:id="rId25">
        <w:r w:rsidRPr="00150E81">
          <w:rPr>
            <w:rStyle w:val="Hyperlink"/>
            <w:rFonts w:eastAsia="Times New Roman"/>
            <w:lang w:val="en-IE"/>
          </w:rPr>
          <w:t>EUR-Lex - 32022D0591 - EN - EUR-Lex (europa.eu).</w:t>
        </w:r>
      </w:hyperlink>
    </w:p>
  </w:footnote>
  <w:footnote w:id="61">
    <w:p w14:paraId="339C5FDC" w14:textId="1F88638F" w:rsidR="00830770" w:rsidRPr="00941395" w:rsidRDefault="00830770">
      <w:pPr>
        <w:pStyle w:val="FootnoteText"/>
        <w:rPr>
          <w:lang w:val="en-IE"/>
        </w:rPr>
      </w:pPr>
      <w:r w:rsidRPr="00941395">
        <w:rPr>
          <w:rStyle w:val="FootnoteReference"/>
          <w:lang w:val="en-IE"/>
        </w:rPr>
        <w:footnoteRef/>
      </w:r>
      <w:r w:rsidRPr="00941395">
        <w:rPr>
          <w:lang w:val="en-IE"/>
        </w:rPr>
        <w:t xml:space="preserve"> </w:t>
      </w:r>
      <w:r w:rsidRPr="00577882">
        <w:rPr>
          <w:lang w:val="en-IE"/>
        </w:rPr>
        <w:t>Communication from the Commission to the European Parliament, the Council, the European Economic and Social Committee and the Committee of the Regions 11.03.2020 A new Circular Economy Action Plan For a cleaner and more competitive Europe, COM(2020) 98 final, EUR-Lex - 52020DC0098 - EN - EUR-Lex (europa.eu).</w:t>
      </w:r>
    </w:p>
  </w:footnote>
  <w:footnote w:id="62">
    <w:p w14:paraId="17FBC141" w14:textId="1FDFA396" w:rsidR="00830770" w:rsidRPr="00941395" w:rsidRDefault="00830770" w:rsidP="00FE78C4">
      <w:pPr>
        <w:pStyle w:val="FootnoteText"/>
        <w:rPr>
          <w:lang w:val="en-IE"/>
        </w:rPr>
      </w:pPr>
      <w:r w:rsidRPr="00941395">
        <w:rPr>
          <w:rStyle w:val="FootnoteReference"/>
          <w:lang w:val="en-IE"/>
        </w:rPr>
        <w:footnoteRef/>
      </w:r>
      <w:r w:rsidRPr="00941395">
        <w:rPr>
          <w:lang w:val="en-IE"/>
        </w:rPr>
        <w:t xml:space="preserve"> OECD, </w:t>
      </w:r>
      <w:r w:rsidRPr="00941395">
        <w:rPr>
          <w:i/>
          <w:lang w:val="en-IE"/>
        </w:rPr>
        <w:t>Understanding the Spillovers and Transboundary Impacts of Public Policies, Implementing the 2030 Agenda for More Resilient Societies,</w:t>
      </w:r>
      <w:r w:rsidRPr="00941395">
        <w:rPr>
          <w:lang w:val="en-IE"/>
        </w:rPr>
        <w:t xml:space="preserve"> 2021, https://www.oecd.org/gov/pcsd/understanding-the-spillovers-and-transboundary-impacts-of-public-policies-862c0db7-en.htm.</w:t>
      </w:r>
    </w:p>
  </w:footnote>
  <w:footnote w:id="63">
    <w:p w14:paraId="627C0AE7" w14:textId="6E26311C" w:rsidR="00830770" w:rsidRPr="00941395" w:rsidRDefault="00830770">
      <w:pPr>
        <w:pStyle w:val="FootnoteText"/>
        <w:rPr>
          <w:lang w:val="en-IE"/>
        </w:rPr>
      </w:pPr>
      <w:r w:rsidRPr="00941395">
        <w:rPr>
          <w:rStyle w:val="FootnoteReference"/>
          <w:lang w:val="en-IE"/>
        </w:rPr>
        <w:footnoteRef/>
      </w:r>
      <w:r w:rsidRPr="00941395">
        <w:rPr>
          <w:lang w:val="en-IE"/>
        </w:rPr>
        <w:t xml:space="preserve"> Communication from the Commission to the European Parliament, the Council, the European Economic and Social Committee and the Committee of the Regions Closing the loop - An EU action plan for the Circular Economy, COM(2015) 614 final, </w:t>
      </w:r>
      <w:hyperlink r:id="rId26" w:history="1">
        <w:r w:rsidRPr="00941395">
          <w:rPr>
            <w:rStyle w:val="Hyperlink"/>
            <w:lang w:val="en-IE"/>
          </w:rPr>
          <w:t>EUR-Lex - 52015DC0614 - EN - EUR-Lex (europa.eu)</w:t>
        </w:r>
      </w:hyperlink>
      <w:r w:rsidRPr="00941395">
        <w:rPr>
          <w:rStyle w:val="Hyperlink"/>
          <w:lang w:val="en-IE"/>
        </w:rPr>
        <w:t>.</w:t>
      </w:r>
    </w:p>
  </w:footnote>
  <w:footnote w:id="64">
    <w:p w14:paraId="03027BC2" w14:textId="5AD13466" w:rsidR="00830770" w:rsidRPr="00941395" w:rsidRDefault="00830770" w:rsidP="005C77CE">
      <w:pPr>
        <w:spacing w:after="0"/>
        <w:jc w:val="left"/>
        <w:rPr>
          <w:rFonts w:eastAsia="Times New Roman"/>
          <w:sz w:val="20"/>
          <w:szCs w:val="20"/>
          <w:lang w:val="en-IE"/>
        </w:rPr>
      </w:pPr>
      <w:r w:rsidRPr="00941395">
        <w:rPr>
          <w:sz w:val="20"/>
          <w:szCs w:val="20"/>
          <w:vertAlign w:val="superscript"/>
          <w:lang w:val="en-IE"/>
        </w:rPr>
        <w:footnoteRef/>
      </w:r>
      <w:r w:rsidRPr="00941395">
        <w:rPr>
          <w:sz w:val="20"/>
          <w:szCs w:val="20"/>
          <w:lang w:val="en-IE"/>
        </w:rPr>
        <w:t xml:space="preserve"> Communication from the Commission A New Industrial Strategy for Europe, 2020, COM(2020) 102 final, </w:t>
      </w:r>
      <w:r w:rsidRPr="00941395">
        <w:rPr>
          <w:rStyle w:val="Hyperlink"/>
          <w:rFonts w:eastAsia="Times New Roman"/>
          <w:sz w:val="20"/>
          <w:szCs w:val="20"/>
          <w:lang w:val="en-IE"/>
        </w:rPr>
        <w:t>EUR-Lex - 52020DC0102 - EN - EUR-Lex (europa.eu).</w:t>
      </w:r>
    </w:p>
  </w:footnote>
  <w:footnote w:id="65">
    <w:p w14:paraId="7F5078CC" w14:textId="793897F8" w:rsidR="00830770" w:rsidRPr="00941395" w:rsidRDefault="00830770" w:rsidP="005C77CE">
      <w:pPr>
        <w:pStyle w:val="FootnoteText"/>
        <w:jc w:val="left"/>
        <w:rPr>
          <w:color w:val="2B579A"/>
          <w:shd w:val="clear" w:color="auto" w:fill="E6E6E6"/>
          <w:lang w:val="en-IE"/>
        </w:rPr>
      </w:pPr>
      <w:r w:rsidRPr="00941395">
        <w:rPr>
          <w:rStyle w:val="FootnoteReference"/>
          <w:lang w:val="en-IE"/>
        </w:rPr>
        <w:footnoteRef/>
      </w:r>
      <w:r w:rsidRPr="00941395">
        <w:rPr>
          <w:color w:val="2B579A"/>
          <w:lang w:val="en-IE"/>
        </w:rPr>
        <w:t xml:space="preserve"> </w:t>
      </w:r>
      <w:r w:rsidRPr="00941395">
        <w:rPr>
          <w:lang w:val="en-IE"/>
        </w:rPr>
        <w:t xml:space="preserve">European Commission, A Europe fit for the digital age, European industrial strategy, </w:t>
      </w:r>
      <w:hyperlink r:id="rId27" w:history="1">
        <w:r w:rsidRPr="00941395">
          <w:rPr>
            <w:rStyle w:val="Hyperlink"/>
            <w:lang w:val="en-IE"/>
          </w:rPr>
          <w:t>European industrial strategy | European Commission (europa.eu)</w:t>
        </w:r>
      </w:hyperlink>
      <w:r w:rsidRPr="00941395">
        <w:rPr>
          <w:rStyle w:val="Hyperlink"/>
          <w:lang w:val="en-IE"/>
        </w:rPr>
        <w:t>.</w:t>
      </w:r>
    </w:p>
  </w:footnote>
  <w:footnote w:id="66">
    <w:p w14:paraId="43892BC1" w14:textId="3CA51088" w:rsidR="00830770" w:rsidRPr="00941395" w:rsidRDefault="00830770">
      <w:pPr>
        <w:pStyle w:val="FootnoteText"/>
        <w:rPr>
          <w:lang w:val="en-IE"/>
        </w:rPr>
      </w:pPr>
      <w:r w:rsidRPr="00941395">
        <w:rPr>
          <w:rStyle w:val="FootnoteReference"/>
          <w:lang w:val="en-IE"/>
        </w:rPr>
        <w:footnoteRef/>
      </w:r>
      <w:r w:rsidRPr="00941395">
        <w:rPr>
          <w:lang w:val="en-IE"/>
        </w:rPr>
        <w:t xml:space="preserve"> 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w:t>
      </w:r>
      <w:r w:rsidRPr="00941395">
        <w:rPr>
          <w:i/>
          <w:lang w:val="en-IE"/>
        </w:rPr>
        <w:t>(OJ L 396, 30.12.2006, p. 1–849),</w:t>
      </w:r>
      <w:r w:rsidRPr="00941395">
        <w:rPr>
          <w:lang w:val="en-IE"/>
        </w:rPr>
        <w:t xml:space="preserve"> </w:t>
      </w:r>
      <w:hyperlink r:id="rId28" w:history="1">
        <w:r w:rsidRPr="00941395">
          <w:rPr>
            <w:rStyle w:val="Hyperlink"/>
            <w:lang w:val="en-IE"/>
          </w:rPr>
          <w:t>EUR-Lex - 32006R1907 - EN - EUR-Lex (europa.eu)</w:t>
        </w:r>
      </w:hyperlink>
      <w:r w:rsidRPr="00941395">
        <w:rPr>
          <w:rStyle w:val="Hyperlink"/>
          <w:lang w:val="en-IE"/>
        </w:rPr>
        <w:t>.</w:t>
      </w:r>
    </w:p>
  </w:footnote>
  <w:footnote w:id="67">
    <w:p w14:paraId="328D8B72" w14:textId="7BDD6CC1" w:rsidR="00830770" w:rsidRPr="00941395" w:rsidRDefault="00830770">
      <w:pPr>
        <w:pStyle w:val="FootnoteText"/>
        <w:rPr>
          <w:lang w:val="en-IE"/>
        </w:rPr>
      </w:pPr>
      <w:r w:rsidRPr="00941395">
        <w:rPr>
          <w:rStyle w:val="FootnoteReference"/>
          <w:lang w:val="en-IE"/>
        </w:rPr>
        <w:footnoteRef/>
      </w:r>
      <w:r w:rsidRPr="00941395">
        <w:rPr>
          <w:lang w:val="en-IE"/>
        </w:rPr>
        <w:t xml:space="preserve"> Regulation (EC) No 1272/2008 of the European Parliament and of the Council of 16 December 2008 on classification, labelling and packaging of substances and mixtures, amending and repealing Directives 67/548/EEC and 1999/45/EC, and amending Regulation (EC) No 1907/2006 </w:t>
      </w:r>
      <w:r w:rsidRPr="00941395">
        <w:rPr>
          <w:i/>
          <w:lang w:val="en-IE"/>
        </w:rPr>
        <w:t>(OJ L 353, 31.12.2008, p. 1–1355),</w:t>
      </w:r>
      <w:r w:rsidRPr="00941395">
        <w:rPr>
          <w:lang w:val="en-IE"/>
        </w:rPr>
        <w:t xml:space="preserve"> </w:t>
      </w:r>
      <w:hyperlink r:id="rId29" w:history="1">
        <w:r w:rsidRPr="00941395">
          <w:rPr>
            <w:rStyle w:val="Hyperlink"/>
            <w:lang w:val="en-IE"/>
          </w:rPr>
          <w:t>EUR-Lex - 32008R1272 - EN - EUR-Lex (europa.eu)</w:t>
        </w:r>
      </w:hyperlink>
    </w:p>
  </w:footnote>
  <w:footnote w:id="68">
    <w:p w14:paraId="65A6075D" w14:textId="797F69F7" w:rsidR="00830770" w:rsidRPr="00941395" w:rsidRDefault="00830770">
      <w:pPr>
        <w:pStyle w:val="FootnoteText"/>
        <w:rPr>
          <w:lang w:val="en-IE"/>
        </w:rPr>
      </w:pPr>
      <w:r w:rsidRPr="00941395">
        <w:rPr>
          <w:rStyle w:val="FootnoteReference"/>
          <w:lang w:val="en-IE"/>
        </w:rPr>
        <w:footnoteRef/>
      </w:r>
      <w:r w:rsidRPr="00941395">
        <w:rPr>
          <w:lang w:val="en-IE"/>
        </w:rPr>
        <w:t xml:space="preserve"> Carcinogenic, mutagenic, toxic for reproduction.</w:t>
      </w:r>
    </w:p>
  </w:footnote>
  <w:footnote w:id="69">
    <w:p w14:paraId="772D5249" w14:textId="6CD0A310" w:rsidR="00830770" w:rsidRPr="00941395" w:rsidRDefault="00830770">
      <w:pPr>
        <w:pStyle w:val="FootnoteText"/>
        <w:rPr>
          <w:lang w:val="en-IE"/>
        </w:rPr>
      </w:pPr>
      <w:r w:rsidRPr="00941395">
        <w:rPr>
          <w:rStyle w:val="FootnoteReference"/>
          <w:lang w:val="en-IE"/>
        </w:rPr>
        <w:footnoteRef/>
      </w:r>
      <w:r w:rsidRPr="00941395">
        <w:rPr>
          <w:lang w:val="en-IE"/>
        </w:rPr>
        <w:t xml:space="preserve"> ECHA, Registry of restriction intentions until outcome, </w:t>
      </w:r>
      <w:hyperlink r:id="rId30" w:history="1">
        <w:r w:rsidRPr="00941395">
          <w:rPr>
            <w:rStyle w:val="Hyperlink"/>
            <w:lang w:val="en-IE"/>
          </w:rPr>
          <w:t>https://echa.europa.eu/registry-of-restriction-intentions/-/dislist/details/0b0236e182446136</w:t>
        </w:r>
      </w:hyperlink>
      <w:r w:rsidRPr="00941395">
        <w:rPr>
          <w:rStyle w:val="Hyperlink"/>
          <w:lang w:val="en-IE"/>
        </w:rPr>
        <w:t>.</w:t>
      </w:r>
    </w:p>
  </w:footnote>
  <w:footnote w:id="70">
    <w:p w14:paraId="34920D39" w14:textId="27CDDF28" w:rsidR="00830770" w:rsidRPr="00941395" w:rsidRDefault="00830770" w:rsidP="00AB0BD8">
      <w:pPr>
        <w:pStyle w:val="FootnoteText"/>
        <w:rPr>
          <w:lang w:val="en-IE"/>
        </w:rPr>
      </w:pPr>
      <w:r w:rsidRPr="00941395">
        <w:rPr>
          <w:rStyle w:val="FootnoteReference"/>
          <w:lang w:val="en-IE"/>
        </w:rPr>
        <w:footnoteRef/>
      </w:r>
      <w:r w:rsidRPr="00941395">
        <w:rPr>
          <w:lang w:val="en-IE"/>
        </w:rPr>
        <w:t xml:space="preserve"> Regulation (EU) 2019/1021 of the European Parliament and of the Council of 20 June 2019 on persistent organic pollutants (recast) (</w:t>
      </w:r>
      <w:r w:rsidRPr="00941395">
        <w:rPr>
          <w:i/>
          <w:lang w:val="en-IE"/>
        </w:rPr>
        <w:t>OJ L 169, 25.6.2019, p. 45–77</w:t>
      </w:r>
      <w:r w:rsidRPr="00941395">
        <w:rPr>
          <w:lang w:val="en-IE"/>
        </w:rPr>
        <w:t xml:space="preserve">), </w:t>
      </w:r>
      <w:hyperlink r:id="rId31" w:history="1">
        <w:r w:rsidRPr="00941395">
          <w:rPr>
            <w:rStyle w:val="Hyperlink"/>
            <w:lang w:val="en-IE"/>
          </w:rPr>
          <w:t>Regulation (EU) 2019/1021 of the European Parliament and of ... - EUR-Lex (europa.eu)</w:t>
        </w:r>
      </w:hyperlink>
      <w:r w:rsidRPr="00941395">
        <w:rPr>
          <w:rStyle w:val="Hyperlink"/>
          <w:lang w:val="en-IE"/>
        </w:rPr>
        <w:t>.</w:t>
      </w:r>
    </w:p>
  </w:footnote>
  <w:footnote w:id="71">
    <w:p w14:paraId="2DACCFF2" w14:textId="14E23586" w:rsidR="00830770" w:rsidRPr="00941395" w:rsidRDefault="00830770">
      <w:pPr>
        <w:pStyle w:val="FootnoteText"/>
        <w:rPr>
          <w:lang w:val="en-IE"/>
        </w:rPr>
      </w:pPr>
      <w:r w:rsidRPr="00941395">
        <w:rPr>
          <w:rStyle w:val="FootnoteReference"/>
          <w:lang w:val="en-IE"/>
        </w:rPr>
        <w:footnoteRef/>
      </w:r>
      <w:r w:rsidRPr="00941395">
        <w:rPr>
          <w:lang w:val="en-IE"/>
        </w:rPr>
        <w:t xml:space="preserve"> Regulation (EU) 2022/2400 of the European Parliament and of the Council of 23 November 2022 amending Annexes IV and V to Regulation (EU) 2019/1021 on persistent organic pollutants </w:t>
      </w:r>
      <w:r w:rsidRPr="00941395">
        <w:rPr>
          <w:i/>
          <w:lang w:val="en-IE"/>
        </w:rPr>
        <w:t>(OJ L 317, 9.12.2022, p. 24–31)</w:t>
      </w:r>
      <w:r w:rsidRPr="00941395">
        <w:rPr>
          <w:lang w:val="en-IE"/>
        </w:rPr>
        <w:t xml:space="preserve">, </w:t>
      </w:r>
      <w:hyperlink r:id="rId32" w:history="1">
        <w:r w:rsidRPr="00941395">
          <w:rPr>
            <w:rStyle w:val="Hyperlink"/>
            <w:lang w:val="en-IE"/>
          </w:rPr>
          <w:t>EUR-Lex - 32022R2400 - EN - EUR-Lex (europa.eu)</w:t>
        </w:r>
      </w:hyperlink>
      <w:r w:rsidRPr="00941395">
        <w:rPr>
          <w:rStyle w:val="Hyperlink"/>
          <w:lang w:val="en-IE"/>
        </w:rPr>
        <w:t>.</w:t>
      </w:r>
    </w:p>
  </w:footnote>
  <w:footnote w:id="72">
    <w:p w14:paraId="7CF6B320" w14:textId="7AC31432" w:rsidR="00830770" w:rsidRPr="00140AC6" w:rsidRDefault="00830770">
      <w:pPr>
        <w:pStyle w:val="FootnoteText"/>
        <w:rPr>
          <w:lang w:val="en-IE"/>
        </w:rPr>
      </w:pPr>
      <w:r w:rsidRPr="00941395">
        <w:rPr>
          <w:rStyle w:val="FootnoteReference"/>
          <w:lang w:val="en-IE"/>
        </w:rPr>
        <w:footnoteRef/>
      </w:r>
      <w:r w:rsidRPr="00941395">
        <w:rPr>
          <w:lang w:val="en-IE"/>
        </w:rPr>
        <w:t xml:space="preserve"> </w:t>
      </w:r>
      <w:hyperlink r:id="rId33" w:history="1">
        <w:r w:rsidRPr="00941395">
          <w:rPr>
            <w:rStyle w:val="Hyperlink"/>
            <w:lang w:val="en-IE"/>
          </w:rPr>
          <w:t>Extended producer responsibility - OECD</w:t>
        </w:r>
      </w:hyperlink>
    </w:p>
  </w:footnote>
  <w:footnote w:id="73">
    <w:p w14:paraId="11CB367B" w14:textId="3DD4DF4C" w:rsidR="00830770" w:rsidRPr="005C77CE" w:rsidRDefault="00830770" w:rsidP="00C47840">
      <w:pPr>
        <w:pStyle w:val="FootnoteText"/>
        <w:jc w:val="left"/>
        <w:rPr>
          <w:lang w:val="en-IE"/>
        </w:rPr>
      </w:pPr>
      <w:r w:rsidRPr="00941395">
        <w:rPr>
          <w:rStyle w:val="FootnoteReference"/>
          <w:lang w:val="en-IE"/>
        </w:rPr>
        <w:footnoteRef/>
      </w:r>
      <w:r w:rsidRPr="005C77CE">
        <w:rPr>
          <w:lang w:val="en-IE"/>
        </w:rPr>
        <w:t xml:space="preserve"> Regulation (EC) No 2150/2002 of the European Parliament and of the Council of 25 November 2002 on waste statistics</w:t>
      </w:r>
      <w:r w:rsidRPr="00941395">
        <w:rPr>
          <w:lang w:val="en-IE"/>
        </w:rPr>
        <w:t xml:space="preserve"> </w:t>
      </w:r>
      <w:r w:rsidRPr="00941395">
        <w:rPr>
          <w:i/>
          <w:lang w:val="en-IE"/>
        </w:rPr>
        <w:t>(OJ L 332, 9.12.2002, p. 1–36),</w:t>
      </w:r>
      <w:r w:rsidRPr="00941395">
        <w:rPr>
          <w:lang w:val="en-IE"/>
        </w:rPr>
        <w:t xml:space="preserve"> </w:t>
      </w:r>
      <w:hyperlink r:id="rId34" w:history="1">
        <w:r w:rsidRPr="00941395">
          <w:rPr>
            <w:rStyle w:val="Hyperlink"/>
            <w:lang w:val="en-IE"/>
          </w:rPr>
          <w:t>EUR-Lex - 32002R2150 - EN - EUR-Lex (europa.eu).</w:t>
        </w:r>
      </w:hyperlink>
    </w:p>
  </w:footnote>
  <w:footnote w:id="74">
    <w:p w14:paraId="12594E2F" w14:textId="5F185084" w:rsidR="00830770" w:rsidRPr="00941395" w:rsidRDefault="00830770" w:rsidP="005C77CE">
      <w:pPr>
        <w:pStyle w:val="FootnoteText"/>
        <w:jc w:val="left"/>
        <w:rPr>
          <w:lang w:val="en-IE"/>
        </w:rPr>
      </w:pPr>
      <w:r w:rsidRPr="00941395">
        <w:rPr>
          <w:rStyle w:val="FootnoteReference"/>
          <w:lang w:val="en-IE"/>
        </w:rPr>
        <w:footnoteRef/>
      </w:r>
      <w:r w:rsidRPr="00941395">
        <w:rPr>
          <w:lang w:val="en-IE"/>
        </w:rPr>
        <w:t xml:space="preserve"> OJ L 190, 12.7.2006, p.1.</w:t>
      </w:r>
    </w:p>
  </w:footnote>
  <w:footnote w:id="75">
    <w:p w14:paraId="35C936E6" w14:textId="77777777" w:rsidR="00830770" w:rsidRPr="00941395" w:rsidRDefault="00830770" w:rsidP="0061219A">
      <w:pPr>
        <w:pStyle w:val="FootnoteText"/>
        <w:jc w:val="left"/>
        <w:rPr>
          <w:lang w:val="en-IE"/>
        </w:rPr>
      </w:pPr>
      <w:r w:rsidRPr="00941395">
        <w:rPr>
          <w:rStyle w:val="FootnoteReference"/>
          <w:lang w:val="en-IE"/>
        </w:rPr>
        <w:footnoteRef/>
      </w:r>
      <w:r w:rsidRPr="00941395">
        <w:rPr>
          <w:lang w:val="en-IE"/>
        </w:rPr>
        <w:t xml:space="preserve"> 2000/532/EC: Commission Decision of 3 May 2000 replacing Decision 94/3/EC establishing a list of wastes pursuant to Article 1(a) of Council Directive 75/442/EEC on waste and Council Decision 94/904/EC establishing a list of hazardous waste pursuant to Article 1(4) of Council Directive 91/689/EEC on hazardous waste (notified under document number C(2000) 1147), </w:t>
      </w:r>
      <w:hyperlink r:id="rId35" w:history="1">
        <w:r w:rsidRPr="00941395">
          <w:rPr>
            <w:rStyle w:val="Hyperlink"/>
            <w:lang w:val="en-IE"/>
          </w:rPr>
          <w:t>EUR-Lex - 32000D0532 - EN - EUR-Lex (europa.eu).</w:t>
        </w:r>
      </w:hyperlink>
    </w:p>
  </w:footnote>
  <w:footnote w:id="76">
    <w:p w14:paraId="57E85881" w14:textId="77777777" w:rsidR="00830770" w:rsidRPr="00F97217" w:rsidRDefault="00830770" w:rsidP="00EF5F06">
      <w:pPr>
        <w:spacing w:after="0"/>
        <w:jc w:val="left"/>
        <w:rPr>
          <w:rFonts w:eastAsia="Times New Roman"/>
          <w:sz w:val="20"/>
          <w:szCs w:val="20"/>
          <w:lang w:val="fr-BE"/>
        </w:rPr>
      </w:pPr>
      <w:r w:rsidRPr="00941395">
        <w:rPr>
          <w:sz w:val="20"/>
          <w:szCs w:val="20"/>
          <w:vertAlign w:val="superscript"/>
          <w:lang w:val="en-IE"/>
        </w:rPr>
        <w:footnoteRef/>
      </w:r>
      <w:r w:rsidRPr="00F97217">
        <w:rPr>
          <w:sz w:val="20"/>
          <w:szCs w:val="20"/>
          <w:lang w:val="fr-BE"/>
        </w:rPr>
        <w:t xml:space="preserve"> </w:t>
      </w:r>
      <w:hyperlink r:id="rId36">
        <w:r w:rsidRPr="00F97217">
          <w:rPr>
            <w:rStyle w:val="Hyperlink"/>
            <w:rFonts w:eastAsia="Times New Roman"/>
            <w:sz w:val="20"/>
            <w:szCs w:val="20"/>
            <w:lang w:val="fr-BE"/>
          </w:rPr>
          <w:t>EUR-Lex - 32022D0591 - EN - EUR-Lex (europa.eu).</w:t>
        </w:r>
      </w:hyperlink>
    </w:p>
  </w:footnote>
  <w:footnote w:id="77">
    <w:p w14:paraId="0798334B" w14:textId="77777777" w:rsidR="00830770" w:rsidRPr="00F41448" w:rsidRDefault="00830770" w:rsidP="00EF5F06">
      <w:pPr>
        <w:pStyle w:val="FootnoteText"/>
        <w:jc w:val="left"/>
        <w:rPr>
          <w:lang w:val="fr-BE"/>
        </w:rPr>
      </w:pPr>
      <w:r w:rsidRPr="00941395">
        <w:rPr>
          <w:rStyle w:val="FootnoteReference"/>
          <w:lang w:val="en-IE"/>
        </w:rPr>
        <w:footnoteRef/>
      </w:r>
      <w:r w:rsidRPr="00F41448">
        <w:rPr>
          <w:lang w:val="fr-BE"/>
        </w:rPr>
        <w:t xml:space="preserve"> </w:t>
      </w:r>
      <w:r w:rsidRPr="00F41448">
        <w:rPr>
          <w:rStyle w:val="Hyperlink"/>
          <w:rFonts w:eastAsia="Times New Roman"/>
          <w:lang w:val="fr-BE"/>
        </w:rPr>
        <w:t>https://single-market-economy.ec.europa.eu/industry/transition-pathways_en.</w:t>
      </w:r>
    </w:p>
  </w:footnote>
  <w:footnote w:id="78">
    <w:p w14:paraId="74F48355" w14:textId="77777777" w:rsidR="00830770" w:rsidRPr="00150E81" w:rsidRDefault="00830770" w:rsidP="00EF5F06">
      <w:pPr>
        <w:pStyle w:val="FootnoteText"/>
        <w:jc w:val="left"/>
        <w:rPr>
          <w:lang w:val="en-IE"/>
        </w:rPr>
      </w:pPr>
      <w:r w:rsidRPr="00941395">
        <w:rPr>
          <w:rStyle w:val="FootnoteReference"/>
          <w:lang w:val="en-IE"/>
        </w:rPr>
        <w:footnoteRef/>
      </w:r>
      <w:r w:rsidRPr="00941395">
        <w:rPr>
          <w:rFonts w:eastAsia="Times New Roman"/>
          <w:color w:val="666666"/>
          <w:lang w:val="en-IE"/>
        </w:rPr>
        <w:t xml:space="preserve"> </w:t>
      </w:r>
      <w:hyperlink r:id="rId37">
        <w:r w:rsidRPr="00941395">
          <w:rPr>
            <w:rStyle w:val="Hyperlink"/>
            <w:lang w:val="en-IE"/>
          </w:rPr>
          <w:t>A sustainable bioeconomy for Europe - Publications Office of the EU (europa.eu).</w:t>
        </w:r>
      </w:hyperlink>
    </w:p>
  </w:footnote>
  <w:footnote w:id="79">
    <w:p w14:paraId="635F51D5" w14:textId="77777777" w:rsidR="00830770" w:rsidRPr="002A5D70" w:rsidRDefault="00830770" w:rsidP="00EF5F06">
      <w:pPr>
        <w:pStyle w:val="FootnoteText"/>
        <w:jc w:val="left"/>
        <w:rPr>
          <w:lang w:val="en-IE"/>
        </w:rPr>
      </w:pPr>
      <w:r w:rsidRPr="00941395">
        <w:rPr>
          <w:rStyle w:val="FootnoteReference"/>
          <w:lang w:val="en-IE"/>
        </w:rPr>
        <w:footnoteRef/>
      </w:r>
      <w:r w:rsidRPr="00941395">
        <w:rPr>
          <w:lang w:val="en-IE"/>
        </w:rPr>
        <w:t xml:space="preserve"> </w:t>
      </w:r>
      <w:hyperlink r:id="rId38" w:history="1">
        <w:r w:rsidRPr="00941395">
          <w:rPr>
            <w:rStyle w:val="Hyperlink"/>
            <w:lang w:val="en-IE"/>
          </w:rPr>
          <w:t>https://eur-lex.europa.eu/legal-content/EN/TXT/?uri=CELEX:52022PC0142</w:t>
        </w:r>
      </w:hyperlink>
      <w:r w:rsidRPr="00941395">
        <w:rPr>
          <w:lang w:val="en-IE"/>
        </w:rPr>
        <w:t xml:space="preserve"> </w:t>
      </w:r>
    </w:p>
  </w:footnote>
  <w:footnote w:id="80">
    <w:p w14:paraId="5AD33F41" w14:textId="77777777" w:rsidR="00830770" w:rsidRPr="00941395" w:rsidRDefault="00830770" w:rsidP="00EF5F06">
      <w:pPr>
        <w:pStyle w:val="FootnoteText"/>
        <w:jc w:val="left"/>
        <w:rPr>
          <w:lang w:val="en-IE"/>
        </w:rPr>
      </w:pPr>
      <w:r w:rsidRPr="00941395">
        <w:rPr>
          <w:rStyle w:val="FootnoteReference"/>
          <w:lang w:val="en-IE"/>
        </w:rPr>
        <w:footnoteRef/>
      </w:r>
      <w:r w:rsidRPr="00941395">
        <w:rPr>
          <w:lang w:val="en-IE"/>
        </w:rPr>
        <w:t xml:space="preserve"> </w:t>
      </w:r>
      <w:r w:rsidRPr="00941395">
        <w:rPr>
          <w:i/>
          <w:iCs/>
          <w:lang w:val="en-IE"/>
        </w:rPr>
        <w:t xml:space="preserve">Drivers of food security. SWD(2023) 4 final, </w:t>
      </w:r>
      <w:hyperlink r:id="rId39" w:history="1">
        <w:r w:rsidRPr="00941395">
          <w:rPr>
            <w:rStyle w:val="Hyperlink"/>
            <w:lang w:val="en-IE"/>
          </w:rPr>
          <w:t>Analysis of main drivers on food security (europa.eu)</w:t>
        </w:r>
      </w:hyperlink>
      <w:r w:rsidRPr="00941395">
        <w:rPr>
          <w:lang w:val="en-IE"/>
        </w:rPr>
        <w:t>.</w:t>
      </w:r>
    </w:p>
  </w:footnote>
  <w:footnote w:id="81">
    <w:p w14:paraId="752E8983" w14:textId="77777777" w:rsidR="00830770" w:rsidRPr="00CA0E8A" w:rsidRDefault="00830770" w:rsidP="00EF5F06">
      <w:pPr>
        <w:pStyle w:val="FootnoteText"/>
        <w:jc w:val="left"/>
        <w:rPr>
          <w:lang w:val="fr-BE"/>
        </w:rPr>
      </w:pPr>
      <w:r w:rsidRPr="00941395">
        <w:rPr>
          <w:rStyle w:val="FootnoteReference"/>
          <w:lang w:val="en-IE"/>
        </w:rPr>
        <w:footnoteRef/>
      </w:r>
      <w:r w:rsidRPr="00796F55">
        <w:rPr>
          <w:lang w:val="fr-BE"/>
        </w:rPr>
        <w:t xml:space="preserve"> </w:t>
      </w:r>
      <w:hyperlink r:id="rId40" w:history="1">
        <w:r w:rsidRPr="00796F55">
          <w:rPr>
            <w:rStyle w:val="Hyperlink"/>
            <w:lang w:val="fr-BE"/>
          </w:rPr>
          <w:t>EUR-Lex - 52022DC0108 - EN - EUR-Lex (europa.eu)</w:t>
        </w:r>
      </w:hyperlink>
    </w:p>
  </w:footnote>
  <w:footnote w:id="82">
    <w:p w14:paraId="155E4BD2" w14:textId="6FE6A281" w:rsidR="00830770" w:rsidRPr="00941395" w:rsidRDefault="00830770" w:rsidP="00EF5F06">
      <w:pPr>
        <w:pStyle w:val="FootnoteText"/>
        <w:jc w:val="left"/>
        <w:rPr>
          <w:lang w:val="en-IE"/>
        </w:rPr>
      </w:pPr>
      <w:r w:rsidRPr="00941395">
        <w:rPr>
          <w:rStyle w:val="FootnoteReference"/>
          <w:lang w:val="en-IE"/>
        </w:rPr>
        <w:footnoteRef/>
      </w:r>
      <w:r w:rsidRPr="00941395">
        <w:rPr>
          <w:lang w:val="en-IE"/>
        </w:rPr>
        <w:t xml:space="preserve"> Communication form the Commission to the European Parliament, the Council, the European Economic and Social Committee and the Committee of the Regions, Building an economy that works for people: an action plan for the social economy, COM(2021) 778 final, </w:t>
      </w:r>
      <w:hyperlink r:id="rId41" w:history="1">
        <w:r w:rsidRPr="00941395">
          <w:rPr>
            <w:rStyle w:val="Hyperlink"/>
            <w:lang w:val="en-IE"/>
          </w:rPr>
          <w:t>EUR-Lex - 52021DC0778 - EN - EUR-Lex (europa.eu)</w:t>
        </w:r>
      </w:hyperlink>
      <w:r w:rsidRPr="00941395">
        <w:rPr>
          <w:rStyle w:val="Hyperlink"/>
          <w:lang w:val="en-IE"/>
        </w:rPr>
        <w:t>.</w:t>
      </w:r>
    </w:p>
  </w:footnote>
  <w:footnote w:id="83">
    <w:p w14:paraId="5D8F7A0C" w14:textId="3F1E9411" w:rsidR="00830770" w:rsidRPr="00941395" w:rsidRDefault="00830770" w:rsidP="00EF5F06">
      <w:pPr>
        <w:pStyle w:val="FootnoteText"/>
        <w:jc w:val="left"/>
        <w:rPr>
          <w:lang w:val="en-IE"/>
        </w:rPr>
      </w:pPr>
      <w:r w:rsidRPr="00941395">
        <w:rPr>
          <w:rStyle w:val="FootnoteReference"/>
          <w:lang w:val="en-IE"/>
        </w:rPr>
        <w:footnoteRef/>
      </w:r>
      <w:r w:rsidRPr="00941395">
        <w:rPr>
          <w:lang w:val="en-IE"/>
        </w:rPr>
        <w:t xml:space="preserve"> Communication form the Commission to the European Parliament, the Council, the European Economic and Social Committee and the Committee of the Regions, Chemicals Strategy for Sustainability Towards a Toxic-Free Environment, COM(2020) 667 final, </w:t>
      </w:r>
      <w:hyperlink r:id="rId42" w:history="1">
        <w:r w:rsidRPr="00941395">
          <w:rPr>
            <w:rStyle w:val="Hyperlink"/>
            <w:lang w:val="en-IE"/>
          </w:rPr>
          <w:t>EUR-Lex - 52020DC0667 - EN - EUR-Lex (europa.eu)</w:t>
        </w:r>
      </w:hyperlink>
      <w:r w:rsidRPr="00941395">
        <w:rPr>
          <w:rStyle w:val="Hyperlink"/>
          <w:lang w:val="en-IE"/>
        </w:rPr>
        <w:t>.</w:t>
      </w:r>
    </w:p>
  </w:footnote>
  <w:footnote w:id="84">
    <w:p w14:paraId="7FF3BDDB" w14:textId="44803298" w:rsidR="00830770" w:rsidRPr="00941395" w:rsidRDefault="00830770" w:rsidP="005C77CE">
      <w:pPr>
        <w:pStyle w:val="FootnoteText"/>
        <w:jc w:val="left"/>
        <w:rPr>
          <w:lang w:val="en-IE"/>
        </w:rPr>
      </w:pPr>
      <w:r w:rsidRPr="00941395">
        <w:rPr>
          <w:rStyle w:val="FootnoteReference"/>
          <w:lang w:val="en-IE"/>
        </w:rPr>
        <w:footnoteRef/>
      </w:r>
      <w:r w:rsidRPr="00941395">
        <w:rPr>
          <w:lang w:val="en-IE"/>
        </w:rPr>
        <w:t xml:space="preserve"> Proposal for a Directive of the European Parliament and of the Council amending Directive 2010/75/EU of the European Parliament and of the Council of 24 November 2010 on industrial emissions (integrated pollution prevention and control) and Council Directive 1999/31/EC of 26 April 1999 on the landfill of waste, COM(2022) 156 final, </w:t>
      </w:r>
      <w:hyperlink r:id="rId43" w:history="1">
        <w:r w:rsidRPr="00941395">
          <w:rPr>
            <w:rStyle w:val="Hyperlink"/>
            <w:lang w:val="en-IE"/>
          </w:rPr>
          <w:t>https://eur-lex.europa.eu/legal-content/EN/ALL/?uri=COM%3A2022%3A156%3AFIN</w:t>
        </w:r>
      </w:hyperlink>
      <w:r w:rsidRPr="00941395">
        <w:rPr>
          <w:rStyle w:val="Hyperlink"/>
          <w:lang w:val="en-IE"/>
        </w:rPr>
        <w:t>.</w:t>
      </w:r>
    </w:p>
  </w:footnote>
  <w:footnote w:id="85">
    <w:p w14:paraId="031D3EE5" w14:textId="683E46E7" w:rsidR="00830770" w:rsidRPr="00941395" w:rsidRDefault="00830770" w:rsidP="005C77CE">
      <w:pPr>
        <w:pStyle w:val="FootnoteText"/>
        <w:jc w:val="left"/>
        <w:rPr>
          <w:lang w:val="en-IE"/>
        </w:rPr>
      </w:pPr>
      <w:r w:rsidRPr="00941395">
        <w:rPr>
          <w:rStyle w:val="FootnoteReference"/>
          <w:lang w:val="en-IE"/>
        </w:rPr>
        <w:footnoteRef/>
      </w:r>
      <w:r w:rsidRPr="00941395">
        <w:rPr>
          <w:lang w:val="en-IE"/>
        </w:rPr>
        <w:t xml:space="preserve"> Proposal for a Directive of the European Parliament and of the Council on Corporate Sustainability Due Diligence and amending Directive (EU) 2019/1937, COM(2022) 71 final, </w:t>
      </w:r>
      <w:hyperlink r:id="rId44" w:history="1">
        <w:r w:rsidRPr="00941395">
          <w:rPr>
            <w:rStyle w:val="Hyperlink"/>
            <w:lang w:val="en-IE"/>
          </w:rPr>
          <w:t>EUR-Lex - 52022PC0071 - EN - EUR-Lex (europa.eu)</w:t>
        </w:r>
      </w:hyperlink>
      <w:r w:rsidRPr="00941395">
        <w:rPr>
          <w:rStyle w:val="Hyperlink"/>
          <w:lang w:val="en-IE"/>
        </w:rPr>
        <w:t>.</w:t>
      </w:r>
    </w:p>
  </w:footnote>
  <w:footnote w:id="86">
    <w:p w14:paraId="44C78866" w14:textId="4E4515C6" w:rsidR="00830770" w:rsidRPr="00941395" w:rsidRDefault="00830770" w:rsidP="00A04540">
      <w:pPr>
        <w:pStyle w:val="FootnoteText"/>
        <w:jc w:val="left"/>
        <w:rPr>
          <w:lang w:val="en-IE"/>
        </w:rPr>
      </w:pPr>
      <w:r w:rsidRPr="00941395">
        <w:rPr>
          <w:rStyle w:val="FootnoteReference"/>
          <w:lang w:val="en-IE"/>
        </w:rPr>
        <w:footnoteRef/>
      </w:r>
      <w:r w:rsidRPr="00941395">
        <w:rPr>
          <w:lang w:val="en-IE"/>
        </w:rPr>
        <w:t xml:space="preserve"> Communication from the Commission to the European Parliament, the Council, the European Economic and Social Committee and the Committee of the Regions The path to a healthy planet for all EU Action Plan: 'Zero pollution for air, water and soil', 2021, COM(2021) 400 final,</w:t>
      </w:r>
      <w:r w:rsidRPr="00941395" w:rsidDel="00E74464">
        <w:rPr>
          <w:lang w:val="en-IE"/>
        </w:rPr>
        <w:t xml:space="preserve"> </w:t>
      </w:r>
      <w:r w:rsidRPr="00941395">
        <w:rPr>
          <w:lang w:val="en-IE"/>
        </w:rPr>
        <w:t xml:space="preserve"> </w:t>
      </w:r>
      <w:r w:rsidRPr="00941395">
        <w:rPr>
          <w:rStyle w:val="Hyperlink"/>
          <w:lang w:val="en-IE"/>
        </w:rPr>
        <w:t>EUR-Lex - 52021DC0400 - EN - EUR-Lex (europa.eu).</w:t>
      </w:r>
    </w:p>
  </w:footnote>
  <w:footnote w:id="87">
    <w:p w14:paraId="407CB605" w14:textId="280A944A" w:rsidR="00830770" w:rsidRPr="00941395" w:rsidRDefault="00830770" w:rsidP="00A04540">
      <w:pPr>
        <w:pStyle w:val="FootnoteText"/>
        <w:jc w:val="left"/>
        <w:rPr>
          <w:lang w:val="en-IE"/>
        </w:rPr>
      </w:pPr>
      <w:r w:rsidRPr="00941395">
        <w:rPr>
          <w:rStyle w:val="FootnoteReference"/>
          <w:lang w:val="en-IE"/>
        </w:rPr>
        <w:footnoteRef/>
      </w:r>
      <w:r w:rsidRPr="00941395">
        <w:rPr>
          <w:lang w:val="en-IE"/>
        </w:rPr>
        <w:t xml:space="preserve"> Chemicals Strategy for Sustainability Towards a Toxic-Free Environment. </w:t>
      </w:r>
      <w:hyperlink r:id="rId45" w:history="1">
        <w:r w:rsidRPr="00941395">
          <w:rPr>
            <w:rStyle w:val="Hyperlink"/>
            <w:lang w:val="en-IE"/>
          </w:rPr>
          <w:t>Chemicals strategy (europa.eu)</w:t>
        </w:r>
      </w:hyperlink>
      <w:r w:rsidRPr="00941395">
        <w:rPr>
          <w:rStyle w:val="Hyperlink"/>
          <w:lang w:val="en-IE"/>
        </w:rPr>
        <w:t>.</w:t>
      </w:r>
    </w:p>
  </w:footnote>
  <w:footnote w:id="88">
    <w:p w14:paraId="68A50EF3" w14:textId="118B5AE8" w:rsidR="00830770" w:rsidRPr="00941395" w:rsidRDefault="00830770" w:rsidP="00A04540">
      <w:pPr>
        <w:pStyle w:val="FootnoteText"/>
        <w:jc w:val="left"/>
        <w:rPr>
          <w:lang w:val="en-IE"/>
        </w:rPr>
      </w:pPr>
      <w:r w:rsidRPr="00941395">
        <w:rPr>
          <w:rStyle w:val="FootnoteReference"/>
          <w:lang w:val="en-IE"/>
        </w:rPr>
        <w:footnoteRef/>
      </w:r>
      <w:r w:rsidRPr="00941395">
        <w:rPr>
          <w:lang w:val="en-IE"/>
        </w:rPr>
        <w:t xml:space="preserve"> See footnote </w:t>
      </w:r>
      <w:r>
        <w:rPr>
          <w:lang w:val="en-IE"/>
        </w:rPr>
        <w:fldChar w:fldCharType="begin"/>
      </w:r>
      <w:r>
        <w:rPr>
          <w:lang w:val="en-IE"/>
        </w:rPr>
        <w:instrText xml:space="preserve"> NOTEREF _Ref133616997 \h </w:instrText>
      </w:r>
      <w:r>
        <w:rPr>
          <w:lang w:val="en-IE"/>
        </w:rPr>
      </w:r>
      <w:r>
        <w:rPr>
          <w:lang w:val="en-IE"/>
        </w:rPr>
        <w:fldChar w:fldCharType="separate"/>
      </w:r>
      <w:r w:rsidR="004C5576">
        <w:rPr>
          <w:lang w:val="en-IE"/>
        </w:rPr>
        <w:t>32</w:t>
      </w:r>
      <w:r>
        <w:rPr>
          <w:lang w:val="en-IE"/>
        </w:rPr>
        <w:fldChar w:fldCharType="end"/>
      </w:r>
    </w:p>
  </w:footnote>
  <w:footnote w:id="89">
    <w:p w14:paraId="6614DEFD" w14:textId="530216AE" w:rsidR="00830770" w:rsidRPr="00941395" w:rsidRDefault="00830770" w:rsidP="00085B4D">
      <w:pPr>
        <w:pStyle w:val="FootnoteText"/>
        <w:jc w:val="left"/>
        <w:rPr>
          <w:lang w:val="en-IE"/>
        </w:rPr>
      </w:pPr>
      <w:r w:rsidRPr="00941395">
        <w:rPr>
          <w:rStyle w:val="FootnoteReference"/>
          <w:lang w:val="en-IE"/>
        </w:rPr>
        <w:footnoteRef/>
      </w:r>
      <w:r w:rsidRPr="00085B4D">
        <w:rPr>
          <w:lang w:val="en-IE"/>
        </w:rPr>
        <w:t xml:space="preserve"> </w:t>
      </w:r>
      <w:r w:rsidRPr="00941395">
        <w:rPr>
          <w:rFonts w:eastAsia="Segoe UI" w:cs="Segoe UI"/>
          <w:lang w:val="en-IE"/>
        </w:rPr>
        <w:t xml:space="preserve">European Commission (2018). Regulation (EU) No 1007/2011 on textile fibre names and related labelling and marking of the fibre composition of textile products </w:t>
      </w:r>
      <w:r w:rsidRPr="00941395">
        <w:rPr>
          <w:rFonts w:eastAsia="Segoe UI" w:cs="Segoe UI"/>
          <w:i/>
          <w:lang w:val="en-IE"/>
        </w:rPr>
        <w:t>(</w:t>
      </w:r>
      <w:r w:rsidRPr="00941395">
        <w:rPr>
          <w:i/>
          <w:lang w:val="en-IE"/>
        </w:rPr>
        <w:t xml:space="preserve"> </w:t>
      </w:r>
      <w:r w:rsidRPr="00941395">
        <w:rPr>
          <w:rFonts w:eastAsia="Segoe UI" w:cs="Segoe UI"/>
          <w:i/>
          <w:lang w:val="en-IE"/>
        </w:rPr>
        <w:t>OJ L 272 18.10.2011, p. 1),</w:t>
      </w:r>
      <w:r w:rsidRPr="00941395">
        <w:rPr>
          <w:rFonts w:eastAsia="Segoe UI" w:cs="Segoe UI"/>
          <w:lang w:val="en-IE"/>
        </w:rPr>
        <w:t xml:space="preserve"> </w:t>
      </w:r>
      <w:hyperlink r:id="rId46" w:history="1">
        <w:r w:rsidRPr="00941395">
          <w:rPr>
            <w:rStyle w:val="Hyperlink"/>
            <w:rFonts w:eastAsia="Segoe UI" w:cs="Segoe UI"/>
            <w:lang w:val="en-IE"/>
          </w:rPr>
          <w:t>https://eur-lex.europa.eu/legal-content/EN/TXT/?uri=CELEX%3A02011R1007-20180215</w:t>
        </w:r>
      </w:hyperlink>
    </w:p>
  </w:footnote>
  <w:footnote w:id="90">
    <w:p w14:paraId="1F3B6835" w14:textId="180EE506" w:rsidR="00830770" w:rsidRPr="00941395" w:rsidRDefault="00830770" w:rsidP="003C4DDB">
      <w:pPr>
        <w:spacing w:after="0"/>
        <w:rPr>
          <w:rFonts w:eastAsiaTheme="minorEastAsia"/>
          <w:sz w:val="20"/>
          <w:szCs w:val="20"/>
          <w:lang w:val="en-IE"/>
        </w:rPr>
      </w:pPr>
      <w:r w:rsidRPr="00941395">
        <w:rPr>
          <w:rStyle w:val="FootnoteReference"/>
          <w:sz w:val="20"/>
          <w:szCs w:val="20"/>
          <w:lang w:val="en-IE"/>
        </w:rPr>
        <w:footnoteRef/>
      </w:r>
      <w:r w:rsidRPr="00941395">
        <w:rPr>
          <w:sz w:val="20"/>
          <w:szCs w:val="20"/>
          <w:lang w:val="en-IE"/>
        </w:rPr>
        <w:t xml:space="preserve"> Communication from the Commission to the European Parliament, the Council, the European Economic and Social Committee and the Committee of the Regions, Building an economy that works for people: an action plan for the social economy, 2021, </w:t>
      </w:r>
      <w:r w:rsidRPr="00941395">
        <w:rPr>
          <w:rFonts w:eastAsiaTheme="minorEastAsia"/>
          <w:sz w:val="20"/>
          <w:szCs w:val="20"/>
          <w:lang w:val="en-IE"/>
        </w:rPr>
        <w:t>COM(2021) 778 final,</w:t>
      </w:r>
      <w:r w:rsidRPr="00941395">
        <w:rPr>
          <w:sz w:val="20"/>
          <w:szCs w:val="20"/>
          <w:lang w:val="en-IE"/>
        </w:rPr>
        <w:t xml:space="preserve"> </w:t>
      </w:r>
      <w:hyperlink r:id="rId47">
        <w:r w:rsidRPr="00941395">
          <w:rPr>
            <w:rStyle w:val="Hyperlink"/>
            <w:sz w:val="20"/>
            <w:szCs w:val="20"/>
            <w:lang w:val="en-IE"/>
          </w:rPr>
          <w:t>EUR-Lex - 52021DC0778 - EN - EUR-Lex (europa.eu).</w:t>
        </w:r>
      </w:hyperlink>
    </w:p>
  </w:footnote>
  <w:footnote w:id="91">
    <w:p w14:paraId="2BEA5A23" w14:textId="3C54C1ED" w:rsidR="00830770" w:rsidRPr="001A2C21" w:rsidRDefault="00830770">
      <w:pPr>
        <w:pStyle w:val="FootnoteText"/>
        <w:rPr>
          <w:lang w:val="fr-BE"/>
        </w:rPr>
      </w:pPr>
      <w:r w:rsidRPr="00941395">
        <w:rPr>
          <w:rStyle w:val="FootnoteReference"/>
          <w:lang w:val="en-IE"/>
        </w:rPr>
        <w:footnoteRef/>
      </w:r>
      <w:r w:rsidRPr="001964D9">
        <w:rPr>
          <w:lang w:val="fr-BE"/>
        </w:rPr>
        <w:t xml:space="preserve"> </w:t>
      </w:r>
      <w:hyperlink r:id="rId48" w:history="1">
        <w:r w:rsidRPr="001964D9">
          <w:rPr>
            <w:rStyle w:val="Hyperlink"/>
            <w:lang w:val="fr-BE"/>
          </w:rPr>
          <w:t>Product groups documents | Product Bureau (europa.eu)</w:t>
        </w:r>
      </w:hyperlink>
    </w:p>
  </w:footnote>
  <w:footnote w:id="92">
    <w:p w14:paraId="1B857327" w14:textId="29F588EE" w:rsidR="00830770" w:rsidRPr="00941395" w:rsidRDefault="00830770">
      <w:pPr>
        <w:pStyle w:val="FootnoteText"/>
        <w:rPr>
          <w:lang w:val="en-IE"/>
        </w:rPr>
      </w:pPr>
      <w:r w:rsidRPr="00941395">
        <w:rPr>
          <w:rStyle w:val="FootnoteReference"/>
          <w:lang w:val="en-IE"/>
        </w:rPr>
        <w:footnoteRef/>
      </w:r>
    </w:p>
    <w:p w14:paraId="6C9E531C" w14:textId="4973F0ED" w:rsidR="00830770" w:rsidRPr="00941395" w:rsidRDefault="00830770">
      <w:pPr>
        <w:pStyle w:val="FootnoteText"/>
        <w:rPr>
          <w:lang w:val="en-IE"/>
        </w:rPr>
      </w:pPr>
      <w:r w:rsidRPr="00941395">
        <w:rPr>
          <w:lang w:val="en-IE"/>
        </w:rPr>
        <w:t xml:space="preserve"> Have your say, Published initiatives, New product priorities for Ecodesign for Sustainable Products, </w:t>
      </w:r>
      <w:hyperlink r:id="rId49" w:history="1">
        <w:r w:rsidRPr="00941395">
          <w:rPr>
            <w:rStyle w:val="Hyperlink"/>
            <w:lang w:val="en-IE"/>
          </w:rPr>
          <w:t>New product priorities for Ecodesign for Sustainable Products (europa.eu)</w:t>
        </w:r>
      </w:hyperlink>
      <w:r w:rsidRPr="00941395">
        <w:rPr>
          <w:rStyle w:val="Hyperlink"/>
          <w:lang w:val="en-IE"/>
        </w:rPr>
        <w:t>.</w:t>
      </w:r>
    </w:p>
  </w:footnote>
  <w:footnote w:id="93">
    <w:p w14:paraId="77FE5521" w14:textId="56D1A99D" w:rsidR="00830770" w:rsidRPr="00941395" w:rsidRDefault="00830770" w:rsidP="0051123D">
      <w:pPr>
        <w:spacing w:after="0"/>
        <w:rPr>
          <w:sz w:val="20"/>
          <w:szCs w:val="20"/>
          <w:lang w:val="en-IE"/>
        </w:rPr>
      </w:pPr>
      <w:r w:rsidRPr="00941395">
        <w:rPr>
          <w:sz w:val="20"/>
          <w:szCs w:val="20"/>
          <w:vertAlign w:val="superscript"/>
          <w:lang w:val="en-IE"/>
        </w:rPr>
        <w:footnoteRef/>
      </w:r>
      <w:r w:rsidRPr="00941395">
        <w:rPr>
          <w:sz w:val="20"/>
          <w:szCs w:val="20"/>
          <w:lang w:val="en-IE"/>
        </w:rPr>
        <w:t xml:space="preserve"> JRC, Individual product group assessment for textiles, preliminary.  </w:t>
      </w:r>
    </w:p>
  </w:footnote>
  <w:footnote w:id="94">
    <w:p w14:paraId="5ACD3FEB" w14:textId="0DAE4892" w:rsidR="00830770" w:rsidRPr="00BE6062" w:rsidRDefault="00830770">
      <w:pPr>
        <w:pStyle w:val="FootnoteText"/>
        <w:rPr>
          <w:lang w:val="en-IE"/>
        </w:rPr>
      </w:pPr>
      <w:r w:rsidRPr="00941395">
        <w:rPr>
          <w:rStyle w:val="FootnoteReference"/>
          <w:lang w:val="en-IE"/>
        </w:rPr>
        <w:footnoteRef/>
      </w:r>
      <w:r w:rsidRPr="00941395">
        <w:rPr>
          <w:lang w:val="en-IE"/>
        </w:rPr>
        <w:t xml:space="preserve"> European Environment Agency, </w:t>
      </w:r>
      <w:r w:rsidRPr="00941395">
        <w:rPr>
          <w:i/>
          <w:lang w:val="en-IE"/>
        </w:rPr>
        <w:t>Textiles in Europe‘s circular economy,</w:t>
      </w:r>
      <w:r w:rsidRPr="00941395">
        <w:rPr>
          <w:lang w:val="en-IE"/>
        </w:rPr>
        <w:t xml:space="preserve"> 2019, </w:t>
      </w:r>
      <w:hyperlink r:id="rId50">
        <w:r w:rsidRPr="00941395">
          <w:rPr>
            <w:rStyle w:val="Hyperlink"/>
            <w:lang w:val="en-IE"/>
          </w:rPr>
          <w:t>Textiles in Europe's circular economy — European Environment Agency</w:t>
        </w:r>
      </w:hyperlink>
      <w:r w:rsidRPr="00941395">
        <w:rPr>
          <w:u w:val="single"/>
          <w:lang w:val="en-IE"/>
        </w:rPr>
        <w:t>.</w:t>
      </w:r>
    </w:p>
  </w:footnote>
  <w:footnote w:id="95">
    <w:p w14:paraId="2A6E6162" w14:textId="47ADA18B" w:rsidR="00830770" w:rsidRPr="00941395" w:rsidRDefault="00830770" w:rsidP="2E2E50A1">
      <w:pPr>
        <w:pStyle w:val="FootnoteText"/>
        <w:jc w:val="left"/>
        <w:rPr>
          <w:lang w:val="en-IE"/>
        </w:rPr>
      </w:pPr>
      <w:r w:rsidRPr="00941395">
        <w:rPr>
          <w:rStyle w:val="FootnoteReference"/>
          <w:lang w:val="en-IE"/>
        </w:rPr>
        <w:footnoteRef/>
      </w:r>
      <w:r w:rsidRPr="00941395">
        <w:rPr>
          <w:lang w:val="en-IE"/>
        </w:rPr>
        <w:t xml:space="preserve"> European Parliamentary Research Service, 2019.</w:t>
      </w:r>
    </w:p>
  </w:footnote>
  <w:footnote w:id="96">
    <w:p w14:paraId="33D72B1A" w14:textId="77777777" w:rsidR="00830770" w:rsidRPr="00941395" w:rsidRDefault="00830770" w:rsidP="2E2E50A1">
      <w:pPr>
        <w:pStyle w:val="FootnoteText"/>
        <w:jc w:val="left"/>
        <w:rPr>
          <w:lang w:val="en-IE"/>
        </w:rPr>
      </w:pPr>
      <w:r w:rsidRPr="00941395">
        <w:rPr>
          <w:rStyle w:val="FootnoteReference"/>
          <w:lang w:val="en-IE"/>
        </w:rPr>
        <w:footnoteRef/>
      </w:r>
      <w:r w:rsidRPr="00941395">
        <w:rPr>
          <w:lang w:val="en-IE"/>
        </w:rPr>
        <w:t xml:space="preserve"> CEN/TS 16822:2015</w:t>
      </w:r>
    </w:p>
  </w:footnote>
  <w:footnote w:id="97">
    <w:p w14:paraId="3B077EAC" w14:textId="75E79A82" w:rsidR="00830770" w:rsidRPr="003502CA" w:rsidRDefault="00830770" w:rsidP="2E2E50A1">
      <w:pPr>
        <w:pStyle w:val="FootnoteText"/>
        <w:jc w:val="left"/>
        <w:rPr>
          <w:lang w:val="en-IE"/>
        </w:rPr>
      </w:pPr>
      <w:r w:rsidRPr="00941395">
        <w:rPr>
          <w:rStyle w:val="FootnoteReference"/>
          <w:lang w:val="en-IE"/>
        </w:rPr>
        <w:footnoteRef/>
      </w:r>
      <w:r w:rsidRPr="003502CA">
        <w:rPr>
          <w:lang w:val="en-IE"/>
        </w:rPr>
        <w:t xml:space="preserve"> EU Ecolabel, </w:t>
      </w:r>
      <w:hyperlink r:id="rId51">
        <w:r w:rsidRPr="003502CA">
          <w:rPr>
            <w:color w:val="0563C1"/>
            <w:u w:val="single"/>
            <w:lang w:val="en-IE"/>
          </w:rPr>
          <w:t>online page</w:t>
        </w:r>
      </w:hyperlink>
      <w:r w:rsidRPr="003502CA">
        <w:rPr>
          <w:color w:val="0563C1"/>
          <w:u w:val="single"/>
          <w:lang w:val="en-IE"/>
        </w:rPr>
        <w:t>,</w:t>
      </w:r>
      <w:r w:rsidRPr="003502CA">
        <w:rPr>
          <w:lang w:val="en-IE"/>
        </w:rPr>
        <w:t xml:space="preserve"> </w:t>
      </w:r>
      <w:r w:rsidRPr="003502CA">
        <w:rPr>
          <w:color w:val="0563C1"/>
          <w:u w:val="single"/>
          <w:lang w:val="en-IE"/>
        </w:rPr>
        <w:t>https://environment.ec.europa.eu/topics/circular-economy/eu-ecolabel-home/product-groups-and-criteria/clothing-and-textiles_en,</w:t>
      </w:r>
      <w:r w:rsidRPr="003502CA">
        <w:rPr>
          <w:lang w:val="en-IE"/>
        </w:rPr>
        <w:t xml:space="preserve"> (accessed 26.09.2022).</w:t>
      </w:r>
    </w:p>
  </w:footnote>
  <w:footnote w:id="98">
    <w:p w14:paraId="542956F4" w14:textId="58CA7C7E" w:rsidR="00830770" w:rsidRPr="00941395" w:rsidRDefault="00830770" w:rsidP="2E2E50A1">
      <w:pPr>
        <w:pStyle w:val="FootnoteText"/>
        <w:jc w:val="left"/>
        <w:rPr>
          <w:lang w:val="en-IE"/>
        </w:rPr>
      </w:pPr>
      <w:r w:rsidRPr="00941395">
        <w:rPr>
          <w:rStyle w:val="FootnoteReference"/>
          <w:lang w:val="en-IE"/>
        </w:rPr>
        <w:footnoteRef/>
      </w:r>
      <w:r w:rsidRPr="00941395">
        <w:rPr>
          <w:lang w:val="en-IE"/>
        </w:rPr>
        <w:t xml:space="preserve"> European Commission, </w:t>
      </w:r>
      <w:r w:rsidRPr="00941395">
        <w:rPr>
          <w:i/>
          <w:lang w:val="en-IE"/>
        </w:rPr>
        <w:t>EU green public procurement criteria for textiles products and services</w:t>
      </w:r>
      <w:r w:rsidRPr="00941395">
        <w:rPr>
          <w:lang w:val="en-IE"/>
        </w:rPr>
        <w:t>, SWD(2017) 231 final, 2017.</w:t>
      </w:r>
    </w:p>
  </w:footnote>
  <w:footnote w:id="99">
    <w:p w14:paraId="072F8CED" w14:textId="7470296F" w:rsidR="00830770" w:rsidRPr="00941395" w:rsidRDefault="00830770" w:rsidP="2E2E50A1">
      <w:pPr>
        <w:pStyle w:val="FootnoteText"/>
        <w:rPr>
          <w:lang w:val="en-IE"/>
        </w:rPr>
      </w:pPr>
      <w:r w:rsidRPr="00941395">
        <w:rPr>
          <w:rStyle w:val="FootnoteReference"/>
          <w:lang w:val="en-IE"/>
        </w:rPr>
        <w:footnoteRef/>
      </w:r>
      <w:r w:rsidRPr="00941395">
        <w:rPr>
          <w:lang w:val="en-IE"/>
        </w:rPr>
        <w:t xml:space="preserve"> Shaikh, M.A., </w:t>
      </w:r>
      <w:hyperlink r:id="rId52" w:history="1">
        <w:r w:rsidRPr="00941395">
          <w:rPr>
            <w:rStyle w:val="Hyperlink"/>
            <w:i/>
            <w:lang w:val="en-IE"/>
          </w:rPr>
          <w:t>Water conservation in textile industry</w:t>
        </w:r>
      </w:hyperlink>
      <w:r w:rsidRPr="00941395">
        <w:rPr>
          <w:lang w:val="en-IE"/>
        </w:rPr>
        <w:t>,</w:t>
      </w:r>
      <w:r w:rsidRPr="00941395">
        <w:rPr>
          <w:i/>
          <w:lang w:val="en-IE"/>
        </w:rPr>
        <w:t xml:space="preserve"> </w:t>
      </w:r>
      <w:r w:rsidRPr="00941395">
        <w:rPr>
          <w:lang w:val="en-IE"/>
        </w:rPr>
        <w:t>College of Textile Engineering SFDAC, 2009, https://sswm.info/sites/default/files/reference_attachments/SHAKIH%202009%20Water%20conservation%20in%20the%20textile%20industry.pdf.</w:t>
      </w:r>
    </w:p>
  </w:footnote>
  <w:footnote w:id="100">
    <w:p w14:paraId="4F66EE01" w14:textId="526BD59E" w:rsidR="00830770" w:rsidRPr="00941395" w:rsidRDefault="00830770" w:rsidP="2E2E50A1">
      <w:pPr>
        <w:pStyle w:val="FootnoteText"/>
        <w:rPr>
          <w:lang w:val="en-IE"/>
        </w:rPr>
      </w:pPr>
      <w:r w:rsidRPr="00941395">
        <w:rPr>
          <w:rStyle w:val="FootnoteReference"/>
          <w:lang w:val="en-IE"/>
        </w:rPr>
        <w:footnoteRef/>
      </w:r>
      <w:r w:rsidRPr="00941395">
        <w:rPr>
          <w:lang w:val="en-IE"/>
        </w:rPr>
        <w:t xml:space="preserve"> Beton, A., Perwueltz, A., Desaxce, M., et al., edited by: Cordella M., Kougoulis J., Wolf O., Dodd N., Joint Research Centre, Institute for Prospective Technological Studies, 2014.</w:t>
      </w:r>
    </w:p>
  </w:footnote>
  <w:footnote w:id="101">
    <w:p w14:paraId="409CC59E" w14:textId="462D743C" w:rsidR="00830770" w:rsidRPr="00941395" w:rsidRDefault="00830770" w:rsidP="2E2E50A1">
      <w:pPr>
        <w:pStyle w:val="FootnoteText"/>
        <w:rPr>
          <w:lang w:val="en-IE"/>
        </w:rPr>
      </w:pPr>
      <w:r w:rsidRPr="00941395">
        <w:rPr>
          <w:rStyle w:val="FootnoteReference"/>
          <w:lang w:val="en-IE"/>
        </w:rPr>
        <w:footnoteRef/>
      </w:r>
      <w:r w:rsidRPr="00941395">
        <w:rPr>
          <w:lang w:val="en-IE"/>
        </w:rPr>
        <w:t xml:space="preserve"> NRDC, </w:t>
      </w:r>
      <w:r w:rsidRPr="00941395">
        <w:rPr>
          <w:i/>
          <w:lang w:val="en-IE"/>
        </w:rPr>
        <w:t>Encourage Textile Manufacturers to Reduce Pollution</w:t>
      </w:r>
      <w:r w:rsidRPr="00941395">
        <w:rPr>
          <w:lang w:val="en-IE"/>
        </w:rPr>
        <w:t>, 2022.</w:t>
      </w:r>
    </w:p>
  </w:footnote>
  <w:footnote w:id="102">
    <w:p w14:paraId="1A1B33E9" w14:textId="743B1992" w:rsidR="00830770" w:rsidRPr="00941395" w:rsidRDefault="00830770" w:rsidP="2E2E50A1">
      <w:pPr>
        <w:pStyle w:val="FootnoteText"/>
        <w:rPr>
          <w:lang w:val="en-IE"/>
        </w:rPr>
      </w:pPr>
      <w:r w:rsidRPr="00941395">
        <w:rPr>
          <w:rStyle w:val="FootnoteReference"/>
          <w:lang w:val="en-IE"/>
        </w:rPr>
        <w:footnoteRef/>
      </w:r>
      <w:r w:rsidRPr="00941395">
        <w:rPr>
          <w:lang w:val="en-IE"/>
        </w:rPr>
        <w:t xml:space="preserve"> Greer, L., Keane, S., Lin, C., Zhou, A., Yiliqi Tong, T., </w:t>
      </w:r>
      <w:r w:rsidRPr="00941395">
        <w:rPr>
          <w:i/>
          <w:lang w:val="en-IE"/>
        </w:rPr>
        <w:t>The Textile Industry Leaps Forward with Clean by Design: less environmental impact with bigger profits,</w:t>
      </w:r>
      <w:r w:rsidRPr="00941395">
        <w:rPr>
          <w:lang w:val="en-IE"/>
        </w:rPr>
        <w:t xml:space="preserve"> Natural Resources Defense Council, 2015.</w:t>
      </w:r>
    </w:p>
  </w:footnote>
  <w:footnote w:id="103">
    <w:p w14:paraId="1D35E30E" w14:textId="705E27F5" w:rsidR="00830770" w:rsidRPr="00941395" w:rsidRDefault="00830770" w:rsidP="2E2E50A1">
      <w:pPr>
        <w:pStyle w:val="FootnoteText"/>
        <w:rPr>
          <w:lang w:val="en-IE"/>
        </w:rPr>
      </w:pPr>
      <w:r w:rsidRPr="00941395">
        <w:rPr>
          <w:rStyle w:val="FootnoteReference"/>
          <w:lang w:val="en-IE"/>
        </w:rPr>
        <w:footnoteRef/>
      </w:r>
      <w:r w:rsidRPr="00941395">
        <w:rPr>
          <w:lang w:val="en-IE"/>
        </w:rPr>
        <w:t xml:space="preserve"> See footnote 87</w:t>
      </w:r>
    </w:p>
  </w:footnote>
  <w:footnote w:id="104">
    <w:p w14:paraId="058F9746" w14:textId="7B162040" w:rsidR="00830770" w:rsidRPr="00941395" w:rsidRDefault="00830770" w:rsidP="2E2E50A1">
      <w:pPr>
        <w:pStyle w:val="FootnoteText"/>
        <w:rPr>
          <w:lang w:val="en-IE"/>
        </w:rPr>
      </w:pPr>
      <w:r w:rsidRPr="00941395">
        <w:rPr>
          <w:rStyle w:val="FootnoteReference"/>
          <w:lang w:val="en-IE"/>
        </w:rPr>
        <w:footnoteRef/>
      </w:r>
      <w:r w:rsidRPr="00941395">
        <w:rPr>
          <w:lang w:val="en-IE"/>
        </w:rPr>
        <w:t xml:space="preserve"> Ellen MacArthur Foundation, and Boston Consulting Group, </w:t>
      </w:r>
      <w:r w:rsidRPr="00941395">
        <w:rPr>
          <w:i/>
          <w:lang w:val="en-IE"/>
        </w:rPr>
        <w:t>Circular business models – Redefining growth for a thriving fashion industry,</w:t>
      </w:r>
      <w:r w:rsidRPr="00941395">
        <w:rPr>
          <w:lang w:val="en-IE"/>
        </w:rPr>
        <w:t xml:space="preserve"> 2021.</w:t>
      </w:r>
    </w:p>
  </w:footnote>
  <w:footnote w:id="105">
    <w:p w14:paraId="06216688" w14:textId="27A2A397" w:rsidR="00830770" w:rsidRPr="00941395" w:rsidRDefault="00830770" w:rsidP="00D469EF">
      <w:pPr>
        <w:pStyle w:val="FootnoteText"/>
        <w:rPr>
          <w:lang w:val="en-IE"/>
        </w:rPr>
      </w:pPr>
      <w:r w:rsidRPr="00941395">
        <w:rPr>
          <w:rStyle w:val="FootnoteReference"/>
          <w:lang w:val="en-IE"/>
        </w:rPr>
        <w:footnoteRef/>
      </w:r>
      <w:r w:rsidRPr="00941395">
        <w:rPr>
          <w:lang w:val="en-IE"/>
        </w:rPr>
        <w:t xml:space="preserve"> Ellen MacArthur Foundation</w:t>
      </w:r>
      <w:r w:rsidRPr="00941395">
        <w:rPr>
          <w:i/>
          <w:lang w:val="en-IE"/>
        </w:rPr>
        <w:t>,</w:t>
      </w:r>
      <w:r w:rsidRPr="00941395">
        <w:rPr>
          <w:lang w:val="en-IE"/>
        </w:rPr>
        <w:t xml:space="preserve"> 2021.</w:t>
      </w:r>
    </w:p>
  </w:footnote>
  <w:footnote w:id="106">
    <w:p w14:paraId="4AE39BE9" w14:textId="500F4568" w:rsidR="00830770" w:rsidRPr="00941395" w:rsidRDefault="00830770" w:rsidP="00D469EF">
      <w:pPr>
        <w:spacing w:after="0"/>
        <w:rPr>
          <w:sz w:val="20"/>
          <w:szCs w:val="20"/>
          <w:lang w:val="en-IE"/>
        </w:rPr>
      </w:pPr>
      <w:r w:rsidRPr="00941395">
        <w:rPr>
          <w:sz w:val="20"/>
          <w:szCs w:val="20"/>
          <w:vertAlign w:val="superscript"/>
          <w:lang w:val="en-IE"/>
        </w:rPr>
        <w:footnoteRef/>
      </w:r>
      <w:r w:rsidRPr="00941395">
        <w:rPr>
          <w:sz w:val="20"/>
          <w:szCs w:val="20"/>
          <w:lang w:val="en-IE"/>
        </w:rPr>
        <w:t xml:space="preserve"> </w:t>
      </w:r>
      <w:r w:rsidRPr="00736B80">
        <w:rPr>
          <w:sz w:val="20"/>
          <w:szCs w:val="20"/>
          <w:lang w:val="en-IE"/>
        </w:rPr>
        <w:t xml:space="preserve">Council of the European Union, </w:t>
      </w:r>
      <w:r w:rsidRPr="00736B80">
        <w:rPr>
          <w:i/>
          <w:iCs/>
          <w:sz w:val="20"/>
          <w:szCs w:val="20"/>
          <w:lang w:val="en-IE"/>
        </w:rPr>
        <w:t xml:space="preserve">More circularity - Transition to a sustainable society - Council conclusions, </w:t>
      </w:r>
      <w:r w:rsidRPr="00736B80">
        <w:rPr>
          <w:sz w:val="20"/>
          <w:szCs w:val="20"/>
          <w:lang w:val="en-IE"/>
        </w:rPr>
        <w:t xml:space="preserve">2019, </w:t>
      </w:r>
      <w:hyperlink r:id="rId53">
        <w:r w:rsidRPr="00736B80">
          <w:rPr>
            <w:rStyle w:val="Hyperlink"/>
            <w:sz w:val="20"/>
            <w:szCs w:val="20"/>
            <w:lang w:val="en-IE"/>
          </w:rPr>
          <w:t>https://www.consilium.europa.eu/media/40928/st12791-en19.pdf</w:t>
        </w:r>
      </w:hyperlink>
      <w:r w:rsidRPr="00736B80">
        <w:rPr>
          <w:rStyle w:val="Hyperlink"/>
          <w:sz w:val="20"/>
          <w:szCs w:val="20"/>
          <w:lang w:val="en-IE"/>
        </w:rPr>
        <w:t>.</w:t>
      </w:r>
    </w:p>
  </w:footnote>
  <w:footnote w:id="107">
    <w:p w14:paraId="18E104A7" w14:textId="5157F150" w:rsidR="00830770" w:rsidRPr="00941395" w:rsidRDefault="00830770" w:rsidP="00D469EF">
      <w:pPr>
        <w:spacing w:after="0"/>
        <w:rPr>
          <w:sz w:val="20"/>
          <w:szCs w:val="20"/>
          <w:lang w:val="en-IE"/>
        </w:rPr>
      </w:pPr>
      <w:r w:rsidRPr="00941395">
        <w:rPr>
          <w:sz w:val="20"/>
          <w:szCs w:val="20"/>
          <w:vertAlign w:val="superscript"/>
          <w:lang w:val="en-IE"/>
        </w:rPr>
        <w:footnoteRef/>
      </w:r>
      <w:r w:rsidRPr="00941395">
        <w:rPr>
          <w:sz w:val="20"/>
          <w:szCs w:val="20"/>
          <w:lang w:val="en-IE"/>
        </w:rPr>
        <w:t xml:space="preserve"> </w:t>
      </w:r>
      <w:r w:rsidRPr="00736B80">
        <w:rPr>
          <w:sz w:val="20"/>
          <w:szCs w:val="20"/>
          <w:lang w:val="en-IE"/>
        </w:rPr>
        <w:t xml:space="preserve">Council of the European Union, </w:t>
      </w:r>
      <w:r w:rsidRPr="00736B80">
        <w:rPr>
          <w:i/>
          <w:iCs/>
          <w:sz w:val="20"/>
          <w:szCs w:val="20"/>
          <w:lang w:val="en-IE"/>
        </w:rPr>
        <w:t xml:space="preserve">Draft Council conclusions on Making the Recovery Circular and Green - Approval, </w:t>
      </w:r>
      <w:r w:rsidRPr="00736B80">
        <w:rPr>
          <w:sz w:val="20"/>
          <w:szCs w:val="20"/>
          <w:lang w:val="en-IE"/>
        </w:rPr>
        <w:t xml:space="preserve">2020, </w:t>
      </w:r>
      <w:hyperlink r:id="rId54">
        <w:r w:rsidRPr="00736B80">
          <w:rPr>
            <w:rStyle w:val="Hyperlink"/>
            <w:sz w:val="20"/>
            <w:szCs w:val="20"/>
            <w:lang w:val="en-IE"/>
          </w:rPr>
          <w:t>https://data.consilium.europa.eu/doc/document/ST-13852-2020-INIT/en/pdf</w:t>
        </w:r>
      </w:hyperlink>
      <w:r w:rsidRPr="00736B80">
        <w:rPr>
          <w:rStyle w:val="Hyperlink"/>
          <w:sz w:val="20"/>
          <w:szCs w:val="20"/>
          <w:lang w:val="en-IE"/>
        </w:rPr>
        <w:t>.</w:t>
      </w:r>
    </w:p>
  </w:footnote>
  <w:footnote w:id="108">
    <w:p w14:paraId="0B7C2754" w14:textId="05DD188A" w:rsidR="00830770" w:rsidRPr="00941395" w:rsidRDefault="00830770" w:rsidP="00D469EF">
      <w:pPr>
        <w:spacing w:after="0"/>
        <w:rPr>
          <w:sz w:val="20"/>
          <w:szCs w:val="20"/>
          <w:lang w:val="en-IE"/>
        </w:rPr>
      </w:pPr>
      <w:r w:rsidRPr="00941395">
        <w:rPr>
          <w:sz w:val="20"/>
          <w:szCs w:val="20"/>
          <w:vertAlign w:val="superscript"/>
          <w:lang w:val="en-IE"/>
        </w:rPr>
        <w:footnoteRef/>
      </w:r>
      <w:r w:rsidRPr="00941395">
        <w:rPr>
          <w:sz w:val="20"/>
          <w:szCs w:val="20"/>
          <w:lang w:val="en-IE"/>
        </w:rPr>
        <w:t xml:space="preserve"> </w:t>
      </w:r>
      <w:r w:rsidRPr="00736B80">
        <w:rPr>
          <w:sz w:val="20"/>
          <w:szCs w:val="20"/>
          <w:lang w:val="en-IE"/>
        </w:rPr>
        <w:t xml:space="preserve">European Parliament resolution of 27 April 2017 on the EU flagship initiative on the garment sector, </w:t>
      </w:r>
      <w:hyperlink r:id="rId55">
        <w:r w:rsidRPr="00736B80">
          <w:rPr>
            <w:rStyle w:val="Hyperlink"/>
            <w:sz w:val="20"/>
            <w:szCs w:val="20"/>
            <w:lang w:val="en-IE"/>
          </w:rPr>
          <w:t>https://www.europarl.europa.eu/doceo/document/TA-8-2017-0196_EN.html?redirect</w:t>
        </w:r>
      </w:hyperlink>
      <w:r w:rsidRPr="00736B80">
        <w:rPr>
          <w:rStyle w:val="Hyperlink"/>
          <w:sz w:val="20"/>
          <w:szCs w:val="20"/>
          <w:lang w:val="en-IE"/>
        </w:rPr>
        <w:t>.</w:t>
      </w:r>
    </w:p>
  </w:footnote>
  <w:footnote w:id="109">
    <w:p w14:paraId="34FD7EE2" w14:textId="345BE7D5" w:rsidR="00830770" w:rsidRPr="00941395" w:rsidRDefault="00830770" w:rsidP="00D469EF">
      <w:pPr>
        <w:spacing w:after="0"/>
        <w:rPr>
          <w:lang w:val="en-IE"/>
        </w:rPr>
      </w:pPr>
      <w:r w:rsidRPr="00941395">
        <w:rPr>
          <w:sz w:val="20"/>
          <w:szCs w:val="20"/>
          <w:vertAlign w:val="superscript"/>
          <w:lang w:val="en-IE"/>
        </w:rPr>
        <w:footnoteRef/>
      </w:r>
      <w:r w:rsidRPr="00941395">
        <w:rPr>
          <w:sz w:val="20"/>
          <w:szCs w:val="20"/>
          <w:lang w:val="en-IE"/>
        </w:rPr>
        <w:t xml:space="preserve"> </w:t>
      </w:r>
      <w:r w:rsidRPr="00736B80">
        <w:rPr>
          <w:sz w:val="20"/>
          <w:szCs w:val="20"/>
          <w:lang w:val="en-IE"/>
        </w:rPr>
        <w:t xml:space="preserve">European Parliament resolution of 10 February 2021 on the New Circular Economy Action Plan, </w:t>
      </w:r>
      <w:hyperlink r:id="rId56">
        <w:r w:rsidRPr="00736B80">
          <w:rPr>
            <w:rStyle w:val="Hyperlink"/>
            <w:sz w:val="20"/>
            <w:szCs w:val="20"/>
            <w:lang w:val="en-IE"/>
          </w:rPr>
          <w:t>https://www.europarl.europa.eu/doceo/document/TA-9-2021-0040_EN.html</w:t>
        </w:r>
      </w:hyperlink>
      <w:r w:rsidRPr="00736B80">
        <w:rPr>
          <w:rStyle w:val="Hyperlink"/>
          <w:sz w:val="20"/>
          <w:szCs w:val="20"/>
          <w:lang w:val="en-IE"/>
        </w:rPr>
        <w:t>.</w:t>
      </w:r>
    </w:p>
  </w:footnote>
  <w:footnote w:id="110">
    <w:p w14:paraId="45DE4E2F" w14:textId="342C42C9" w:rsidR="00830770" w:rsidRPr="005D40F3" w:rsidRDefault="00830770" w:rsidP="005D40F3">
      <w:pPr>
        <w:pStyle w:val="FootnoteText"/>
        <w:jc w:val="left"/>
        <w:rPr>
          <w:lang w:val="en-IE"/>
        </w:rPr>
      </w:pPr>
      <w:r>
        <w:rPr>
          <w:rStyle w:val="FootnoteReference"/>
        </w:rPr>
        <w:footnoteRef/>
      </w:r>
      <w:r>
        <w:t xml:space="preserve"> </w:t>
      </w:r>
      <w:r w:rsidRPr="00381861">
        <w:t>https://ec.europa.eu/transparency/expert-groups-register/screen/expert-groups/consult?lang=en&amp;do=groupDetail.groupDetail&amp;groupID=3189</w:t>
      </w:r>
    </w:p>
  </w:footnote>
  <w:footnote w:id="111">
    <w:p w14:paraId="32532059" w14:textId="20882569" w:rsidR="00830770" w:rsidRPr="00941395" w:rsidRDefault="00830770" w:rsidP="00794505">
      <w:pPr>
        <w:pStyle w:val="FootnoteText"/>
        <w:rPr>
          <w:lang w:val="en-IE"/>
        </w:rPr>
      </w:pPr>
      <w:r w:rsidRPr="00941395">
        <w:rPr>
          <w:rStyle w:val="FootnoteReference"/>
          <w:lang w:val="en-IE"/>
        </w:rPr>
        <w:footnoteRef/>
      </w:r>
      <w:r w:rsidRPr="00941395">
        <w:rPr>
          <w:lang w:val="en-IE"/>
        </w:rPr>
        <w:t xml:space="preserve"> European Commission, European IPPC Bureau, Food, Drink and Milk Industries, https://eippcb.jrc.ec.europa.eu/reference/food-drink-and-milk-industries.</w:t>
      </w:r>
    </w:p>
  </w:footnote>
  <w:footnote w:id="112">
    <w:p w14:paraId="5327C01F" w14:textId="77777777" w:rsidR="00830770" w:rsidRPr="00736B80" w:rsidRDefault="00830770" w:rsidP="00DF4CCF">
      <w:pPr>
        <w:spacing w:after="0"/>
        <w:jc w:val="left"/>
        <w:rPr>
          <w:sz w:val="20"/>
          <w:szCs w:val="20"/>
          <w:lang w:val="en-IE"/>
        </w:rPr>
      </w:pPr>
      <w:r w:rsidRPr="00941395">
        <w:rPr>
          <w:sz w:val="20"/>
          <w:szCs w:val="20"/>
          <w:vertAlign w:val="superscript"/>
          <w:lang w:val="en-IE"/>
        </w:rPr>
        <w:footnoteRef/>
      </w:r>
      <w:r w:rsidRPr="00736B80">
        <w:rPr>
          <w:sz w:val="20"/>
          <w:szCs w:val="20"/>
          <w:lang w:val="en-IE"/>
        </w:rPr>
        <w:t xml:space="preserve"> European Parliament resolution of 19 January 2012 on how to avoid food wastage: strategies for a more efficient food chain in the EU, </w:t>
      </w:r>
      <w:hyperlink r:id="rId57">
        <w:r w:rsidRPr="00736B80">
          <w:rPr>
            <w:rStyle w:val="Hyperlink"/>
            <w:sz w:val="20"/>
            <w:szCs w:val="20"/>
            <w:lang w:val="en-IE"/>
          </w:rPr>
          <w:t>https://www.europarl.europa.eu/doceo/document/TA-7-2012-0014_EN.html?redirect</w:t>
        </w:r>
      </w:hyperlink>
      <w:r w:rsidRPr="00736B80">
        <w:rPr>
          <w:rStyle w:val="Hyperlink"/>
          <w:sz w:val="20"/>
          <w:szCs w:val="20"/>
          <w:lang w:val="en-IE"/>
        </w:rPr>
        <w:t>.</w:t>
      </w:r>
    </w:p>
  </w:footnote>
  <w:footnote w:id="113">
    <w:p w14:paraId="37025654" w14:textId="77777777" w:rsidR="00830770" w:rsidRPr="00736B80" w:rsidRDefault="00830770" w:rsidP="00DF4CCF">
      <w:pPr>
        <w:spacing w:after="0"/>
        <w:jc w:val="left"/>
        <w:rPr>
          <w:sz w:val="20"/>
          <w:szCs w:val="20"/>
          <w:lang w:val="en-IE"/>
        </w:rPr>
      </w:pPr>
      <w:r w:rsidRPr="00941395">
        <w:rPr>
          <w:sz w:val="20"/>
          <w:szCs w:val="20"/>
          <w:vertAlign w:val="superscript"/>
          <w:lang w:val="en-IE"/>
        </w:rPr>
        <w:footnoteRef/>
      </w:r>
      <w:r w:rsidRPr="00736B80">
        <w:rPr>
          <w:sz w:val="20"/>
          <w:szCs w:val="20"/>
          <w:lang w:val="en-IE"/>
        </w:rPr>
        <w:t xml:space="preserve"> European Parliament resolution of 9 July 2015 on resource efficiency: moving towards a circular economy, </w:t>
      </w:r>
      <w:hyperlink r:id="rId58">
        <w:r w:rsidRPr="00736B80">
          <w:rPr>
            <w:rStyle w:val="Hyperlink"/>
            <w:sz w:val="20"/>
            <w:szCs w:val="20"/>
            <w:lang w:val="en-IE"/>
          </w:rPr>
          <w:t>https://www.europarl.europa.eu/doceo/document/TA-8-2015-0266_EN.html?redirect</w:t>
        </w:r>
      </w:hyperlink>
      <w:r w:rsidRPr="00736B80">
        <w:rPr>
          <w:rStyle w:val="Hyperlink"/>
          <w:sz w:val="20"/>
          <w:szCs w:val="20"/>
          <w:lang w:val="en-IE"/>
        </w:rPr>
        <w:t>.</w:t>
      </w:r>
    </w:p>
  </w:footnote>
  <w:footnote w:id="114">
    <w:p w14:paraId="6FB6B206" w14:textId="77777777" w:rsidR="00830770" w:rsidRPr="00736B80" w:rsidRDefault="00830770" w:rsidP="00DF4CCF">
      <w:pPr>
        <w:spacing w:after="0"/>
        <w:jc w:val="left"/>
        <w:rPr>
          <w:sz w:val="20"/>
          <w:szCs w:val="20"/>
          <w:lang w:val="en-IE"/>
        </w:rPr>
      </w:pPr>
      <w:r w:rsidRPr="00941395">
        <w:rPr>
          <w:sz w:val="20"/>
          <w:szCs w:val="20"/>
          <w:vertAlign w:val="superscript"/>
          <w:lang w:val="en-IE"/>
        </w:rPr>
        <w:footnoteRef/>
      </w:r>
      <w:r w:rsidRPr="00941395">
        <w:rPr>
          <w:sz w:val="20"/>
          <w:szCs w:val="20"/>
          <w:lang w:val="en-IE"/>
        </w:rPr>
        <w:t xml:space="preserve"> European Parliament resolution of 15 January 2020 on the European Green Deal,</w:t>
      </w:r>
      <w:r w:rsidRPr="00736B80">
        <w:rPr>
          <w:sz w:val="20"/>
          <w:szCs w:val="20"/>
          <w:lang w:val="en-IE"/>
        </w:rPr>
        <w:t xml:space="preserve"> </w:t>
      </w:r>
      <w:hyperlink r:id="rId59">
        <w:r w:rsidRPr="00736B80">
          <w:rPr>
            <w:rStyle w:val="Hyperlink"/>
            <w:sz w:val="20"/>
            <w:szCs w:val="20"/>
            <w:lang w:val="en-IE"/>
          </w:rPr>
          <w:t>https://www.europarl.europa.eu/doceo/document/TA-9-2020-0005_EN.pdf</w:t>
        </w:r>
      </w:hyperlink>
      <w:r w:rsidRPr="00736B80">
        <w:rPr>
          <w:rStyle w:val="Hyperlink"/>
          <w:sz w:val="20"/>
          <w:szCs w:val="20"/>
          <w:lang w:val="en-IE"/>
        </w:rPr>
        <w:t>.</w:t>
      </w:r>
    </w:p>
  </w:footnote>
  <w:footnote w:id="115">
    <w:p w14:paraId="4ED88465" w14:textId="77777777" w:rsidR="00830770" w:rsidRPr="00736B80" w:rsidRDefault="00830770" w:rsidP="00DF4CCF">
      <w:pPr>
        <w:spacing w:after="0"/>
        <w:jc w:val="left"/>
        <w:rPr>
          <w:sz w:val="20"/>
          <w:szCs w:val="20"/>
          <w:lang w:val="en-IE"/>
        </w:rPr>
      </w:pPr>
      <w:r w:rsidRPr="00941395">
        <w:rPr>
          <w:sz w:val="20"/>
          <w:szCs w:val="20"/>
          <w:vertAlign w:val="superscript"/>
          <w:lang w:val="en-IE"/>
        </w:rPr>
        <w:footnoteRef/>
      </w:r>
      <w:r w:rsidRPr="00736B80">
        <w:rPr>
          <w:sz w:val="20"/>
          <w:szCs w:val="20"/>
          <w:lang w:val="en-IE"/>
        </w:rPr>
        <w:t xml:space="preserve"> European Parliament resolution of 16 May 2017 on initiative on resource efficiency: reducing food waste, improving food safety, </w:t>
      </w:r>
      <w:hyperlink r:id="rId60">
        <w:r w:rsidRPr="00736B80">
          <w:rPr>
            <w:rStyle w:val="Hyperlink"/>
            <w:sz w:val="20"/>
            <w:szCs w:val="20"/>
            <w:lang w:val="en-IE"/>
          </w:rPr>
          <w:t>https://www.europarl.europa.eu/doceo/document/TA-8-2017-0207_EN.html?redirect</w:t>
        </w:r>
      </w:hyperlink>
      <w:r w:rsidRPr="00736B80">
        <w:rPr>
          <w:rStyle w:val="Hyperlink"/>
          <w:sz w:val="20"/>
          <w:szCs w:val="20"/>
          <w:lang w:val="en-IE"/>
        </w:rPr>
        <w:t>.</w:t>
      </w:r>
      <w:r w:rsidRPr="00736B80">
        <w:rPr>
          <w:sz w:val="20"/>
          <w:szCs w:val="20"/>
          <w:lang w:val="en-IE"/>
        </w:rPr>
        <w:t xml:space="preserve"> </w:t>
      </w:r>
    </w:p>
  </w:footnote>
  <w:footnote w:id="116">
    <w:p w14:paraId="635BE60A" w14:textId="77777777" w:rsidR="00830770" w:rsidRPr="00941395" w:rsidRDefault="00830770" w:rsidP="00DF4CCF">
      <w:pPr>
        <w:pStyle w:val="FootnoteText"/>
        <w:jc w:val="left"/>
        <w:rPr>
          <w:lang w:val="en-IE"/>
        </w:rPr>
      </w:pPr>
      <w:r w:rsidRPr="00941395">
        <w:rPr>
          <w:rStyle w:val="FootnoteReference"/>
          <w:lang w:val="en-IE"/>
        </w:rPr>
        <w:footnoteRef/>
      </w:r>
      <w:r w:rsidRPr="00941395">
        <w:rPr>
          <w:lang w:val="en-IE"/>
        </w:rPr>
        <w:t xml:space="preserve"> Council conclusions on Food losses and food waste, adopted on 28 June 2016 (10730/16).</w:t>
      </w:r>
    </w:p>
  </w:footnote>
  <w:footnote w:id="117">
    <w:p w14:paraId="5794F52F" w14:textId="77777777" w:rsidR="00830770" w:rsidRPr="00211D2B" w:rsidRDefault="00830770" w:rsidP="00DF4CCF">
      <w:pPr>
        <w:spacing w:after="0"/>
        <w:jc w:val="left"/>
        <w:rPr>
          <w:sz w:val="20"/>
          <w:szCs w:val="20"/>
          <w:lang w:val="en-IE"/>
        </w:rPr>
      </w:pPr>
      <w:r w:rsidRPr="00941395">
        <w:rPr>
          <w:sz w:val="20"/>
          <w:szCs w:val="20"/>
          <w:vertAlign w:val="superscript"/>
          <w:lang w:val="en-IE"/>
        </w:rPr>
        <w:footnoteRef/>
      </w:r>
      <w:r w:rsidRPr="00736B80">
        <w:rPr>
          <w:sz w:val="20"/>
          <w:szCs w:val="20"/>
          <w:lang w:val="en-IE"/>
        </w:rPr>
        <w:t xml:space="preserve"> European Council, </w:t>
      </w:r>
      <w:r w:rsidRPr="00736B80">
        <w:rPr>
          <w:i/>
          <w:iCs/>
          <w:sz w:val="20"/>
          <w:szCs w:val="20"/>
          <w:lang w:val="en-IE"/>
        </w:rPr>
        <w:t>Timeline - Food loss and food waste,</w:t>
      </w:r>
      <w:r w:rsidRPr="00736B80">
        <w:rPr>
          <w:sz w:val="20"/>
          <w:szCs w:val="20"/>
          <w:lang w:val="en-IE"/>
        </w:rPr>
        <w:t xml:space="preserve"> </w:t>
      </w:r>
      <w:hyperlink r:id="rId61">
        <w:r w:rsidRPr="00211D2B">
          <w:rPr>
            <w:rStyle w:val="Hyperlink"/>
            <w:sz w:val="20"/>
            <w:szCs w:val="20"/>
            <w:lang w:val="en-IE"/>
          </w:rPr>
          <w:t>https://www.consilium.europa.eu/en/policies/food-losses-waste/timeline-food-loss-and-food-waste/</w:t>
        </w:r>
      </w:hyperlink>
      <w:r w:rsidRPr="00211D2B">
        <w:rPr>
          <w:rStyle w:val="Hyperlink"/>
          <w:sz w:val="20"/>
          <w:szCs w:val="20"/>
          <w:lang w:val="en-IE"/>
        </w:rPr>
        <w:t>.</w:t>
      </w:r>
    </w:p>
  </w:footnote>
  <w:footnote w:id="118">
    <w:p w14:paraId="0F907FCD" w14:textId="2B54FCF7" w:rsidR="00830770" w:rsidRPr="00941395" w:rsidRDefault="00830770">
      <w:pPr>
        <w:pStyle w:val="FootnoteText"/>
        <w:rPr>
          <w:lang w:val="en-IE"/>
        </w:rPr>
      </w:pPr>
      <w:r w:rsidRPr="00941395">
        <w:rPr>
          <w:rStyle w:val="FootnoteReference"/>
          <w:lang w:val="en-IE"/>
        </w:rPr>
        <w:footnoteRef/>
      </w:r>
      <w:r w:rsidRPr="00941395">
        <w:rPr>
          <w:lang w:val="en-IE"/>
        </w:rPr>
        <w:t xml:space="preserve"> European Commission, </w:t>
      </w:r>
      <w:r w:rsidRPr="00215F92">
        <w:rPr>
          <w:lang w:val="en-IE"/>
        </w:rPr>
        <w:t xml:space="preserve">Joint Research Centre. </w:t>
      </w:r>
      <w:r w:rsidRPr="00215F92">
        <w:rPr>
          <w:i/>
          <w:iCs/>
          <w:lang w:val="en-IE"/>
        </w:rPr>
        <w:t>Techno-scientific assessment of the management options for used and waste textiles</w:t>
      </w:r>
      <w:r w:rsidRPr="00215F92">
        <w:rPr>
          <w:lang w:val="en-IE"/>
        </w:rPr>
        <w:t>. 2023 (under development)</w:t>
      </w:r>
    </w:p>
  </w:footnote>
  <w:footnote w:id="119">
    <w:p w14:paraId="193A9FFE" w14:textId="1C577183" w:rsidR="00830770" w:rsidRPr="00941395" w:rsidRDefault="00830770" w:rsidP="00B91597">
      <w:pPr>
        <w:spacing w:after="0"/>
        <w:jc w:val="left"/>
        <w:rPr>
          <w:rFonts w:eastAsia="Times New Roman"/>
          <w:sz w:val="20"/>
          <w:szCs w:val="20"/>
          <w:lang w:val="en-IE"/>
        </w:rPr>
      </w:pPr>
      <w:r w:rsidRPr="00941395">
        <w:rPr>
          <w:rStyle w:val="FootnoteReference"/>
          <w:rFonts w:eastAsiaTheme="minorEastAsia"/>
          <w:sz w:val="20"/>
          <w:szCs w:val="20"/>
          <w:lang w:val="en-IE"/>
        </w:rPr>
        <w:footnoteRef/>
      </w:r>
      <w:r w:rsidRPr="00941395">
        <w:rPr>
          <w:sz w:val="20"/>
          <w:szCs w:val="20"/>
          <w:lang w:val="en-IE"/>
        </w:rPr>
        <w:t xml:space="preserve"> </w:t>
      </w:r>
      <w:r w:rsidRPr="00941395">
        <w:rPr>
          <w:rFonts w:eastAsia="Times New Roman"/>
          <w:sz w:val="20"/>
          <w:szCs w:val="20"/>
          <w:lang w:val="en-IE"/>
        </w:rPr>
        <w:t xml:space="preserve">Migiro, G., </w:t>
      </w:r>
      <w:r w:rsidRPr="00941395">
        <w:rPr>
          <w:rFonts w:eastAsia="Times New Roman"/>
          <w:i/>
          <w:sz w:val="20"/>
          <w:szCs w:val="20"/>
          <w:lang w:val="en-IE"/>
        </w:rPr>
        <w:t>Top 10 Textile Importing Countries In The World</w:t>
      </w:r>
      <w:r w:rsidRPr="00941395">
        <w:rPr>
          <w:rFonts w:eastAsia="Times New Roman"/>
          <w:sz w:val="20"/>
          <w:szCs w:val="20"/>
          <w:lang w:val="en-IE"/>
        </w:rPr>
        <w:t xml:space="preserve">, WorldAtlas, in Economics, 2020, </w:t>
      </w:r>
      <w:r w:rsidRPr="00941395">
        <w:rPr>
          <w:sz w:val="20"/>
          <w:szCs w:val="20"/>
          <w:lang w:val="en-IE"/>
        </w:rPr>
        <w:t>"https://www.worldatlas.com/articles/top-10-textile-importing-countries-in-the-world.html."</w:t>
      </w:r>
      <w:r w:rsidRPr="00941395">
        <w:rPr>
          <w:rStyle w:val="Hyperlink"/>
          <w:rFonts w:eastAsia="Times New Roman"/>
          <w:sz w:val="20"/>
          <w:szCs w:val="20"/>
          <w:lang w:val="en-IE"/>
        </w:rPr>
        <w:t>https://www.worldatlas.com/articles/top-10-textile-importing-countries-in-the-world.html.</w:t>
      </w:r>
    </w:p>
  </w:footnote>
  <w:footnote w:id="120">
    <w:p w14:paraId="0BD0913E" w14:textId="3D7B3F65" w:rsidR="00830770" w:rsidRPr="00941395" w:rsidRDefault="00830770" w:rsidP="00D75004">
      <w:pPr>
        <w:pStyle w:val="FootnoteText"/>
        <w:jc w:val="left"/>
        <w:rPr>
          <w:rStyle w:val="Hyperlink"/>
          <w:lang w:val="en-IE"/>
        </w:rPr>
      </w:pPr>
      <w:r w:rsidRPr="00941395">
        <w:rPr>
          <w:rStyle w:val="FootnoteReference"/>
          <w:lang w:val="en-IE"/>
        </w:rPr>
        <w:footnoteRef/>
      </w:r>
      <w:r w:rsidRPr="00941395">
        <w:rPr>
          <w:lang w:val="en-IE"/>
        </w:rPr>
        <w:t xml:space="preserve"> OECD, </w:t>
      </w:r>
      <w:r w:rsidRPr="00941395">
        <w:rPr>
          <w:i/>
          <w:lang w:val="en-IE"/>
        </w:rPr>
        <w:t xml:space="preserve">Germany supports sustainable textile production, </w:t>
      </w:r>
      <w:r w:rsidRPr="00941395">
        <w:rPr>
          <w:lang w:val="en-IE"/>
        </w:rPr>
        <w:t>Development co-operation tips tools insights practices in practice, 20222, ﷟HYPERLINK "https://www.oecd.org/development-cooperation-learning/practices/dynamic/dcd-best-practices/89276a44/pdf/germany-supports-sustainable-textile-production.pdf"</w:t>
      </w:r>
      <w:r w:rsidRPr="00941395">
        <w:rPr>
          <w:rStyle w:val="Hyperlink"/>
          <w:lang w:val="en-IE"/>
        </w:rPr>
        <w:t>Germany supports sustainable textile production - OECD.</w:t>
      </w:r>
    </w:p>
  </w:footnote>
  <w:footnote w:id="121">
    <w:p w14:paraId="3F5D32FB" w14:textId="7D03CF27" w:rsidR="00830770" w:rsidRPr="00941395" w:rsidRDefault="00830770" w:rsidP="00D75004">
      <w:pPr>
        <w:spacing w:after="0"/>
        <w:jc w:val="left"/>
        <w:rPr>
          <w:rFonts w:eastAsia="Times New Roman"/>
          <w:sz w:val="20"/>
          <w:szCs w:val="20"/>
          <w:lang w:val="en-IE"/>
        </w:rPr>
      </w:pPr>
      <w:r w:rsidRPr="00941395">
        <w:rPr>
          <w:rStyle w:val="FootnoteReference"/>
          <w:rFonts w:eastAsiaTheme="minorEastAsia"/>
          <w:sz w:val="20"/>
          <w:szCs w:val="20"/>
          <w:lang w:val="en-IE"/>
        </w:rPr>
        <w:footnoteRef/>
      </w:r>
      <w:r w:rsidRPr="00941395">
        <w:rPr>
          <w:sz w:val="20"/>
          <w:szCs w:val="20"/>
          <w:lang w:val="en-IE"/>
        </w:rPr>
        <w:t xml:space="preserve"> </w:t>
      </w:r>
      <w:r w:rsidRPr="00941395">
        <w:rPr>
          <w:rFonts w:eastAsia="Times New Roman"/>
          <w:color w:val="333333"/>
          <w:sz w:val="20"/>
          <w:szCs w:val="20"/>
          <w:lang w:val="en-IE"/>
        </w:rPr>
        <w:t xml:space="preserve">Ellen MacArthur Foundation (EMF), </w:t>
      </w:r>
      <w:hyperlink r:id="rId62">
        <w:r w:rsidRPr="00941395">
          <w:rPr>
            <w:rStyle w:val="Hyperlink"/>
            <w:rFonts w:eastAsia="Times New Roman"/>
            <w:sz w:val="20"/>
            <w:szCs w:val="20"/>
            <w:lang w:val="en-IE"/>
          </w:rPr>
          <w:t>A New Textiles Economy: Redesigning fashion’s future</w:t>
        </w:r>
      </w:hyperlink>
      <w:r w:rsidRPr="00941395">
        <w:rPr>
          <w:rStyle w:val="Hyperlink"/>
          <w:rFonts w:eastAsia="Times New Roman"/>
          <w:sz w:val="20"/>
          <w:szCs w:val="20"/>
          <w:lang w:val="en-IE"/>
        </w:rPr>
        <w:t xml:space="preserve">, </w:t>
      </w:r>
      <w:r w:rsidRPr="00941395">
        <w:rPr>
          <w:rFonts w:eastAsia="Times New Roman"/>
          <w:color w:val="333333"/>
          <w:sz w:val="20"/>
          <w:szCs w:val="20"/>
          <w:lang w:val="en-IE"/>
        </w:rPr>
        <w:t xml:space="preserve">2017. </w:t>
      </w:r>
    </w:p>
  </w:footnote>
  <w:footnote w:id="122">
    <w:p w14:paraId="11B9902B" w14:textId="53373C8C" w:rsidR="00830770" w:rsidRPr="00941395" w:rsidRDefault="00830770" w:rsidP="00B91597">
      <w:pPr>
        <w:pStyle w:val="NoSpacing"/>
        <w:rPr>
          <w:rFonts w:ascii="Times New Roman" w:hAnsi="Times New Roman" w:cs="Times New Roman"/>
          <w:sz w:val="20"/>
          <w:szCs w:val="20"/>
          <w:lang w:val="en-IE"/>
        </w:rPr>
      </w:pPr>
      <w:r w:rsidRPr="00941395">
        <w:rPr>
          <w:rStyle w:val="FootnoteReference"/>
          <w:rFonts w:ascii="Times New Roman" w:hAnsi="Times New Roman" w:cs="Times New Roman"/>
          <w:sz w:val="20"/>
          <w:szCs w:val="20"/>
          <w:lang w:val="en-IE"/>
        </w:rPr>
        <w:footnoteRef/>
      </w:r>
      <w:r w:rsidRPr="00941395">
        <w:rPr>
          <w:rFonts w:ascii="Times New Roman" w:hAnsi="Times New Roman" w:cs="Times New Roman"/>
          <w:sz w:val="20"/>
          <w:szCs w:val="20"/>
          <w:lang w:val="en-IE"/>
        </w:rPr>
        <w:t xml:space="preserve"> </w:t>
      </w:r>
      <w:r w:rsidRPr="00941395">
        <w:rPr>
          <w:rFonts w:ascii="Times New Roman" w:hAnsi="Times New Roman" w:cs="Times New Roman"/>
          <w:color w:val="333333"/>
          <w:sz w:val="20"/>
          <w:szCs w:val="20"/>
          <w:lang w:val="en-IE"/>
        </w:rPr>
        <w:t xml:space="preserve">Atkar, A., Pabba, M., Sekhar, S.C., Sridhar S., </w:t>
      </w:r>
      <w:r w:rsidRPr="00941395">
        <w:rPr>
          <w:rFonts w:ascii="Times New Roman" w:hAnsi="Times New Roman" w:cs="Times New Roman"/>
          <w:i/>
          <w:color w:val="333333"/>
          <w:sz w:val="20"/>
          <w:szCs w:val="20"/>
          <w:lang w:val="en-IE"/>
        </w:rPr>
        <w:t>Current limitations and challenges in the global textile sector,</w:t>
      </w:r>
      <w:r w:rsidRPr="00941395">
        <w:rPr>
          <w:rFonts w:ascii="Times New Roman" w:hAnsi="Times New Roman" w:cs="Times New Roman"/>
          <w:color w:val="333333"/>
          <w:sz w:val="20"/>
          <w:szCs w:val="20"/>
          <w:lang w:val="en-IE"/>
        </w:rPr>
        <w:t xml:space="preserve"> Fundam Nat Fibres Text, pp. 741-764, 2021.</w:t>
      </w:r>
    </w:p>
  </w:footnote>
  <w:footnote w:id="123">
    <w:p w14:paraId="7334DABF" w14:textId="48212098" w:rsidR="00830770" w:rsidRPr="00941395" w:rsidRDefault="00830770" w:rsidP="00D75004">
      <w:pPr>
        <w:pStyle w:val="FootnoteText"/>
        <w:jc w:val="left"/>
        <w:rPr>
          <w:lang w:val="en-IE"/>
        </w:rPr>
      </w:pPr>
      <w:r w:rsidRPr="00941395">
        <w:rPr>
          <w:rStyle w:val="FootnoteReference"/>
          <w:lang w:val="en-IE"/>
        </w:rPr>
        <w:footnoteRef/>
      </w:r>
      <w:r w:rsidRPr="00941395">
        <w:rPr>
          <w:lang w:val="en-IE"/>
        </w:rPr>
        <w:t xml:space="preserve"> European Commission, Directorate-General for Internal Market, Industry, Entrepreneurship and SMEs, Data on the EU textile ecosystem and its competitiveness : final report, Publications Office of the European Union, 2021, </w:t>
      </w:r>
      <w:hyperlink r:id="rId63" w:history="1">
        <w:r w:rsidRPr="00941395">
          <w:rPr>
            <w:rStyle w:val="Hyperlink"/>
            <w:lang w:val="en-IE"/>
          </w:rPr>
          <w:t>https://data.europa.eu/doi/10.2873/23948</w:t>
        </w:r>
      </w:hyperlink>
    </w:p>
  </w:footnote>
  <w:footnote w:id="124">
    <w:p w14:paraId="53760BC0" w14:textId="77777777" w:rsidR="00830770" w:rsidRPr="00941395" w:rsidRDefault="00830770" w:rsidP="00D75004">
      <w:pPr>
        <w:pStyle w:val="FootnoteText"/>
        <w:jc w:val="left"/>
        <w:rPr>
          <w:lang w:val="en-IE"/>
        </w:rPr>
      </w:pPr>
      <w:r w:rsidRPr="00941395">
        <w:rPr>
          <w:rStyle w:val="FootnoteReference"/>
          <w:lang w:val="en-IE"/>
        </w:rPr>
        <w:footnoteRef/>
      </w:r>
      <w:r w:rsidRPr="00941395">
        <w:rPr>
          <w:lang w:val="en-IE"/>
        </w:rPr>
        <w:t xml:space="preserve"> </w:t>
      </w:r>
      <w:r w:rsidRPr="00941395">
        <w:rPr>
          <w:color w:val="333333"/>
          <w:shd w:val="clear" w:color="auto" w:fill="FFFFFF"/>
          <w:lang w:val="en-IE"/>
        </w:rPr>
        <w:t xml:space="preserve">Statistics on extra-EU trade are calculated as the sum of trade of each of the 27 EU Member States with countries outside the EU. </w:t>
      </w:r>
    </w:p>
  </w:footnote>
  <w:footnote w:id="125">
    <w:p w14:paraId="72ADA747" w14:textId="78DC95D4" w:rsidR="00830770" w:rsidRPr="00941395" w:rsidRDefault="00830770" w:rsidP="00B91597">
      <w:pPr>
        <w:pStyle w:val="FootnoteText"/>
        <w:jc w:val="left"/>
        <w:rPr>
          <w:lang w:val="en-IE"/>
        </w:rPr>
      </w:pPr>
      <w:r w:rsidRPr="00941395">
        <w:rPr>
          <w:rStyle w:val="FootnoteReference"/>
          <w:lang w:val="en-IE"/>
        </w:rPr>
        <w:footnoteRef/>
      </w:r>
      <w:r w:rsidRPr="00941395">
        <w:rPr>
          <w:lang w:val="en-IE"/>
        </w:rPr>
        <w:t xml:space="preserve"> </w:t>
      </w:r>
      <w:hyperlink r:id="rId64" w:anchor="section-cited-by" w:history="1">
        <w:r w:rsidRPr="00941395">
          <w:rPr>
            <w:color w:val="333333"/>
            <w:shd w:val="clear" w:color="auto" w:fill="FFFFFF"/>
            <w:lang w:val="en-IE"/>
          </w:rPr>
          <w:t>Scheffer, M.R.,</w:t>
        </w:r>
      </w:hyperlink>
      <w:r w:rsidRPr="00941395">
        <w:rPr>
          <w:color w:val="333333"/>
          <w:shd w:val="clear" w:color="auto" w:fill="FFFFFF"/>
          <w:lang w:val="en-IE"/>
        </w:rPr>
        <w:t xml:space="preserve"> ’</w:t>
      </w:r>
      <w:r w:rsidRPr="00941395">
        <w:rPr>
          <w:color w:val="333333"/>
          <w:lang w:val="en-IE"/>
        </w:rPr>
        <w:t>Shishoo, R. (ed.). The global textile and clothing industry</w:t>
      </w:r>
      <w:r w:rsidRPr="00941395">
        <w:rPr>
          <w:i/>
          <w:color w:val="333333"/>
          <w:lang w:val="en-IE"/>
        </w:rPr>
        <w:t xml:space="preserve"> </w:t>
      </w:r>
      <w:r w:rsidRPr="00941395">
        <w:rPr>
          <w:color w:val="333333"/>
          <w:lang w:val="en-IE"/>
        </w:rPr>
        <w:t>Technological advances and future challenges‘</w:t>
      </w:r>
      <w:r w:rsidRPr="00941395">
        <w:rPr>
          <w:color w:val="333333"/>
          <w:shd w:val="clear" w:color="auto" w:fill="FFFFFF"/>
          <w:lang w:val="en-IE"/>
        </w:rPr>
        <w:t xml:space="preserve">, </w:t>
      </w:r>
      <w:r w:rsidRPr="00941395">
        <w:rPr>
          <w:i/>
          <w:color w:val="333333"/>
          <w:shd w:val="clear" w:color="auto" w:fill="FFFFFF"/>
          <w:lang w:val="en-IE"/>
        </w:rPr>
        <w:t>Trends in textile markets and their implications for textile products and processes</w:t>
      </w:r>
      <w:r w:rsidRPr="00941395">
        <w:rPr>
          <w:i/>
          <w:color w:val="333333"/>
          <w:lang w:val="en-IE"/>
        </w:rPr>
        <w:t>,</w:t>
      </w:r>
      <w:r w:rsidRPr="00941395">
        <w:rPr>
          <w:color w:val="333333"/>
          <w:lang w:val="en-IE"/>
        </w:rPr>
        <w:t xml:space="preserve"> Cambridge: Woodhead Publishing Ltd, 2012, pp. 8– 28.</w:t>
      </w:r>
    </w:p>
  </w:footnote>
  <w:footnote w:id="126">
    <w:p w14:paraId="0603A659" w14:textId="77777777" w:rsidR="00830770" w:rsidRPr="00941395" w:rsidRDefault="00830770" w:rsidP="007A6747">
      <w:pPr>
        <w:pStyle w:val="FootnoteText"/>
        <w:jc w:val="left"/>
        <w:rPr>
          <w:lang w:val="en-IE"/>
        </w:rPr>
      </w:pPr>
      <w:r w:rsidRPr="00941395">
        <w:rPr>
          <w:rStyle w:val="FootnoteReference"/>
          <w:lang w:val="en-IE"/>
        </w:rPr>
        <w:footnoteRef/>
      </w:r>
      <w:r w:rsidRPr="00941395">
        <w:rPr>
          <w:lang w:val="en-IE"/>
        </w:rPr>
        <w:t xml:space="preserve"> </w:t>
      </w:r>
      <w:r w:rsidRPr="00941395">
        <w:rPr>
          <w:color w:val="000000"/>
          <w:shd w:val="clear" w:color="auto" w:fill="FFFFFF"/>
          <w:lang w:val="en-IE"/>
        </w:rPr>
        <w:t>The European Commission defines SMEs as having less than 250 persons employed. They should also have an annual turnover of up to EUR 50 million, or a balance sheet total of no more than EUR 43 million (Commission Recommendation of 6 May 2003).</w:t>
      </w:r>
    </w:p>
  </w:footnote>
  <w:footnote w:id="127">
    <w:p w14:paraId="4B0D5054" w14:textId="279B2E94" w:rsidR="00830770" w:rsidRPr="00941395" w:rsidRDefault="00830770" w:rsidP="00672652">
      <w:pPr>
        <w:pStyle w:val="FootnoteText"/>
        <w:rPr>
          <w:lang w:val="en-IE"/>
        </w:rPr>
      </w:pPr>
      <w:r w:rsidRPr="00941395">
        <w:rPr>
          <w:rStyle w:val="FootnoteReference"/>
          <w:lang w:val="en-IE"/>
        </w:rPr>
        <w:footnoteRef/>
      </w:r>
      <w:r w:rsidRPr="00941395">
        <w:rPr>
          <w:lang w:val="en-IE"/>
        </w:rPr>
        <w:t xml:space="preserve"> </w:t>
      </w:r>
      <w:r>
        <w:t>Eurostat data set ‘Enterprise statistics by size class and NACE Rev.2 activity’ (</w:t>
      </w:r>
      <w:r w:rsidRPr="00546CB0">
        <w:t>SBS_SC_OVW</w:t>
      </w:r>
      <w:r>
        <w:t>), combing NACE codes C13, C14 and C15.</w:t>
      </w:r>
    </w:p>
  </w:footnote>
  <w:footnote w:id="128">
    <w:p w14:paraId="658199C1" w14:textId="60881A4D" w:rsidR="00830770" w:rsidRPr="00AC6FB3" w:rsidRDefault="00830770" w:rsidP="00A66118">
      <w:pPr>
        <w:pStyle w:val="FootnoteText"/>
      </w:pPr>
      <w:r>
        <w:rPr>
          <w:rStyle w:val="FootnoteReference"/>
        </w:rPr>
        <w:footnoteRef/>
      </w:r>
      <w:r>
        <w:t xml:space="preserve"> Ibidem. </w:t>
      </w:r>
    </w:p>
  </w:footnote>
  <w:footnote w:id="129">
    <w:p w14:paraId="677C4B54" w14:textId="77777777" w:rsidR="00830770" w:rsidRPr="0048487E" w:rsidRDefault="00830770" w:rsidP="007A6747">
      <w:pPr>
        <w:pStyle w:val="FootnoteText"/>
        <w:jc w:val="left"/>
        <w:rPr>
          <w:lang w:val="en-IE"/>
        </w:rPr>
      </w:pPr>
      <w:r w:rsidRPr="00941395">
        <w:rPr>
          <w:rStyle w:val="FootnoteReference"/>
          <w:lang w:val="en-IE"/>
        </w:rPr>
        <w:footnoteRef/>
      </w:r>
      <w:r w:rsidRPr="00941395">
        <w:rPr>
          <w:lang w:val="en-IE"/>
        </w:rPr>
        <w:t xml:space="preserve"> World Trade Statistical Review 2021. Calculations by the Commission services.</w:t>
      </w:r>
    </w:p>
  </w:footnote>
  <w:footnote w:id="130">
    <w:p w14:paraId="7A5ED026" w14:textId="77777777" w:rsidR="00830770" w:rsidRPr="00941395" w:rsidRDefault="00830770" w:rsidP="007A6747">
      <w:pPr>
        <w:pStyle w:val="FootnoteText"/>
        <w:jc w:val="left"/>
        <w:rPr>
          <w:lang w:val="en-IE"/>
        </w:rPr>
      </w:pPr>
      <w:r w:rsidRPr="00941395">
        <w:rPr>
          <w:rStyle w:val="FootnoteReference"/>
          <w:lang w:val="en-IE"/>
        </w:rPr>
        <w:footnoteRef/>
      </w:r>
      <w:r w:rsidRPr="00941395">
        <w:rPr>
          <w:lang w:val="en-IE"/>
        </w:rPr>
        <w:t xml:space="preserve"> World Trade Statistical Review, 2021.</w:t>
      </w:r>
    </w:p>
  </w:footnote>
  <w:footnote w:id="131">
    <w:p w14:paraId="638D48C2" w14:textId="77777777" w:rsidR="00830770" w:rsidRPr="0048487E" w:rsidRDefault="00830770" w:rsidP="007A6747">
      <w:pPr>
        <w:pStyle w:val="FootnoteText"/>
        <w:jc w:val="left"/>
        <w:rPr>
          <w:lang w:val="en-IE"/>
        </w:rPr>
      </w:pPr>
      <w:r w:rsidRPr="00941395">
        <w:rPr>
          <w:rStyle w:val="FootnoteReference"/>
          <w:lang w:val="en-IE"/>
        </w:rPr>
        <w:footnoteRef/>
      </w:r>
      <w:r w:rsidRPr="00941395">
        <w:rPr>
          <w:lang w:val="en-IE"/>
        </w:rPr>
        <w:t xml:space="preserve"> World Trade Statistical Review 2021. Calculations by the Commission services.</w:t>
      </w:r>
    </w:p>
  </w:footnote>
  <w:footnote w:id="132">
    <w:p w14:paraId="008663D1" w14:textId="4ECA46E9" w:rsidR="00830770" w:rsidRPr="00941395" w:rsidRDefault="00830770" w:rsidP="00C25267">
      <w:pPr>
        <w:pStyle w:val="FootnoteText"/>
        <w:jc w:val="left"/>
        <w:rPr>
          <w:lang w:val="en-IE"/>
        </w:rPr>
      </w:pPr>
      <w:r w:rsidRPr="00941395">
        <w:rPr>
          <w:rStyle w:val="FootnoteReference"/>
          <w:lang w:val="en-IE"/>
        </w:rPr>
        <w:footnoteRef/>
      </w:r>
      <w:r w:rsidRPr="00941395">
        <w:rPr>
          <w:lang w:val="en-IE"/>
        </w:rPr>
        <w:t xml:space="preserve"> ETP, </w:t>
      </w:r>
      <w:r w:rsidRPr="00941395">
        <w:rPr>
          <w:i/>
          <w:lang w:val="en-IE"/>
        </w:rPr>
        <w:t>Towards a 4th Industrial Revolution of Textiles and Clothing,</w:t>
      </w:r>
      <w:r w:rsidRPr="00941395">
        <w:rPr>
          <w:lang w:val="en-IE"/>
        </w:rPr>
        <w:t xml:space="preserve"> Brussels, 2016, 6.</w:t>
      </w:r>
    </w:p>
  </w:footnote>
  <w:footnote w:id="133">
    <w:p w14:paraId="4FF60E44" w14:textId="752A061D" w:rsidR="00830770" w:rsidRPr="00941395" w:rsidRDefault="00830770" w:rsidP="00C25267">
      <w:pPr>
        <w:pStyle w:val="FootnoteText"/>
        <w:jc w:val="left"/>
        <w:rPr>
          <w:lang w:val="en-IE"/>
        </w:rPr>
      </w:pPr>
      <w:r w:rsidRPr="00941395">
        <w:rPr>
          <w:rStyle w:val="FootnoteReference"/>
          <w:lang w:val="en-IE"/>
        </w:rPr>
        <w:footnoteRef/>
      </w:r>
      <w:r w:rsidRPr="1FC4F0AB">
        <w:rPr>
          <w:lang w:val="en-IE"/>
        </w:rPr>
        <w:t xml:space="preserve"> Euratex Economic Update 2Q2021</w:t>
      </w:r>
      <w:r w:rsidRPr="00941395">
        <w:rPr>
          <w:lang w:val="en-IE"/>
        </w:rPr>
        <w:t>.</w:t>
      </w:r>
    </w:p>
  </w:footnote>
  <w:footnote w:id="134">
    <w:p w14:paraId="04D8993B" w14:textId="38D1A4E0" w:rsidR="00830770" w:rsidRPr="00941395" w:rsidRDefault="00830770">
      <w:pPr>
        <w:pStyle w:val="FootnoteText"/>
        <w:rPr>
          <w:lang w:val="en-IE"/>
        </w:rPr>
      </w:pPr>
      <w:r w:rsidRPr="00941395">
        <w:rPr>
          <w:rStyle w:val="FootnoteReference"/>
          <w:lang w:val="en-IE"/>
        </w:rPr>
        <w:footnoteRef/>
      </w:r>
      <w:r w:rsidRPr="00941395">
        <w:rPr>
          <w:lang w:val="en-IE"/>
        </w:rPr>
        <w:t xml:space="preserve"> Textiles and the environment: the role of design in Europe’s circular economy. Available at: https://www.eea.europa.eu/publications/textiles-and-the-environment-the.</w:t>
      </w:r>
    </w:p>
  </w:footnote>
  <w:footnote w:id="135">
    <w:p w14:paraId="733038DE" w14:textId="578F802F" w:rsidR="00830770" w:rsidRPr="00246AD2" w:rsidRDefault="00830770" w:rsidP="00271DED">
      <w:pPr>
        <w:pStyle w:val="FootnoteText"/>
        <w:rPr>
          <w:lang w:val="en-IE"/>
        </w:rPr>
      </w:pPr>
      <w:r w:rsidRPr="00941395">
        <w:rPr>
          <w:rStyle w:val="FootnoteReference"/>
          <w:lang w:val="en-IE"/>
        </w:rPr>
        <w:footnoteRef/>
      </w:r>
      <w:r w:rsidRPr="00941395">
        <w:rPr>
          <w:lang w:val="en-IE"/>
        </w:rPr>
        <w:t xml:space="preserve"> European Commission, </w:t>
      </w:r>
      <w:r w:rsidRPr="00D3346F">
        <w:rPr>
          <w:lang w:val="en-IE"/>
        </w:rPr>
        <w:t xml:space="preserve">Joint Research Centre. </w:t>
      </w:r>
      <w:r w:rsidRPr="00D3346F">
        <w:rPr>
          <w:i/>
          <w:iCs/>
          <w:lang w:val="en-IE"/>
        </w:rPr>
        <w:t>Techno-scientific assessment of the management options for used and waste textiles</w:t>
      </w:r>
      <w:r w:rsidRPr="00D3346F">
        <w:rPr>
          <w:lang w:val="en-IE"/>
        </w:rPr>
        <w:t>. 2023 (under development)</w:t>
      </w:r>
    </w:p>
  </w:footnote>
  <w:footnote w:id="136">
    <w:p w14:paraId="2158DA45" w14:textId="77777777" w:rsidR="00830770" w:rsidRPr="00941395" w:rsidRDefault="00830770" w:rsidP="00563FD2">
      <w:pPr>
        <w:pStyle w:val="FootnoteText"/>
        <w:rPr>
          <w:lang w:val="en-IE"/>
        </w:rPr>
      </w:pPr>
      <w:r w:rsidRPr="00941395">
        <w:rPr>
          <w:rStyle w:val="FootnoteReference"/>
          <w:lang w:val="en-IE"/>
        </w:rPr>
        <w:footnoteRef/>
      </w:r>
      <w:r w:rsidRPr="00941395">
        <w:rPr>
          <w:lang w:val="en-IE"/>
        </w:rPr>
        <w:t xml:space="preserve"> Euratex, 2022/  Facts &amp; Figures 2022</w:t>
      </w:r>
    </w:p>
  </w:footnote>
  <w:footnote w:id="137">
    <w:p w14:paraId="6F40C125" w14:textId="77777777" w:rsidR="00830770" w:rsidRPr="00941395" w:rsidRDefault="00830770" w:rsidP="00563FD2">
      <w:pPr>
        <w:pStyle w:val="FootnoteText"/>
        <w:rPr>
          <w:lang w:val="en-IE"/>
        </w:rPr>
      </w:pPr>
      <w:r w:rsidRPr="00941395">
        <w:rPr>
          <w:rStyle w:val="FootnoteReference"/>
          <w:lang w:val="en-IE"/>
        </w:rPr>
        <w:footnoteRef/>
      </w:r>
      <w:r w:rsidRPr="00941395">
        <w:rPr>
          <w:lang w:val="en-IE"/>
        </w:rPr>
        <w:t xml:space="preserve"> </w:t>
      </w:r>
      <w:hyperlink r:id="rId65" w:history="1">
        <w:r w:rsidRPr="00941395">
          <w:rPr>
            <w:rStyle w:val="Hyperlink"/>
            <w:lang w:val="en-IE"/>
          </w:rPr>
          <w:t>https://single-market-economy.ec.europa.eu/sectors/fashion/textiles-and-clothing-industries/textiles-and-clothing-eu_en</w:t>
        </w:r>
      </w:hyperlink>
      <w:r w:rsidRPr="00941395">
        <w:rPr>
          <w:lang w:val="en-IE"/>
        </w:rPr>
        <w:t xml:space="preserve"> </w:t>
      </w:r>
    </w:p>
  </w:footnote>
  <w:footnote w:id="138">
    <w:p w14:paraId="48259F85" w14:textId="6A7965A9" w:rsidR="00830770" w:rsidRPr="00941395" w:rsidRDefault="00830770">
      <w:pPr>
        <w:pStyle w:val="FootnoteText"/>
        <w:rPr>
          <w:lang w:val="en-IE"/>
        </w:rPr>
      </w:pPr>
      <w:r w:rsidRPr="00941395">
        <w:rPr>
          <w:rStyle w:val="FootnoteReference"/>
          <w:lang w:val="en-IE"/>
        </w:rPr>
        <w:footnoteRef/>
      </w:r>
      <w:r w:rsidRPr="00941395">
        <w:rPr>
          <w:lang w:val="en-IE"/>
        </w:rPr>
        <w:t xml:space="preserve"> </w:t>
      </w:r>
      <w:hyperlink r:id="rId66" w:history="1">
        <w:r w:rsidRPr="00941395">
          <w:rPr>
            <w:rStyle w:val="Hyperlink"/>
            <w:lang w:val="en-IE"/>
          </w:rPr>
          <w:t>ECCP Visual Reporting Site (clustercollaboration.eu)</w:t>
        </w:r>
      </w:hyperlink>
    </w:p>
  </w:footnote>
  <w:footnote w:id="139">
    <w:p w14:paraId="6AA5B235" w14:textId="202590F5" w:rsidR="00830770" w:rsidRPr="00B633E5" w:rsidRDefault="00830770">
      <w:pPr>
        <w:pStyle w:val="FootnoteText"/>
        <w:rPr>
          <w:lang w:val="en-IE"/>
        </w:rPr>
      </w:pPr>
      <w:r>
        <w:rPr>
          <w:rStyle w:val="FootnoteReference"/>
        </w:rPr>
        <w:footnoteRef/>
      </w:r>
      <w:r>
        <w:t xml:space="preserve"> Eurostat data set ‘Enterprise statistics by size class and NACE Rev.2 activity’ (</w:t>
      </w:r>
      <w:r w:rsidRPr="00546CB0">
        <w:t>SBS_SC_OVW</w:t>
      </w:r>
      <w:r>
        <w:t>), combing NACE codes C13, C14 and C15.</w:t>
      </w:r>
    </w:p>
  </w:footnote>
  <w:footnote w:id="140">
    <w:p w14:paraId="61C4991A" w14:textId="4A5B0434" w:rsidR="00830770" w:rsidRPr="00941395" w:rsidRDefault="00830770" w:rsidP="009D7ABA">
      <w:pPr>
        <w:pStyle w:val="FootnoteText"/>
        <w:jc w:val="left"/>
        <w:rPr>
          <w:lang w:val="en-IE"/>
        </w:rPr>
      </w:pPr>
      <w:r w:rsidRPr="00941395">
        <w:rPr>
          <w:rStyle w:val="FootnoteReference"/>
          <w:lang w:val="en-IE"/>
        </w:rPr>
        <w:footnoteRef/>
      </w:r>
      <w:r w:rsidRPr="00941395">
        <w:rPr>
          <w:lang w:val="en-IE"/>
        </w:rPr>
        <w:t xml:space="preserve"> EUROSTAT, E-commerce statistics for individuals, 2022, </w:t>
      </w:r>
      <w:r w:rsidRPr="00941395">
        <w:rPr>
          <w:rStyle w:val="Hyperlink"/>
          <w:lang w:val="en-IE"/>
        </w:rPr>
        <w:t>E-commerce statistics for individuals - Statistics Explained (europa.eu).</w:t>
      </w:r>
    </w:p>
  </w:footnote>
  <w:footnote w:id="141">
    <w:p w14:paraId="7ACD1B7E" w14:textId="77777777" w:rsidR="00830770" w:rsidRPr="00941395" w:rsidRDefault="00830770" w:rsidP="00372812">
      <w:pPr>
        <w:pStyle w:val="FootnoteText"/>
        <w:jc w:val="left"/>
        <w:rPr>
          <w:lang w:val="en-IE"/>
        </w:rPr>
      </w:pPr>
      <w:r w:rsidRPr="00941395">
        <w:rPr>
          <w:rStyle w:val="FootnoteReference"/>
          <w:lang w:val="en-IE"/>
        </w:rPr>
        <w:footnoteRef/>
      </w:r>
      <w:r w:rsidRPr="00941395">
        <w:rPr>
          <w:lang w:val="en-IE"/>
        </w:rPr>
        <w:t xml:space="preserve"> EURATEX, 2022, </w:t>
      </w:r>
      <w:hyperlink r:id="rId67" w:history="1">
        <w:r w:rsidRPr="00941395">
          <w:rPr>
            <w:rStyle w:val="Hyperlink"/>
            <w:lang w:val="en-IE"/>
          </w:rPr>
          <w:t>EURATEX Facts &amp; Key Figures of the European Textile and Clothing Industry 2022.</w:t>
        </w:r>
      </w:hyperlink>
    </w:p>
  </w:footnote>
  <w:footnote w:id="142">
    <w:p w14:paraId="2ADC536B" w14:textId="08045D71" w:rsidR="00830770" w:rsidRPr="00941395" w:rsidRDefault="00830770" w:rsidP="003869BE">
      <w:pPr>
        <w:pStyle w:val="NoSpacing"/>
        <w:rPr>
          <w:sz w:val="20"/>
          <w:szCs w:val="20"/>
          <w:lang w:val="en-IE"/>
        </w:rPr>
      </w:pPr>
      <w:r w:rsidRPr="00941395">
        <w:rPr>
          <w:rStyle w:val="FootnoteReference"/>
          <w:rFonts w:ascii="Times New Roman" w:hAnsi="Times New Roman" w:cs="Times New Roman"/>
          <w:sz w:val="20"/>
          <w:szCs w:val="20"/>
          <w:lang w:val="en-IE"/>
        </w:rPr>
        <w:footnoteRef/>
      </w:r>
      <w:r w:rsidRPr="00941395">
        <w:rPr>
          <w:rFonts w:ascii="Times New Roman" w:hAnsi="Times New Roman" w:cs="Times New Roman"/>
          <w:color w:val="333333"/>
          <w:sz w:val="20"/>
          <w:szCs w:val="20"/>
          <w:shd w:val="clear" w:color="auto" w:fill="FFFFFF"/>
          <w:lang w:val="en-IE"/>
        </w:rPr>
        <w:t xml:space="preserve"> See footnote 109, p. 78.</w:t>
      </w:r>
      <w:r w:rsidRPr="00941395">
        <w:rPr>
          <w:sz w:val="20"/>
          <w:szCs w:val="20"/>
          <w:lang w:val="en-IE"/>
        </w:rPr>
        <w:t xml:space="preserve"> </w:t>
      </w:r>
    </w:p>
  </w:footnote>
  <w:footnote w:id="143">
    <w:p w14:paraId="7C9D2D73" w14:textId="77777777" w:rsidR="00830770" w:rsidRPr="00A76DF1" w:rsidRDefault="00830770" w:rsidP="00E944AB">
      <w:pPr>
        <w:spacing w:after="0"/>
        <w:jc w:val="left"/>
        <w:rPr>
          <w:sz w:val="20"/>
          <w:szCs w:val="20"/>
          <w:lang w:val="en-IE"/>
        </w:rPr>
      </w:pPr>
      <w:r w:rsidRPr="00941395">
        <w:rPr>
          <w:rStyle w:val="FootnoteReference"/>
          <w:sz w:val="20"/>
          <w:szCs w:val="20"/>
          <w:lang w:val="en-IE"/>
        </w:rPr>
        <w:footnoteRef/>
      </w:r>
      <w:r w:rsidRPr="00941395">
        <w:rPr>
          <w:sz w:val="20"/>
          <w:szCs w:val="20"/>
          <w:lang w:val="en-IE"/>
        </w:rPr>
        <w:t xml:space="preserve"> Benchmark prices are representative of the global market and determined by the largest import markets of a given commodity.</w:t>
      </w:r>
    </w:p>
  </w:footnote>
  <w:footnote w:id="144">
    <w:p w14:paraId="636EA945" w14:textId="77777777" w:rsidR="00830770" w:rsidRPr="00941395" w:rsidRDefault="00830770" w:rsidP="00E34FA9">
      <w:pPr>
        <w:pStyle w:val="FootnoteText"/>
        <w:rPr>
          <w:lang w:val="en-IE"/>
        </w:rPr>
      </w:pPr>
      <w:r w:rsidRPr="00941395">
        <w:rPr>
          <w:rStyle w:val="FootnoteReference"/>
          <w:lang w:val="en-IE"/>
        </w:rPr>
        <w:footnoteRef/>
      </w:r>
      <w:r w:rsidRPr="00941395">
        <w:rPr>
          <w:lang w:val="en-IE"/>
        </w:rPr>
        <w:t xml:space="preserve"> Textiles and the environment: the role of design in Europe’s circular economy. Available at: https://www.eea.europa.eu/publications/textiles-and-the-environment-the.</w:t>
      </w:r>
    </w:p>
  </w:footnote>
  <w:footnote w:id="145">
    <w:p w14:paraId="0E0D0E3F" w14:textId="18BBED82" w:rsidR="00830770" w:rsidRPr="00941395" w:rsidRDefault="00830770" w:rsidP="00E5727E">
      <w:pPr>
        <w:pStyle w:val="FootnoteText"/>
        <w:jc w:val="left"/>
        <w:rPr>
          <w:lang w:val="en-IE"/>
        </w:rPr>
      </w:pPr>
      <w:r w:rsidRPr="00941395">
        <w:rPr>
          <w:rStyle w:val="FootnoteReference"/>
          <w:lang w:val="en-IE"/>
        </w:rPr>
        <w:footnoteRef/>
      </w:r>
      <w:r w:rsidRPr="00941395">
        <w:rPr>
          <w:lang w:val="en-IE"/>
        </w:rPr>
        <w:t xml:space="preserve"> </w:t>
      </w:r>
      <w:r w:rsidRPr="00941395">
        <w:rPr>
          <w:rFonts w:eastAsia="Times New Roman"/>
          <w:color w:val="333333"/>
          <w:lang w:val="en-IE"/>
        </w:rPr>
        <w:t xml:space="preserve">Regulation (EC) No 2150/2002 on waste statistics </w:t>
      </w:r>
      <w:r w:rsidRPr="00941395">
        <w:rPr>
          <w:rFonts w:eastAsia="Times New Roman"/>
          <w:i/>
          <w:color w:val="333333"/>
          <w:lang w:val="en-IE"/>
        </w:rPr>
        <w:t>(</w:t>
      </w:r>
      <w:r w:rsidRPr="00941395">
        <w:rPr>
          <w:i/>
          <w:lang w:val="en-IE"/>
        </w:rPr>
        <w:t>OJ L 332, 9.12.2002, p. 1–36)</w:t>
      </w:r>
      <w:r w:rsidRPr="00941395">
        <w:rPr>
          <w:lang w:val="en-IE"/>
        </w:rPr>
        <w:t xml:space="preserve">, </w:t>
      </w:r>
      <w:hyperlink r:id="rId68" w:history="1">
        <w:r w:rsidRPr="00941395">
          <w:rPr>
            <w:rStyle w:val="Hyperlink"/>
            <w:lang w:val="en-IE"/>
          </w:rPr>
          <w:t>EUR-Lex - 32002R2150 - EN - EUR-Lex (europa.eu).</w:t>
        </w:r>
      </w:hyperlink>
    </w:p>
  </w:footnote>
  <w:footnote w:id="146">
    <w:p w14:paraId="25E839C4" w14:textId="23EE2545" w:rsidR="00830770" w:rsidRPr="00941395" w:rsidRDefault="00830770" w:rsidP="00E5727E">
      <w:pPr>
        <w:pStyle w:val="FootnoteText"/>
        <w:jc w:val="left"/>
        <w:rPr>
          <w:lang w:val="en-IE"/>
        </w:rPr>
      </w:pPr>
      <w:r w:rsidRPr="00941395">
        <w:rPr>
          <w:rStyle w:val="FootnoteReference"/>
          <w:lang w:val="en-IE"/>
        </w:rPr>
        <w:footnoteRef/>
      </w:r>
      <w:r w:rsidRPr="00941395">
        <w:rPr>
          <w:lang w:val="en-IE"/>
        </w:rPr>
        <w:t xml:space="preserve"> Commission Implementing Decision (EU) 2021/19 of 18 December 2020 laying down a common methodology and a format for reporting on reuse in accordance with Directive 2008/98/EC of the European Parliament and of the Council (notified under document C(2020) 8976) </w:t>
      </w:r>
      <w:r w:rsidRPr="00941395">
        <w:rPr>
          <w:i/>
          <w:lang w:val="en-IE"/>
        </w:rPr>
        <w:t>(OJ C(2020) 8976)</w:t>
      </w:r>
      <w:r w:rsidRPr="00941395">
        <w:rPr>
          <w:lang w:val="en-IE"/>
        </w:rPr>
        <w:t>, https://eur-lex.europa.eu/legal-content/EN/TXT/?uri=CELEX%3A32021D0019.</w:t>
      </w:r>
    </w:p>
  </w:footnote>
  <w:footnote w:id="147">
    <w:p w14:paraId="21A0B369" w14:textId="7C1220E9" w:rsidR="00830770" w:rsidRPr="00941395" w:rsidRDefault="00830770" w:rsidP="00E5727E">
      <w:pPr>
        <w:spacing w:after="0"/>
        <w:jc w:val="left"/>
        <w:rPr>
          <w:rFonts w:eastAsia="Times New Roman"/>
          <w:sz w:val="20"/>
          <w:szCs w:val="20"/>
          <w:lang w:val="en-IE"/>
        </w:rPr>
      </w:pPr>
      <w:r w:rsidRPr="00941395">
        <w:rPr>
          <w:rStyle w:val="FootnoteReference"/>
          <w:sz w:val="20"/>
          <w:szCs w:val="20"/>
          <w:lang w:val="en-IE"/>
        </w:rPr>
        <w:footnoteRef/>
      </w:r>
      <w:r w:rsidRPr="00941395">
        <w:rPr>
          <w:sz w:val="20"/>
          <w:szCs w:val="20"/>
          <w:lang w:val="en-IE"/>
        </w:rPr>
        <w:t xml:space="preserve"> Lai, O., </w:t>
      </w:r>
      <w:r w:rsidRPr="00941395">
        <w:rPr>
          <w:i/>
          <w:sz w:val="20"/>
          <w:szCs w:val="20"/>
          <w:lang w:val="en-IE"/>
        </w:rPr>
        <w:t xml:space="preserve">What is fast fashion, </w:t>
      </w:r>
      <w:r w:rsidRPr="00941395">
        <w:rPr>
          <w:sz w:val="20"/>
          <w:szCs w:val="20"/>
          <w:lang w:val="en-IE"/>
        </w:rPr>
        <w:t xml:space="preserve">Earth.org, 2021, </w:t>
      </w:r>
      <w:hyperlink r:id="rId69" w:history="1">
        <w:r w:rsidRPr="00941395">
          <w:rPr>
            <w:rStyle w:val="Hyperlink"/>
            <w:sz w:val="20"/>
            <w:szCs w:val="20"/>
            <w:lang w:val="en-IE"/>
          </w:rPr>
          <w:t>https://earth.org/what-is-fast-fashion</w:t>
        </w:r>
      </w:hyperlink>
      <w:r w:rsidRPr="00941395">
        <w:rPr>
          <w:rStyle w:val="Hyperlink"/>
          <w:sz w:val="20"/>
          <w:szCs w:val="20"/>
          <w:lang w:val="en-IE"/>
        </w:rPr>
        <w:t>.</w:t>
      </w:r>
    </w:p>
  </w:footnote>
  <w:footnote w:id="148">
    <w:p w14:paraId="01A6B2CA" w14:textId="77777777" w:rsidR="00830770" w:rsidRPr="00941395" w:rsidRDefault="00830770" w:rsidP="00E5727E">
      <w:pPr>
        <w:pStyle w:val="FootnoteText"/>
        <w:jc w:val="left"/>
        <w:rPr>
          <w:lang w:val="en-IE"/>
        </w:rPr>
      </w:pPr>
      <w:r w:rsidRPr="00941395">
        <w:rPr>
          <w:rStyle w:val="FootnoteReference"/>
          <w:lang w:val="en-IE"/>
        </w:rPr>
        <w:footnoteRef/>
      </w:r>
      <w:r w:rsidRPr="00941395">
        <w:rPr>
          <w:lang w:val="en-IE"/>
        </w:rPr>
        <w:t xml:space="preserve"> </w:t>
      </w:r>
      <w:r w:rsidRPr="00941395">
        <w:rPr>
          <w:rFonts w:eastAsia="Segoe UI"/>
          <w:color w:val="000000" w:themeColor="text1"/>
          <w:lang w:val="en-IE"/>
        </w:rPr>
        <w:t>Stakeholder workshop.</w:t>
      </w:r>
    </w:p>
  </w:footnote>
  <w:footnote w:id="149">
    <w:p w14:paraId="7325A0D5" w14:textId="5EE65132" w:rsidR="00830770" w:rsidRPr="00941395" w:rsidRDefault="00830770" w:rsidP="00052D3E">
      <w:pPr>
        <w:pStyle w:val="FootnoteTex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r w:rsidRPr="00941395">
        <w:rPr>
          <w:lang w:val="en-IE"/>
        </w:rPr>
        <w:t xml:space="preserve"> </w:t>
      </w:r>
    </w:p>
  </w:footnote>
  <w:footnote w:id="150">
    <w:p w14:paraId="24A5B3FD" w14:textId="77777777" w:rsidR="00830770" w:rsidRPr="00941395" w:rsidRDefault="00830770" w:rsidP="00C62756">
      <w:pPr>
        <w:spacing w:after="0"/>
        <w:jc w:val="left"/>
        <w:rPr>
          <w:rFonts w:eastAsia="Times New Roman"/>
          <w:sz w:val="20"/>
          <w:szCs w:val="20"/>
          <w:lang w:val="en-IE"/>
        </w:rPr>
      </w:pPr>
      <w:r w:rsidRPr="00941395">
        <w:rPr>
          <w:rStyle w:val="FootnoteReference"/>
          <w:rFonts w:eastAsiaTheme="minorEastAsia" w:cs="Segoe UI"/>
          <w:sz w:val="20"/>
          <w:szCs w:val="20"/>
          <w:lang w:val="en-IE"/>
        </w:rPr>
        <w:footnoteRef/>
      </w:r>
      <w:r w:rsidRPr="00941395">
        <w:rPr>
          <w:sz w:val="20"/>
          <w:szCs w:val="20"/>
          <w:lang w:val="en-IE"/>
        </w:rPr>
        <w:t xml:space="preserve"> ABC News, 2021, </w:t>
      </w:r>
      <w:hyperlink r:id="rId70">
        <w:r w:rsidRPr="00941395">
          <w:rPr>
            <w:rStyle w:val="Hyperlink"/>
            <w:rFonts w:eastAsia="Times New Roman"/>
            <w:sz w:val="20"/>
            <w:szCs w:val="20"/>
            <w:lang w:val="en-IE"/>
          </w:rPr>
          <w:t>Dead white man's clothes: How fast fashion is turning parts of Ghana into toxic landfill - ABC News</w:t>
        </w:r>
      </w:hyperlink>
    </w:p>
  </w:footnote>
  <w:footnote w:id="151">
    <w:p w14:paraId="3454B82D" w14:textId="77777777" w:rsidR="00830770" w:rsidRPr="00941395" w:rsidRDefault="00830770" w:rsidP="00052D3E">
      <w:pPr>
        <w:pStyle w:val="FootnoteText"/>
        <w:rPr>
          <w:lang w:val="en-IE"/>
        </w:rPr>
      </w:pPr>
      <w:r w:rsidRPr="00941395">
        <w:rPr>
          <w:rStyle w:val="FootnoteReference"/>
          <w:lang w:val="en-IE"/>
        </w:rPr>
        <w:footnoteRef/>
      </w:r>
      <w:r w:rsidRPr="00941395">
        <w:rPr>
          <w:lang w:val="en-IE"/>
        </w:rPr>
        <w:t xml:space="preserve"> Stakeholder workshop</w:t>
      </w:r>
    </w:p>
  </w:footnote>
  <w:footnote w:id="152">
    <w:p w14:paraId="18FCF69E" w14:textId="77777777" w:rsidR="00830770" w:rsidRPr="001E44E0" w:rsidRDefault="00830770" w:rsidP="00774680">
      <w:pPr>
        <w:pStyle w:val="FootnoteText"/>
        <w:jc w:val="left"/>
        <w:rPr>
          <w:lang w:val="en-IE"/>
        </w:rPr>
      </w:pPr>
      <w:r w:rsidRPr="00941395">
        <w:rPr>
          <w:rStyle w:val="FootnoteReference"/>
          <w:lang w:val="en-IE"/>
        </w:rPr>
        <w:footnoteRef/>
      </w:r>
      <w:r w:rsidRPr="00941395">
        <w:rPr>
          <w:lang w:val="en-IE"/>
        </w:rPr>
        <w:t xml:space="preserve"> STATISTA, </w:t>
      </w:r>
      <w:r w:rsidRPr="00941395">
        <w:rPr>
          <w:i/>
          <w:iCs/>
          <w:lang w:val="en-IE"/>
        </w:rPr>
        <w:t xml:space="preserve">Household consumption of textiles and clothing in the European Union from 2009 to 2020, </w:t>
      </w:r>
      <w:r w:rsidRPr="00941395">
        <w:rPr>
          <w:lang w:val="en-IE"/>
        </w:rPr>
        <w:t xml:space="preserve">2022, </w:t>
      </w:r>
      <w:hyperlink r:id="rId71" w:history="1">
        <w:r w:rsidRPr="00941395">
          <w:rPr>
            <w:rStyle w:val="Hyperlink"/>
            <w:lang w:val="en-IE"/>
          </w:rPr>
          <w:t>Textile &amp; clothing EU household consumption 2009-2020 | Statista.</w:t>
        </w:r>
      </w:hyperlink>
    </w:p>
  </w:footnote>
  <w:footnote w:id="153">
    <w:p w14:paraId="699519EA" w14:textId="0E09C08A" w:rsidR="00830770" w:rsidRPr="00941395" w:rsidRDefault="00830770" w:rsidP="00774680">
      <w:pPr>
        <w:pStyle w:val="FootnoteText"/>
        <w:jc w:val="left"/>
        <w:rPr>
          <w:lang w:val="en-IE"/>
        </w:rPr>
      </w:pPr>
      <w:r w:rsidRPr="00941395">
        <w:rPr>
          <w:rStyle w:val="FootnoteReference"/>
          <w:lang w:val="en-IE"/>
        </w:rPr>
        <w:footnoteRef/>
      </w:r>
      <w:r w:rsidRPr="00941395">
        <w:rPr>
          <w:lang w:val="en-IE"/>
        </w:rPr>
        <w:t xml:space="preserve"> See footnote 83, p. 72.</w:t>
      </w:r>
    </w:p>
  </w:footnote>
  <w:footnote w:id="154">
    <w:p w14:paraId="74002992" w14:textId="3A149A36" w:rsidR="00830770" w:rsidRPr="00E94F3E" w:rsidRDefault="00830770">
      <w:pPr>
        <w:pStyle w:val="FootnoteText"/>
        <w:rPr>
          <w:lang w:val="en-IE"/>
        </w:rPr>
      </w:pPr>
      <w:r w:rsidRPr="00941395">
        <w:rPr>
          <w:rStyle w:val="FootnoteReference"/>
          <w:lang w:val="en-IE"/>
        </w:rPr>
        <w:footnoteRef/>
      </w:r>
      <w:r w:rsidRPr="00941395">
        <w:rPr>
          <w:lang w:val="en-IE"/>
        </w:rPr>
        <w:t xml:space="preserve"> </w:t>
      </w:r>
      <w:bookmarkStart w:id="601" w:name="_Hlk132955224"/>
      <w:r w:rsidRPr="00941395">
        <w:rPr>
          <w:lang w:val="en-IE"/>
        </w:rPr>
        <w:t>Joint Research Centre. 2023. “</w:t>
      </w:r>
      <w:r w:rsidRPr="00941395">
        <w:rPr>
          <w:i/>
          <w:lang w:val="en-IE"/>
        </w:rPr>
        <w:t>Techno-scientific assessment of the management options for used and waste textiles - Preparatory study for the possible setting of preparation for re-use and recycling targets</w:t>
      </w:r>
      <w:r w:rsidRPr="00941395">
        <w:rPr>
          <w:lang w:val="en-IE"/>
        </w:rPr>
        <w:t>” (unpublished work)</w:t>
      </w:r>
      <w:bookmarkEnd w:id="601"/>
    </w:p>
  </w:footnote>
  <w:footnote w:id="155">
    <w:p w14:paraId="14F31A25" w14:textId="7A96D0EC" w:rsidR="00830770" w:rsidRPr="00941395" w:rsidRDefault="00830770">
      <w:pPr>
        <w:pStyle w:val="FootnoteText"/>
        <w:rPr>
          <w:lang w:val="en-IE"/>
        </w:rPr>
      </w:pPr>
      <w:r w:rsidRPr="00941395">
        <w:rPr>
          <w:rStyle w:val="FootnoteReference"/>
          <w:lang w:val="en-IE"/>
        </w:rPr>
        <w:footnoteRef/>
      </w:r>
      <w:r w:rsidRPr="00941395">
        <w:rPr>
          <w:lang w:val="en-IE"/>
        </w:rPr>
        <w:t xml:space="preserve"> Joint Research Centre. 2023. “Techno-scientific assessment of the management options for used and waste textiles - Preparatory study for the possible setting of preparation for re-use and recycling targets” (unpublished work)</w:t>
      </w:r>
    </w:p>
  </w:footnote>
  <w:footnote w:id="156">
    <w:p w14:paraId="23AD5B85" w14:textId="77777777" w:rsidR="00830770" w:rsidRPr="00941395" w:rsidRDefault="00830770" w:rsidP="006E606C">
      <w:pPr>
        <w:spacing w:after="0"/>
        <w:rPr>
          <w:sz w:val="20"/>
          <w:szCs w:val="20"/>
          <w:lang w:val="en-IE"/>
        </w:rPr>
      </w:pPr>
      <w:r w:rsidRPr="00941395">
        <w:rPr>
          <w:sz w:val="20"/>
          <w:szCs w:val="20"/>
          <w:vertAlign w:val="superscript"/>
          <w:lang w:val="en-IE"/>
        </w:rPr>
        <w:footnoteRef/>
      </w:r>
      <w:r w:rsidRPr="00941395">
        <w:rPr>
          <w:sz w:val="20"/>
          <w:szCs w:val="20"/>
          <w:lang w:val="en-IE"/>
        </w:rPr>
        <w:t xml:space="preserve"> </w:t>
      </w:r>
      <w:r w:rsidRPr="00941395">
        <w:rPr>
          <w:rFonts w:eastAsia="Times New Roman"/>
          <w:sz w:val="20"/>
          <w:szCs w:val="20"/>
          <w:lang w:val="en-IE"/>
        </w:rPr>
        <w:t>Import of finished textiles + finished textiles produced in the EU – finished textiles produced in the EU that are exported.</w:t>
      </w:r>
    </w:p>
  </w:footnote>
  <w:footnote w:id="157">
    <w:p w14:paraId="4C9CBB22" w14:textId="77777777" w:rsidR="00830770" w:rsidRPr="006F16BC" w:rsidRDefault="00830770" w:rsidP="006E606C">
      <w:pPr>
        <w:pStyle w:val="FootnoteText"/>
        <w:rPr>
          <w:lang w:val="en-IE"/>
        </w:rPr>
      </w:pPr>
      <w:r w:rsidRPr="00941395">
        <w:rPr>
          <w:rStyle w:val="FootnoteReference"/>
          <w:lang w:val="en-IE"/>
        </w:rPr>
        <w:footnoteRef/>
      </w:r>
      <w:r w:rsidRPr="00941395">
        <w:rPr>
          <w:lang w:val="en-IE"/>
        </w:rPr>
        <w:t xml:space="preserve"> Flows are represented as tonnes, and refer to annual mass units</w:t>
      </w:r>
    </w:p>
  </w:footnote>
  <w:footnote w:id="158">
    <w:p w14:paraId="321AED25" w14:textId="77777777" w:rsidR="00830770" w:rsidRPr="00941395" w:rsidRDefault="00830770" w:rsidP="00720F16">
      <w:pPr>
        <w:pStyle w:val="FootnoteText"/>
        <w:rPr>
          <w:lang w:val="en-IE"/>
        </w:rPr>
      </w:pPr>
      <w:r w:rsidRPr="00941395">
        <w:rPr>
          <w:rStyle w:val="FootnoteReference"/>
          <w:lang w:val="en-IE"/>
        </w:rPr>
        <w:footnoteRef/>
      </w:r>
      <w:r w:rsidRPr="00941395">
        <w:rPr>
          <w:lang w:val="en-IE"/>
        </w:rPr>
        <w:t xml:space="preserve"> EU trade since 1988 by HS2-4-6 and CN8 (DS-045409)</w:t>
      </w:r>
    </w:p>
  </w:footnote>
  <w:footnote w:id="159">
    <w:p w14:paraId="7A672C54" w14:textId="77777777" w:rsidR="00830770" w:rsidRPr="00941395" w:rsidRDefault="00830770" w:rsidP="000A1DA0">
      <w:pPr>
        <w:pStyle w:val="FootnoteText"/>
        <w:rPr>
          <w:lang w:val="en-IE"/>
        </w:rPr>
      </w:pPr>
      <w:r w:rsidRPr="00941395">
        <w:rPr>
          <w:rStyle w:val="FootnoteReference"/>
          <w:lang w:val="en-IE"/>
        </w:rPr>
        <w:footnoteRef/>
      </w:r>
      <w:r w:rsidRPr="00941395">
        <w:rPr>
          <w:lang w:val="en-IE"/>
        </w:rPr>
        <w:t xml:space="preserve"> Flows are represented as tonnes, and refer to annual mass units</w:t>
      </w:r>
    </w:p>
  </w:footnote>
  <w:footnote w:id="160">
    <w:p w14:paraId="631C9B55" w14:textId="77777777" w:rsidR="00830770" w:rsidRPr="00941395" w:rsidRDefault="00830770" w:rsidP="000A1DA0">
      <w:pPr>
        <w:pStyle w:val="FootnoteText"/>
        <w:rPr>
          <w:lang w:val="en-IE"/>
        </w:rPr>
      </w:pPr>
      <w:r w:rsidRPr="00941395">
        <w:rPr>
          <w:rStyle w:val="FootnoteReference"/>
          <w:lang w:val="en-IE"/>
        </w:rPr>
        <w:footnoteRef/>
      </w:r>
      <w:r w:rsidRPr="00941395">
        <w:rPr>
          <w:lang w:val="en-IE"/>
        </w:rPr>
        <w:t xml:space="preserve"> European Commission, </w:t>
      </w:r>
      <w:r w:rsidRPr="00F05EA1">
        <w:rPr>
          <w:lang w:val="en-IE"/>
        </w:rPr>
        <w:t xml:space="preserve">Joint Research Centre. </w:t>
      </w:r>
      <w:r w:rsidRPr="00F05EA1">
        <w:rPr>
          <w:i/>
          <w:iCs/>
          <w:lang w:val="en-IE"/>
        </w:rPr>
        <w:t>Techno-scientific assessment of the management options for used and waste textiles</w:t>
      </w:r>
      <w:r w:rsidRPr="00F05EA1">
        <w:rPr>
          <w:lang w:val="en-IE"/>
        </w:rPr>
        <w:t>. 2023 (not published)</w:t>
      </w:r>
    </w:p>
  </w:footnote>
  <w:footnote w:id="161">
    <w:p w14:paraId="087380C2" w14:textId="2C71A9E9" w:rsidR="00830770" w:rsidRPr="00941395" w:rsidRDefault="00830770" w:rsidP="00C47BFB">
      <w:pPr>
        <w:spacing w:after="0"/>
        <w:rPr>
          <w:sz w:val="20"/>
          <w:szCs w:val="20"/>
          <w:lang w:val="en-IE"/>
        </w:rPr>
      </w:pPr>
      <w:r w:rsidRPr="00941395">
        <w:rPr>
          <w:sz w:val="20"/>
          <w:szCs w:val="20"/>
          <w:vertAlign w:val="superscript"/>
          <w:lang w:val="en-IE"/>
        </w:rPr>
        <w:footnoteRef/>
      </w:r>
      <w:r w:rsidRPr="00941395">
        <w:rPr>
          <w:sz w:val="20"/>
          <w:szCs w:val="20"/>
          <w:vertAlign w:val="superscript"/>
          <w:lang w:val="en-IE"/>
        </w:rPr>
        <w:t xml:space="preserve"> </w:t>
      </w:r>
      <w:r w:rsidRPr="00941395">
        <w:rPr>
          <w:rFonts w:eastAsia="Calibri"/>
          <w:sz w:val="20"/>
          <w:szCs w:val="20"/>
          <w:lang w:val="en-IE"/>
        </w:rPr>
        <w:t>Sadowski, M. I. C. H. A. E. L., L. E. W. I. S. Perkins, and E. M. I. L. Y. Mcgarvey. "Roadmap to net zero: delivering science-based targets in the apparel sector." World Resources Institute. https://doi. org/10.46830/wriwp 20 (2021).</w:t>
      </w:r>
    </w:p>
  </w:footnote>
  <w:footnote w:id="162">
    <w:p w14:paraId="5DEFF72C" w14:textId="51781A61" w:rsidR="00830770" w:rsidRPr="00941395" w:rsidRDefault="00830770" w:rsidP="00C47BFB">
      <w:pPr>
        <w:spacing w:after="0"/>
        <w:rPr>
          <w:sz w:val="20"/>
          <w:szCs w:val="20"/>
          <w:lang w:val="en-IE"/>
        </w:rPr>
      </w:pPr>
      <w:r w:rsidRPr="00941395">
        <w:rPr>
          <w:sz w:val="20"/>
          <w:szCs w:val="20"/>
          <w:vertAlign w:val="superscript"/>
          <w:lang w:val="en-IE"/>
        </w:rPr>
        <w:footnoteRef/>
      </w:r>
      <w:r w:rsidRPr="00941395">
        <w:rPr>
          <w:sz w:val="20"/>
          <w:szCs w:val="20"/>
          <w:vertAlign w:val="superscript"/>
          <w:lang w:val="en-IE"/>
        </w:rPr>
        <w:t xml:space="preserve"> </w:t>
      </w:r>
      <w:r w:rsidRPr="00941395">
        <w:rPr>
          <w:rFonts w:eastAsia="Times New Roman"/>
          <w:sz w:val="20"/>
          <w:szCs w:val="20"/>
          <w:lang w:val="en-IE"/>
        </w:rPr>
        <w:t>European Commission. 2022. Best Available Techniques (BAT) Reference Document for the Textiles Industry. Pages 311-318.</w:t>
      </w:r>
    </w:p>
  </w:footnote>
  <w:footnote w:id="163">
    <w:p w14:paraId="47650480" w14:textId="2D7DC152" w:rsidR="00830770" w:rsidRPr="003A5D79" w:rsidRDefault="00830770">
      <w:pPr>
        <w:pStyle w:val="FootnoteText"/>
        <w:rPr>
          <w:lang w:val="en-IE"/>
        </w:rPr>
      </w:pPr>
      <w:r w:rsidRPr="00941395">
        <w:rPr>
          <w:rStyle w:val="FootnoteReference"/>
          <w:lang w:val="en-IE"/>
        </w:rPr>
        <w:footnoteRef/>
      </w:r>
      <w:r w:rsidRPr="00941395">
        <w:rPr>
          <w:lang w:val="en-IE"/>
        </w:rPr>
        <w:t xml:space="preserve"> Joint Research Centre. 2023. “Techno-scientific assessment of the management options for used and waste textiles - Preparatory study for the possible setting of preparation for re-use and recycling targets”. (unpublished work).</w:t>
      </w:r>
    </w:p>
  </w:footnote>
  <w:footnote w:id="164">
    <w:p w14:paraId="2B52C0F3" w14:textId="4F2E062C" w:rsidR="00830770" w:rsidRPr="00941395" w:rsidRDefault="00830770" w:rsidP="000B5862">
      <w:pPr>
        <w:spacing w:after="0"/>
        <w:jc w:val="left"/>
        <w:rPr>
          <w:sz w:val="20"/>
          <w:szCs w:val="20"/>
          <w:lang w:val="en-IE"/>
        </w:rPr>
      </w:pPr>
      <w:r w:rsidRPr="00941395">
        <w:rPr>
          <w:sz w:val="20"/>
          <w:szCs w:val="20"/>
          <w:vertAlign w:val="superscript"/>
          <w:lang w:val="en-IE"/>
        </w:rPr>
        <w:footnoteRef/>
      </w:r>
      <w:r w:rsidRPr="00941395">
        <w:rPr>
          <w:sz w:val="20"/>
          <w:szCs w:val="20"/>
          <w:lang w:val="en-IE"/>
        </w:rPr>
        <w:t xml:space="preserve"> Hedda Roberts, Leonidas Milios, Oksana Mont, Carl Dalhammar. 2023. Product destruction: Exploring unsustainable production-consumption systems and appropriate policy responses, Sustainable Production and Consumption, 35, 300-312.</w:t>
      </w:r>
    </w:p>
  </w:footnote>
  <w:footnote w:id="165">
    <w:p w14:paraId="0DECAF69" w14:textId="541632D9" w:rsidR="00830770" w:rsidRPr="00941395" w:rsidRDefault="00830770" w:rsidP="000B5862">
      <w:pPr>
        <w:pStyle w:val="FootnoteText"/>
        <w:jc w:val="left"/>
        <w:rPr>
          <w:lang w:val="en-IE"/>
        </w:rPr>
      </w:pPr>
      <w:r w:rsidRPr="00941395">
        <w:rPr>
          <w:rStyle w:val="FootnoteReference"/>
          <w:lang w:val="en-IE"/>
        </w:rPr>
        <w:footnoteRef/>
      </w:r>
      <w:r w:rsidRPr="00941395">
        <w:rPr>
          <w:lang w:val="en-IE"/>
        </w:rPr>
        <w:t xml:space="preserve"> See footnote </w:t>
      </w:r>
      <w:r>
        <w:rPr>
          <w:lang w:val="en-IE"/>
        </w:rPr>
        <w:fldChar w:fldCharType="begin"/>
      </w:r>
      <w:r>
        <w:rPr>
          <w:lang w:val="en-IE"/>
        </w:rPr>
        <w:instrText xml:space="preserve"> NOTEREF _Ref133616997 \h </w:instrText>
      </w:r>
      <w:r>
        <w:rPr>
          <w:lang w:val="en-IE"/>
        </w:rPr>
      </w:r>
      <w:r>
        <w:rPr>
          <w:lang w:val="en-IE"/>
        </w:rPr>
        <w:fldChar w:fldCharType="separate"/>
      </w:r>
      <w:r w:rsidR="004C5576">
        <w:rPr>
          <w:lang w:val="en-IE"/>
        </w:rPr>
        <w:t>32</w:t>
      </w:r>
      <w:r>
        <w:rPr>
          <w:lang w:val="en-IE"/>
        </w:rPr>
        <w:fldChar w:fldCharType="end"/>
      </w:r>
    </w:p>
  </w:footnote>
  <w:footnote w:id="166">
    <w:p w14:paraId="41473B12" w14:textId="05F594F7" w:rsidR="00830770" w:rsidRPr="00941395" w:rsidRDefault="00830770" w:rsidP="000B5862">
      <w:pPr>
        <w:pStyle w:val="FootnoteText"/>
        <w:jc w:val="left"/>
        <w:rPr>
          <w:lang w:val="en-IE"/>
        </w:rPr>
      </w:pPr>
      <w:r w:rsidRPr="00941395">
        <w:rPr>
          <w:rStyle w:val="FootnoteReference"/>
          <w:lang w:val="en-IE"/>
        </w:rPr>
        <w:footnoteRef/>
      </w:r>
      <w:r w:rsidRPr="00941395">
        <w:rPr>
          <w:lang w:val="en-IE"/>
        </w:rPr>
        <w:t xml:space="preserve"> See footnote 46, p. 47.</w:t>
      </w:r>
    </w:p>
  </w:footnote>
  <w:footnote w:id="167">
    <w:p w14:paraId="5A9F96D3" w14:textId="6D2F1D2E" w:rsidR="00830770" w:rsidRPr="00941395" w:rsidRDefault="00830770" w:rsidP="000B5862">
      <w:pPr>
        <w:pStyle w:val="FootnoteText"/>
        <w:jc w:val="left"/>
        <w:rPr>
          <w:lang w:val="en-IE"/>
        </w:rPr>
      </w:pPr>
      <w:r w:rsidRPr="00941395">
        <w:rPr>
          <w:rStyle w:val="FootnoteReference"/>
          <w:lang w:val="en-IE"/>
        </w:rPr>
        <w:footnoteRef/>
      </w:r>
      <w:r w:rsidRPr="00941395">
        <w:rPr>
          <w:lang w:val="en-IE"/>
        </w:rPr>
        <w:t xml:space="preserve"> </w:t>
      </w:r>
      <w:r>
        <w:rPr>
          <w:lang w:val="en-IE"/>
        </w:rPr>
        <w:t xml:space="preserve">See footnote </w:t>
      </w:r>
      <w:r>
        <w:rPr>
          <w:lang w:val="en-IE"/>
        </w:rPr>
        <w:fldChar w:fldCharType="begin"/>
      </w:r>
      <w:r>
        <w:rPr>
          <w:lang w:val="en-IE"/>
        </w:rPr>
        <w:instrText xml:space="preserve"> NOTEREF _Ref133615553 \h </w:instrText>
      </w:r>
      <w:r>
        <w:rPr>
          <w:lang w:val="en-IE"/>
        </w:rPr>
      </w:r>
      <w:r>
        <w:rPr>
          <w:lang w:val="en-IE"/>
        </w:rPr>
        <w:fldChar w:fldCharType="separate"/>
      </w:r>
      <w:r w:rsidR="004C5576">
        <w:rPr>
          <w:lang w:val="en-IE"/>
        </w:rPr>
        <w:t>7</w:t>
      </w:r>
      <w:r>
        <w:rPr>
          <w:lang w:val="en-IE"/>
        </w:rPr>
        <w:fldChar w:fldCharType="end"/>
      </w:r>
    </w:p>
  </w:footnote>
  <w:footnote w:id="168">
    <w:p w14:paraId="39F318C1" w14:textId="48A779B5" w:rsidR="00830770" w:rsidRPr="00941395" w:rsidRDefault="00830770" w:rsidP="000B5862">
      <w:pPr>
        <w:pStyle w:val="FootnoteText"/>
        <w:jc w:val="left"/>
        <w:rPr>
          <w:lang w:val="en-IE"/>
        </w:rPr>
      </w:pPr>
      <w:r w:rsidRPr="00941395">
        <w:rPr>
          <w:rStyle w:val="FootnoteReference"/>
          <w:lang w:val="en-IE"/>
        </w:rPr>
        <w:footnoteRef/>
      </w:r>
      <w:r w:rsidRPr="00941395">
        <w:rPr>
          <w:lang w:val="en-IE"/>
        </w:rPr>
        <w:t xml:space="preserve"> Elander, M., </w:t>
      </w:r>
      <w:r w:rsidRPr="00941395">
        <w:rPr>
          <w:i/>
          <w:lang w:val="en-IE"/>
        </w:rPr>
        <w:t>Automated feeding equipment for textile waste: experiences from the FITS-project</w:t>
      </w:r>
      <w:r w:rsidRPr="00941395">
        <w:rPr>
          <w:lang w:val="en-IE"/>
        </w:rPr>
        <w:t>, Mistra Future Fashion, 2019.</w:t>
      </w:r>
    </w:p>
  </w:footnote>
  <w:footnote w:id="169">
    <w:p w14:paraId="56B525AE" w14:textId="56D6C63A" w:rsidR="00830770" w:rsidRPr="00941395" w:rsidRDefault="00830770" w:rsidP="00891DD1">
      <w:pPr>
        <w:pStyle w:val="FootnoteText"/>
        <w:rPr>
          <w:lang w:val="en-IE"/>
        </w:rPr>
      </w:pPr>
      <w:r w:rsidRPr="00941395">
        <w:rPr>
          <w:rStyle w:val="FootnoteReference"/>
          <w:lang w:val="en-IE"/>
        </w:rPr>
        <w:footnoteRef/>
      </w:r>
      <w:r w:rsidRPr="00941395">
        <w:rPr>
          <w:lang w:val="en-IE"/>
        </w:rPr>
        <w:t xml:space="preserve"> Joint Research Centre (2023). “Techno-scientific assessment of the management options for used and waste textiles - Preparatory study for the possible setting of preparation for re-use and recycling targets” (unpublished work).</w:t>
      </w:r>
    </w:p>
  </w:footnote>
  <w:footnote w:id="170">
    <w:p w14:paraId="2111965F" w14:textId="77777777" w:rsidR="00830770" w:rsidRPr="00941395" w:rsidRDefault="00830770" w:rsidP="00F22688">
      <w:pPr>
        <w:pStyle w:val="FootnoteText"/>
        <w:jc w:val="left"/>
        <w:rPr>
          <w:lang w:val="en-IE"/>
        </w:rPr>
      </w:pPr>
      <w:r w:rsidRPr="00941395">
        <w:rPr>
          <w:rStyle w:val="FootnoteReference"/>
          <w:lang w:val="en-IE"/>
        </w:rPr>
        <w:footnoteRef/>
      </w:r>
      <w:r w:rsidRPr="00941395">
        <w:rPr>
          <w:lang w:val="en-IE"/>
        </w:rPr>
        <w:t xml:space="preserve"> Flows are represented as tonnes, and refer to annual mass units.</w:t>
      </w:r>
    </w:p>
  </w:footnote>
  <w:footnote w:id="171">
    <w:p w14:paraId="3AC27FF9" w14:textId="77777777" w:rsidR="00830770" w:rsidRPr="00941395" w:rsidRDefault="00830770" w:rsidP="00F22688">
      <w:pPr>
        <w:rPr>
          <w:color w:val="1F497D"/>
          <w:sz w:val="22"/>
          <w:szCs w:val="22"/>
          <w:lang w:val="en-IE"/>
        </w:rPr>
      </w:pPr>
      <w:r w:rsidRPr="00941395">
        <w:rPr>
          <w:rStyle w:val="FootnoteReference"/>
          <w:lang w:val="en-IE"/>
        </w:rPr>
        <w:footnoteRef/>
      </w:r>
      <w:r w:rsidRPr="00941395">
        <w:rPr>
          <w:lang w:val="en-IE"/>
        </w:rPr>
        <w:t xml:space="preserve"> </w:t>
      </w:r>
      <w:r w:rsidRPr="00941395">
        <w:rPr>
          <w:sz w:val="20"/>
          <w:szCs w:val="20"/>
          <w:lang w:val="en-IE"/>
        </w:rPr>
        <w:t>Joint Research Centre. 2023. “Techno-scientific assessment of the management options for used and waste textiles - Preparatory study for the possible setting of preparation for re-use and recycling targets” (unpublished work).</w:t>
      </w:r>
    </w:p>
  </w:footnote>
  <w:footnote w:id="172">
    <w:p w14:paraId="27CEAAF7" w14:textId="742BD1A0" w:rsidR="00830770" w:rsidRPr="00941395" w:rsidRDefault="00830770" w:rsidP="000D3AF5">
      <w:pPr>
        <w:pStyle w:val="FootnoteText"/>
        <w:jc w:val="lef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p>
  </w:footnote>
  <w:footnote w:id="173">
    <w:p w14:paraId="3E817F6D" w14:textId="77777777" w:rsidR="00830770" w:rsidRPr="00941395" w:rsidRDefault="00830770" w:rsidP="000D3AF5">
      <w:pPr>
        <w:pStyle w:val="FootnoteText"/>
        <w:jc w:val="left"/>
        <w:rPr>
          <w:lang w:val="en-IE"/>
        </w:rPr>
      </w:pPr>
      <w:r w:rsidRPr="00941395">
        <w:rPr>
          <w:rStyle w:val="FootnoteReference"/>
          <w:lang w:val="en-IE"/>
        </w:rPr>
        <w:footnoteRef/>
      </w:r>
      <w:r w:rsidRPr="00941395">
        <w:rPr>
          <w:lang w:val="en-IE"/>
        </w:rPr>
        <w:t xml:space="preserve"> See footnote 46, p. 47.</w:t>
      </w:r>
    </w:p>
  </w:footnote>
  <w:footnote w:id="174">
    <w:p w14:paraId="29BD9392" w14:textId="77777777" w:rsidR="00830770" w:rsidRPr="00941395" w:rsidRDefault="00830770" w:rsidP="00385D11">
      <w:pPr>
        <w:pStyle w:val="FootnoteText"/>
        <w:rPr>
          <w:lang w:val="en-IE"/>
        </w:rPr>
      </w:pPr>
      <w:r w:rsidRPr="00941395">
        <w:rPr>
          <w:rStyle w:val="FootnoteReference"/>
          <w:lang w:val="en-IE"/>
        </w:rPr>
        <w:footnoteRef/>
      </w:r>
      <w:r w:rsidRPr="00941395">
        <w:rPr>
          <w:lang w:val="en-IE"/>
        </w:rPr>
        <w:t xml:space="preserve"> European Commission, </w:t>
      </w:r>
      <w:r w:rsidRPr="00F05EA1">
        <w:rPr>
          <w:lang w:val="en-IE"/>
        </w:rPr>
        <w:t xml:space="preserve">Joint Research Centre. </w:t>
      </w:r>
      <w:r w:rsidRPr="00F05EA1">
        <w:rPr>
          <w:i/>
          <w:lang w:val="en-IE"/>
        </w:rPr>
        <w:t>Techno-scientific assessment of the management options for used and waste textiles</w:t>
      </w:r>
      <w:r w:rsidRPr="00F05EA1">
        <w:rPr>
          <w:lang w:val="en-IE"/>
        </w:rPr>
        <w:t>. 2023 (under development</w:t>
      </w:r>
    </w:p>
  </w:footnote>
  <w:footnote w:id="175">
    <w:p w14:paraId="46F31521" w14:textId="77777777" w:rsidR="00830770" w:rsidRPr="0036755E" w:rsidRDefault="00830770" w:rsidP="00F348DC">
      <w:pPr>
        <w:pStyle w:val="FootnoteText"/>
        <w:rPr>
          <w:lang w:val="en-IE"/>
        </w:rPr>
      </w:pPr>
      <w:r w:rsidRPr="00941395">
        <w:rPr>
          <w:rStyle w:val="FootnoteReference"/>
          <w:lang w:val="en-IE"/>
        </w:rPr>
        <w:footnoteRef/>
      </w:r>
      <w:r w:rsidRPr="00941395">
        <w:rPr>
          <w:lang w:val="en-IE"/>
        </w:rPr>
        <w:t xml:space="preserve"> Joint Research Centre. 2023. “Techno-scientific assessment of the management options for used and waste textiles - Preparatory study for the possible setting of preparation for re-use and recycling targets” (unpublished work).</w:t>
      </w:r>
    </w:p>
  </w:footnote>
  <w:footnote w:id="176">
    <w:p w14:paraId="767E633C" w14:textId="77777777" w:rsidR="00830770" w:rsidRPr="000D4A21" w:rsidRDefault="00830770" w:rsidP="00F348DC">
      <w:pPr>
        <w:pStyle w:val="FootnoteText"/>
        <w:rPr>
          <w:lang w:val="en-IE"/>
        </w:rPr>
      </w:pPr>
      <w:r w:rsidRPr="00941395">
        <w:rPr>
          <w:rStyle w:val="FootnoteReference"/>
          <w:lang w:val="en-IE"/>
        </w:rPr>
        <w:footnoteRef/>
      </w:r>
      <w:r w:rsidRPr="00941395">
        <w:rPr>
          <w:lang w:val="en-IE"/>
        </w:rPr>
        <w:t xml:space="preserve"> Joint Research Centre. 2023. “</w:t>
      </w:r>
      <w:r w:rsidRPr="00941395">
        <w:rPr>
          <w:i/>
          <w:lang w:val="en-IE"/>
        </w:rPr>
        <w:t>Techno-scientific assessment of the management options for used and waste textiles - Preparatory study for the possible setting of preparation for re-use and recycling targets</w:t>
      </w:r>
      <w:r w:rsidRPr="00941395">
        <w:rPr>
          <w:lang w:val="en-IE"/>
        </w:rPr>
        <w:t>” (unpublished work)</w:t>
      </w:r>
    </w:p>
  </w:footnote>
  <w:footnote w:id="177">
    <w:p w14:paraId="0E2036C7" w14:textId="77777777" w:rsidR="00830770" w:rsidRPr="00941395" w:rsidRDefault="00830770" w:rsidP="0086112A">
      <w:pPr>
        <w:pStyle w:val="FootnoteText"/>
        <w:jc w:val="left"/>
        <w:rPr>
          <w:lang w:val="en-IE"/>
        </w:rPr>
      </w:pPr>
      <w:r w:rsidRPr="00941395">
        <w:rPr>
          <w:rStyle w:val="FootnoteReference"/>
          <w:lang w:val="en-IE"/>
        </w:rPr>
        <w:footnoteRef/>
      </w:r>
      <w:r w:rsidRPr="00941395">
        <w:rPr>
          <w:lang w:val="en-IE"/>
        </w:rPr>
        <w:t xml:space="preserve"> See footnote 108, p. 78.</w:t>
      </w:r>
    </w:p>
  </w:footnote>
  <w:footnote w:id="178">
    <w:p w14:paraId="04E217EF" w14:textId="77777777" w:rsidR="00830770" w:rsidRPr="00941395" w:rsidRDefault="00830770" w:rsidP="002E60DF">
      <w:pPr>
        <w:pStyle w:val="FootnoteText"/>
        <w:jc w:val="left"/>
        <w:rPr>
          <w:lang w:val="en-IE"/>
        </w:rPr>
      </w:pPr>
      <w:r w:rsidRPr="00941395">
        <w:rPr>
          <w:rStyle w:val="FootnoteReference"/>
          <w:lang w:val="en-IE"/>
        </w:rPr>
        <w:footnoteRef/>
      </w:r>
      <w:r w:rsidRPr="00941395">
        <w:rPr>
          <w:lang w:val="en-IE"/>
        </w:rPr>
        <w:t xml:space="preserve"> EcoTLC, </w:t>
      </w:r>
      <w:r w:rsidRPr="00941395">
        <w:rPr>
          <w:i/>
          <w:lang w:val="en-IE"/>
        </w:rPr>
        <w:t>Annual Report 2018</w:t>
      </w:r>
      <w:r w:rsidRPr="00941395">
        <w:rPr>
          <w:lang w:val="en-IE"/>
        </w:rPr>
        <w:t>, 2019.</w:t>
      </w:r>
    </w:p>
  </w:footnote>
  <w:footnote w:id="179">
    <w:p w14:paraId="70BCE2AB" w14:textId="77777777" w:rsidR="00830770" w:rsidRPr="00941395" w:rsidRDefault="00830770" w:rsidP="00F55FEE">
      <w:pPr>
        <w:pStyle w:val="FootnoteText"/>
        <w:jc w:val="left"/>
        <w:rPr>
          <w:lang w:val="en-IE"/>
        </w:rPr>
      </w:pPr>
      <w:r w:rsidRPr="00941395">
        <w:rPr>
          <w:rStyle w:val="FootnoteReference"/>
          <w:lang w:val="en-IE"/>
        </w:rPr>
        <w:footnoteRef/>
      </w:r>
      <w:r w:rsidRPr="00941395">
        <w:rPr>
          <w:lang w:val="en-IE"/>
        </w:rPr>
        <w:t xml:space="preserve"> Watson, D., Kant Hvass, K., Moora, H., Martin, K.; Nausėdė, V., Gurauskiene, I., &amp; Akule, D., </w:t>
      </w:r>
      <w:r w:rsidRPr="00941395">
        <w:rPr>
          <w:i/>
          <w:lang w:val="en-IE"/>
        </w:rPr>
        <w:t>Textile circularity in the Baltic countries: current status and recommendations for the future,</w:t>
      </w:r>
      <w:r w:rsidRPr="00941395">
        <w:rPr>
          <w:lang w:val="en-IE"/>
        </w:rPr>
        <w:t xml:space="preserve"> Nordic Council of Ministers TemaNord Report, 2020b.</w:t>
      </w:r>
    </w:p>
  </w:footnote>
  <w:footnote w:id="180">
    <w:p w14:paraId="1950B8D4" w14:textId="77777777" w:rsidR="00830770" w:rsidRPr="00941395" w:rsidRDefault="00830770" w:rsidP="00F55FEE">
      <w:pPr>
        <w:pStyle w:val="FootnoteText"/>
        <w:jc w:val="left"/>
        <w:rPr>
          <w:lang w:val="en-IE"/>
        </w:rPr>
      </w:pPr>
      <w:r w:rsidRPr="00941395">
        <w:rPr>
          <w:rStyle w:val="FootnoteReference"/>
          <w:lang w:val="en-IE"/>
        </w:rPr>
        <w:footnoteRef/>
      </w:r>
      <w:r w:rsidRPr="00941395">
        <w:rPr>
          <w:lang w:val="en-IE"/>
        </w:rPr>
        <w:t xml:space="preserve"> Watson, D., Trzepacz, S., Kiørboe, N., Elander, M., Ljungkvist Nordin, H., Lander Svendsen, N., &amp; Wittus Skottfelt, S, </w:t>
      </w:r>
      <w:r w:rsidRPr="00941395">
        <w:rPr>
          <w:i/>
          <w:lang w:val="en-IE"/>
        </w:rPr>
        <w:t>Towards 2025: Separate Collection and Treatment of Used Textiles in 6 EU countries</w:t>
      </w:r>
      <w:r w:rsidRPr="00941395">
        <w:rPr>
          <w:lang w:val="en-IE"/>
        </w:rPr>
        <w:t>, 2020a.</w:t>
      </w:r>
    </w:p>
  </w:footnote>
  <w:footnote w:id="181">
    <w:p w14:paraId="48CF567C" w14:textId="77777777" w:rsidR="00830770" w:rsidRPr="00941395" w:rsidRDefault="00830770" w:rsidP="00800620">
      <w:pPr>
        <w:pStyle w:val="FootnoteText"/>
        <w:jc w:val="left"/>
        <w:rPr>
          <w:lang w:val="en-IE"/>
        </w:rPr>
      </w:pPr>
      <w:r w:rsidRPr="00941395">
        <w:rPr>
          <w:rStyle w:val="FootnoteReference"/>
          <w:lang w:val="en-IE"/>
        </w:rPr>
        <w:footnoteRef/>
      </w:r>
      <w:r w:rsidRPr="00941395">
        <w:rPr>
          <w:lang w:val="en-IE"/>
        </w:rPr>
        <w:t xml:space="preserve"> Watson, D., Kant Hvass, K., Moora, H., Martin, K.; Nausėdė, V., Gurauskiene, I., &amp; Akule, D, 2020b.</w:t>
      </w:r>
    </w:p>
  </w:footnote>
  <w:footnote w:id="182">
    <w:p w14:paraId="5535B919" w14:textId="77777777" w:rsidR="00830770" w:rsidRPr="00941395" w:rsidRDefault="00830770" w:rsidP="002E60DF">
      <w:pPr>
        <w:pStyle w:val="FootnoteText"/>
        <w:jc w:val="left"/>
        <w:rPr>
          <w:lang w:val="en-IE"/>
        </w:rPr>
      </w:pPr>
      <w:r w:rsidRPr="00941395">
        <w:rPr>
          <w:rStyle w:val="FootnoteReference"/>
          <w:lang w:val="en-IE"/>
        </w:rPr>
        <w:footnoteRef/>
      </w:r>
      <w:r w:rsidRPr="00941395">
        <w:rPr>
          <w:lang w:val="en-IE"/>
        </w:rPr>
        <w:t xml:space="preserve"> Watson, D., Aare, A. K., Trzepacz, S. and Dahl Petersen, C., </w:t>
      </w:r>
      <w:r w:rsidRPr="00941395">
        <w:rPr>
          <w:i/>
          <w:lang w:val="en-IE"/>
        </w:rPr>
        <w:t>Used Textile Collection in European Cities,</w:t>
      </w:r>
      <w:r w:rsidRPr="00941395">
        <w:rPr>
          <w:lang w:val="en-IE"/>
        </w:rPr>
        <w:t xml:space="preserve"> Study commissioned by Rijkswaterstaat under the European Clothing Action Plan (ECAP), 2018a.</w:t>
      </w:r>
    </w:p>
  </w:footnote>
  <w:footnote w:id="183">
    <w:p w14:paraId="0FF2F079" w14:textId="77777777" w:rsidR="00830770" w:rsidRPr="00941395" w:rsidRDefault="00830770" w:rsidP="00CB64AD">
      <w:pPr>
        <w:pStyle w:val="FootnoteText"/>
        <w:jc w:val="left"/>
        <w:rPr>
          <w:lang w:val="en-IE"/>
        </w:rPr>
      </w:pPr>
      <w:r w:rsidRPr="00941395">
        <w:rPr>
          <w:rStyle w:val="FootnoteReference"/>
          <w:lang w:val="en-IE"/>
        </w:rPr>
        <w:footnoteRef/>
      </w:r>
      <w:r w:rsidRPr="00941395">
        <w:rPr>
          <w:lang w:val="en-IE"/>
        </w:rPr>
        <w:t xml:space="preserve"> </w:t>
      </w:r>
      <w:hyperlink r:id="rId72" w:history="1">
        <w:r w:rsidRPr="00941395">
          <w:rPr>
            <w:rStyle w:val="Hyperlink"/>
            <w:lang w:val="en-IE"/>
          </w:rPr>
          <w:t>https://www.salvationarmytrading.org.uk/about/our-history</w:t>
        </w:r>
      </w:hyperlink>
      <w:r w:rsidRPr="00941395">
        <w:rPr>
          <w:rStyle w:val="Hyperlink"/>
          <w:lang w:val="en-IE"/>
        </w:rPr>
        <w:t>.</w:t>
      </w:r>
    </w:p>
  </w:footnote>
  <w:footnote w:id="184">
    <w:p w14:paraId="775C81BB" w14:textId="70BA9178" w:rsidR="00830770" w:rsidRPr="00941395" w:rsidRDefault="00830770" w:rsidP="00411762">
      <w:pPr>
        <w:pStyle w:val="FootnoteText"/>
        <w:jc w:val="lef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p>
  </w:footnote>
  <w:footnote w:id="185">
    <w:p w14:paraId="0CD1B0F4" w14:textId="77777777" w:rsidR="00830770" w:rsidRPr="00941395" w:rsidRDefault="00830770" w:rsidP="00007EE4">
      <w:pPr>
        <w:pStyle w:val="FootnoteText"/>
        <w:rPr>
          <w:lang w:val="en-IE"/>
        </w:rPr>
      </w:pPr>
      <w:r w:rsidRPr="00941395">
        <w:rPr>
          <w:rStyle w:val="FootnoteReference"/>
          <w:lang w:val="en-IE"/>
        </w:rPr>
        <w:footnoteRef/>
      </w:r>
      <w:r w:rsidRPr="00941395">
        <w:rPr>
          <w:lang w:val="en-IE"/>
        </w:rPr>
        <w:t xml:space="preserve"> </w:t>
      </w:r>
      <w:hyperlink r:id="rId73" w:history="1">
        <w:r w:rsidRPr="00941395">
          <w:rPr>
            <w:rStyle w:val="Hyperlink"/>
            <w:lang w:val="en-IE"/>
          </w:rPr>
          <w:t>https://refashion.fr/en</w:t>
        </w:r>
      </w:hyperlink>
      <w:r w:rsidRPr="00941395">
        <w:rPr>
          <w:lang w:val="en-IE"/>
        </w:rPr>
        <w:t xml:space="preserve"> </w:t>
      </w:r>
    </w:p>
  </w:footnote>
  <w:footnote w:id="186">
    <w:p w14:paraId="74CDFC6F" w14:textId="7CB8F385" w:rsidR="00830770" w:rsidRPr="00941395" w:rsidRDefault="00830770" w:rsidP="7BCB1020">
      <w:pPr>
        <w:pStyle w:val="FootnoteText"/>
        <w:rPr>
          <w:rFonts w:cs="Segoe UI"/>
          <w:lang w:val="en-IE"/>
        </w:rPr>
      </w:pPr>
      <w:r w:rsidRPr="00941395">
        <w:rPr>
          <w:rStyle w:val="FootnoteReference"/>
          <w:lang w:val="en-IE"/>
        </w:rPr>
        <w:footnoteRef/>
      </w:r>
      <w:r w:rsidRPr="00941395">
        <w:rPr>
          <w:lang w:val="en-IE"/>
        </w:rPr>
        <w:t xml:space="preserve"> See footnote 46, p. 47.</w:t>
      </w:r>
    </w:p>
  </w:footnote>
  <w:footnote w:id="187">
    <w:p w14:paraId="589C689B" w14:textId="141FF4FB" w:rsidR="00830770" w:rsidRPr="00D57DD7" w:rsidRDefault="00830770">
      <w:pPr>
        <w:pStyle w:val="FootnoteText"/>
        <w:rPr>
          <w:lang w:val="en-IE"/>
        </w:rPr>
      </w:pPr>
      <w:r w:rsidRPr="00941395">
        <w:rPr>
          <w:rStyle w:val="FootnoteReference"/>
          <w:lang w:val="en-IE"/>
        </w:rPr>
        <w:footnoteRef/>
      </w:r>
      <w:r w:rsidRPr="00941395">
        <w:rPr>
          <w:lang w:val="en-IE"/>
        </w:rPr>
        <w:t xml:space="preserve"> European Commission, </w:t>
      </w:r>
      <w:r w:rsidRPr="00825B43">
        <w:rPr>
          <w:lang w:val="en-IE"/>
        </w:rPr>
        <w:t xml:space="preserve">Joint Research Centre. </w:t>
      </w:r>
      <w:r w:rsidRPr="00825B43">
        <w:rPr>
          <w:i/>
          <w:lang w:val="en-IE"/>
        </w:rPr>
        <w:t>Techno-scientific assessment of the management options for used and waste textiles</w:t>
      </w:r>
      <w:r w:rsidRPr="00825B43">
        <w:rPr>
          <w:lang w:val="en-IE"/>
        </w:rPr>
        <w:t>. 2023 (under development)</w:t>
      </w:r>
    </w:p>
  </w:footnote>
  <w:footnote w:id="188">
    <w:p w14:paraId="26B98A10" w14:textId="77777777" w:rsidR="00830770" w:rsidRPr="00941395" w:rsidRDefault="00830770" w:rsidP="00AC126C">
      <w:pPr>
        <w:pStyle w:val="FootnoteText"/>
        <w:rPr>
          <w:lang w:val="en-IE"/>
        </w:rPr>
      </w:pPr>
      <w:r w:rsidRPr="00941395">
        <w:rPr>
          <w:rStyle w:val="FootnoteReference"/>
          <w:lang w:val="en-IE"/>
        </w:rPr>
        <w:footnoteRef/>
      </w:r>
      <w:r w:rsidRPr="00941395">
        <w:rPr>
          <w:lang w:val="en-IE"/>
        </w:rPr>
        <w:t xml:space="preserve"> EU trade since 1988 by HS2-4-6 and CN8 (DS-045409)</w:t>
      </w:r>
    </w:p>
  </w:footnote>
  <w:footnote w:id="189">
    <w:p w14:paraId="36F23E10" w14:textId="052EEC6D" w:rsidR="00830770" w:rsidRPr="00941395" w:rsidRDefault="00830770" w:rsidP="00AC126C">
      <w:pPr>
        <w:pStyle w:val="FootnoteTex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p>
  </w:footnote>
  <w:footnote w:id="190">
    <w:p w14:paraId="0643B2C6" w14:textId="77777777" w:rsidR="00830770" w:rsidRPr="00941395" w:rsidRDefault="00830770" w:rsidP="00AC126C">
      <w:pPr>
        <w:pStyle w:val="FootnoteText"/>
        <w:rPr>
          <w:lang w:val="en-IE"/>
        </w:rPr>
      </w:pPr>
      <w:r w:rsidRPr="00941395">
        <w:rPr>
          <w:rStyle w:val="FootnoteReference"/>
          <w:lang w:val="en-IE"/>
        </w:rPr>
        <w:footnoteRef/>
      </w:r>
      <w:r w:rsidRPr="00941395">
        <w:rPr>
          <w:lang w:val="en-IE"/>
        </w:rPr>
        <w:t xml:space="preserve"> Fashion for Good, </w:t>
      </w:r>
      <w:r w:rsidRPr="00941395">
        <w:rPr>
          <w:i/>
          <w:lang w:val="en-IE"/>
        </w:rPr>
        <w:t>Sorting for Circularity Europe. An evaluation and commercial assessment of textile waste across Europe</w:t>
      </w:r>
      <w:r w:rsidRPr="00941395">
        <w:rPr>
          <w:lang w:val="en-IE"/>
        </w:rPr>
        <w:t>, 2022.</w:t>
      </w:r>
    </w:p>
  </w:footnote>
  <w:footnote w:id="191">
    <w:p w14:paraId="73D9A486" w14:textId="77777777" w:rsidR="00830770" w:rsidRPr="006908BA" w:rsidRDefault="00830770" w:rsidP="00A42669">
      <w:pPr>
        <w:pStyle w:val="FootnoteText"/>
        <w:rPr>
          <w:lang w:val="en-IE"/>
        </w:rPr>
      </w:pPr>
      <w:r w:rsidRPr="00941395">
        <w:rPr>
          <w:rStyle w:val="FootnoteReference"/>
          <w:lang w:val="en-IE"/>
        </w:rPr>
        <w:footnoteRef/>
      </w:r>
      <w:r w:rsidRPr="00941395">
        <w:rPr>
          <w:lang w:val="en-IE"/>
        </w:rPr>
        <w:t xml:space="preserve"> Joint Research Centre. 2023. “Techno-scientific assessment of the management options for used and waste textiles - Preparatory study for the possible setting of preparation for re-use and recycling targets”(unpublished work).</w:t>
      </w:r>
    </w:p>
  </w:footnote>
  <w:footnote w:id="192">
    <w:p w14:paraId="048E5BF4" w14:textId="77777777" w:rsidR="00830770" w:rsidRPr="00941395" w:rsidRDefault="00830770" w:rsidP="006D4536">
      <w:pPr>
        <w:pStyle w:val="FootnoteText"/>
        <w:rPr>
          <w:lang w:val="en-IE"/>
        </w:rPr>
      </w:pPr>
      <w:r w:rsidRPr="00941395">
        <w:rPr>
          <w:rStyle w:val="FootnoteReference"/>
          <w:lang w:val="en-IE"/>
        </w:rPr>
        <w:footnoteRef/>
      </w:r>
      <w:r w:rsidRPr="00941395">
        <w:rPr>
          <w:lang w:val="en-IE"/>
        </w:rPr>
        <w:t xml:space="preserve"> Joint Research Centre. 2023. “Techno-scientific assessment of the management options for used and waste textiles - Preparatory study for the possible setting of preparation for re-use and recycling targets” (unpublished work)</w:t>
      </w:r>
    </w:p>
  </w:footnote>
  <w:footnote w:id="193">
    <w:p w14:paraId="0A3D82E8" w14:textId="0D55E377" w:rsidR="00830770" w:rsidRPr="00941395" w:rsidRDefault="00830770" w:rsidP="007607D6">
      <w:pPr>
        <w:pStyle w:val="FootnoteText"/>
        <w:jc w:val="lef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p>
  </w:footnote>
  <w:footnote w:id="194">
    <w:p w14:paraId="7743452E" w14:textId="3E94B079" w:rsidR="00830770" w:rsidRPr="00941395" w:rsidRDefault="00830770" w:rsidP="00590481">
      <w:pPr>
        <w:pStyle w:val="FootnoteText"/>
        <w:jc w:val="lef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p>
  </w:footnote>
  <w:footnote w:id="195">
    <w:p w14:paraId="01BAC39A" w14:textId="77777777" w:rsidR="00830770" w:rsidRPr="00941395" w:rsidRDefault="00830770" w:rsidP="00590481">
      <w:pPr>
        <w:pStyle w:val="FootnoteText"/>
        <w:jc w:val="left"/>
        <w:rPr>
          <w:lang w:val="en-IE"/>
        </w:rPr>
      </w:pPr>
      <w:r w:rsidRPr="00941395">
        <w:rPr>
          <w:rStyle w:val="FootnoteReference"/>
          <w:lang w:val="en-IE"/>
        </w:rPr>
        <w:footnoteRef/>
      </w:r>
      <w:r w:rsidRPr="00941395">
        <w:rPr>
          <w:lang w:val="en-IE"/>
        </w:rPr>
        <w:t xml:space="preserve"> The European Recycling Industries’ Confederation (EuRIC) is the umbrella organisation for European Recycling Industries.</w:t>
      </w:r>
    </w:p>
  </w:footnote>
  <w:footnote w:id="196">
    <w:p w14:paraId="696B9F79" w14:textId="07E55B93" w:rsidR="00830770" w:rsidRPr="00941395" w:rsidRDefault="00830770" w:rsidP="00590481">
      <w:pPr>
        <w:pStyle w:val="FootnoteText"/>
        <w:jc w:val="left"/>
        <w:rPr>
          <w:rFonts w:cs="Segoe UI"/>
          <w:color w:val="000000" w:themeColor="text1"/>
          <w:lang w:val="en-IE"/>
        </w:rPr>
      </w:pPr>
      <w:r w:rsidRPr="00941395">
        <w:rPr>
          <w:rStyle w:val="FootnoteReference"/>
          <w:lang w:val="en-IE"/>
        </w:rPr>
        <w:footnoteRef/>
      </w:r>
      <w:r w:rsidRPr="00941395">
        <w:rPr>
          <w:lang w:val="en-IE"/>
        </w:rPr>
        <w:t xml:space="preserve"> </w:t>
      </w:r>
      <w:r>
        <w:rPr>
          <w:lang w:val="en-IE"/>
        </w:rPr>
        <w:t xml:space="preserve">See footnote </w:t>
      </w:r>
      <w:r>
        <w:rPr>
          <w:lang w:val="en-IE"/>
        </w:rPr>
        <w:fldChar w:fldCharType="begin"/>
      </w:r>
      <w:r>
        <w:rPr>
          <w:lang w:val="en-IE"/>
        </w:rPr>
        <w:instrText xml:space="preserve"> NOTEREF _Ref133615553 \h </w:instrText>
      </w:r>
      <w:r>
        <w:rPr>
          <w:lang w:val="en-IE"/>
        </w:rPr>
      </w:r>
      <w:r>
        <w:rPr>
          <w:lang w:val="en-IE"/>
        </w:rPr>
        <w:fldChar w:fldCharType="separate"/>
      </w:r>
      <w:r w:rsidR="004C5576">
        <w:rPr>
          <w:lang w:val="en-IE"/>
        </w:rPr>
        <w:t>7</w:t>
      </w:r>
      <w:r>
        <w:rPr>
          <w:lang w:val="en-IE"/>
        </w:rPr>
        <w:fldChar w:fldCharType="end"/>
      </w:r>
    </w:p>
  </w:footnote>
  <w:footnote w:id="197">
    <w:p w14:paraId="7B819693" w14:textId="4814BA81" w:rsidR="00830770" w:rsidRPr="00941395" w:rsidRDefault="00830770" w:rsidP="00590481">
      <w:pPr>
        <w:pStyle w:val="FootnoteText"/>
        <w:jc w:val="lef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p>
  </w:footnote>
  <w:footnote w:id="198">
    <w:p w14:paraId="540DFF77" w14:textId="0858892F" w:rsidR="00830770" w:rsidRPr="00941395" w:rsidRDefault="00830770" w:rsidP="00590481">
      <w:pPr>
        <w:pStyle w:val="FootnoteText"/>
        <w:jc w:val="left"/>
        <w:rPr>
          <w:rFonts w:cs="Segoe UI"/>
          <w:color w:val="000000" w:themeColor="text1"/>
          <w:lang w:val="en-IE"/>
        </w:rPr>
      </w:pPr>
      <w:r w:rsidRPr="00941395">
        <w:rPr>
          <w:rStyle w:val="FootnoteReference"/>
          <w:lang w:val="en-IE"/>
        </w:rPr>
        <w:footnoteRef/>
      </w:r>
      <w:r w:rsidRPr="00941395">
        <w:rPr>
          <w:lang w:val="en-IE"/>
        </w:rPr>
        <w:t xml:space="preserve"> </w:t>
      </w:r>
      <w:r>
        <w:rPr>
          <w:rStyle w:val="FootnoteReference"/>
          <w:vertAlign w:val="baseline"/>
          <w:lang w:val="en-IE"/>
        </w:rPr>
        <w:t>S</w:t>
      </w:r>
      <w:r>
        <w:rPr>
          <w:lang w:val="en-IE"/>
        </w:rPr>
        <w:t xml:space="preserve">ee footnote </w:t>
      </w:r>
      <w:r>
        <w:rPr>
          <w:lang w:val="en-IE"/>
        </w:rPr>
        <w:fldChar w:fldCharType="begin"/>
      </w:r>
      <w:r>
        <w:rPr>
          <w:lang w:val="en-IE"/>
        </w:rPr>
        <w:instrText xml:space="preserve"> NOTEREF _Ref133615553 \h </w:instrText>
      </w:r>
      <w:r>
        <w:rPr>
          <w:lang w:val="en-IE"/>
        </w:rPr>
      </w:r>
      <w:r>
        <w:rPr>
          <w:lang w:val="en-IE"/>
        </w:rPr>
        <w:fldChar w:fldCharType="separate"/>
      </w:r>
      <w:r w:rsidR="004C5576">
        <w:rPr>
          <w:lang w:val="en-IE"/>
        </w:rPr>
        <w:t>7</w:t>
      </w:r>
      <w:r>
        <w:rPr>
          <w:lang w:val="en-IE"/>
        </w:rPr>
        <w:fldChar w:fldCharType="end"/>
      </w:r>
    </w:p>
  </w:footnote>
  <w:footnote w:id="199">
    <w:p w14:paraId="291B6667" w14:textId="7098D20C" w:rsidR="00830770" w:rsidRPr="00941395" w:rsidRDefault="00830770" w:rsidP="00590481">
      <w:pPr>
        <w:pStyle w:val="FootnoteText"/>
        <w:jc w:val="left"/>
        <w:rPr>
          <w:lang w:val="en-IE"/>
        </w:rPr>
      </w:pPr>
      <w:r w:rsidRPr="00941395">
        <w:rPr>
          <w:rStyle w:val="FootnoteReference"/>
          <w:lang w:val="en-IE"/>
        </w:rPr>
        <w:footnoteRef/>
      </w:r>
      <w:r w:rsidRPr="00941395">
        <w:rPr>
          <w:lang w:val="en-IE"/>
        </w:rPr>
        <w:t xml:space="preserve"> Cura, Kirsti, Rintala, N., Kamppuri, T., Saarimäki, E., and Heikkilä, P., </w:t>
      </w:r>
      <w:r w:rsidRPr="00941395">
        <w:rPr>
          <w:i/>
          <w:lang w:val="en-IE"/>
        </w:rPr>
        <w:t>“Textile Recognition and Sorting for Recycling at an Automated Line Using Near Infrared Spectroscopy.”</w:t>
      </w:r>
      <w:r w:rsidRPr="00941395">
        <w:rPr>
          <w:lang w:val="en-IE"/>
        </w:rPr>
        <w:t>, 2021.</w:t>
      </w:r>
    </w:p>
  </w:footnote>
  <w:footnote w:id="200">
    <w:p w14:paraId="3E598CB4" w14:textId="518D78D7" w:rsidR="00830770" w:rsidRPr="00941395" w:rsidRDefault="00830770" w:rsidP="00590481">
      <w:pPr>
        <w:pStyle w:val="FootnoteText"/>
        <w:jc w:val="left"/>
        <w:rPr>
          <w:lang w:val="en-IE"/>
        </w:rPr>
      </w:pPr>
      <w:r w:rsidRPr="00941395">
        <w:rPr>
          <w:rStyle w:val="FootnoteReference"/>
          <w:lang w:val="en-IE"/>
        </w:rPr>
        <w:footnoteRef/>
      </w:r>
      <w:r w:rsidRPr="00941395">
        <w:rPr>
          <w:lang w:val="en-IE"/>
        </w:rPr>
        <w:t xml:space="preserve"> See footnote 145, p. 87.</w:t>
      </w:r>
    </w:p>
  </w:footnote>
  <w:footnote w:id="201">
    <w:p w14:paraId="0C5D6692" w14:textId="02751B07" w:rsidR="00830770" w:rsidRPr="00941395" w:rsidRDefault="00830770" w:rsidP="00590481">
      <w:pPr>
        <w:pStyle w:val="FootnoteText"/>
        <w:jc w:val="left"/>
        <w:rPr>
          <w:rFonts w:cs="Segoe UI"/>
          <w:color w:val="000000" w:themeColor="text1"/>
          <w:lang w:val="en-IE"/>
        </w:rPr>
      </w:pPr>
      <w:r w:rsidRPr="00941395">
        <w:rPr>
          <w:rStyle w:val="FootnoteReference"/>
          <w:lang w:val="en-IE"/>
        </w:rPr>
        <w:footnoteRef/>
      </w:r>
      <w:r w:rsidRPr="00941395">
        <w:rPr>
          <w:lang w:val="en-IE"/>
        </w:rPr>
        <w:t xml:space="preserve"> </w:t>
      </w:r>
      <w:r>
        <w:rPr>
          <w:lang w:val="en-IE"/>
        </w:rPr>
        <w:t xml:space="preserve">See footnote </w:t>
      </w:r>
      <w:r>
        <w:rPr>
          <w:lang w:val="en-IE"/>
        </w:rPr>
        <w:fldChar w:fldCharType="begin"/>
      </w:r>
      <w:r>
        <w:rPr>
          <w:lang w:val="en-IE"/>
        </w:rPr>
        <w:instrText xml:space="preserve"> NOTEREF _Ref133615553 \h </w:instrText>
      </w:r>
      <w:r>
        <w:rPr>
          <w:lang w:val="en-IE"/>
        </w:rPr>
      </w:r>
      <w:r>
        <w:rPr>
          <w:lang w:val="en-IE"/>
        </w:rPr>
        <w:fldChar w:fldCharType="separate"/>
      </w:r>
      <w:r w:rsidR="004C5576">
        <w:rPr>
          <w:lang w:val="en-IE"/>
        </w:rPr>
        <w:t>7</w:t>
      </w:r>
      <w:r>
        <w:rPr>
          <w:lang w:val="en-IE"/>
        </w:rPr>
        <w:fldChar w:fldCharType="end"/>
      </w:r>
    </w:p>
  </w:footnote>
  <w:footnote w:id="202">
    <w:p w14:paraId="7AB27041" w14:textId="730D0534" w:rsidR="00830770" w:rsidRPr="003502CA" w:rsidRDefault="00830770" w:rsidP="00590481">
      <w:pPr>
        <w:pStyle w:val="FootnoteText"/>
        <w:jc w:val="left"/>
        <w:rPr>
          <w:lang w:val="fi-FI"/>
        </w:rPr>
      </w:pPr>
      <w:r w:rsidRPr="00941395">
        <w:rPr>
          <w:rStyle w:val="FootnoteReference"/>
          <w:lang w:val="en-IE"/>
        </w:rPr>
        <w:footnoteRef/>
      </w:r>
      <w:r w:rsidRPr="003502CA">
        <w:rPr>
          <w:lang w:val="fi-FI"/>
        </w:rPr>
        <w:t xml:space="preserve"> Cura, Kirsti, Rintala, N., Kamppuri, T., Saarimäki, E., and Heikkilä, P., 2021.</w:t>
      </w:r>
    </w:p>
  </w:footnote>
  <w:footnote w:id="203">
    <w:p w14:paraId="4B4768FB" w14:textId="4B63818F" w:rsidR="00830770" w:rsidRPr="003502CA" w:rsidRDefault="00830770" w:rsidP="00590481">
      <w:pPr>
        <w:pStyle w:val="FootnoteText"/>
        <w:jc w:val="left"/>
        <w:rPr>
          <w:lang w:val="fi-FI"/>
        </w:rPr>
      </w:pPr>
      <w:r w:rsidRPr="00941395">
        <w:rPr>
          <w:rStyle w:val="FootnoteReference"/>
          <w:lang w:val="en-IE"/>
        </w:rPr>
        <w:footnoteRef/>
      </w:r>
      <w:r w:rsidRPr="003502CA">
        <w:rPr>
          <w:lang w:val="fi-FI"/>
        </w:rPr>
        <w:t xml:space="preserve"> Recycling Magazine, </w:t>
      </w:r>
      <w:r w:rsidRPr="003502CA">
        <w:rPr>
          <w:i/>
          <w:iCs/>
          <w:lang w:val="fi-FI"/>
        </w:rPr>
        <w:t>World’s first fully automated textile sorting plant in Malmö</w:t>
      </w:r>
      <w:r w:rsidRPr="003502CA">
        <w:rPr>
          <w:lang w:val="fi-FI"/>
        </w:rPr>
        <w:t xml:space="preserve">, 2021, </w:t>
      </w:r>
      <w:hyperlink r:id="rId74" w:history="1">
        <w:r w:rsidRPr="003502CA">
          <w:rPr>
            <w:rStyle w:val="Hyperlink"/>
            <w:lang w:val="fi-FI"/>
          </w:rPr>
          <w:t>World’s first fully automated textile sorting plant in Malmö - RECYCLING magazine (recycling-magazine.com).</w:t>
        </w:r>
      </w:hyperlink>
    </w:p>
  </w:footnote>
  <w:footnote w:id="204">
    <w:p w14:paraId="6C80FECE" w14:textId="789CBC7A" w:rsidR="00830770" w:rsidRPr="00941395" w:rsidRDefault="00830770" w:rsidP="00110C08">
      <w:pPr>
        <w:pStyle w:val="FootnoteText"/>
        <w:rPr>
          <w:lang w:val="en-IE"/>
        </w:rPr>
      </w:pPr>
      <w:r w:rsidRPr="00941395">
        <w:rPr>
          <w:rStyle w:val="FootnoteReference"/>
          <w:lang w:val="en-IE"/>
        </w:rPr>
        <w:footnoteRef/>
      </w:r>
      <w:r w:rsidRPr="00941395">
        <w:rPr>
          <w:lang w:val="en-IE"/>
        </w:rPr>
        <w:t xml:space="preserve"> JRC, </w:t>
      </w:r>
      <w:r w:rsidRPr="00941395">
        <w:rPr>
          <w:i/>
          <w:lang w:val="en-IE"/>
        </w:rPr>
        <w:t>Best Environmental Management Practice – Treatment of mattresses for improved recycling of materials</w:t>
      </w:r>
      <w:r w:rsidRPr="00941395">
        <w:rPr>
          <w:lang w:val="en-IE"/>
        </w:rPr>
        <w:t>, 2016.</w:t>
      </w:r>
    </w:p>
  </w:footnote>
  <w:footnote w:id="205">
    <w:p w14:paraId="536765ED" w14:textId="77777777" w:rsidR="00830770" w:rsidRPr="009F7F33" w:rsidRDefault="00830770" w:rsidP="00EB7C83">
      <w:pPr>
        <w:pStyle w:val="FootnoteText"/>
        <w:rPr>
          <w:lang w:val="en-IE"/>
        </w:rPr>
      </w:pPr>
      <w:r>
        <w:rPr>
          <w:rStyle w:val="FootnoteReference"/>
        </w:rPr>
        <w:footnoteRef/>
      </w:r>
      <w:r>
        <w:t xml:space="preserve"> </w:t>
      </w:r>
      <w:r w:rsidRPr="009F7F33">
        <w:t>Joint Research Centre. 2023. “Techno-scientific assessment of the management options for used and waste textiles - Preparatory study for the possible setting of preparation for re-use and recycling targets</w:t>
      </w:r>
      <w:r>
        <w:t>.</w:t>
      </w:r>
    </w:p>
  </w:footnote>
  <w:footnote w:id="206">
    <w:p w14:paraId="5CF56779" w14:textId="0FADE84D" w:rsidR="00830770" w:rsidRPr="00941395" w:rsidRDefault="00830770">
      <w:pPr>
        <w:pStyle w:val="FootnoteText"/>
        <w:rPr>
          <w:lang w:val="en-IE"/>
        </w:rPr>
      </w:pPr>
      <w:r w:rsidRPr="00941395">
        <w:rPr>
          <w:rStyle w:val="FootnoteReference"/>
          <w:lang w:val="en-IE"/>
        </w:rPr>
        <w:footnoteRef/>
      </w:r>
      <w:r w:rsidRPr="00941395">
        <w:rPr>
          <w:lang w:val="en-IE"/>
        </w:rPr>
        <w:t xml:space="preserve"> Joint Research Centre. 2023. “Techno-scientific assessment of the management options for used and waste textiles - Preparatory study for the possible setting of preparation for re-use and recycling targets” (unpublished work)</w:t>
      </w:r>
    </w:p>
  </w:footnote>
  <w:footnote w:id="207">
    <w:p w14:paraId="6DDB7F10" w14:textId="47F4B07A" w:rsidR="00830770" w:rsidRPr="00941395" w:rsidRDefault="00830770" w:rsidP="007607D6">
      <w:pPr>
        <w:pStyle w:val="FootnoteText"/>
        <w:jc w:val="left"/>
        <w:rPr>
          <w:lang w:val="en-IE"/>
        </w:rPr>
      </w:pPr>
      <w:r w:rsidRPr="00941395">
        <w:rPr>
          <w:rStyle w:val="FootnoteReference"/>
          <w:lang w:val="en-IE"/>
        </w:rPr>
        <w:footnoteRef/>
      </w:r>
      <w:r w:rsidRPr="00941395">
        <w:rPr>
          <w:lang w:val="en-IE"/>
        </w:rPr>
        <w:t xml:space="preserve"> </w:t>
      </w:r>
      <w:r w:rsidRPr="00941395">
        <w:rPr>
          <w:rFonts w:cs="Segoe UI"/>
          <w:lang w:val="en-IE"/>
        </w:rPr>
        <w:t xml:space="preserve">Fortuna and Diyamandoglu, 2017 in Gustav Sandin and Peters G. M., </w:t>
      </w:r>
      <w:r w:rsidRPr="00941395">
        <w:rPr>
          <w:rFonts w:cs="Segoe UI"/>
          <w:i/>
          <w:lang w:val="en-IE"/>
        </w:rPr>
        <w:t>“</w:t>
      </w:r>
      <w:r w:rsidRPr="00941395">
        <w:rPr>
          <w:rFonts w:cs="Segoe UI"/>
          <w:lang w:val="en-IE"/>
        </w:rPr>
        <w:t>Environmental impact of textile reuse and recycling – A review”</w:t>
      </w:r>
      <w:r w:rsidRPr="00941395">
        <w:rPr>
          <w:rFonts w:cs="Segoe UI"/>
          <w:i/>
          <w:lang w:val="en-IE"/>
        </w:rPr>
        <w:t>,</w:t>
      </w:r>
      <w:r w:rsidRPr="00941395">
        <w:rPr>
          <w:rFonts w:cs="Segoe UI"/>
          <w:lang w:val="en-IE"/>
        </w:rPr>
        <w:t xml:space="preserve"> </w:t>
      </w:r>
      <w:r w:rsidRPr="00941395">
        <w:rPr>
          <w:rFonts w:cs="Segoe UI"/>
          <w:i/>
          <w:lang w:val="en-IE"/>
        </w:rPr>
        <w:t>Journal of Cleaner Production,</w:t>
      </w:r>
      <w:r w:rsidRPr="00941395">
        <w:rPr>
          <w:rFonts w:cs="Segoe UI"/>
          <w:lang w:val="en-IE"/>
        </w:rPr>
        <w:t xml:space="preserve"> Vol. 184,</w:t>
      </w:r>
      <w:r w:rsidRPr="00941395">
        <w:rPr>
          <w:rFonts w:cs="Segoe UI"/>
          <w:i/>
          <w:iCs/>
          <w:lang w:val="en-IE"/>
        </w:rPr>
        <w:t xml:space="preserve"> </w:t>
      </w:r>
      <w:r w:rsidRPr="00941395">
        <w:rPr>
          <w:rFonts w:cs="Segoe UI"/>
          <w:lang w:val="en-IE"/>
        </w:rPr>
        <w:t xml:space="preserve">2018 </w:t>
      </w:r>
      <w:hyperlink r:id="rId75" w:anchor="bib21" w:history="1">
        <w:r w:rsidRPr="00941395">
          <w:rPr>
            <w:rStyle w:val="Hyperlink"/>
            <w:lang w:val="en-IE"/>
          </w:rPr>
          <w:t>https://www.sciencedirect.com/science/article/pii/S0959652618305985#bib21</w:t>
        </w:r>
      </w:hyperlink>
      <w:r w:rsidRPr="00941395">
        <w:rPr>
          <w:lang w:val="en-IE"/>
        </w:rPr>
        <w:t>.</w:t>
      </w:r>
    </w:p>
  </w:footnote>
  <w:footnote w:id="208">
    <w:p w14:paraId="18A66C65" w14:textId="3574DFE1" w:rsidR="00830770" w:rsidRPr="00941395" w:rsidRDefault="00830770" w:rsidP="007607D6">
      <w:pPr>
        <w:pStyle w:val="FootnoteText"/>
        <w:jc w:val="left"/>
        <w:rPr>
          <w:lang w:val="en-IE"/>
        </w:rPr>
      </w:pPr>
      <w:r w:rsidRPr="00941395">
        <w:rPr>
          <w:rStyle w:val="FootnoteReference"/>
          <w:lang w:val="en-IE"/>
        </w:rPr>
        <w:footnoteRef/>
      </w:r>
      <w:r w:rsidRPr="00941395">
        <w:rPr>
          <w:rFonts w:cs="Segoe UI"/>
          <w:lang w:val="en-IE"/>
        </w:rPr>
        <w:t xml:space="preserve"> Sandin G. and Peters G. M., 2018, </w:t>
      </w:r>
      <w:hyperlink r:id="rId76" w:anchor="bib21" w:history="1">
        <w:r w:rsidRPr="00941395">
          <w:rPr>
            <w:rStyle w:val="Hyperlink"/>
            <w:lang w:val="en-IE"/>
          </w:rPr>
          <w:t>https://www.sciencedirect.com/science/article/pii/S0959652618305985#bib21</w:t>
        </w:r>
      </w:hyperlink>
      <w:r w:rsidRPr="00941395">
        <w:rPr>
          <w:lang w:val="en-IE"/>
        </w:rPr>
        <w:t>.</w:t>
      </w:r>
    </w:p>
  </w:footnote>
  <w:footnote w:id="209">
    <w:p w14:paraId="363B2BAA" w14:textId="6B681FDF" w:rsidR="00830770" w:rsidRPr="00941395" w:rsidRDefault="00830770" w:rsidP="007607D6">
      <w:pPr>
        <w:pStyle w:val="FootnoteText"/>
        <w:jc w:val="left"/>
        <w:rPr>
          <w:lang w:val="en-IE"/>
        </w:rPr>
      </w:pPr>
      <w:r w:rsidRPr="00941395">
        <w:rPr>
          <w:vertAlign w:val="superscript"/>
          <w:lang w:val="en-IE"/>
        </w:rPr>
        <w:footnoteRef/>
      </w:r>
      <w:r w:rsidRPr="00941395">
        <w:rPr>
          <w:lang w:val="en-IE"/>
        </w:rPr>
        <w:t xml:space="preserve"> Alcin-Enis I., Kucukali-Ozturk M., Sezgin H., “Risks and Management of Textile Waste”. In: Gothandam K., Ranjan S., Dasgupta N., Lichtfouse E. (eds) </w:t>
      </w:r>
      <w:r w:rsidRPr="00941395">
        <w:rPr>
          <w:i/>
          <w:lang w:val="en-IE"/>
        </w:rPr>
        <w:t>Nanoscience and Biotechnology for Environmental Applications. Environmental Chemistry for a Sustainable World</w:t>
      </w:r>
      <w:r w:rsidRPr="00941395">
        <w:rPr>
          <w:lang w:val="en-IE"/>
        </w:rPr>
        <w:t xml:space="preserve">, vol 22. Springer, Cham, 2019. </w:t>
      </w:r>
      <w:hyperlink r:id="rId77" w:history="1">
        <w:r w:rsidRPr="00941395">
          <w:rPr>
            <w:rStyle w:val="Hyperlink"/>
            <w:lang w:val="en-IE"/>
          </w:rPr>
          <w:t>https://doi.org/10.1007/978-3-319-97922-9_2</w:t>
        </w:r>
      </w:hyperlink>
      <w:r w:rsidRPr="00941395">
        <w:rPr>
          <w:lang w:val="en-IE"/>
        </w:rPr>
        <w:t>.</w:t>
      </w:r>
    </w:p>
  </w:footnote>
  <w:footnote w:id="210">
    <w:p w14:paraId="7FC864A9" w14:textId="6FDE28FD" w:rsidR="00830770" w:rsidRPr="00941395" w:rsidRDefault="00830770" w:rsidP="00E16008">
      <w:pPr>
        <w:pStyle w:val="FootnoteText"/>
        <w:jc w:val="left"/>
        <w:rPr>
          <w:lang w:val="en-IE"/>
        </w:rPr>
      </w:pPr>
      <w:r w:rsidRPr="00941395">
        <w:rPr>
          <w:rStyle w:val="FootnoteReference"/>
          <w:lang w:val="en-IE"/>
        </w:rPr>
        <w:footnoteRef/>
      </w:r>
      <w:r w:rsidRPr="00941395">
        <w:rPr>
          <w:lang w:val="en-IE"/>
        </w:rPr>
        <w:t xml:space="preserve"> </w:t>
      </w:r>
      <w:r w:rsidRPr="001C6982">
        <w:rPr>
          <w:rFonts w:eastAsia="Times New Roman"/>
          <w:color w:val="000000" w:themeColor="text1"/>
          <w:lang w:val="en-IE"/>
        </w:rPr>
        <w:t xml:space="preserve">EURATEX, </w:t>
      </w:r>
      <w:r w:rsidRPr="001C6982">
        <w:rPr>
          <w:rFonts w:eastAsia="Times New Roman"/>
          <w:i/>
          <w:iCs/>
          <w:color w:val="000000" w:themeColor="text1"/>
          <w:lang w:val="en-IE"/>
        </w:rPr>
        <w:t xml:space="preserve">ReHubs: A joint initiative for industrial upcycling of textile waste streams &amp; circular materials, </w:t>
      </w:r>
      <w:r w:rsidRPr="001C6982">
        <w:rPr>
          <w:rFonts w:eastAsia="Times New Roman"/>
          <w:color w:val="000000" w:themeColor="text1"/>
          <w:lang w:val="en-IE"/>
        </w:rPr>
        <w:t>2020.</w:t>
      </w:r>
      <w:r w:rsidRPr="001C6982">
        <w:rPr>
          <w:rFonts w:eastAsia="Times New Roman"/>
          <w:i/>
          <w:iCs/>
          <w:color w:val="000000" w:themeColor="text1"/>
          <w:lang w:val="en-IE"/>
        </w:rPr>
        <w:t xml:space="preserve"> </w:t>
      </w:r>
      <w:hyperlink r:id="rId78">
        <w:r w:rsidRPr="001C6982">
          <w:rPr>
            <w:rFonts w:eastAsia="Times New Roman"/>
            <w:color w:val="0000FF" w:themeColor="hyperlink"/>
            <w:u w:val="single"/>
            <w:lang w:val="en-IE"/>
          </w:rPr>
          <w:t>ReHubs - EURATEX</w:t>
        </w:r>
      </w:hyperlink>
      <w:r w:rsidRPr="00941395">
        <w:rPr>
          <w:lang w:val="en-IE"/>
        </w:rPr>
        <w:t>.</w:t>
      </w:r>
    </w:p>
  </w:footnote>
  <w:footnote w:id="211">
    <w:p w14:paraId="01422180" w14:textId="22C26830" w:rsidR="00830770" w:rsidRPr="00941395" w:rsidRDefault="00830770" w:rsidP="007607D6">
      <w:pPr>
        <w:pStyle w:val="FootnoteText"/>
        <w:jc w:val="left"/>
        <w:rPr>
          <w:lang w:val="en-IE"/>
        </w:rPr>
      </w:pPr>
      <w:r w:rsidRPr="00941395">
        <w:rPr>
          <w:vertAlign w:val="superscript"/>
          <w:lang w:val="en-IE"/>
        </w:rPr>
        <w:footnoteRef/>
      </w:r>
      <w:r w:rsidRPr="00941395">
        <w:rPr>
          <w:lang w:val="en-IE"/>
        </w:rPr>
        <w:t xml:space="preserve"> Tojo, N., Kogg B., Kiørboe N., Kjær B. and Aalto K., </w:t>
      </w:r>
      <w:r w:rsidRPr="00941395">
        <w:rPr>
          <w:i/>
          <w:lang w:val="en-IE"/>
        </w:rPr>
        <w:t>Prevention of Textile Waste. Material flows of textiles in three Nordic countries and suggestions on policy instruments</w:t>
      </w:r>
      <w:r w:rsidRPr="00941395">
        <w:rPr>
          <w:lang w:val="en-IE"/>
        </w:rPr>
        <w:t xml:space="preserve">, NORDEN, 2013, </w:t>
      </w:r>
      <w:hyperlink r:id="rId79" w:history="1">
        <w:r w:rsidRPr="00941395">
          <w:rPr>
            <w:rStyle w:val="Hyperlink"/>
            <w:lang w:val="en-IE"/>
          </w:rPr>
          <w:t>http://dx.doi.org/10.6027/TN2012-545</w:t>
        </w:r>
      </w:hyperlink>
      <w:r w:rsidRPr="00941395">
        <w:rPr>
          <w:lang w:val="en-IE"/>
        </w:rPr>
        <w:t>.</w:t>
      </w:r>
    </w:p>
  </w:footnote>
  <w:footnote w:id="212">
    <w:p w14:paraId="4374BB8D" w14:textId="68EB438F" w:rsidR="00830770" w:rsidRPr="00941395" w:rsidRDefault="00830770">
      <w:pPr>
        <w:pStyle w:val="FootnoteTex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p>
  </w:footnote>
  <w:footnote w:id="213">
    <w:p w14:paraId="1FE63BB2" w14:textId="4AB8A295" w:rsidR="00830770" w:rsidRPr="00941395" w:rsidRDefault="00830770" w:rsidP="008E1E3B">
      <w:pPr>
        <w:pStyle w:val="FootnoteText"/>
        <w:jc w:val="left"/>
        <w:rPr>
          <w:lang w:val="en-IE"/>
        </w:rPr>
      </w:pPr>
      <w:r w:rsidRPr="00941395">
        <w:rPr>
          <w:rStyle w:val="FootnoteReference"/>
          <w:lang w:val="en-IE"/>
        </w:rPr>
        <w:footnoteRef/>
      </w:r>
      <w:r w:rsidRPr="00941395">
        <w:rPr>
          <w:lang w:val="en-IE"/>
        </w:rPr>
        <w:t xml:space="preserve"> RREUSE, </w:t>
      </w:r>
      <w:r w:rsidRPr="00941395">
        <w:rPr>
          <w:i/>
          <w:lang w:val="en-IE"/>
        </w:rPr>
        <w:t xml:space="preserve">Job creation in the reuse sector: data insights from social enterprises, </w:t>
      </w:r>
      <w:r w:rsidRPr="00941395">
        <w:rPr>
          <w:lang w:val="en-IE"/>
        </w:rPr>
        <w:t>2021.</w:t>
      </w:r>
    </w:p>
  </w:footnote>
  <w:footnote w:id="214">
    <w:p w14:paraId="3BD2F35A" w14:textId="77777777" w:rsidR="00830770" w:rsidRPr="00C61FE9" w:rsidRDefault="00830770" w:rsidP="008E1E3B">
      <w:pPr>
        <w:pStyle w:val="FootnoteText"/>
        <w:jc w:val="left"/>
        <w:rPr>
          <w:lang w:val="en-IE"/>
        </w:rPr>
      </w:pPr>
      <w:r w:rsidRPr="00941395">
        <w:rPr>
          <w:rStyle w:val="FootnoteReference"/>
          <w:lang w:val="en-IE"/>
        </w:rPr>
        <w:footnoteRef/>
      </w:r>
      <w:r w:rsidRPr="001964D9">
        <w:rPr>
          <w:lang w:val="fr-BE"/>
        </w:rPr>
        <w:t xml:space="preserve"> RREUSE website: </w:t>
      </w:r>
      <w:hyperlink r:id="rId80" w:history="1">
        <w:r w:rsidRPr="001964D9">
          <w:rPr>
            <w:rStyle w:val="Hyperlink"/>
            <w:lang w:val="fr-BE"/>
          </w:rPr>
          <w:t>https://rreuse.org/</w:t>
        </w:r>
      </w:hyperlink>
      <w:r w:rsidRPr="001964D9">
        <w:rPr>
          <w:lang w:val="fr-BE"/>
        </w:rPr>
        <w:t>.</w:t>
      </w:r>
      <w:hyperlink r:id="rId81" w:history="1">
        <w:r w:rsidRPr="00941395">
          <w:rPr>
            <w:rStyle w:val="Hyperlink"/>
            <w:lang w:val="en-IE"/>
          </w:rPr>
          <w:t>https://rreuse.org</w:t>
        </w:r>
      </w:hyperlink>
    </w:p>
  </w:footnote>
  <w:footnote w:id="215">
    <w:p w14:paraId="71858CC9" w14:textId="63F73F40" w:rsidR="00830770" w:rsidRPr="00941395" w:rsidRDefault="00830770" w:rsidP="008E1E3B">
      <w:pPr>
        <w:pStyle w:val="FootnoteText"/>
        <w:jc w:val="left"/>
        <w:rPr>
          <w:lang w:val="en-IE"/>
        </w:rPr>
      </w:pPr>
      <w:r w:rsidRPr="00941395">
        <w:rPr>
          <w:rStyle w:val="FootnoteReference"/>
          <w:lang w:val="en-IE"/>
        </w:rPr>
        <w:footnoteRef/>
      </w:r>
      <w:r w:rsidRPr="00941395">
        <w:rPr>
          <w:lang w:val="en-IE"/>
        </w:rPr>
        <w:t xml:space="preserve"> MDPI, </w:t>
      </w:r>
      <w:r w:rsidRPr="00941395">
        <w:rPr>
          <w:i/>
          <w:lang w:val="en-IE"/>
        </w:rPr>
        <w:t>A Systematic Literature Review for the Recycling and Reuse of Wasted Clothing</w:t>
      </w:r>
      <w:r w:rsidRPr="00941395">
        <w:rPr>
          <w:lang w:val="en-IE"/>
        </w:rPr>
        <w:t xml:space="preserve">, 2021, </w:t>
      </w:r>
      <w:hyperlink r:id="rId82" w:history="1">
        <w:r w:rsidRPr="00941395">
          <w:rPr>
            <w:rStyle w:val="Hyperlink"/>
            <w:lang w:val="en-IE"/>
          </w:rPr>
          <w:t>https://www.mdpi.com/2071-1050/13/24/13732/pdf</w:t>
        </w:r>
      </w:hyperlink>
      <w:r w:rsidRPr="00941395">
        <w:rPr>
          <w:lang w:val="en-IE"/>
        </w:rPr>
        <w:t>.</w:t>
      </w:r>
    </w:p>
  </w:footnote>
  <w:footnote w:id="216">
    <w:p w14:paraId="6DBCBFB1" w14:textId="77777777" w:rsidR="00830770" w:rsidRPr="00941395" w:rsidRDefault="00830770" w:rsidP="00FF5E8F">
      <w:pPr>
        <w:spacing w:after="0"/>
        <w:jc w:val="left"/>
        <w:rPr>
          <w:rFonts w:eastAsia="Times New Roman"/>
          <w:sz w:val="20"/>
          <w:szCs w:val="20"/>
          <w:lang w:val="en-IE"/>
        </w:rPr>
      </w:pPr>
      <w:r w:rsidRPr="00941395">
        <w:rPr>
          <w:rStyle w:val="FootnoteReference"/>
          <w:rFonts w:eastAsiaTheme="minorEastAsia" w:cs="Segoe UI"/>
          <w:sz w:val="20"/>
          <w:szCs w:val="20"/>
          <w:lang w:val="en-IE"/>
        </w:rPr>
        <w:footnoteRef/>
      </w:r>
      <w:r w:rsidRPr="00941395">
        <w:rPr>
          <w:sz w:val="20"/>
          <w:szCs w:val="20"/>
          <w:lang w:val="en-IE"/>
        </w:rPr>
        <w:t xml:space="preserve"> The Conversation, 2022, </w:t>
      </w:r>
      <w:hyperlink r:id="rId83">
        <w:r w:rsidRPr="00941395">
          <w:rPr>
            <w:rStyle w:val="Hyperlink"/>
            <w:rFonts w:eastAsia="Times New Roman"/>
            <w:sz w:val="20"/>
            <w:szCs w:val="20"/>
            <w:lang w:val="en-IE"/>
          </w:rPr>
          <w:t>Do you shop for second-hand clothes? You're likely to be more stylish (theconversation.com).</w:t>
        </w:r>
      </w:hyperlink>
    </w:p>
  </w:footnote>
  <w:footnote w:id="217">
    <w:p w14:paraId="7A7E88EE" w14:textId="77777777" w:rsidR="00830770" w:rsidRPr="00941395" w:rsidRDefault="00830770" w:rsidP="008E1E3B">
      <w:pPr>
        <w:spacing w:after="0"/>
        <w:jc w:val="left"/>
        <w:rPr>
          <w:sz w:val="20"/>
          <w:szCs w:val="20"/>
          <w:lang w:val="en-IE"/>
        </w:rPr>
      </w:pPr>
      <w:r w:rsidRPr="00941395">
        <w:rPr>
          <w:sz w:val="20"/>
          <w:szCs w:val="20"/>
          <w:vertAlign w:val="superscript"/>
          <w:lang w:val="en-IE"/>
        </w:rPr>
        <w:footnoteRef/>
      </w:r>
      <w:r w:rsidRPr="00941395">
        <w:rPr>
          <w:sz w:val="20"/>
          <w:szCs w:val="20"/>
          <w:lang w:val="en-IE"/>
        </w:rPr>
        <w:t xml:space="preserve"> Herjanto, H. &amp; Scheller-Sampson, J. &amp; Erickson, E., “the increasing phenomenon of second-hand clothes purchase: insights from the literature”, </w:t>
      </w:r>
      <w:r w:rsidRPr="00941395">
        <w:rPr>
          <w:i/>
          <w:sz w:val="20"/>
          <w:szCs w:val="20"/>
          <w:lang w:val="en-IE"/>
        </w:rPr>
        <w:t>Jurnal Manajemen dan Kewirausahaan</w:t>
      </w:r>
      <w:r w:rsidRPr="00941395">
        <w:rPr>
          <w:sz w:val="20"/>
          <w:szCs w:val="20"/>
          <w:lang w:val="en-IE"/>
        </w:rPr>
        <w:t>, 18. 10.9744/jmk.18.1.1-15, 2019.</w:t>
      </w:r>
    </w:p>
  </w:footnote>
  <w:footnote w:id="218">
    <w:p w14:paraId="6EBFD8E9" w14:textId="77777777" w:rsidR="00830770" w:rsidRPr="00941395" w:rsidRDefault="00830770" w:rsidP="008E1E3B">
      <w:pPr>
        <w:spacing w:after="0"/>
        <w:jc w:val="left"/>
        <w:rPr>
          <w:sz w:val="20"/>
          <w:szCs w:val="20"/>
          <w:lang w:val="en-IE"/>
        </w:rPr>
      </w:pPr>
      <w:r w:rsidRPr="00941395">
        <w:rPr>
          <w:sz w:val="20"/>
          <w:szCs w:val="20"/>
          <w:vertAlign w:val="superscript"/>
          <w:lang w:val="en-IE"/>
        </w:rPr>
        <w:footnoteRef/>
      </w:r>
      <w:r w:rsidRPr="00941395">
        <w:rPr>
          <w:sz w:val="20"/>
          <w:szCs w:val="20"/>
          <w:lang w:val="en-IE"/>
        </w:rPr>
        <w:t xml:space="preserve"> Hur, E., “Rebirth Fashion: Secondhand clothing consumption values and perceived risks“,</w:t>
      </w:r>
      <w:r w:rsidRPr="00941395">
        <w:rPr>
          <w:i/>
          <w:sz w:val="20"/>
          <w:szCs w:val="20"/>
          <w:lang w:val="en-IE"/>
        </w:rPr>
        <w:t xml:space="preserve"> Journal of Cleaner Production</w:t>
      </w:r>
      <w:r w:rsidRPr="00941395">
        <w:rPr>
          <w:sz w:val="20"/>
          <w:szCs w:val="20"/>
          <w:lang w:val="en-IE"/>
        </w:rPr>
        <w:t xml:space="preserve">, Vol. 273, p.122951, 2020, </w:t>
      </w:r>
      <w:hyperlink r:id="rId84">
        <w:r w:rsidRPr="00941395">
          <w:rPr>
            <w:rStyle w:val="Hyperlink"/>
            <w:sz w:val="20"/>
            <w:szCs w:val="20"/>
            <w:lang w:val="en-IE"/>
          </w:rPr>
          <w:t>https://doi.org/10.1016/j.jclepro.2020.122951.</w:t>
        </w:r>
      </w:hyperlink>
    </w:p>
  </w:footnote>
  <w:footnote w:id="219">
    <w:p w14:paraId="16962D42" w14:textId="7F53FCAC" w:rsidR="00830770" w:rsidRPr="00941395" w:rsidRDefault="00830770" w:rsidP="008E1E3B">
      <w:pPr>
        <w:pStyle w:val="FootnoteText"/>
        <w:jc w:val="left"/>
        <w:rPr>
          <w:rFonts w:cs="Segoe UI"/>
          <w:lang w:val="en-IE"/>
        </w:rPr>
      </w:pPr>
      <w:r w:rsidRPr="00941395">
        <w:rPr>
          <w:rStyle w:val="FootnoteReference"/>
          <w:lang w:val="en-IE"/>
        </w:rPr>
        <w:footnoteRef/>
      </w:r>
      <w:r w:rsidRPr="00941395">
        <w:rPr>
          <w:lang w:val="en-IE"/>
        </w:rPr>
        <w:t xml:space="preserve"> </w:t>
      </w:r>
      <w:r>
        <w:rPr>
          <w:rFonts w:cs="Segoe UI"/>
          <w:lang w:val="en-IE"/>
        </w:rPr>
        <w:t xml:space="preserve">See footnote </w:t>
      </w:r>
      <w:r>
        <w:rPr>
          <w:rFonts w:cs="Segoe UI"/>
          <w:lang w:val="en-IE"/>
        </w:rPr>
        <w:fldChar w:fldCharType="begin"/>
      </w:r>
      <w:r>
        <w:rPr>
          <w:rFonts w:cs="Segoe UI"/>
          <w:lang w:val="en-IE"/>
        </w:rPr>
        <w:instrText xml:space="preserve"> NOTEREF _Ref133615553 \h </w:instrText>
      </w:r>
      <w:r>
        <w:rPr>
          <w:rFonts w:cs="Segoe UI"/>
          <w:lang w:val="en-IE"/>
        </w:rPr>
      </w:r>
      <w:r>
        <w:rPr>
          <w:rFonts w:cs="Segoe UI"/>
          <w:lang w:val="en-IE"/>
        </w:rPr>
        <w:fldChar w:fldCharType="separate"/>
      </w:r>
      <w:r w:rsidR="004C5576">
        <w:rPr>
          <w:rFonts w:cs="Segoe UI"/>
          <w:lang w:val="en-IE"/>
        </w:rPr>
        <w:t>7</w:t>
      </w:r>
      <w:r>
        <w:rPr>
          <w:rFonts w:cs="Segoe UI"/>
          <w:lang w:val="en-IE"/>
        </w:rPr>
        <w:fldChar w:fldCharType="end"/>
      </w:r>
      <w:r w:rsidRPr="00941395">
        <w:rPr>
          <w:rFonts w:cs="Segoe UI"/>
          <w:lang w:val="en-IE"/>
        </w:rPr>
        <w:t>;</w:t>
      </w:r>
    </w:p>
    <w:p w14:paraId="67DE2060" w14:textId="3DBD4999" w:rsidR="00830770" w:rsidRPr="00941395" w:rsidRDefault="00830770" w:rsidP="008E1E3B">
      <w:pPr>
        <w:pStyle w:val="FootnoteText"/>
        <w:jc w:val="left"/>
        <w:rPr>
          <w:lang w:val="en-IE"/>
        </w:rPr>
      </w:pPr>
      <w:r w:rsidRPr="00941395">
        <w:rPr>
          <w:lang w:val="en-IE"/>
        </w:rPr>
        <w:t xml:space="preserve">Sandin, G. and M. Peters, G., </w:t>
      </w:r>
      <w:r w:rsidRPr="00941395">
        <w:rPr>
          <w:i/>
          <w:lang w:val="en-IE"/>
        </w:rPr>
        <w:t>Environmental impact of textile reuse and recycling – A review</w:t>
      </w:r>
      <w:r w:rsidRPr="00941395">
        <w:rPr>
          <w:lang w:val="en-IE"/>
        </w:rPr>
        <w:t xml:space="preserve">, 2018, </w:t>
      </w:r>
      <w:hyperlink r:id="rId85" w:anchor="bib21">
        <w:r w:rsidRPr="00941395">
          <w:rPr>
            <w:rStyle w:val="Hyperlink"/>
            <w:lang w:val="en-IE"/>
          </w:rPr>
          <w:t>https://www.sciencedirect.com/science/article/pii/S0959652618305985#bib21</w:t>
        </w:r>
      </w:hyperlink>
      <w:r w:rsidRPr="00941395">
        <w:rPr>
          <w:lang w:val="en-IE"/>
        </w:rPr>
        <w:t>.</w:t>
      </w:r>
    </w:p>
  </w:footnote>
  <w:footnote w:id="220">
    <w:p w14:paraId="7E6F58CE" w14:textId="35C0D127" w:rsidR="00830770" w:rsidRPr="007A54D5" w:rsidRDefault="00830770" w:rsidP="008E1E3B">
      <w:pPr>
        <w:pStyle w:val="FootnoteText"/>
        <w:jc w:val="left"/>
        <w:rPr>
          <w:lang w:val="en-IE"/>
        </w:rPr>
      </w:pPr>
      <w:r w:rsidRPr="00941395">
        <w:rPr>
          <w:rStyle w:val="FootnoteReference"/>
          <w:lang w:val="en-IE"/>
        </w:rPr>
        <w:footnoteRef/>
      </w:r>
      <w:r w:rsidRPr="007A54D5">
        <w:rPr>
          <w:lang w:val="en-IE"/>
        </w:rPr>
        <w:t xml:space="preserve"> </w:t>
      </w:r>
      <w:hyperlink r:id="rId86" w:anchor="bib5" w:history="1">
        <w:r w:rsidRPr="007A54D5">
          <w:rPr>
            <w:rStyle w:val="Hyperlink"/>
            <w:lang w:val="en-IE"/>
          </w:rPr>
          <w:t>https://www.sciencedirect.com/science/article/pii/S0959652618305985#bib5</w:t>
        </w:r>
      </w:hyperlink>
      <w:r w:rsidRPr="007A54D5">
        <w:rPr>
          <w:lang w:val="en-IE"/>
        </w:rPr>
        <w:t xml:space="preserve"> ; see</w:t>
      </w:r>
      <w:r>
        <w:rPr>
          <w:lang w:val="en-IE"/>
        </w:rPr>
        <w:t xml:space="preserve"> footnote </w:t>
      </w:r>
      <w:r>
        <w:rPr>
          <w:lang w:val="en-IE"/>
        </w:rPr>
        <w:fldChar w:fldCharType="begin"/>
      </w:r>
      <w:r>
        <w:rPr>
          <w:lang w:val="en-IE"/>
        </w:rPr>
        <w:instrText xml:space="preserve"> NOTEREF _Ref133615553 \h </w:instrText>
      </w:r>
      <w:r>
        <w:rPr>
          <w:lang w:val="en-IE"/>
        </w:rPr>
      </w:r>
      <w:r>
        <w:rPr>
          <w:lang w:val="en-IE"/>
        </w:rPr>
        <w:fldChar w:fldCharType="separate"/>
      </w:r>
      <w:r w:rsidR="004C5576">
        <w:rPr>
          <w:lang w:val="en-IE"/>
        </w:rPr>
        <w:t>7</w:t>
      </w:r>
      <w:r>
        <w:rPr>
          <w:lang w:val="en-IE"/>
        </w:rPr>
        <w:fldChar w:fldCharType="end"/>
      </w:r>
    </w:p>
  </w:footnote>
  <w:footnote w:id="221">
    <w:p w14:paraId="51F02D04" w14:textId="6A4D11E8" w:rsidR="00830770" w:rsidRPr="00941395" w:rsidRDefault="00830770" w:rsidP="008E1E3B">
      <w:pPr>
        <w:pStyle w:val="FootnoteText"/>
        <w:jc w:val="left"/>
        <w:rPr>
          <w:lang w:val="en-IE"/>
        </w:rPr>
      </w:pPr>
      <w:r w:rsidRPr="00941395">
        <w:rPr>
          <w:rStyle w:val="FootnoteReference"/>
          <w:lang w:val="en-IE"/>
        </w:rPr>
        <w:footnoteRef/>
      </w:r>
      <w:r w:rsidRPr="00941395">
        <w:rPr>
          <w:lang w:val="en-IE"/>
        </w:rPr>
        <w:t xml:space="preserve"> See footnote 46, p. 47</w:t>
      </w:r>
      <w:r w:rsidRPr="00941395">
        <w:rPr>
          <w:rFonts w:cs="Segoe UI"/>
          <w:lang w:val="en-IE"/>
        </w:rPr>
        <w:t>.</w:t>
      </w:r>
    </w:p>
  </w:footnote>
  <w:footnote w:id="222">
    <w:p w14:paraId="05A49FD4" w14:textId="6FD735E6" w:rsidR="00830770" w:rsidRPr="00941395" w:rsidRDefault="00830770" w:rsidP="642A503B">
      <w:pPr>
        <w:pStyle w:val="FootnoteText"/>
        <w:rPr>
          <w:lang w:val="en-IE"/>
        </w:rPr>
      </w:pPr>
      <w:r w:rsidRPr="00941395">
        <w:rPr>
          <w:rStyle w:val="FootnoteReference"/>
          <w:lang w:val="en-IE"/>
        </w:rPr>
        <w:footnoteRef/>
      </w:r>
      <w:r w:rsidRPr="00941395">
        <w:rPr>
          <w:lang w:val="en-IE"/>
        </w:rPr>
        <w:t xml:space="preserve"> See footnote 46, p. 47.</w:t>
      </w:r>
    </w:p>
  </w:footnote>
  <w:footnote w:id="223">
    <w:p w14:paraId="5F8DD0DA" w14:textId="3A2DCC48" w:rsidR="00830770" w:rsidRPr="00E30D48" w:rsidRDefault="00830770" w:rsidP="008E1E3B">
      <w:pPr>
        <w:pStyle w:val="FootnoteText"/>
        <w:jc w:val="left"/>
        <w:rPr>
          <w:lang w:val="es-ES"/>
        </w:rPr>
      </w:pPr>
      <w:r w:rsidRPr="00941395">
        <w:rPr>
          <w:rStyle w:val="FootnoteReference"/>
          <w:lang w:val="en-IE"/>
        </w:rPr>
        <w:footnoteRef/>
      </w:r>
      <w:r w:rsidRPr="00E30D48">
        <w:rPr>
          <w:lang w:val="es-ES"/>
        </w:rPr>
        <w:t xml:space="preserve"> Re</w:t>
      </w:r>
      <w:r>
        <w:rPr>
          <w:lang w:val="es-ES"/>
        </w:rPr>
        <w:t>H</w:t>
      </w:r>
      <w:r w:rsidRPr="00E30D48">
        <w:rPr>
          <w:lang w:val="es-ES"/>
        </w:rPr>
        <w:t>ubs, 2020.</w:t>
      </w:r>
    </w:p>
  </w:footnote>
  <w:footnote w:id="224">
    <w:p w14:paraId="6965D668" w14:textId="34F7C145" w:rsidR="00830770" w:rsidRPr="00941395" w:rsidRDefault="00830770" w:rsidP="00850FC2">
      <w:pPr>
        <w:pStyle w:val="FootnoteText"/>
        <w:jc w:val="left"/>
        <w:rPr>
          <w:lang w:val="en-IE"/>
        </w:rPr>
      </w:pPr>
      <w:r w:rsidRPr="00941395">
        <w:rPr>
          <w:rStyle w:val="FootnoteReference"/>
          <w:lang w:val="en-IE"/>
        </w:rPr>
        <w:footnoteRef/>
      </w:r>
      <w:r w:rsidRPr="00E3402A">
        <w:rPr>
          <w:lang w:val="es-ES"/>
        </w:rPr>
        <w:t xml:space="preserve"> </w:t>
      </w:r>
      <w:hyperlink r:id="rId87" w:anchor="bib5" w:history="1">
        <w:r w:rsidRPr="00E3402A">
          <w:rPr>
            <w:rStyle w:val="Hyperlink"/>
            <w:lang w:val="es-ES"/>
          </w:rPr>
          <w:t>https://www.sciencedirect.com/science/article/pii/S0959652618305985#bib5</w:t>
        </w:r>
      </w:hyperlink>
      <w:r w:rsidRPr="00E3402A">
        <w:rPr>
          <w:lang w:val="es-ES"/>
        </w:rPr>
        <w:t xml:space="preserve"> .</w:t>
      </w:r>
      <w:hyperlink r:id="rId88" w:anchor="bib5" w:history="1">
        <w:r w:rsidRPr="00941395">
          <w:rPr>
            <w:rStyle w:val="Hyperlink"/>
            <w:lang w:val="en-IE"/>
          </w:rPr>
          <w:t>https://www.sciencedirect.com/science/article/pii/S0959652618305985#bib5</w:t>
        </w:r>
      </w:hyperlink>
      <w:r w:rsidRPr="00941395">
        <w:rPr>
          <w:lang w:val="en-IE"/>
        </w:rPr>
        <w:t xml:space="preserve"> . </w:t>
      </w:r>
      <w:r>
        <w:rPr>
          <w:lang w:val="en-IE"/>
        </w:rPr>
        <w:t xml:space="preserve">See footnote </w:t>
      </w:r>
      <w:r>
        <w:rPr>
          <w:lang w:val="en-IE"/>
        </w:rPr>
        <w:fldChar w:fldCharType="begin"/>
      </w:r>
      <w:r>
        <w:rPr>
          <w:lang w:val="en-IE"/>
        </w:rPr>
        <w:instrText xml:space="preserve"> NOTEREF _Ref133615553 \h </w:instrText>
      </w:r>
      <w:r>
        <w:rPr>
          <w:lang w:val="en-IE"/>
        </w:rPr>
      </w:r>
      <w:r>
        <w:rPr>
          <w:lang w:val="en-IE"/>
        </w:rPr>
        <w:fldChar w:fldCharType="separate"/>
      </w:r>
      <w:r w:rsidR="004C5576">
        <w:rPr>
          <w:lang w:val="en-IE"/>
        </w:rPr>
        <w:t>7</w:t>
      </w:r>
      <w:r>
        <w:rPr>
          <w:lang w:val="en-IE"/>
        </w:rPr>
        <w:fldChar w:fldCharType="end"/>
      </w:r>
    </w:p>
  </w:footnote>
  <w:footnote w:id="225">
    <w:p w14:paraId="171C0520" w14:textId="621036D7" w:rsidR="00830770" w:rsidRPr="00941395" w:rsidRDefault="00830770" w:rsidP="00850FC2">
      <w:pPr>
        <w:pStyle w:val="FootnoteText"/>
        <w:jc w:val="left"/>
        <w:rPr>
          <w:lang w:val="en-IE"/>
        </w:rPr>
      </w:pPr>
      <w:r w:rsidRPr="00941395">
        <w:rPr>
          <w:rStyle w:val="FootnoteReference"/>
          <w:lang w:val="en-IE"/>
        </w:rPr>
        <w:footnoteRef/>
      </w:r>
      <w:r w:rsidRPr="00941395">
        <w:rPr>
          <w:lang w:val="en-IE"/>
        </w:rPr>
        <w:t xml:space="preserve"> </w:t>
      </w:r>
      <w:r w:rsidRPr="00941395">
        <w:rPr>
          <w:rFonts w:cs="Segoe UI"/>
          <w:lang w:val="en-IE"/>
        </w:rPr>
        <w:t xml:space="preserve">See footnote </w:t>
      </w:r>
      <w:r>
        <w:rPr>
          <w:rFonts w:cs="Segoe UI"/>
          <w:lang w:val="en-IE"/>
        </w:rPr>
        <w:fldChar w:fldCharType="begin"/>
      </w:r>
      <w:r>
        <w:rPr>
          <w:rFonts w:cs="Segoe UI"/>
          <w:lang w:val="en-IE"/>
        </w:rPr>
        <w:instrText xml:space="preserve"> NOTEREF _Ref133615553 \h </w:instrText>
      </w:r>
      <w:r>
        <w:rPr>
          <w:rFonts w:cs="Segoe UI"/>
          <w:lang w:val="en-IE"/>
        </w:rPr>
      </w:r>
      <w:r>
        <w:rPr>
          <w:rFonts w:cs="Segoe UI"/>
          <w:lang w:val="en-IE"/>
        </w:rPr>
        <w:fldChar w:fldCharType="separate"/>
      </w:r>
      <w:r w:rsidR="004C5576">
        <w:rPr>
          <w:rFonts w:cs="Segoe UI"/>
          <w:lang w:val="en-IE"/>
        </w:rPr>
        <w:t>7</w:t>
      </w:r>
      <w:r>
        <w:rPr>
          <w:rFonts w:cs="Segoe UI"/>
          <w:lang w:val="en-IE"/>
        </w:rPr>
        <w:fldChar w:fldCharType="end"/>
      </w:r>
      <w:r w:rsidRPr="00941395">
        <w:rPr>
          <w:rFonts w:cs="Segoe UI"/>
          <w:lang w:val="en-IE"/>
        </w:rPr>
        <w:t xml:space="preserve">; </w:t>
      </w:r>
      <w:r w:rsidRPr="00941395">
        <w:rPr>
          <w:lang w:val="en-IE"/>
        </w:rPr>
        <w:t xml:space="preserve">Sandin, G. and M. Peters, G., 2018, </w:t>
      </w:r>
      <w:hyperlink r:id="rId89" w:anchor="bib21" w:history="1">
        <w:r w:rsidRPr="00941395">
          <w:rPr>
            <w:rStyle w:val="Hyperlink"/>
            <w:lang w:val="en-IE"/>
          </w:rPr>
          <w:t>https://www.sciencedirect.com/science/article/pii/S0959652618305985#bib21</w:t>
        </w:r>
      </w:hyperlink>
      <w:r w:rsidRPr="00941395">
        <w:rPr>
          <w:lang w:val="en-IE"/>
        </w:rPr>
        <w:t>.</w:t>
      </w:r>
    </w:p>
  </w:footnote>
  <w:footnote w:id="226">
    <w:p w14:paraId="5D92F2A4" w14:textId="6ECAE4C3" w:rsidR="00830770" w:rsidRPr="00941395" w:rsidRDefault="00830770" w:rsidP="00850FC2">
      <w:pPr>
        <w:pStyle w:val="FootnoteText"/>
        <w:jc w:val="left"/>
        <w:rPr>
          <w:lang w:val="en-IE"/>
        </w:rPr>
      </w:pPr>
      <w:r w:rsidRPr="00941395">
        <w:rPr>
          <w:rStyle w:val="FootnoteReference"/>
          <w:lang w:val="en-IE"/>
        </w:rPr>
        <w:footnoteRef/>
      </w:r>
      <w:r w:rsidRPr="00941395">
        <w:rPr>
          <w:lang w:val="en-IE"/>
        </w:rPr>
        <w:t xml:space="preserve"> </w:t>
      </w:r>
      <w:r w:rsidRPr="00941395">
        <w:rPr>
          <w:rFonts w:cs="Segoe UI"/>
          <w:lang w:val="en-IE"/>
        </w:rPr>
        <w:t xml:space="preserve">See footnote </w:t>
      </w:r>
      <w:r>
        <w:rPr>
          <w:rFonts w:cs="Segoe UI"/>
          <w:lang w:val="en-IE"/>
        </w:rPr>
        <w:fldChar w:fldCharType="begin"/>
      </w:r>
      <w:r>
        <w:rPr>
          <w:rFonts w:cs="Segoe UI"/>
          <w:lang w:val="en-IE"/>
        </w:rPr>
        <w:instrText xml:space="preserve"> NOTEREF _Ref133615553 \h </w:instrText>
      </w:r>
      <w:r>
        <w:rPr>
          <w:rFonts w:cs="Segoe UI"/>
          <w:lang w:val="en-IE"/>
        </w:rPr>
      </w:r>
      <w:r>
        <w:rPr>
          <w:rFonts w:cs="Segoe UI"/>
          <w:lang w:val="en-IE"/>
        </w:rPr>
        <w:fldChar w:fldCharType="separate"/>
      </w:r>
      <w:r w:rsidR="004C5576">
        <w:rPr>
          <w:rFonts w:cs="Segoe UI"/>
          <w:lang w:val="en-IE"/>
        </w:rPr>
        <w:t>7</w:t>
      </w:r>
      <w:r>
        <w:rPr>
          <w:rFonts w:cs="Segoe UI"/>
          <w:lang w:val="en-IE"/>
        </w:rPr>
        <w:fldChar w:fldCharType="end"/>
      </w:r>
      <w:r w:rsidRPr="00941395">
        <w:rPr>
          <w:rFonts w:cs="Segoe UI"/>
          <w:lang w:val="en-IE"/>
        </w:rPr>
        <w:t xml:space="preserve">; </w:t>
      </w:r>
      <w:r w:rsidRPr="00941395">
        <w:rPr>
          <w:lang w:val="en-IE"/>
        </w:rPr>
        <w:t>Sandin, G. and M. Peters G.</w:t>
      </w:r>
      <w:r w:rsidRPr="00941395">
        <w:rPr>
          <w:i/>
          <w:iCs/>
          <w:lang w:val="en-IE"/>
        </w:rPr>
        <w:t>,</w:t>
      </w:r>
      <w:r w:rsidRPr="00941395">
        <w:rPr>
          <w:lang w:val="en-IE"/>
        </w:rPr>
        <w:t xml:space="preserve"> 2018, </w:t>
      </w:r>
      <w:hyperlink r:id="rId90" w:anchor="bib21" w:history="1">
        <w:r w:rsidRPr="00941395">
          <w:rPr>
            <w:rStyle w:val="Hyperlink"/>
            <w:lang w:val="en-IE"/>
          </w:rPr>
          <w:t>https://www.sciencedirect.com/science/article/pii/S0959652618305985#bib21</w:t>
        </w:r>
      </w:hyperlink>
      <w:r w:rsidRPr="00941395">
        <w:rPr>
          <w:lang w:val="en-IE"/>
        </w:rPr>
        <w:t>.</w:t>
      </w:r>
    </w:p>
  </w:footnote>
  <w:footnote w:id="227">
    <w:p w14:paraId="14C29875" w14:textId="2FE8E3EC" w:rsidR="00830770" w:rsidRPr="00941395" w:rsidRDefault="00830770">
      <w:pPr>
        <w:pStyle w:val="FootnoteText"/>
        <w:rPr>
          <w:lang w:val="en-IE"/>
        </w:rPr>
      </w:pPr>
      <w:r w:rsidRPr="00941395">
        <w:rPr>
          <w:rStyle w:val="FootnoteReference"/>
          <w:lang w:val="en-IE"/>
        </w:rPr>
        <w:footnoteRef/>
      </w:r>
      <w:r w:rsidRPr="00941395">
        <w:rPr>
          <w:lang w:val="en-IE"/>
        </w:rPr>
        <w:t xml:space="preserve"> Eurostat, </w:t>
      </w:r>
      <w:r w:rsidRPr="00941395">
        <w:rPr>
          <w:i/>
          <w:lang w:val="en-IE"/>
        </w:rPr>
        <w:t>Waste generation and treatment</w:t>
      </w:r>
      <w:r w:rsidRPr="00941395">
        <w:rPr>
          <w:lang w:val="en-IE"/>
        </w:rPr>
        <w:t xml:space="preserve"> (ENV_WASTRT), 2023.</w:t>
      </w:r>
    </w:p>
  </w:footnote>
  <w:footnote w:id="228">
    <w:p w14:paraId="1CF09867" w14:textId="77777777" w:rsidR="00830770" w:rsidRPr="00941395" w:rsidRDefault="00830770" w:rsidP="00B67A9E">
      <w:pPr>
        <w:pStyle w:val="FootnoteText"/>
        <w:jc w:val="left"/>
        <w:rPr>
          <w:lang w:val="en-IE"/>
        </w:rPr>
      </w:pPr>
      <w:r w:rsidRPr="00941395">
        <w:rPr>
          <w:rStyle w:val="FootnoteReference"/>
          <w:lang w:val="en-IE"/>
        </w:rPr>
        <w:footnoteRef/>
      </w:r>
      <w:r w:rsidRPr="00941395">
        <w:rPr>
          <w:lang w:val="en-IE"/>
        </w:rPr>
        <w:t xml:space="preserve"> EEA, </w:t>
      </w:r>
      <w:r w:rsidRPr="00941395">
        <w:rPr>
          <w:i/>
          <w:lang w:val="en-IE"/>
        </w:rPr>
        <w:t xml:space="preserve">Plastic in textiles: potentials for circularity and reduced environmental and climate impacts, </w:t>
      </w:r>
      <w:r w:rsidRPr="00941395">
        <w:rPr>
          <w:lang w:val="en-IE"/>
        </w:rPr>
        <w:t xml:space="preserve">2021. </w:t>
      </w:r>
    </w:p>
  </w:footnote>
  <w:footnote w:id="229">
    <w:p w14:paraId="47EE5380" w14:textId="1FB2CAE1" w:rsidR="00830770" w:rsidRPr="00941395" w:rsidRDefault="00830770" w:rsidP="001C458E">
      <w:pPr>
        <w:pStyle w:val="FootnoteText"/>
        <w:jc w:val="lef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p>
  </w:footnote>
  <w:footnote w:id="230">
    <w:p w14:paraId="7C1BA5E2" w14:textId="791CB437" w:rsidR="00830770" w:rsidRPr="00941395" w:rsidRDefault="00830770" w:rsidP="00F043F3">
      <w:pPr>
        <w:pStyle w:val="FootnoteText"/>
        <w:jc w:val="left"/>
        <w:rPr>
          <w:lang w:val="en-IE"/>
        </w:rPr>
      </w:pPr>
      <w:r w:rsidRPr="00941395">
        <w:rPr>
          <w:rStyle w:val="FootnoteReference"/>
          <w:lang w:val="en-IE"/>
        </w:rPr>
        <w:footnoteRef/>
      </w:r>
      <w:r w:rsidRPr="00941395">
        <w:rPr>
          <w:lang w:val="en-IE"/>
        </w:rPr>
        <w:t xml:space="preserve"> </w:t>
      </w:r>
      <w:r>
        <w:rPr>
          <w:lang w:val="en-IE"/>
        </w:rPr>
        <w:t>European Commission, Joint Research Centre, Donatello, S., Danneck, J., Löw, C., et al., Circular economy perspectives in the EU textile sector: final report, Publications Office, 2021, https://data.europa.eu/doi/10.2760/858144</w:t>
      </w:r>
    </w:p>
  </w:footnote>
  <w:footnote w:id="231">
    <w:p w14:paraId="6FB04CA6" w14:textId="77777777" w:rsidR="00830770" w:rsidRPr="00941395" w:rsidRDefault="00830770" w:rsidP="006E1F1A">
      <w:pPr>
        <w:pStyle w:val="FootnoteText"/>
        <w:jc w:val="left"/>
        <w:rPr>
          <w:lang w:val="en-IE"/>
        </w:rPr>
      </w:pPr>
      <w:r w:rsidRPr="00941395">
        <w:rPr>
          <w:rStyle w:val="FootnoteReference"/>
          <w:lang w:val="en-IE"/>
        </w:rPr>
        <w:footnoteRef/>
      </w:r>
      <w:r w:rsidRPr="00941395">
        <w:rPr>
          <w:lang w:val="en-IE"/>
        </w:rPr>
        <w:t xml:space="preserve"> BIR website: </w:t>
      </w:r>
      <w:hyperlink r:id="rId91" w:history="1">
        <w:r w:rsidRPr="00941395">
          <w:rPr>
            <w:rStyle w:val="Hyperlink"/>
            <w:lang w:val="en-IE"/>
          </w:rPr>
          <w:t>https://www.bir.org/the-industry/textiles</w:t>
        </w:r>
      </w:hyperlink>
      <w:r w:rsidRPr="00941395">
        <w:rPr>
          <w:lang w:val="en-IE"/>
        </w:rPr>
        <w:t>.</w:t>
      </w:r>
    </w:p>
  </w:footnote>
  <w:footnote w:id="232">
    <w:p w14:paraId="19FDCEFB" w14:textId="77777777" w:rsidR="00830770" w:rsidRPr="00941395" w:rsidRDefault="00830770" w:rsidP="006E1F1A">
      <w:pPr>
        <w:pStyle w:val="FootnoteText"/>
        <w:jc w:val="left"/>
        <w:rPr>
          <w:lang w:val="en-IE"/>
        </w:rPr>
      </w:pPr>
      <w:r w:rsidRPr="00941395">
        <w:rPr>
          <w:rStyle w:val="FootnoteReference"/>
          <w:lang w:val="en-IE"/>
        </w:rPr>
        <w:footnoteRef/>
      </w:r>
      <w:r w:rsidRPr="00941395">
        <w:rPr>
          <w:lang w:val="en-IE"/>
        </w:rPr>
        <w:t xml:space="preserve"> EuRIC textiles website: </w:t>
      </w:r>
      <w:hyperlink r:id="rId92" w:history="1">
        <w:r w:rsidRPr="00941395">
          <w:rPr>
            <w:rStyle w:val="Hyperlink"/>
            <w:lang w:val="en-IE"/>
          </w:rPr>
          <w:t>https://www.euric-aisbl.eu/branches/eurictextiles</w:t>
        </w:r>
      </w:hyperlink>
      <w:r w:rsidRPr="00941395">
        <w:rPr>
          <w:lang w:val="en-IE"/>
        </w:rPr>
        <w:t>.</w:t>
      </w:r>
    </w:p>
  </w:footnote>
  <w:footnote w:id="233">
    <w:p w14:paraId="619CC24B" w14:textId="22F3347C" w:rsidR="00830770" w:rsidRPr="00941395" w:rsidRDefault="00830770" w:rsidP="006D53BB">
      <w:pPr>
        <w:pStyle w:val="FootnoteText"/>
        <w:jc w:val="left"/>
        <w:rPr>
          <w:lang w:val="en-IE"/>
        </w:rPr>
      </w:pPr>
      <w:r w:rsidRPr="00941395">
        <w:rPr>
          <w:rStyle w:val="FootnoteReference"/>
          <w:lang w:val="en-IE"/>
        </w:rPr>
        <w:footnoteRef/>
      </w:r>
      <w:r w:rsidRPr="00941395">
        <w:rPr>
          <w:lang w:val="en-IE"/>
        </w:rPr>
        <w:t xml:space="preserve"> Refashion press release, </w:t>
      </w:r>
      <w:r w:rsidRPr="00941395">
        <w:rPr>
          <w:i/>
          <w:iCs/>
          <w:lang w:val="en-IE"/>
        </w:rPr>
        <w:t>Lauch of RECYCLE by Refashion,</w:t>
      </w:r>
      <w:r w:rsidRPr="00941395">
        <w:rPr>
          <w:lang w:val="en-IE"/>
        </w:rPr>
        <w:t xml:space="preserve"> 2021, </w:t>
      </w:r>
      <w:hyperlink r:id="rId93" w:history="1">
        <w:r w:rsidRPr="00941395">
          <w:rPr>
            <w:rStyle w:val="Hyperlink"/>
            <w:lang w:val="en-IE"/>
          </w:rPr>
          <w:t>https://refashion.fr/pro/en/press-releases</w:t>
        </w:r>
      </w:hyperlink>
      <w:r w:rsidRPr="00941395">
        <w:rPr>
          <w:lang w:val="en-IE"/>
        </w:rPr>
        <w:t xml:space="preserve"> ; </w:t>
      </w:r>
      <w:hyperlink r:id="rId94" w:history="1">
        <w:r w:rsidRPr="00941395">
          <w:rPr>
            <w:rStyle w:val="Hyperlink"/>
            <w:lang w:val="en-IE"/>
          </w:rPr>
          <w:t>https://www.textile.fr/actualite/recycle-plateforme-digitale-de-mise-en-relation-des-acteurs-du-recyclage-de-refashion</w:t>
        </w:r>
      </w:hyperlink>
      <w:r w:rsidRPr="00941395">
        <w:rPr>
          <w:lang w:val="en-IE"/>
        </w:rPr>
        <w:t>.</w:t>
      </w:r>
    </w:p>
  </w:footnote>
  <w:footnote w:id="234">
    <w:p w14:paraId="1270B841" w14:textId="1FC40E34" w:rsidR="00830770" w:rsidRPr="00941395" w:rsidRDefault="00830770" w:rsidP="006D53BB">
      <w:pPr>
        <w:pStyle w:val="FootnoteText"/>
        <w:jc w:val="left"/>
        <w:rPr>
          <w:lang w:val="en-IE"/>
        </w:rPr>
      </w:pPr>
      <w:r w:rsidRPr="00941395">
        <w:rPr>
          <w:rStyle w:val="FootnoteReference"/>
          <w:lang w:val="en-IE"/>
        </w:rPr>
        <w:footnoteRef/>
      </w:r>
      <w:r w:rsidRPr="00941395">
        <w:rPr>
          <w:lang w:val="en-IE"/>
        </w:rPr>
        <w:t xml:space="preserve"> RECYCLE platform by Refashion: </w:t>
      </w:r>
      <w:hyperlink r:id="rId95" w:history="1">
        <w:r w:rsidRPr="00941395">
          <w:rPr>
            <w:rStyle w:val="Hyperlink"/>
            <w:lang w:val="en-IE"/>
          </w:rPr>
          <w:t>https://recycle.refashion.fr/en/</w:t>
        </w:r>
      </w:hyperlink>
      <w:r w:rsidRPr="00941395">
        <w:rPr>
          <w:lang w:val="en-IE"/>
        </w:rPr>
        <w:t>.</w:t>
      </w:r>
    </w:p>
  </w:footnote>
  <w:footnote w:id="235">
    <w:p w14:paraId="108DD9F4" w14:textId="77777777" w:rsidR="00830770" w:rsidRPr="00941395" w:rsidRDefault="00830770" w:rsidP="00067D61">
      <w:pPr>
        <w:pStyle w:val="FootnoteText"/>
        <w:rPr>
          <w:lang w:val="en-IE"/>
        </w:rPr>
      </w:pPr>
      <w:r w:rsidRPr="00941395">
        <w:rPr>
          <w:rStyle w:val="FootnoteReference"/>
          <w:lang w:val="en-IE"/>
        </w:rPr>
        <w:footnoteRef/>
      </w:r>
      <w:r w:rsidRPr="00941395">
        <w:rPr>
          <w:lang w:val="en-IE"/>
        </w:rPr>
        <w:t xml:space="preserve"> European Commission, </w:t>
      </w:r>
      <w:r w:rsidRPr="0098027D">
        <w:rPr>
          <w:lang w:val="en-IE"/>
        </w:rPr>
        <w:t xml:space="preserve">Joint Research Centre. </w:t>
      </w:r>
      <w:r w:rsidRPr="0098027D">
        <w:rPr>
          <w:i/>
          <w:iCs/>
          <w:lang w:val="en-IE"/>
        </w:rPr>
        <w:t>Techno-scientific assessment of the management options for used and waste textiles</w:t>
      </w:r>
      <w:r w:rsidRPr="0098027D">
        <w:rPr>
          <w:lang w:val="en-IE"/>
        </w:rPr>
        <w:t>. 2023 (under development)</w:t>
      </w:r>
    </w:p>
  </w:footnote>
  <w:footnote w:id="236">
    <w:p w14:paraId="5CAE587A" w14:textId="294D79EE" w:rsidR="00830770" w:rsidRDefault="00830770" w:rsidP="403A4896">
      <w:pPr>
        <w:rPr>
          <w:rFonts w:eastAsia="Times New Roman"/>
        </w:rPr>
      </w:pPr>
      <w:r w:rsidRPr="403A4896">
        <w:rPr>
          <w:vertAlign w:val="superscript"/>
        </w:rPr>
        <w:footnoteRef/>
      </w:r>
      <w:r>
        <w:t xml:space="preserve"> T</w:t>
      </w:r>
      <w:r w:rsidRPr="403A4896">
        <w:rPr>
          <w:rFonts w:eastAsia="Times New Roman"/>
          <w:color w:val="1F1F1F"/>
          <w:sz w:val="25"/>
          <w:szCs w:val="25"/>
        </w:rPr>
        <w:t>he Responsible Textile Recovery Act of 2023 proposed in California State.</w:t>
      </w:r>
    </w:p>
  </w:footnote>
  <w:footnote w:id="237">
    <w:p w14:paraId="74A84C35" w14:textId="775D3FFC" w:rsidR="00830770" w:rsidRDefault="00830770" w:rsidP="403A4896">
      <w:pPr>
        <w:rPr>
          <w:rFonts w:eastAsia="Times New Roman"/>
        </w:rPr>
      </w:pPr>
      <w:r w:rsidRPr="403A4896">
        <w:rPr>
          <w:vertAlign w:val="superscript"/>
        </w:rPr>
        <w:footnoteRef/>
      </w:r>
      <w:r>
        <w:t xml:space="preserve"> </w:t>
      </w:r>
      <w:hyperlink r:id="rId96">
        <w:r w:rsidRPr="403A4896">
          <w:rPr>
            <w:rStyle w:val="Hyperlink"/>
            <w:rFonts w:eastAsia="Times New Roman"/>
          </w:rPr>
          <w:t>More recycling and reuse of textiles in the Nordics benefits the environment and the economy (norden.org)</w:t>
        </w:r>
      </w:hyperlink>
    </w:p>
  </w:footnote>
  <w:footnote w:id="238">
    <w:p w14:paraId="27FB6C10" w14:textId="2E8143D3" w:rsidR="00830770" w:rsidRDefault="00830770">
      <w:r w:rsidRPr="403A4896">
        <w:rPr>
          <w:vertAlign w:val="superscript"/>
        </w:rPr>
        <w:footnoteRef/>
      </w:r>
      <w:r>
        <w:t xml:space="preserve"> ”Our Waste, Our Resources, A Strategy for England 2018” strategy.</w:t>
      </w:r>
    </w:p>
  </w:footnote>
  <w:footnote w:id="239">
    <w:p w14:paraId="3C036757" w14:textId="5D29D3A0" w:rsidR="00830770" w:rsidRPr="00941395" w:rsidRDefault="00830770">
      <w:pPr>
        <w:pStyle w:val="FootnoteText"/>
        <w:rPr>
          <w:lang w:val="en-IE"/>
        </w:rPr>
      </w:pPr>
      <w:r w:rsidRPr="00941395">
        <w:rPr>
          <w:rStyle w:val="FootnoteReference"/>
          <w:lang w:val="en-IE"/>
        </w:rPr>
        <w:footnoteRef/>
      </w:r>
      <w:r w:rsidRPr="00941395">
        <w:rPr>
          <w:lang w:val="en-IE"/>
        </w:rPr>
        <w:t xml:space="preserve"> </w:t>
      </w:r>
      <w:hyperlink r:id="rId97" w:history="1">
        <w:r w:rsidRPr="00941395">
          <w:rPr>
            <w:rStyle w:val="Hyperlink"/>
            <w:lang w:val="en-IE"/>
          </w:rPr>
          <w:t>LIFE 3.0 - LIFE Project Public Page (europa.eu)</w:t>
        </w:r>
      </w:hyperlink>
    </w:p>
  </w:footnote>
  <w:footnote w:id="240">
    <w:p w14:paraId="21261600" w14:textId="564FEC1B" w:rsidR="00830770" w:rsidRPr="00941395" w:rsidRDefault="00830770">
      <w:pPr>
        <w:pStyle w:val="FootnoteText"/>
        <w:rPr>
          <w:lang w:val="en-IE"/>
        </w:rPr>
      </w:pPr>
      <w:r w:rsidRPr="00941395">
        <w:rPr>
          <w:rStyle w:val="FootnoteReference"/>
          <w:lang w:val="en-IE"/>
        </w:rPr>
        <w:footnoteRef/>
      </w:r>
      <w:r w:rsidRPr="00941395">
        <w:rPr>
          <w:lang w:val="en-IE"/>
        </w:rPr>
        <w:t xml:space="preserve"> </w:t>
      </w:r>
      <w:hyperlink r:id="rId98" w:history="1">
        <w:r w:rsidRPr="00941395">
          <w:rPr>
            <w:rStyle w:val="Hyperlink"/>
            <w:lang w:val="en-IE"/>
          </w:rPr>
          <w:t>LIFE 3.0 - LIFE Project Public Page (europa.eu)</w:t>
        </w:r>
      </w:hyperlink>
    </w:p>
  </w:footnote>
  <w:footnote w:id="241">
    <w:p w14:paraId="05C349A0" w14:textId="7C2025AE" w:rsidR="00830770" w:rsidRPr="00941395" w:rsidRDefault="00830770">
      <w:pPr>
        <w:pStyle w:val="FootnoteText"/>
        <w:rPr>
          <w:lang w:val="en-IE"/>
        </w:rPr>
      </w:pPr>
      <w:r w:rsidRPr="00941395">
        <w:rPr>
          <w:rStyle w:val="FootnoteReference"/>
          <w:lang w:val="en-IE"/>
        </w:rPr>
        <w:footnoteRef/>
      </w:r>
      <w:r w:rsidRPr="00941395">
        <w:rPr>
          <w:lang w:val="en-IE"/>
        </w:rPr>
        <w:t xml:space="preserve"> </w:t>
      </w:r>
      <w:hyperlink r:id="rId99" w:history="1">
        <w:r w:rsidRPr="00941395">
          <w:rPr>
            <w:rStyle w:val="Hyperlink"/>
            <w:lang w:val="en-IE"/>
          </w:rPr>
          <w:t>LIFE 3.0 - LIFE Project Public Page (europa.eu)</w:t>
        </w:r>
      </w:hyperlink>
    </w:p>
  </w:footnote>
  <w:footnote w:id="242">
    <w:p w14:paraId="425ECA5B" w14:textId="1FE88C6F" w:rsidR="00830770" w:rsidRPr="00584965" w:rsidRDefault="00830770">
      <w:pPr>
        <w:pStyle w:val="FootnoteText"/>
        <w:rPr>
          <w:lang w:val="en-IE"/>
        </w:rPr>
      </w:pPr>
      <w:r w:rsidRPr="00941395">
        <w:rPr>
          <w:rStyle w:val="FootnoteReference"/>
          <w:lang w:val="en-IE"/>
        </w:rPr>
        <w:footnoteRef/>
      </w:r>
      <w:r w:rsidRPr="00941395">
        <w:rPr>
          <w:lang w:val="en-IE"/>
        </w:rPr>
        <w:t xml:space="preserve"> </w:t>
      </w:r>
      <w:hyperlink r:id="rId100" w:history="1">
        <w:r w:rsidRPr="00941395">
          <w:rPr>
            <w:rStyle w:val="Hyperlink"/>
            <w:lang w:val="en-IE"/>
          </w:rPr>
          <w:t>RESYNTEX - Quantis</w:t>
        </w:r>
      </w:hyperlink>
    </w:p>
  </w:footnote>
  <w:footnote w:id="243">
    <w:p w14:paraId="7CC35F07" w14:textId="495AED53" w:rsidR="00830770" w:rsidRPr="00F87F78" w:rsidRDefault="00830770">
      <w:pPr>
        <w:pStyle w:val="FootnoteText"/>
        <w:rPr>
          <w:lang w:val="en-IE"/>
        </w:rPr>
      </w:pPr>
      <w:r w:rsidRPr="00941395">
        <w:rPr>
          <w:rStyle w:val="FootnoteReference"/>
          <w:lang w:val="en-IE"/>
        </w:rPr>
        <w:footnoteRef/>
      </w:r>
      <w:r w:rsidRPr="00941395">
        <w:rPr>
          <w:lang w:val="en-IE"/>
        </w:rPr>
        <w:t xml:space="preserve"> </w:t>
      </w:r>
      <w:hyperlink r:id="rId101" w:history="1">
        <w:r w:rsidRPr="00941395">
          <w:rPr>
            <w:rStyle w:val="Hyperlink"/>
            <w:lang w:val="en-IE"/>
          </w:rPr>
          <w:t>Trash-2-Cash-Trash-2-Cash HOME page (trash2cashproject.eu)</w:t>
        </w:r>
      </w:hyperlink>
    </w:p>
  </w:footnote>
  <w:footnote w:id="244">
    <w:p w14:paraId="4FE0EF63" w14:textId="28D5437B" w:rsidR="00830770" w:rsidRPr="00B067EB" w:rsidRDefault="00830770" w:rsidP="00A413B4">
      <w:pPr>
        <w:pStyle w:val="FootnoteText"/>
        <w:jc w:val="left"/>
        <w:rPr>
          <w:lang w:val="en-IE"/>
        </w:rPr>
      </w:pPr>
      <w:r w:rsidRPr="00941395">
        <w:rPr>
          <w:rStyle w:val="FootnoteReference"/>
          <w:lang w:val="en-IE"/>
        </w:rPr>
        <w:footnoteRef/>
      </w:r>
      <w:r w:rsidRPr="00941395">
        <w:rPr>
          <w:lang w:val="en-IE"/>
        </w:rPr>
        <w:t xml:space="preserve"> </w:t>
      </w:r>
      <w:hyperlink r:id="rId102" w:history="1">
        <w:r w:rsidRPr="00941395">
          <w:rPr>
            <w:rStyle w:val="Hyperlink"/>
            <w:lang w:val="en-IE"/>
          </w:rPr>
          <w:t>REcycling of waste ACrylic Textiles | REACT Project | Fact Sheet | H2020 | CORDIS | European Commission (europa.eu)</w:t>
        </w:r>
      </w:hyperlink>
    </w:p>
  </w:footnote>
  <w:footnote w:id="245">
    <w:p w14:paraId="4C7ED3A4" w14:textId="7F932C19" w:rsidR="00830770" w:rsidRPr="00FA1B9F" w:rsidRDefault="00830770" w:rsidP="00A413B4">
      <w:pPr>
        <w:pStyle w:val="FootnoteText"/>
        <w:jc w:val="left"/>
        <w:rPr>
          <w:lang w:val="en-IE"/>
        </w:rPr>
      </w:pPr>
      <w:r w:rsidRPr="00941395">
        <w:rPr>
          <w:rStyle w:val="FootnoteReference"/>
          <w:lang w:val="en-IE"/>
        </w:rPr>
        <w:footnoteRef/>
      </w:r>
      <w:r w:rsidRPr="00941395">
        <w:rPr>
          <w:lang w:val="en-IE"/>
        </w:rPr>
        <w:t xml:space="preserve"> </w:t>
      </w:r>
      <w:hyperlink r:id="rId103" w:history="1">
        <w:r w:rsidRPr="00941395">
          <w:rPr>
            <w:rStyle w:val="Hyperlink"/>
            <w:lang w:val="en-IE"/>
          </w:rPr>
          <w:t>HORIZON2020 - European Consortium to Demonstrate EColoRO Concept for Wastewater Reuse in the Textile Industry (europa.eu)</w:t>
        </w:r>
      </w:hyperlink>
    </w:p>
  </w:footnote>
  <w:footnote w:id="246">
    <w:p w14:paraId="1E23671F" w14:textId="42FB17A7" w:rsidR="00830770" w:rsidRPr="00941395" w:rsidRDefault="00830770" w:rsidP="00A413B4">
      <w:pPr>
        <w:pStyle w:val="FootnoteText"/>
        <w:jc w:val="left"/>
        <w:rPr>
          <w:lang w:val="en-IE"/>
        </w:rPr>
      </w:pPr>
      <w:r w:rsidRPr="00941395">
        <w:rPr>
          <w:rStyle w:val="FootnoteReference"/>
          <w:lang w:val="en-IE"/>
        </w:rPr>
        <w:footnoteRef/>
      </w:r>
      <w:r w:rsidRPr="00941395">
        <w:rPr>
          <w:lang w:val="en-IE"/>
        </w:rPr>
        <w:t xml:space="preserve"> </w:t>
      </w:r>
      <w:hyperlink r:id="rId104" w:history="1">
        <w:r w:rsidRPr="00941395">
          <w:rPr>
            <w:rStyle w:val="Hyperlink"/>
            <w:lang w:val="en-IE"/>
          </w:rPr>
          <w:t>Demonstration and launch of high performance, biodegradable, regenerated New Cotton textiles to consumer markets through an innovative, circular supply chain using Infinited Fiber technology | New Cotton Project | Fact Sheet | H2020 | CORDIS | European Commission (europa.eu)</w:t>
        </w:r>
      </w:hyperlink>
    </w:p>
  </w:footnote>
  <w:footnote w:id="247">
    <w:p w14:paraId="34EB025A" w14:textId="682C9067" w:rsidR="00830770" w:rsidRPr="00941395" w:rsidRDefault="00830770">
      <w:pPr>
        <w:pStyle w:val="FootnoteText"/>
        <w:rPr>
          <w:lang w:val="en-IE"/>
        </w:rPr>
      </w:pPr>
      <w:r w:rsidRPr="00941395">
        <w:rPr>
          <w:rStyle w:val="FootnoteReference"/>
          <w:lang w:val="en-IE"/>
        </w:rPr>
        <w:footnoteRef/>
      </w:r>
      <w:r w:rsidRPr="00941395">
        <w:rPr>
          <w:lang w:val="en-IE"/>
        </w:rPr>
        <w:t xml:space="preserve"> </w:t>
      </w:r>
      <w:hyperlink r:id="rId105" w:history="1">
        <w:r w:rsidRPr="00941395">
          <w:rPr>
            <w:rStyle w:val="Hyperlink"/>
            <w:lang w:val="en-IE"/>
          </w:rPr>
          <w:t>Driving textile recycling excellence - T-REX Project (trexproject.eu)</w:t>
        </w:r>
      </w:hyperlink>
    </w:p>
  </w:footnote>
  <w:footnote w:id="248">
    <w:p w14:paraId="58E05C96" w14:textId="35ED1515" w:rsidR="00830770" w:rsidRPr="006554B6" w:rsidRDefault="00830770">
      <w:pPr>
        <w:pStyle w:val="FootnoteText"/>
        <w:rPr>
          <w:lang w:val="en-IE"/>
        </w:rPr>
      </w:pPr>
      <w:r w:rsidRPr="00941395">
        <w:rPr>
          <w:rStyle w:val="FootnoteReference"/>
          <w:lang w:val="en-IE"/>
        </w:rPr>
        <w:footnoteRef/>
      </w:r>
      <w:r w:rsidRPr="00941395">
        <w:rPr>
          <w:lang w:val="en-IE"/>
        </w:rPr>
        <w:t xml:space="preserve"> </w:t>
      </w:r>
      <w:hyperlink r:id="rId106" w:history="1">
        <w:r w:rsidRPr="00941395">
          <w:rPr>
            <w:rStyle w:val="Hyperlink"/>
            <w:rFonts w:eastAsia="Times New Roman"/>
            <w:lang w:val="en-IE"/>
          </w:rPr>
          <w:t>FAO, 2019</w:t>
        </w:r>
      </w:hyperlink>
    </w:p>
  </w:footnote>
  <w:footnote w:id="249">
    <w:p w14:paraId="42A84A68" w14:textId="755F71BC" w:rsidR="00830770" w:rsidRPr="006554B6" w:rsidRDefault="00830770">
      <w:pPr>
        <w:pStyle w:val="FootnoteText"/>
        <w:rPr>
          <w:lang w:val="en-IE"/>
        </w:rPr>
      </w:pPr>
      <w:r w:rsidRPr="00941395">
        <w:rPr>
          <w:rStyle w:val="FootnoteReference"/>
          <w:lang w:val="en-IE"/>
        </w:rPr>
        <w:footnoteRef/>
      </w:r>
      <w:r w:rsidRPr="00941395">
        <w:rPr>
          <w:lang w:val="en-IE"/>
        </w:rPr>
        <w:t xml:space="preserve"> </w:t>
      </w:r>
      <w:hyperlink r:id="rId107" w:history="1">
        <w:r w:rsidRPr="00941395">
          <w:rPr>
            <w:rStyle w:val="Hyperlink"/>
            <w:rFonts w:eastAsia="Times New Roman"/>
            <w:lang w:val="en-IE"/>
          </w:rPr>
          <w:t>UNEP Food Waste Index 2021</w:t>
        </w:r>
      </w:hyperlink>
    </w:p>
  </w:footnote>
  <w:footnote w:id="250">
    <w:p w14:paraId="1D1C0D13" w14:textId="1F6E0700" w:rsidR="00830770" w:rsidRPr="00941395" w:rsidRDefault="00830770">
      <w:pPr>
        <w:pStyle w:val="FootnoteText"/>
        <w:rPr>
          <w:lang w:val="en-IE"/>
        </w:rPr>
      </w:pPr>
      <w:r w:rsidRPr="00941395">
        <w:rPr>
          <w:rStyle w:val="FootnoteReference"/>
          <w:lang w:val="en-IE"/>
        </w:rPr>
        <w:footnoteRef/>
      </w:r>
      <w:r w:rsidRPr="00E30D48">
        <w:rPr>
          <w:lang w:val="en-IE"/>
        </w:rPr>
        <w:t xml:space="preserve"> Caldeira, C., De Laurentiis, V., Corrado, S., van Holsteijn, F. and Sala, S., </w:t>
      </w:r>
      <w:r w:rsidRPr="00941395">
        <w:rPr>
          <w:i/>
          <w:lang w:val="en-IE"/>
        </w:rPr>
        <w:t>Quantification of food waste per product group along the food supply chain in the European Union: A mass flow analysis. Resources, Conservation and Recycling,</w:t>
      </w:r>
      <w:r w:rsidRPr="00941395">
        <w:rPr>
          <w:lang w:val="en-IE"/>
        </w:rPr>
        <w:t xml:space="preserve"> </w:t>
      </w:r>
      <w:r w:rsidRPr="00E30D48">
        <w:rPr>
          <w:lang w:val="en-IE"/>
        </w:rPr>
        <w:t>2019.</w:t>
      </w:r>
    </w:p>
  </w:footnote>
  <w:footnote w:id="251">
    <w:p w14:paraId="0376BF87" w14:textId="772F9F67" w:rsidR="00830770" w:rsidRPr="00941395" w:rsidRDefault="00830770" w:rsidP="006554B6">
      <w:pPr>
        <w:autoSpaceDE w:val="0"/>
        <w:autoSpaceDN w:val="0"/>
        <w:adjustRightInd w:val="0"/>
        <w:spacing w:after="0"/>
        <w:rPr>
          <w:lang w:val="en-IE"/>
        </w:rPr>
      </w:pPr>
      <w:r w:rsidRPr="00941395">
        <w:rPr>
          <w:rStyle w:val="FootnoteReference"/>
          <w:lang w:val="en-IE"/>
        </w:rPr>
        <w:footnoteRef/>
      </w:r>
      <w:r w:rsidRPr="00941395">
        <w:rPr>
          <w:lang w:val="en-IE"/>
        </w:rPr>
        <w:t xml:space="preserve"> </w:t>
      </w:r>
      <w:r w:rsidRPr="00941395">
        <w:rPr>
          <w:rFonts w:eastAsiaTheme="minorEastAsia"/>
          <w:sz w:val="20"/>
          <w:szCs w:val="20"/>
          <w:lang w:val="en-IE"/>
        </w:rPr>
        <w:t>De Laurentiis, V., Caldeira, C., Biganzoli, F. and Sala, S., 2021. Building a balancing system for food waste accounting at National Level. Publications Office of the European Union.</w:t>
      </w:r>
    </w:p>
  </w:footnote>
  <w:footnote w:id="252">
    <w:p w14:paraId="43AB311B" w14:textId="77777777" w:rsidR="00830770" w:rsidRPr="0080519A" w:rsidRDefault="00830770" w:rsidP="00794505">
      <w:pPr>
        <w:pStyle w:val="FootnoteText"/>
        <w:rPr>
          <w:lang w:val="en-IE"/>
        </w:rPr>
      </w:pPr>
      <w:r w:rsidRPr="00941395">
        <w:rPr>
          <w:rStyle w:val="FootnoteReference"/>
          <w:lang w:val="en-IE"/>
        </w:rPr>
        <w:footnoteRef/>
      </w:r>
      <w:r w:rsidRPr="00941395">
        <w:rPr>
          <w:lang w:val="en-IE"/>
        </w:rPr>
        <w:t xml:space="preserve"> </w:t>
      </w:r>
      <w:hyperlink r:id="rId108" w:tgtFrame="_blank" w:history="1">
        <w:r w:rsidRPr="00941395">
          <w:rPr>
            <w:rStyle w:val="Hyperlink"/>
            <w:lang w:val="en-IE"/>
          </w:rPr>
          <w:t>assessing_scp_summary_report_english.pdf (resourcepanel.org)</w:t>
        </w:r>
      </w:hyperlink>
      <w:r w:rsidRPr="00941395">
        <w:rPr>
          <w:lang w:val="en-IE"/>
        </w:rPr>
        <w:t>  </w:t>
      </w:r>
    </w:p>
  </w:footnote>
  <w:footnote w:id="253">
    <w:p w14:paraId="1987AAEF" w14:textId="60ADF851" w:rsidR="00830770" w:rsidRPr="00941395" w:rsidRDefault="00830770" w:rsidP="00794505">
      <w:pPr>
        <w:pStyle w:val="FootnoteText"/>
        <w:rPr>
          <w:lang w:val="en-IE"/>
        </w:rPr>
      </w:pPr>
      <w:r w:rsidRPr="00941395">
        <w:rPr>
          <w:rStyle w:val="FootnoteReference"/>
          <w:lang w:val="en-IE"/>
        </w:rPr>
        <w:footnoteRef/>
      </w:r>
      <w:r w:rsidRPr="00941395">
        <w:rPr>
          <w:lang w:val="en-IE"/>
        </w:rPr>
        <w:t xml:space="preserve"> Regulation (EC) No 178/2002</w:t>
      </w:r>
      <w:r w:rsidRPr="00941395">
        <w:rPr>
          <w:b/>
          <w:lang w:val="en-IE"/>
        </w:rPr>
        <w:t xml:space="preserve"> </w:t>
      </w:r>
      <w:r w:rsidRPr="00941395">
        <w:rPr>
          <w:lang w:val="en-IE"/>
        </w:rPr>
        <w:t xml:space="preserve">of the European Parliament and of the Council of 28 January 2002 laying down the general principles and requirements of food law, establishing the European Food Safety Authority and laying down procedures in matters of food safety </w:t>
      </w:r>
      <w:r w:rsidRPr="00941395">
        <w:rPr>
          <w:i/>
          <w:lang w:val="en-IE"/>
        </w:rPr>
        <w:t xml:space="preserve">(OJ L 031 1.2.2002, p. 1), </w:t>
      </w:r>
      <w:r w:rsidRPr="00941395">
        <w:rPr>
          <w:lang w:val="en-IE"/>
        </w:rPr>
        <w:t>https://eur-lex.europa.eu/legal-content/EN/TXT/?uri=CELEX:02002R0178-20210526#:~:text=REGULATION%20%28EC%29%20No%20178%2F2002%20OF%20THE%20EUROPEAN%20PARLIAMENT,laying%20down%20procedures%20in%20matters%20of%20food%20safety</w:t>
      </w:r>
      <w:r w:rsidRPr="00941395">
        <w:rPr>
          <w:i/>
          <w:lang w:val="en-IE"/>
        </w:rPr>
        <w:t>.</w:t>
      </w:r>
    </w:p>
  </w:footnote>
  <w:footnote w:id="254">
    <w:p w14:paraId="6514BAAE" w14:textId="65F5E414" w:rsidR="00830770" w:rsidRPr="00941395" w:rsidRDefault="00830770" w:rsidP="0035367F">
      <w:pPr>
        <w:pStyle w:val="FootnoteText"/>
        <w:rPr>
          <w:lang w:val="en-IE"/>
        </w:rPr>
      </w:pPr>
      <w:r w:rsidRPr="00941395">
        <w:rPr>
          <w:rStyle w:val="FootnoteReference"/>
          <w:lang w:val="en-IE"/>
        </w:rPr>
        <w:footnoteRef/>
      </w:r>
      <w:r w:rsidRPr="00941395">
        <w:rPr>
          <w:lang w:val="en-IE"/>
        </w:rPr>
        <w:t xml:space="preserve"> Adapted from: Sanchez Lopez, J., Caldeira, C., De Laurentiis, V., Sala, S., </w:t>
      </w:r>
      <w:r w:rsidRPr="00941395">
        <w:rPr>
          <w:i/>
          <w:lang w:val="en-IE"/>
        </w:rPr>
        <w:t>Brief on food waste in the European Union,</w:t>
      </w:r>
      <w:r w:rsidRPr="00941395">
        <w:rPr>
          <w:lang w:val="en-IE"/>
        </w:rPr>
        <w:t xml:space="preserve"> Avraamides, M. editor. European Commission, JRC121196, 2020.</w:t>
      </w:r>
    </w:p>
  </w:footnote>
  <w:footnote w:id="255">
    <w:p w14:paraId="620DB4C9" w14:textId="726085C3" w:rsidR="00830770" w:rsidRPr="00941395" w:rsidRDefault="00830770">
      <w:pPr>
        <w:pStyle w:val="FootnoteText"/>
        <w:rPr>
          <w:lang w:val="en-IE"/>
        </w:rPr>
      </w:pPr>
      <w:r w:rsidRPr="00941395">
        <w:rPr>
          <w:rStyle w:val="FootnoteReference"/>
          <w:lang w:val="en-IE"/>
        </w:rPr>
        <w:footnoteRef/>
      </w:r>
      <w:r w:rsidRPr="00941395">
        <w:rPr>
          <w:lang w:val="en-IE"/>
        </w:rPr>
        <w:t xml:space="preserve"> See footnote </w:t>
      </w:r>
      <w:r w:rsidR="00CB62A6">
        <w:rPr>
          <w:lang w:val="en-IE"/>
        </w:rPr>
        <w:t>253</w:t>
      </w:r>
      <w:r w:rsidRPr="00941395">
        <w:rPr>
          <w:lang w:val="en-IE"/>
        </w:rPr>
        <w:t xml:space="preserve">, p. </w:t>
      </w:r>
      <w:r w:rsidR="00CB62A6" w:rsidRPr="00941395">
        <w:rPr>
          <w:lang w:val="en-IE"/>
        </w:rPr>
        <w:t>1</w:t>
      </w:r>
      <w:r w:rsidR="00CB62A6">
        <w:rPr>
          <w:lang w:val="en-IE"/>
        </w:rPr>
        <w:t>4</w:t>
      </w:r>
      <w:r w:rsidR="00CB62A6" w:rsidRPr="00941395">
        <w:rPr>
          <w:lang w:val="en-IE"/>
        </w:rPr>
        <w:t>9</w:t>
      </w:r>
      <w:r w:rsidRPr="00941395">
        <w:rPr>
          <w:lang w:val="en-IE"/>
        </w:rPr>
        <w:t>.</w:t>
      </w:r>
    </w:p>
  </w:footnote>
  <w:footnote w:id="256">
    <w:p w14:paraId="21EFFD35" w14:textId="04D547C9" w:rsidR="00830770" w:rsidRPr="00941395" w:rsidRDefault="00830770">
      <w:pPr>
        <w:pStyle w:val="FootnoteText"/>
        <w:rPr>
          <w:lang w:val="en-IE"/>
        </w:rPr>
      </w:pPr>
      <w:r w:rsidRPr="00941395">
        <w:rPr>
          <w:rStyle w:val="FootnoteReference"/>
          <w:lang w:val="en-IE"/>
        </w:rPr>
        <w:footnoteRef/>
      </w:r>
      <w:r w:rsidRPr="00941395">
        <w:rPr>
          <w:lang w:val="en-IE"/>
        </w:rPr>
        <w:t xml:space="preserve"> See footnote </w:t>
      </w:r>
      <w:r w:rsidR="00A96506" w:rsidRPr="00941395">
        <w:rPr>
          <w:lang w:val="en-IE"/>
        </w:rPr>
        <w:t>2</w:t>
      </w:r>
      <w:r w:rsidR="00A96506">
        <w:rPr>
          <w:lang w:val="en-IE"/>
        </w:rPr>
        <w:t>53</w:t>
      </w:r>
      <w:r w:rsidRPr="00941395">
        <w:rPr>
          <w:lang w:val="en-IE"/>
        </w:rPr>
        <w:t>, p. 1</w:t>
      </w:r>
      <w:r w:rsidR="00A96506">
        <w:rPr>
          <w:lang w:val="en-IE"/>
        </w:rPr>
        <w:t>49</w:t>
      </w:r>
      <w:r w:rsidRPr="00941395">
        <w:rPr>
          <w:lang w:val="en-IE"/>
        </w:rPr>
        <w:t>.</w:t>
      </w:r>
    </w:p>
  </w:footnote>
  <w:footnote w:id="257">
    <w:p w14:paraId="04B5494D" w14:textId="501E84BE" w:rsidR="00830770" w:rsidRPr="002F7B77" w:rsidRDefault="00830770" w:rsidP="00794505">
      <w:pPr>
        <w:pStyle w:val="FootnoteText"/>
        <w:rPr>
          <w:lang w:val="en-IE"/>
        </w:rPr>
      </w:pPr>
      <w:r w:rsidRPr="00941395">
        <w:rPr>
          <w:rStyle w:val="FootnoteReference"/>
          <w:lang w:val="en-IE"/>
        </w:rPr>
        <w:footnoteRef/>
      </w:r>
      <w:r w:rsidRPr="00941395">
        <w:rPr>
          <w:lang w:val="en-IE"/>
        </w:rPr>
        <w:t xml:space="preserve"> European Commission, </w:t>
      </w:r>
      <w:r w:rsidRPr="00941395">
        <w:rPr>
          <w:i/>
          <w:lang w:val="en-IE"/>
        </w:rPr>
        <w:t>Preparatory Study on Food Waste across EU27,</w:t>
      </w:r>
      <w:r w:rsidRPr="00941395">
        <w:rPr>
          <w:lang w:val="en-IE"/>
        </w:rPr>
        <w:t xml:space="preserve"> 2010, </w:t>
      </w:r>
      <w:hyperlink r:id="rId109" w:history="1">
        <w:r w:rsidRPr="00941395">
          <w:rPr>
            <w:rStyle w:val="Hyperlink"/>
            <w:i/>
            <w:iCs/>
            <w:lang w:val="en-IE"/>
          </w:rPr>
          <w:t>https://ec.europa.eu/environment/eussd/pdf/bio_foodwaste_report.pdf</w:t>
        </w:r>
      </w:hyperlink>
    </w:p>
  </w:footnote>
  <w:footnote w:id="258">
    <w:p w14:paraId="0F3F0331" w14:textId="77777777" w:rsidR="00D56179" w:rsidRPr="00941395" w:rsidRDefault="00D56179" w:rsidP="00D56179">
      <w:pPr>
        <w:pStyle w:val="FootnoteText"/>
        <w:rPr>
          <w:lang w:val="en-IE"/>
        </w:rPr>
      </w:pPr>
      <w:r w:rsidRPr="00941395">
        <w:rPr>
          <w:rStyle w:val="FootnoteReference"/>
          <w:lang w:val="en-IE"/>
        </w:rPr>
        <w:footnoteRef/>
      </w:r>
      <w:r w:rsidRPr="00941395">
        <w:rPr>
          <w:lang w:val="en-IE"/>
        </w:rPr>
        <w:t xml:space="preserve"> </w:t>
      </w:r>
      <w:r w:rsidRPr="007E0C85">
        <w:rPr>
          <w:lang w:val="en-IE"/>
        </w:rPr>
        <w:t>SWD(2014) 289 final</w:t>
      </w:r>
    </w:p>
  </w:footnote>
  <w:footnote w:id="259">
    <w:p w14:paraId="39C9C479" w14:textId="3B701E70" w:rsidR="00830770" w:rsidRPr="00867BAC" w:rsidRDefault="00830770" w:rsidP="00794505">
      <w:pPr>
        <w:spacing w:after="0"/>
        <w:textAlignment w:val="baseline"/>
        <w:rPr>
          <w:rStyle w:val="Hyperlink"/>
          <w:rFonts w:eastAsia="Times New Roman"/>
          <w:sz w:val="20"/>
          <w:szCs w:val="20"/>
          <w:lang w:val="en-IE" w:eastAsia="en-IE"/>
        </w:rPr>
      </w:pPr>
      <w:r w:rsidRPr="00941395">
        <w:rPr>
          <w:rStyle w:val="FootnoteReference"/>
          <w:sz w:val="20"/>
          <w:szCs w:val="20"/>
          <w:lang w:val="en-IE"/>
        </w:rPr>
        <w:footnoteRef/>
      </w:r>
      <w:r w:rsidRPr="00941395">
        <w:rPr>
          <w:sz w:val="20"/>
          <w:szCs w:val="20"/>
          <w:lang w:val="en-IE"/>
        </w:rPr>
        <w:t xml:space="preserve"> </w:t>
      </w:r>
      <w:r w:rsidRPr="00867BAC">
        <w:rPr>
          <w:rFonts w:eastAsia="Times New Roman"/>
          <w:color w:val="000000"/>
          <w:sz w:val="20"/>
          <w:szCs w:val="20"/>
          <w:shd w:val="clear" w:color="auto" w:fill="E6E6E6"/>
          <w:lang w:val="en-IE" w:eastAsia="en-IE"/>
        </w:rPr>
        <w:fldChar w:fldCharType="begin"/>
      </w:r>
      <w:r>
        <w:rPr>
          <w:rFonts w:eastAsia="Times New Roman"/>
          <w:color w:val="000000"/>
          <w:lang w:val="en-IE" w:eastAsia="en-IE"/>
        </w:rPr>
        <w:instrText xml:space="preserve"> HYPERLINK "https://ec.europa.eu/eurostat/web/circular-economy/indicators/monitoring-framework" \t "_blank" </w:instrText>
      </w:r>
      <w:r w:rsidRPr="00867BAC">
        <w:rPr>
          <w:rFonts w:eastAsia="Times New Roman"/>
          <w:color w:val="000000"/>
          <w:sz w:val="20"/>
          <w:szCs w:val="20"/>
          <w:shd w:val="clear" w:color="auto" w:fill="E6E6E6"/>
          <w:lang w:val="en-IE" w:eastAsia="en-IE"/>
        </w:rPr>
        <w:fldChar w:fldCharType="separate"/>
      </w:r>
      <w:r w:rsidRPr="00867BAC">
        <w:rPr>
          <w:rStyle w:val="Hyperlink"/>
          <w:rFonts w:eastAsia="Times New Roman"/>
          <w:sz w:val="20"/>
          <w:szCs w:val="20"/>
          <w:lang w:val="en-IE" w:eastAsia="en-IE"/>
        </w:rPr>
        <w:t xml:space="preserve">Monitoring framework - Circular economy - Eurostat (europa.eu)   </w:t>
      </w:r>
    </w:p>
    <w:p w14:paraId="0C8323F6" w14:textId="77777777" w:rsidR="00830770" w:rsidRPr="00CA5E4C" w:rsidRDefault="00830770" w:rsidP="00794505">
      <w:pPr>
        <w:pStyle w:val="FootnoteText"/>
        <w:rPr>
          <w:lang w:val="en-IE"/>
        </w:rPr>
      </w:pPr>
      <w:r w:rsidRPr="00867BAC">
        <w:rPr>
          <w:rFonts w:eastAsia="Times New Roman"/>
          <w:color w:val="000000"/>
          <w:shd w:val="clear" w:color="auto" w:fill="E6E6E6"/>
          <w:lang w:val="en-IE" w:eastAsia="en-IE"/>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6A48" w14:textId="77777777" w:rsidR="003502CA" w:rsidRDefault="003502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E3E9" w14:textId="77777777" w:rsidR="00830770" w:rsidRDefault="00830770"/>
  <w:p w14:paraId="33AC660B" w14:textId="77777777" w:rsidR="00830770" w:rsidRDefault="00830770"/>
  <w:p w14:paraId="77D38C55" w14:textId="77777777" w:rsidR="00830770" w:rsidRDefault="00830770"/>
  <w:p w14:paraId="09BB9F01" w14:textId="77777777" w:rsidR="00830770" w:rsidRDefault="00830770">
    <w:r>
      <w:cr/>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7FF1" w14:textId="77777777" w:rsidR="00830770" w:rsidRDefault="0083077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E56EF" w14:textId="77777777" w:rsidR="00830770" w:rsidRDefault="00830770">
    <w:r>
      <w:cr/>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37B6" w14:textId="77777777" w:rsidR="00830770" w:rsidRDefault="00830770"/>
  <w:p w14:paraId="3DCC2E10" w14:textId="77777777" w:rsidR="00830770" w:rsidRDefault="00830770"/>
  <w:p w14:paraId="5D0FF9B2" w14:textId="77777777" w:rsidR="00830770" w:rsidRDefault="00830770"/>
  <w:p w14:paraId="48EB125B" w14:textId="77777777" w:rsidR="00830770" w:rsidRDefault="00830770">
    <w:r>
      <w:cr/>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B34D" w14:textId="77777777" w:rsidR="00830770" w:rsidRDefault="0083077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FBF6" w14:textId="77777777" w:rsidR="00830770" w:rsidRDefault="00830770">
    <w:r>
      <w:cr/>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F03A" w14:textId="77777777" w:rsidR="00830770" w:rsidRDefault="00830770"/>
  <w:p w14:paraId="71CAA52D" w14:textId="77777777" w:rsidR="00830770" w:rsidRDefault="00830770"/>
  <w:p w14:paraId="062FB3D3" w14:textId="77777777" w:rsidR="00830770" w:rsidRDefault="00830770"/>
  <w:p w14:paraId="6F125E85" w14:textId="77777777" w:rsidR="00830770" w:rsidRDefault="00830770">
    <w:r>
      <w:cr/>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6797" w14:textId="77777777" w:rsidR="00830770" w:rsidRDefault="0083077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5753" w14:textId="77777777" w:rsidR="00830770" w:rsidRDefault="00830770">
    <w:r>
      <w:cr/>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FE8E9" w14:textId="77777777" w:rsidR="00830770" w:rsidRDefault="00830770"/>
  <w:p w14:paraId="4EE73B3D" w14:textId="77777777" w:rsidR="00830770" w:rsidRDefault="00830770"/>
  <w:p w14:paraId="17D87219" w14:textId="77777777" w:rsidR="00830770" w:rsidRDefault="00830770"/>
  <w:p w14:paraId="659DE1E0" w14:textId="77777777" w:rsidR="00830770" w:rsidRDefault="0083077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01548" w14:textId="7188DCEB" w:rsidR="003502CA" w:rsidRPr="003502CA" w:rsidRDefault="003502CA" w:rsidP="003502CA">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3D36" w14:textId="77777777" w:rsidR="00830770" w:rsidRDefault="0083077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DEFE" w14:textId="77777777" w:rsidR="00830770" w:rsidRDefault="00830770">
    <w:r>
      <w:cr/>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DA856" w14:textId="77777777" w:rsidR="00830770" w:rsidRDefault="00830770"/>
  <w:p w14:paraId="1F7FC801" w14:textId="77777777" w:rsidR="00830770" w:rsidRDefault="00830770"/>
  <w:p w14:paraId="0428A343" w14:textId="77777777" w:rsidR="00830770" w:rsidRDefault="00830770"/>
  <w:p w14:paraId="260BED1A" w14:textId="77777777" w:rsidR="00830770" w:rsidRDefault="00830770">
    <w:r>
      <w:cr/>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C4D" w14:textId="77777777" w:rsidR="00830770" w:rsidRDefault="0083077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E02E9" w14:textId="77777777" w:rsidR="00830770" w:rsidRDefault="00830770">
    <w:r>
      <w:cr/>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2AAD" w14:textId="77777777" w:rsidR="00830770" w:rsidRDefault="00830770"/>
  <w:p w14:paraId="70591293" w14:textId="77777777" w:rsidR="00830770" w:rsidRDefault="00830770"/>
  <w:p w14:paraId="242A889E" w14:textId="77777777" w:rsidR="00830770" w:rsidRDefault="00830770"/>
  <w:p w14:paraId="0EC7C894" w14:textId="77777777" w:rsidR="00830770" w:rsidRDefault="00830770">
    <w:r>
      <w:cr/>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7FC0" w14:textId="77777777" w:rsidR="00830770" w:rsidRDefault="0083077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66A5" w14:textId="77777777" w:rsidR="00830770" w:rsidRDefault="00830770">
    <w:r>
      <w:cr/>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0C96" w14:textId="77777777" w:rsidR="00830770" w:rsidRDefault="00830770" w:rsidP="000E308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E67BB" w14:textId="77777777" w:rsidR="00830770" w:rsidRDefault="00830770" w:rsidP="000E3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AF75" w14:textId="69207292" w:rsidR="003502CA" w:rsidRPr="003502CA" w:rsidRDefault="003502CA" w:rsidP="003502CA">
    <w:pPr>
      <w:pStyle w:val="HeaderCouncil"/>
    </w:pPr>
    <w:r>
      <w:t>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7873" w14:textId="77777777" w:rsidR="00830770" w:rsidRDefault="00830770" w:rsidP="000E30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8FCB" w14:textId="77777777" w:rsidR="003502CA" w:rsidRDefault="003502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DD87" w14:textId="77777777" w:rsidR="003502CA" w:rsidRDefault="003502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0AC91" w14:textId="77777777" w:rsidR="003502CA" w:rsidRDefault="003502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9101" w14:textId="77777777" w:rsidR="00830770" w:rsidRDefault="00830770"/>
  <w:p w14:paraId="687AC900" w14:textId="77777777" w:rsidR="00830770" w:rsidRDefault="00830770"/>
  <w:p w14:paraId="497DE595" w14:textId="77777777" w:rsidR="00830770" w:rsidRDefault="00830770"/>
  <w:p w14:paraId="7DDD6422" w14:textId="77777777" w:rsidR="00830770" w:rsidRDefault="00830770">
    <w:r>
      <w:c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CC12" w14:textId="77777777" w:rsidR="00830770" w:rsidRDefault="008307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E3CE" w14:textId="77777777" w:rsidR="00830770" w:rsidRDefault="00830770">
    <w:r>
      <w:cr/>
    </w:r>
  </w:p>
</w:hdr>
</file>

<file path=word/intelligence2.xml><?xml version="1.0" encoding="utf-8"?>
<int2:intelligence xmlns:int2="http://schemas.microsoft.com/office/intelligence/2020/intelligence" xmlns:oel="http://schemas.microsoft.com/office/2019/extlst">
  <int2:observations>
    <int2:textHash int2:hashCode="LNTwcoqmArmVeY" int2:id="AEKuJlAn">
      <int2:state int2:value="Rejected" int2:type="LegacyProofing"/>
    </int2:textHash>
    <int2:textHash int2:hashCode="Kd4F0jtxRXpYQZ" int2:id="Ld50aYj5">
      <int2:state int2:value="Rejected" int2:type="LegacyProofing"/>
    </int2:textHash>
    <int2:textHash int2:hashCode="TT3UfZDZBYlEoH" int2:id="hURXOmHd">
      <int2:state int2:value="Rejected" int2:type="LegacyProofing"/>
    </int2:textHash>
    <int2:textHash int2:hashCode="DVl6ZFaDb2ek6G" int2:id="yvcKBrLJ">
      <int2:state int2:value="Rejected" int2:type="LegacyProofing"/>
    </int2:textHash>
    <int2:bookmark int2:bookmarkName="_Int_KTsyBipl" int2:invalidationBookmarkName="" int2:hashCode="i3yFfLulxsiHAF" int2:id="YDnDYiH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8E5"/>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113297"/>
    <w:multiLevelType w:val="hybridMultilevel"/>
    <w:tmpl w:val="77F21826"/>
    <w:lvl w:ilvl="0" w:tplc="41D02D4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1C47808"/>
    <w:multiLevelType w:val="hybridMultilevel"/>
    <w:tmpl w:val="5B86979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2129E2C"/>
    <w:multiLevelType w:val="hybridMultilevel"/>
    <w:tmpl w:val="1738255E"/>
    <w:lvl w:ilvl="0" w:tplc="FAC04886">
      <w:start w:val="1"/>
      <w:numFmt w:val="lowerLetter"/>
      <w:lvlText w:val="%1."/>
      <w:lvlJc w:val="left"/>
      <w:pPr>
        <w:ind w:left="720" w:hanging="360"/>
      </w:pPr>
    </w:lvl>
    <w:lvl w:ilvl="1" w:tplc="9E5CD326">
      <w:start w:val="1"/>
      <w:numFmt w:val="lowerLetter"/>
      <w:lvlText w:val="%2."/>
      <w:lvlJc w:val="left"/>
      <w:pPr>
        <w:ind w:left="1440" w:hanging="360"/>
      </w:pPr>
    </w:lvl>
    <w:lvl w:ilvl="2" w:tplc="DF0ED9DA">
      <w:start w:val="1"/>
      <w:numFmt w:val="lowerRoman"/>
      <w:lvlText w:val="%3."/>
      <w:lvlJc w:val="right"/>
      <w:pPr>
        <w:ind w:left="2160" w:hanging="180"/>
      </w:pPr>
    </w:lvl>
    <w:lvl w:ilvl="3" w:tplc="424E0166">
      <w:start w:val="1"/>
      <w:numFmt w:val="decimal"/>
      <w:lvlText w:val="%4."/>
      <w:lvlJc w:val="left"/>
      <w:pPr>
        <w:ind w:left="2880" w:hanging="360"/>
      </w:pPr>
    </w:lvl>
    <w:lvl w:ilvl="4" w:tplc="F3E66FBE">
      <w:start w:val="1"/>
      <w:numFmt w:val="lowerLetter"/>
      <w:lvlText w:val="%5."/>
      <w:lvlJc w:val="left"/>
      <w:pPr>
        <w:ind w:left="3600" w:hanging="360"/>
      </w:pPr>
    </w:lvl>
    <w:lvl w:ilvl="5" w:tplc="35765B74">
      <w:start w:val="1"/>
      <w:numFmt w:val="lowerRoman"/>
      <w:lvlText w:val="%6."/>
      <w:lvlJc w:val="right"/>
      <w:pPr>
        <w:ind w:left="4320" w:hanging="180"/>
      </w:pPr>
    </w:lvl>
    <w:lvl w:ilvl="6" w:tplc="C5803A20">
      <w:start w:val="1"/>
      <w:numFmt w:val="decimal"/>
      <w:lvlText w:val="%7."/>
      <w:lvlJc w:val="left"/>
      <w:pPr>
        <w:ind w:left="5040" w:hanging="360"/>
      </w:pPr>
    </w:lvl>
    <w:lvl w:ilvl="7" w:tplc="3D44D0E4">
      <w:start w:val="1"/>
      <w:numFmt w:val="lowerLetter"/>
      <w:lvlText w:val="%8."/>
      <w:lvlJc w:val="left"/>
      <w:pPr>
        <w:ind w:left="5760" w:hanging="360"/>
      </w:pPr>
    </w:lvl>
    <w:lvl w:ilvl="8" w:tplc="40103742">
      <w:start w:val="1"/>
      <w:numFmt w:val="lowerRoman"/>
      <w:lvlText w:val="%9."/>
      <w:lvlJc w:val="right"/>
      <w:pPr>
        <w:ind w:left="6480" w:hanging="180"/>
      </w:pPr>
    </w:lvl>
  </w:abstractNum>
  <w:abstractNum w:abstractNumId="4" w15:restartNumberingAfterBreak="0">
    <w:nsid w:val="02CDE7F8"/>
    <w:multiLevelType w:val="hybridMultilevel"/>
    <w:tmpl w:val="FFFFFFFF"/>
    <w:lvl w:ilvl="0" w:tplc="C0283EAC">
      <w:start w:val="1"/>
      <w:numFmt w:val="bullet"/>
      <w:lvlText w:val="·"/>
      <w:lvlJc w:val="left"/>
      <w:pPr>
        <w:ind w:left="720" w:hanging="360"/>
      </w:pPr>
      <w:rPr>
        <w:rFonts w:ascii="Symbol" w:hAnsi="Symbol" w:hint="default"/>
      </w:rPr>
    </w:lvl>
    <w:lvl w:ilvl="1" w:tplc="DBD89E1A">
      <w:start w:val="1"/>
      <w:numFmt w:val="bullet"/>
      <w:lvlText w:val="o"/>
      <w:lvlJc w:val="left"/>
      <w:pPr>
        <w:ind w:left="1440" w:hanging="360"/>
      </w:pPr>
      <w:rPr>
        <w:rFonts w:ascii="Courier New" w:hAnsi="Courier New" w:hint="default"/>
      </w:rPr>
    </w:lvl>
    <w:lvl w:ilvl="2" w:tplc="E048AAC8">
      <w:start w:val="1"/>
      <w:numFmt w:val="bullet"/>
      <w:lvlText w:val=""/>
      <w:lvlJc w:val="left"/>
      <w:pPr>
        <w:ind w:left="2160" w:hanging="360"/>
      </w:pPr>
      <w:rPr>
        <w:rFonts w:ascii="Wingdings" w:hAnsi="Wingdings" w:hint="default"/>
      </w:rPr>
    </w:lvl>
    <w:lvl w:ilvl="3" w:tplc="3ECA383C">
      <w:start w:val="1"/>
      <w:numFmt w:val="bullet"/>
      <w:lvlText w:val=""/>
      <w:lvlJc w:val="left"/>
      <w:pPr>
        <w:ind w:left="2880" w:hanging="360"/>
      </w:pPr>
      <w:rPr>
        <w:rFonts w:ascii="Symbol" w:hAnsi="Symbol" w:hint="default"/>
      </w:rPr>
    </w:lvl>
    <w:lvl w:ilvl="4" w:tplc="E3584FCC">
      <w:start w:val="1"/>
      <w:numFmt w:val="bullet"/>
      <w:lvlText w:val="o"/>
      <w:lvlJc w:val="left"/>
      <w:pPr>
        <w:ind w:left="3600" w:hanging="360"/>
      </w:pPr>
      <w:rPr>
        <w:rFonts w:ascii="Courier New" w:hAnsi="Courier New" w:hint="default"/>
      </w:rPr>
    </w:lvl>
    <w:lvl w:ilvl="5" w:tplc="B22A9F3A">
      <w:start w:val="1"/>
      <w:numFmt w:val="bullet"/>
      <w:lvlText w:val=""/>
      <w:lvlJc w:val="left"/>
      <w:pPr>
        <w:ind w:left="4320" w:hanging="360"/>
      </w:pPr>
      <w:rPr>
        <w:rFonts w:ascii="Wingdings" w:hAnsi="Wingdings" w:hint="default"/>
      </w:rPr>
    </w:lvl>
    <w:lvl w:ilvl="6" w:tplc="EBC8DC6A">
      <w:start w:val="1"/>
      <w:numFmt w:val="bullet"/>
      <w:lvlText w:val=""/>
      <w:lvlJc w:val="left"/>
      <w:pPr>
        <w:ind w:left="5040" w:hanging="360"/>
      </w:pPr>
      <w:rPr>
        <w:rFonts w:ascii="Symbol" w:hAnsi="Symbol" w:hint="default"/>
      </w:rPr>
    </w:lvl>
    <w:lvl w:ilvl="7" w:tplc="5F7EF0FC">
      <w:start w:val="1"/>
      <w:numFmt w:val="bullet"/>
      <w:lvlText w:val="o"/>
      <w:lvlJc w:val="left"/>
      <w:pPr>
        <w:ind w:left="5760" w:hanging="360"/>
      </w:pPr>
      <w:rPr>
        <w:rFonts w:ascii="Courier New" w:hAnsi="Courier New" w:hint="default"/>
      </w:rPr>
    </w:lvl>
    <w:lvl w:ilvl="8" w:tplc="8398EE00">
      <w:start w:val="1"/>
      <w:numFmt w:val="bullet"/>
      <w:lvlText w:val=""/>
      <w:lvlJc w:val="left"/>
      <w:pPr>
        <w:ind w:left="6480" w:hanging="360"/>
      </w:pPr>
      <w:rPr>
        <w:rFonts w:ascii="Wingdings" w:hAnsi="Wingdings" w:hint="default"/>
      </w:rPr>
    </w:lvl>
  </w:abstractNum>
  <w:abstractNum w:abstractNumId="5" w15:restartNumberingAfterBreak="0">
    <w:nsid w:val="03E4DE21"/>
    <w:multiLevelType w:val="hybridMultilevel"/>
    <w:tmpl w:val="12F6EADA"/>
    <w:lvl w:ilvl="0" w:tplc="6FFCB364">
      <w:start w:val="1"/>
      <w:numFmt w:val="bullet"/>
      <w:lvlText w:val=""/>
      <w:lvlJc w:val="left"/>
      <w:pPr>
        <w:ind w:left="720" w:hanging="360"/>
      </w:pPr>
      <w:rPr>
        <w:rFonts w:ascii="Symbol" w:hAnsi="Symbol" w:hint="default"/>
      </w:rPr>
    </w:lvl>
    <w:lvl w:ilvl="1" w:tplc="B2804DE2">
      <w:start w:val="1"/>
      <w:numFmt w:val="bullet"/>
      <w:lvlText w:val="o"/>
      <w:lvlJc w:val="left"/>
      <w:pPr>
        <w:ind w:left="1440" w:hanging="360"/>
      </w:pPr>
      <w:rPr>
        <w:rFonts w:ascii="Courier New" w:hAnsi="Courier New" w:hint="default"/>
      </w:rPr>
    </w:lvl>
    <w:lvl w:ilvl="2" w:tplc="388A553C">
      <w:start w:val="1"/>
      <w:numFmt w:val="bullet"/>
      <w:lvlText w:val=""/>
      <w:lvlJc w:val="left"/>
      <w:pPr>
        <w:ind w:left="2160" w:hanging="360"/>
      </w:pPr>
      <w:rPr>
        <w:rFonts w:ascii="Wingdings" w:hAnsi="Wingdings" w:hint="default"/>
      </w:rPr>
    </w:lvl>
    <w:lvl w:ilvl="3" w:tplc="54861B3A">
      <w:start w:val="1"/>
      <w:numFmt w:val="bullet"/>
      <w:lvlText w:val=""/>
      <w:lvlJc w:val="left"/>
      <w:pPr>
        <w:ind w:left="2880" w:hanging="360"/>
      </w:pPr>
      <w:rPr>
        <w:rFonts w:ascii="Symbol" w:hAnsi="Symbol" w:hint="default"/>
      </w:rPr>
    </w:lvl>
    <w:lvl w:ilvl="4" w:tplc="03D44BCA">
      <w:start w:val="1"/>
      <w:numFmt w:val="bullet"/>
      <w:lvlText w:val="o"/>
      <w:lvlJc w:val="left"/>
      <w:pPr>
        <w:ind w:left="3600" w:hanging="360"/>
      </w:pPr>
      <w:rPr>
        <w:rFonts w:ascii="Courier New" w:hAnsi="Courier New" w:hint="default"/>
      </w:rPr>
    </w:lvl>
    <w:lvl w:ilvl="5" w:tplc="D144B7C0">
      <w:start w:val="1"/>
      <w:numFmt w:val="bullet"/>
      <w:lvlText w:val=""/>
      <w:lvlJc w:val="left"/>
      <w:pPr>
        <w:ind w:left="4320" w:hanging="360"/>
      </w:pPr>
      <w:rPr>
        <w:rFonts w:ascii="Wingdings" w:hAnsi="Wingdings" w:hint="default"/>
      </w:rPr>
    </w:lvl>
    <w:lvl w:ilvl="6" w:tplc="EFD42324">
      <w:start w:val="1"/>
      <w:numFmt w:val="bullet"/>
      <w:lvlText w:val=""/>
      <w:lvlJc w:val="left"/>
      <w:pPr>
        <w:ind w:left="5040" w:hanging="360"/>
      </w:pPr>
      <w:rPr>
        <w:rFonts w:ascii="Symbol" w:hAnsi="Symbol" w:hint="default"/>
      </w:rPr>
    </w:lvl>
    <w:lvl w:ilvl="7" w:tplc="85047400">
      <w:start w:val="1"/>
      <w:numFmt w:val="bullet"/>
      <w:lvlText w:val="o"/>
      <w:lvlJc w:val="left"/>
      <w:pPr>
        <w:ind w:left="5760" w:hanging="360"/>
      </w:pPr>
      <w:rPr>
        <w:rFonts w:ascii="Courier New" w:hAnsi="Courier New" w:hint="default"/>
      </w:rPr>
    </w:lvl>
    <w:lvl w:ilvl="8" w:tplc="B4F0F7F6">
      <w:start w:val="1"/>
      <w:numFmt w:val="bullet"/>
      <w:lvlText w:val=""/>
      <w:lvlJc w:val="left"/>
      <w:pPr>
        <w:ind w:left="6480" w:hanging="360"/>
      </w:pPr>
      <w:rPr>
        <w:rFonts w:ascii="Wingdings" w:hAnsi="Wingdings" w:hint="default"/>
      </w:rPr>
    </w:lvl>
  </w:abstractNum>
  <w:abstractNum w:abstractNumId="6" w15:restartNumberingAfterBreak="0">
    <w:nsid w:val="043D7A45"/>
    <w:multiLevelType w:val="hybridMultilevel"/>
    <w:tmpl w:val="FFFFFFFF"/>
    <w:lvl w:ilvl="0" w:tplc="46E88ED6">
      <w:start w:val="1"/>
      <w:numFmt w:val="bullet"/>
      <w:lvlText w:val="·"/>
      <w:lvlJc w:val="left"/>
      <w:pPr>
        <w:ind w:left="720" w:hanging="360"/>
      </w:pPr>
      <w:rPr>
        <w:rFonts w:ascii="Symbol" w:hAnsi="Symbol" w:hint="default"/>
      </w:rPr>
    </w:lvl>
    <w:lvl w:ilvl="1" w:tplc="221AAD6C">
      <w:start w:val="1"/>
      <w:numFmt w:val="bullet"/>
      <w:lvlText w:val="o"/>
      <w:lvlJc w:val="left"/>
      <w:pPr>
        <w:ind w:left="1440" w:hanging="360"/>
      </w:pPr>
      <w:rPr>
        <w:rFonts w:ascii="Courier New" w:hAnsi="Courier New" w:hint="default"/>
      </w:rPr>
    </w:lvl>
    <w:lvl w:ilvl="2" w:tplc="87F688F4">
      <w:start w:val="1"/>
      <w:numFmt w:val="bullet"/>
      <w:lvlText w:val=""/>
      <w:lvlJc w:val="left"/>
      <w:pPr>
        <w:ind w:left="2160" w:hanging="360"/>
      </w:pPr>
      <w:rPr>
        <w:rFonts w:ascii="Wingdings" w:hAnsi="Wingdings" w:hint="default"/>
      </w:rPr>
    </w:lvl>
    <w:lvl w:ilvl="3" w:tplc="6D12EC9E">
      <w:start w:val="1"/>
      <w:numFmt w:val="bullet"/>
      <w:lvlText w:val=""/>
      <w:lvlJc w:val="left"/>
      <w:pPr>
        <w:ind w:left="2880" w:hanging="360"/>
      </w:pPr>
      <w:rPr>
        <w:rFonts w:ascii="Symbol" w:hAnsi="Symbol" w:hint="default"/>
      </w:rPr>
    </w:lvl>
    <w:lvl w:ilvl="4" w:tplc="065A06CA">
      <w:start w:val="1"/>
      <w:numFmt w:val="bullet"/>
      <w:lvlText w:val="o"/>
      <w:lvlJc w:val="left"/>
      <w:pPr>
        <w:ind w:left="3600" w:hanging="360"/>
      </w:pPr>
      <w:rPr>
        <w:rFonts w:ascii="Courier New" w:hAnsi="Courier New" w:hint="default"/>
      </w:rPr>
    </w:lvl>
    <w:lvl w:ilvl="5" w:tplc="EEE44CC8">
      <w:start w:val="1"/>
      <w:numFmt w:val="bullet"/>
      <w:lvlText w:val=""/>
      <w:lvlJc w:val="left"/>
      <w:pPr>
        <w:ind w:left="4320" w:hanging="360"/>
      </w:pPr>
      <w:rPr>
        <w:rFonts w:ascii="Wingdings" w:hAnsi="Wingdings" w:hint="default"/>
      </w:rPr>
    </w:lvl>
    <w:lvl w:ilvl="6" w:tplc="126C0C4C">
      <w:start w:val="1"/>
      <w:numFmt w:val="bullet"/>
      <w:lvlText w:val=""/>
      <w:lvlJc w:val="left"/>
      <w:pPr>
        <w:ind w:left="5040" w:hanging="360"/>
      </w:pPr>
      <w:rPr>
        <w:rFonts w:ascii="Symbol" w:hAnsi="Symbol" w:hint="default"/>
      </w:rPr>
    </w:lvl>
    <w:lvl w:ilvl="7" w:tplc="01B4AF46">
      <w:start w:val="1"/>
      <w:numFmt w:val="bullet"/>
      <w:lvlText w:val="o"/>
      <w:lvlJc w:val="left"/>
      <w:pPr>
        <w:ind w:left="5760" w:hanging="360"/>
      </w:pPr>
      <w:rPr>
        <w:rFonts w:ascii="Courier New" w:hAnsi="Courier New" w:hint="default"/>
      </w:rPr>
    </w:lvl>
    <w:lvl w:ilvl="8" w:tplc="8DB01C36">
      <w:start w:val="1"/>
      <w:numFmt w:val="bullet"/>
      <w:lvlText w:val=""/>
      <w:lvlJc w:val="left"/>
      <w:pPr>
        <w:ind w:left="6480" w:hanging="360"/>
      </w:pPr>
      <w:rPr>
        <w:rFonts w:ascii="Wingdings" w:hAnsi="Wingdings" w:hint="default"/>
      </w:rPr>
    </w:lvl>
  </w:abstractNum>
  <w:abstractNum w:abstractNumId="7" w15:restartNumberingAfterBreak="0">
    <w:nsid w:val="04AF90FF"/>
    <w:multiLevelType w:val="hybridMultilevel"/>
    <w:tmpl w:val="FFFFFFFF"/>
    <w:lvl w:ilvl="0" w:tplc="BBCE450A">
      <w:start w:val="1"/>
      <w:numFmt w:val="bullet"/>
      <w:lvlText w:val="-"/>
      <w:lvlJc w:val="left"/>
      <w:pPr>
        <w:ind w:left="720" w:hanging="360"/>
      </w:pPr>
      <w:rPr>
        <w:rFonts w:ascii="Calibri" w:hAnsi="Calibri" w:hint="default"/>
      </w:rPr>
    </w:lvl>
    <w:lvl w:ilvl="1" w:tplc="E2929262">
      <w:start w:val="1"/>
      <w:numFmt w:val="bullet"/>
      <w:lvlText w:val="o"/>
      <w:lvlJc w:val="left"/>
      <w:pPr>
        <w:ind w:left="1440" w:hanging="360"/>
      </w:pPr>
      <w:rPr>
        <w:rFonts w:ascii="Courier New" w:hAnsi="Courier New" w:hint="default"/>
      </w:rPr>
    </w:lvl>
    <w:lvl w:ilvl="2" w:tplc="55A8729E">
      <w:start w:val="1"/>
      <w:numFmt w:val="bullet"/>
      <w:lvlText w:val=""/>
      <w:lvlJc w:val="left"/>
      <w:pPr>
        <w:ind w:left="2160" w:hanging="360"/>
      </w:pPr>
      <w:rPr>
        <w:rFonts w:ascii="Wingdings" w:hAnsi="Wingdings" w:hint="default"/>
      </w:rPr>
    </w:lvl>
    <w:lvl w:ilvl="3" w:tplc="79DC61C2">
      <w:start w:val="1"/>
      <w:numFmt w:val="bullet"/>
      <w:lvlText w:val=""/>
      <w:lvlJc w:val="left"/>
      <w:pPr>
        <w:ind w:left="2880" w:hanging="360"/>
      </w:pPr>
      <w:rPr>
        <w:rFonts w:ascii="Symbol" w:hAnsi="Symbol" w:hint="default"/>
      </w:rPr>
    </w:lvl>
    <w:lvl w:ilvl="4" w:tplc="D24C6B76">
      <w:start w:val="1"/>
      <w:numFmt w:val="bullet"/>
      <w:lvlText w:val="o"/>
      <w:lvlJc w:val="left"/>
      <w:pPr>
        <w:ind w:left="3600" w:hanging="360"/>
      </w:pPr>
      <w:rPr>
        <w:rFonts w:ascii="Courier New" w:hAnsi="Courier New" w:hint="default"/>
      </w:rPr>
    </w:lvl>
    <w:lvl w:ilvl="5" w:tplc="13609784">
      <w:start w:val="1"/>
      <w:numFmt w:val="bullet"/>
      <w:lvlText w:val=""/>
      <w:lvlJc w:val="left"/>
      <w:pPr>
        <w:ind w:left="4320" w:hanging="360"/>
      </w:pPr>
      <w:rPr>
        <w:rFonts w:ascii="Wingdings" w:hAnsi="Wingdings" w:hint="default"/>
      </w:rPr>
    </w:lvl>
    <w:lvl w:ilvl="6" w:tplc="5142B5DC">
      <w:start w:val="1"/>
      <w:numFmt w:val="bullet"/>
      <w:lvlText w:val=""/>
      <w:lvlJc w:val="left"/>
      <w:pPr>
        <w:ind w:left="5040" w:hanging="360"/>
      </w:pPr>
      <w:rPr>
        <w:rFonts w:ascii="Symbol" w:hAnsi="Symbol" w:hint="default"/>
      </w:rPr>
    </w:lvl>
    <w:lvl w:ilvl="7" w:tplc="6D54CFFC">
      <w:start w:val="1"/>
      <w:numFmt w:val="bullet"/>
      <w:lvlText w:val="o"/>
      <w:lvlJc w:val="left"/>
      <w:pPr>
        <w:ind w:left="5760" w:hanging="360"/>
      </w:pPr>
      <w:rPr>
        <w:rFonts w:ascii="Courier New" w:hAnsi="Courier New" w:hint="default"/>
      </w:rPr>
    </w:lvl>
    <w:lvl w:ilvl="8" w:tplc="7D7C8056">
      <w:start w:val="1"/>
      <w:numFmt w:val="bullet"/>
      <w:lvlText w:val=""/>
      <w:lvlJc w:val="left"/>
      <w:pPr>
        <w:ind w:left="6480" w:hanging="360"/>
      </w:pPr>
      <w:rPr>
        <w:rFonts w:ascii="Wingdings" w:hAnsi="Wingdings" w:hint="default"/>
      </w:rPr>
    </w:lvl>
  </w:abstractNum>
  <w:abstractNum w:abstractNumId="8" w15:restartNumberingAfterBreak="0">
    <w:nsid w:val="059E3D1E"/>
    <w:multiLevelType w:val="hybridMultilevel"/>
    <w:tmpl w:val="7B084136"/>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5E25181"/>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5EC68EA"/>
    <w:multiLevelType w:val="hybridMultilevel"/>
    <w:tmpl w:val="4B22D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5F942F6"/>
    <w:multiLevelType w:val="multilevel"/>
    <w:tmpl w:val="3676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DA0D12"/>
    <w:multiLevelType w:val="hybridMultilevel"/>
    <w:tmpl w:val="32D22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07B00932"/>
    <w:multiLevelType w:val="hybridMultilevel"/>
    <w:tmpl w:val="6E8663A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8695824"/>
    <w:multiLevelType w:val="hybridMultilevel"/>
    <w:tmpl w:val="39E8F280"/>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088C05A0"/>
    <w:multiLevelType w:val="hybridMultilevel"/>
    <w:tmpl w:val="95D6AFC0"/>
    <w:lvl w:ilvl="0" w:tplc="FFFFFFFF">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8DB674B"/>
    <w:multiLevelType w:val="hybridMultilevel"/>
    <w:tmpl w:val="69069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EC62EE"/>
    <w:multiLevelType w:val="hybridMultilevel"/>
    <w:tmpl w:val="FFFFFFFF"/>
    <w:lvl w:ilvl="0" w:tplc="ABBE3B64">
      <w:start w:val="1"/>
      <w:numFmt w:val="bullet"/>
      <w:lvlText w:val="·"/>
      <w:lvlJc w:val="left"/>
      <w:pPr>
        <w:ind w:left="720" w:hanging="360"/>
      </w:pPr>
      <w:rPr>
        <w:rFonts w:ascii="Symbol" w:hAnsi="Symbol" w:hint="default"/>
      </w:rPr>
    </w:lvl>
    <w:lvl w:ilvl="1" w:tplc="DC486A54">
      <w:start w:val="1"/>
      <w:numFmt w:val="bullet"/>
      <w:lvlText w:val="o"/>
      <w:lvlJc w:val="left"/>
      <w:pPr>
        <w:ind w:left="1440" w:hanging="360"/>
      </w:pPr>
      <w:rPr>
        <w:rFonts w:ascii="Courier New" w:hAnsi="Courier New" w:hint="default"/>
      </w:rPr>
    </w:lvl>
    <w:lvl w:ilvl="2" w:tplc="A350C5EC">
      <w:start w:val="1"/>
      <w:numFmt w:val="bullet"/>
      <w:lvlText w:val=""/>
      <w:lvlJc w:val="left"/>
      <w:pPr>
        <w:ind w:left="2160" w:hanging="360"/>
      </w:pPr>
      <w:rPr>
        <w:rFonts w:ascii="Wingdings" w:hAnsi="Wingdings" w:hint="default"/>
      </w:rPr>
    </w:lvl>
    <w:lvl w:ilvl="3" w:tplc="741E0A0C">
      <w:start w:val="1"/>
      <w:numFmt w:val="bullet"/>
      <w:lvlText w:val=""/>
      <w:lvlJc w:val="left"/>
      <w:pPr>
        <w:ind w:left="2880" w:hanging="360"/>
      </w:pPr>
      <w:rPr>
        <w:rFonts w:ascii="Symbol" w:hAnsi="Symbol" w:hint="default"/>
      </w:rPr>
    </w:lvl>
    <w:lvl w:ilvl="4" w:tplc="E65AC3BE">
      <w:start w:val="1"/>
      <w:numFmt w:val="bullet"/>
      <w:lvlText w:val="o"/>
      <w:lvlJc w:val="left"/>
      <w:pPr>
        <w:ind w:left="3600" w:hanging="360"/>
      </w:pPr>
      <w:rPr>
        <w:rFonts w:ascii="Courier New" w:hAnsi="Courier New" w:hint="default"/>
      </w:rPr>
    </w:lvl>
    <w:lvl w:ilvl="5" w:tplc="DC3ED788">
      <w:start w:val="1"/>
      <w:numFmt w:val="bullet"/>
      <w:lvlText w:val=""/>
      <w:lvlJc w:val="left"/>
      <w:pPr>
        <w:ind w:left="4320" w:hanging="360"/>
      </w:pPr>
      <w:rPr>
        <w:rFonts w:ascii="Wingdings" w:hAnsi="Wingdings" w:hint="default"/>
      </w:rPr>
    </w:lvl>
    <w:lvl w:ilvl="6" w:tplc="2A4C2A40">
      <w:start w:val="1"/>
      <w:numFmt w:val="bullet"/>
      <w:lvlText w:val=""/>
      <w:lvlJc w:val="left"/>
      <w:pPr>
        <w:ind w:left="5040" w:hanging="360"/>
      </w:pPr>
      <w:rPr>
        <w:rFonts w:ascii="Symbol" w:hAnsi="Symbol" w:hint="default"/>
      </w:rPr>
    </w:lvl>
    <w:lvl w:ilvl="7" w:tplc="41FE335E">
      <w:start w:val="1"/>
      <w:numFmt w:val="bullet"/>
      <w:lvlText w:val="o"/>
      <w:lvlJc w:val="left"/>
      <w:pPr>
        <w:ind w:left="5760" w:hanging="360"/>
      </w:pPr>
      <w:rPr>
        <w:rFonts w:ascii="Courier New" w:hAnsi="Courier New" w:hint="default"/>
      </w:rPr>
    </w:lvl>
    <w:lvl w:ilvl="8" w:tplc="FC6A3BCC">
      <w:start w:val="1"/>
      <w:numFmt w:val="bullet"/>
      <w:lvlText w:val=""/>
      <w:lvlJc w:val="left"/>
      <w:pPr>
        <w:ind w:left="6480" w:hanging="360"/>
      </w:pPr>
      <w:rPr>
        <w:rFonts w:ascii="Wingdings" w:hAnsi="Wingdings" w:hint="default"/>
      </w:rPr>
    </w:lvl>
  </w:abstractNum>
  <w:abstractNum w:abstractNumId="18" w15:restartNumberingAfterBreak="0">
    <w:nsid w:val="09911FA9"/>
    <w:multiLevelType w:val="hybridMultilevel"/>
    <w:tmpl w:val="AB60ED8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0A1619CA"/>
    <w:multiLevelType w:val="multilevel"/>
    <w:tmpl w:val="F2707A9E"/>
    <w:lvl w:ilvl="0">
      <w:start w:val="1"/>
      <w:numFmt w:val="decimal"/>
      <w:pStyle w:val="Revisio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871BE5"/>
    <w:multiLevelType w:val="hybridMultilevel"/>
    <w:tmpl w:val="4C304824"/>
    <w:lvl w:ilvl="0" w:tplc="18090001">
      <w:start w:val="1"/>
      <w:numFmt w:val="bullet"/>
      <w:lvlText w:val=""/>
      <w:lvlJc w:val="left"/>
      <w:pPr>
        <w:ind w:left="720" w:hanging="360"/>
      </w:pPr>
      <w:rPr>
        <w:rFonts w:ascii="Symbol" w:hAnsi="Symbol" w:hint="default"/>
      </w:rPr>
    </w:lvl>
    <w:lvl w:ilvl="1" w:tplc="F3A21EB4">
      <w:numFmt w:val="bullet"/>
      <w:lvlText w:val="•"/>
      <w:lvlJc w:val="left"/>
      <w:pPr>
        <w:ind w:left="1740" w:hanging="660"/>
      </w:pPr>
      <w:rPr>
        <w:rFonts w:ascii="Times New Roman" w:eastAsiaTheme="minorHAnsi"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B0E3DA5"/>
    <w:multiLevelType w:val="hybridMultilevel"/>
    <w:tmpl w:val="47F2732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0B48C68D"/>
    <w:multiLevelType w:val="hybridMultilevel"/>
    <w:tmpl w:val="FFFFFFFF"/>
    <w:lvl w:ilvl="0" w:tplc="FFFFFFFF">
      <w:start w:val="1"/>
      <w:numFmt w:val="bullet"/>
      <w:lvlText w:val="·"/>
      <w:lvlJc w:val="left"/>
      <w:pPr>
        <w:ind w:left="720" w:hanging="360"/>
      </w:pPr>
      <w:rPr>
        <w:rFonts w:ascii="Symbol" w:hAnsi="Symbol" w:hint="default"/>
      </w:rPr>
    </w:lvl>
    <w:lvl w:ilvl="1" w:tplc="227A1F92">
      <w:start w:val="1"/>
      <w:numFmt w:val="bullet"/>
      <w:lvlText w:val="o"/>
      <w:lvlJc w:val="left"/>
      <w:pPr>
        <w:ind w:left="1440" w:hanging="360"/>
      </w:pPr>
      <w:rPr>
        <w:rFonts w:ascii="Courier New" w:hAnsi="Courier New" w:hint="default"/>
      </w:rPr>
    </w:lvl>
    <w:lvl w:ilvl="2" w:tplc="8592BE2C">
      <w:start w:val="1"/>
      <w:numFmt w:val="bullet"/>
      <w:lvlText w:val=""/>
      <w:lvlJc w:val="left"/>
      <w:pPr>
        <w:ind w:left="2160" w:hanging="360"/>
      </w:pPr>
      <w:rPr>
        <w:rFonts w:ascii="Wingdings" w:hAnsi="Wingdings" w:hint="default"/>
      </w:rPr>
    </w:lvl>
    <w:lvl w:ilvl="3" w:tplc="29F889E2">
      <w:start w:val="1"/>
      <w:numFmt w:val="bullet"/>
      <w:lvlText w:val=""/>
      <w:lvlJc w:val="left"/>
      <w:pPr>
        <w:ind w:left="2880" w:hanging="360"/>
      </w:pPr>
      <w:rPr>
        <w:rFonts w:ascii="Symbol" w:hAnsi="Symbol" w:hint="default"/>
      </w:rPr>
    </w:lvl>
    <w:lvl w:ilvl="4" w:tplc="355A0438">
      <w:start w:val="1"/>
      <w:numFmt w:val="bullet"/>
      <w:lvlText w:val="o"/>
      <w:lvlJc w:val="left"/>
      <w:pPr>
        <w:ind w:left="3600" w:hanging="360"/>
      </w:pPr>
      <w:rPr>
        <w:rFonts w:ascii="Courier New" w:hAnsi="Courier New" w:hint="default"/>
      </w:rPr>
    </w:lvl>
    <w:lvl w:ilvl="5" w:tplc="51DA6F3C">
      <w:start w:val="1"/>
      <w:numFmt w:val="bullet"/>
      <w:lvlText w:val=""/>
      <w:lvlJc w:val="left"/>
      <w:pPr>
        <w:ind w:left="4320" w:hanging="360"/>
      </w:pPr>
      <w:rPr>
        <w:rFonts w:ascii="Wingdings" w:hAnsi="Wingdings" w:hint="default"/>
      </w:rPr>
    </w:lvl>
    <w:lvl w:ilvl="6" w:tplc="AC0CDA30">
      <w:start w:val="1"/>
      <w:numFmt w:val="bullet"/>
      <w:lvlText w:val=""/>
      <w:lvlJc w:val="left"/>
      <w:pPr>
        <w:ind w:left="5040" w:hanging="360"/>
      </w:pPr>
      <w:rPr>
        <w:rFonts w:ascii="Symbol" w:hAnsi="Symbol" w:hint="default"/>
      </w:rPr>
    </w:lvl>
    <w:lvl w:ilvl="7" w:tplc="FE8A97EA">
      <w:start w:val="1"/>
      <w:numFmt w:val="bullet"/>
      <w:lvlText w:val="o"/>
      <w:lvlJc w:val="left"/>
      <w:pPr>
        <w:ind w:left="5760" w:hanging="360"/>
      </w:pPr>
      <w:rPr>
        <w:rFonts w:ascii="Courier New" w:hAnsi="Courier New" w:hint="default"/>
      </w:rPr>
    </w:lvl>
    <w:lvl w:ilvl="8" w:tplc="76C609B4">
      <w:start w:val="1"/>
      <w:numFmt w:val="bullet"/>
      <w:lvlText w:val=""/>
      <w:lvlJc w:val="left"/>
      <w:pPr>
        <w:ind w:left="6480" w:hanging="360"/>
      </w:pPr>
      <w:rPr>
        <w:rFonts w:ascii="Wingdings" w:hAnsi="Wingdings" w:hint="default"/>
      </w:rPr>
    </w:lvl>
  </w:abstractNum>
  <w:abstractNum w:abstractNumId="23" w15:restartNumberingAfterBreak="0">
    <w:nsid w:val="0BBC4B88"/>
    <w:multiLevelType w:val="multilevel"/>
    <w:tmpl w:val="CC267A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CB2476"/>
    <w:multiLevelType w:val="hybridMultilevel"/>
    <w:tmpl w:val="199CE0B6"/>
    <w:lvl w:ilvl="0" w:tplc="0407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0BDDE1AD"/>
    <w:multiLevelType w:val="hybridMultilevel"/>
    <w:tmpl w:val="FFFFFFFF"/>
    <w:lvl w:ilvl="0" w:tplc="FFFFFFFF">
      <w:start w:val="1"/>
      <w:numFmt w:val="decimal"/>
      <w:lvlText w:val="%1."/>
      <w:lvlJc w:val="left"/>
      <w:pPr>
        <w:ind w:left="720" w:hanging="360"/>
      </w:pPr>
    </w:lvl>
    <w:lvl w:ilvl="1" w:tplc="296A2F7C">
      <w:start w:val="1"/>
      <w:numFmt w:val="lowerLetter"/>
      <w:lvlText w:val="%2."/>
      <w:lvlJc w:val="left"/>
      <w:pPr>
        <w:ind w:left="1440" w:hanging="360"/>
      </w:pPr>
    </w:lvl>
    <w:lvl w:ilvl="2" w:tplc="0E12142C">
      <w:start w:val="1"/>
      <w:numFmt w:val="lowerRoman"/>
      <w:lvlText w:val="%3."/>
      <w:lvlJc w:val="right"/>
      <w:pPr>
        <w:ind w:left="2160" w:hanging="180"/>
      </w:pPr>
    </w:lvl>
    <w:lvl w:ilvl="3" w:tplc="5EA8ECA4">
      <w:start w:val="1"/>
      <w:numFmt w:val="decimal"/>
      <w:lvlText w:val="%4."/>
      <w:lvlJc w:val="left"/>
      <w:pPr>
        <w:ind w:left="2880" w:hanging="360"/>
      </w:pPr>
    </w:lvl>
    <w:lvl w:ilvl="4" w:tplc="0D68AFA0">
      <w:start w:val="1"/>
      <w:numFmt w:val="lowerLetter"/>
      <w:lvlText w:val="%5."/>
      <w:lvlJc w:val="left"/>
      <w:pPr>
        <w:ind w:left="3600" w:hanging="360"/>
      </w:pPr>
    </w:lvl>
    <w:lvl w:ilvl="5" w:tplc="3AECCC2E">
      <w:start w:val="1"/>
      <w:numFmt w:val="lowerRoman"/>
      <w:lvlText w:val="%6."/>
      <w:lvlJc w:val="right"/>
      <w:pPr>
        <w:ind w:left="4320" w:hanging="180"/>
      </w:pPr>
    </w:lvl>
    <w:lvl w:ilvl="6" w:tplc="7BEEE5B4">
      <w:start w:val="1"/>
      <w:numFmt w:val="decimal"/>
      <w:lvlText w:val="%7."/>
      <w:lvlJc w:val="left"/>
      <w:pPr>
        <w:ind w:left="5040" w:hanging="360"/>
      </w:pPr>
    </w:lvl>
    <w:lvl w:ilvl="7" w:tplc="E0907006">
      <w:start w:val="1"/>
      <w:numFmt w:val="lowerLetter"/>
      <w:lvlText w:val="%8."/>
      <w:lvlJc w:val="left"/>
      <w:pPr>
        <w:ind w:left="5760" w:hanging="360"/>
      </w:pPr>
    </w:lvl>
    <w:lvl w:ilvl="8" w:tplc="3A1495FE">
      <w:start w:val="1"/>
      <w:numFmt w:val="lowerRoman"/>
      <w:lvlText w:val="%9."/>
      <w:lvlJc w:val="right"/>
      <w:pPr>
        <w:ind w:left="6480" w:hanging="180"/>
      </w:pPr>
    </w:lvl>
  </w:abstractNum>
  <w:abstractNum w:abstractNumId="26" w15:restartNumberingAfterBreak="0">
    <w:nsid w:val="0CDA2A2D"/>
    <w:multiLevelType w:val="hybridMultilevel"/>
    <w:tmpl w:val="590E099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0DC24105"/>
    <w:multiLevelType w:val="hybridMultilevel"/>
    <w:tmpl w:val="FFFFFFFF"/>
    <w:lvl w:ilvl="0" w:tplc="041847CA">
      <w:start w:val="1"/>
      <w:numFmt w:val="bullet"/>
      <w:lvlText w:val="-"/>
      <w:lvlJc w:val="left"/>
      <w:pPr>
        <w:ind w:left="720" w:hanging="360"/>
      </w:pPr>
      <w:rPr>
        <w:rFonts w:ascii="Calibri" w:hAnsi="Calibri" w:hint="default"/>
      </w:rPr>
    </w:lvl>
    <w:lvl w:ilvl="1" w:tplc="9CA4BDEA">
      <w:start w:val="1"/>
      <w:numFmt w:val="bullet"/>
      <w:lvlText w:val="o"/>
      <w:lvlJc w:val="left"/>
      <w:pPr>
        <w:ind w:left="1440" w:hanging="360"/>
      </w:pPr>
      <w:rPr>
        <w:rFonts w:ascii="Courier New" w:hAnsi="Courier New" w:hint="default"/>
      </w:rPr>
    </w:lvl>
    <w:lvl w:ilvl="2" w:tplc="5D88AB32">
      <w:start w:val="1"/>
      <w:numFmt w:val="bullet"/>
      <w:lvlText w:val=""/>
      <w:lvlJc w:val="left"/>
      <w:pPr>
        <w:ind w:left="2160" w:hanging="360"/>
      </w:pPr>
      <w:rPr>
        <w:rFonts w:ascii="Wingdings" w:hAnsi="Wingdings" w:hint="default"/>
      </w:rPr>
    </w:lvl>
    <w:lvl w:ilvl="3" w:tplc="2AE602EE">
      <w:start w:val="1"/>
      <w:numFmt w:val="bullet"/>
      <w:lvlText w:val=""/>
      <w:lvlJc w:val="left"/>
      <w:pPr>
        <w:ind w:left="2880" w:hanging="360"/>
      </w:pPr>
      <w:rPr>
        <w:rFonts w:ascii="Symbol" w:hAnsi="Symbol" w:hint="default"/>
      </w:rPr>
    </w:lvl>
    <w:lvl w:ilvl="4" w:tplc="E2A6BD3A">
      <w:start w:val="1"/>
      <w:numFmt w:val="bullet"/>
      <w:lvlText w:val="o"/>
      <w:lvlJc w:val="left"/>
      <w:pPr>
        <w:ind w:left="3600" w:hanging="360"/>
      </w:pPr>
      <w:rPr>
        <w:rFonts w:ascii="Courier New" w:hAnsi="Courier New" w:hint="default"/>
      </w:rPr>
    </w:lvl>
    <w:lvl w:ilvl="5" w:tplc="1188DC14">
      <w:start w:val="1"/>
      <w:numFmt w:val="bullet"/>
      <w:lvlText w:val=""/>
      <w:lvlJc w:val="left"/>
      <w:pPr>
        <w:ind w:left="4320" w:hanging="360"/>
      </w:pPr>
      <w:rPr>
        <w:rFonts w:ascii="Wingdings" w:hAnsi="Wingdings" w:hint="default"/>
      </w:rPr>
    </w:lvl>
    <w:lvl w:ilvl="6" w:tplc="98706EE6">
      <w:start w:val="1"/>
      <w:numFmt w:val="bullet"/>
      <w:lvlText w:val=""/>
      <w:lvlJc w:val="left"/>
      <w:pPr>
        <w:ind w:left="5040" w:hanging="360"/>
      </w:pPr>
      <w:rPr>
        <w:rFonts w:ascii="Symbol" w:hAnsi="Symbol" w:hint="default"/>
      </w:rPr>
    </w:lvl>
    <w:lvl w:ilvl="7" w:tplc="D9D66D0E">
      <w:start w:val="1"/>
      <w:numFmt w:val="bullet"/>
      <w:lvlText w:val="o"/>
      <w:lvlJc w:val="left"/>
      <w:pPr>
        <w:ind w:left="5760" w:hanging="360"/>
      </w:pPr>
      <w:rPr>
        <w:rFonts w:ascii="Courier New" w:hAnsi="Courier New" w:hint="default"/>
      </w:rPr>
    </w:lvl>
    <w:lvl w:ilvl="8" w:tplc="540A7E3E">
      <w:start w:val="1"/>
      <w:numFmt w:val="bullet"/>
      <w:lvlText w:val=""/>
      <w:lvlJc w:val="left"/>
      <w:pPr>
        <w:ind w:left="6480" w:hanging="360"/>
      </w:pPr>
      <w:rPr>
        <w:rFonts w:ascii="Wingdings" w:hAnsi="Wingdings" w:hint="default"/>
      </w:rPr>
    </w:lvl>
  </w:abstractNum>
  <w:abstractNum w:abstractNumId="28" w15:restartNumberingAfterBreak="0">
    <w:nsid w:val="0E021E7B"/>
    <w:multiLevelType w:val="hybridMultilevel"/>
    <w:tmpl w:val="3BC0AE4A"/>
    <w:lvl w:ilvl="0" w:tplc="1F2EA6CC">
      <w:start w:val="1"/>
      <w:numFmt w:val="bullet"/>
      <w:lvlText w:val="-"/>
      <w:lvlJc w:val="left"/>
      <w:pPr>
        <w:ind w:left="720" w:hanging="360"/>
      </w:pPr>
      <w:rPr>
        <w:rFonts w:ascii="Calibri"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0E126E10"/>
    <w:multiLevelType w:val="hybridMultilevel"/>
    <w:tmpl w:val="3568450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0611E19"/>
    <w:multiLevelType w:val="hybridMultilevel"/>
    <w:tmpl w:val="3D14AAEA"/>
    <w:lvl w:ilvl="0" w:tplc="CD42126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1" w15:restartNumberingAfterBreak="0">
    <w:nsid w:val="10887121"/>
    <w:multiLevelType w:val="hybridMultilevel"/>
    <w:tmpl w:val="F22AE5D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11471611"/>
    <w:multiLevelType w:val="hybridMultilevel"/>
    <w:tmpl w:val="8842D3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116C1933"/>
    <w:multiLevelType w:val="hybridMultilevel"/>
    <w:tmpl w:val="702CA65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4512865"/>
    <w:multiLevelType w:val="hybridMultilevel"/>
    <w:tmpl w:val="F9AC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9C4A68"/>
    <w:multiLevelType w:val="hybridMultilevel"/>
    <w:tmpl w:val="F8E622EE"/>
    <w:lvl w:ilvl="0" w:tplc="FC944400">
      <w:start w:val="1"/>
      <w:numFmt w:val="decimal"/>
      <w:pStyle w:val="StyleNumbering"/>
      <w:lvlText w:val="%1)"/>
      <w:lvlJc w:val="left"/>
      <w:pPr>
        <w:ind w:left="720" w:hanging="360"/>
      </w:pPr>
      <w:rPr>
        <w:rFonts w:hint="default"/>
        <w:color w:val="8064A2" w:themeColor="accent4"/>
      </w:rPr>
    </w:lvl>
    <w:lvl w:ilvl="1" w:tplc="CB60A54C">
      <w:start w:val="1"/>
      <w:numFmt w:val="lowerLetter"/>
      <w:lvlText w:val="%2."/>
      <w:lvlJc w:val="left"/>
      <w:pPr>
        <w:ind w:left="1440" w:hanging="360"/>
      </w:pPr>
      <w:rPr>
        <w:rFonts w:hint="default"/>
        <w:color w:val="8064A2" w:themeColor="accent4"/>
      </w:rPr>
    </w:lvl>
    <w:lvl w:ilvl="2" w:tplc="93B29D46">
      <w:start w:val="1"/>
      <w:numFmt w:val="lowerRoman"/>
      <w:lvlText w:val="%3."/>
      <w:lvlJc w:val="right"/>
      <w:pPr>
        <w:ind w:left="2160" w:hanging="180"/>
      </w:pPr>
      <w:rPr>
        <w:rFonts w:hint="default"/>
        <w:color w:val="8064A2" w:themeColor="accent4"/>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51A46B3"/>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157D0F94"/>
    <w:multiLevelType w:val="hybridMultilevel"/>
    <w:tmpl w:val="C04CBE48"/>
    <w:lvl w:ilvl="0" w:tplc="F6DAB532">
      <w:start w:val="1"/>
      <w:numFmt w:val="decimal"/>
      <w:lvlText w:val="%1."/>
      <w:lvlJc w:val="left"/>
      <w:pPr>
        <w:ind w:left="927" w:hanging="360"/>
      </w:pPr>
      <w:rPr>
        <w:rFonts w:hint="default"/>
      </w:rPr>
    </w:lvl>
    <w:lvl w:ilvl="1" w:tplc="6666CD64">
      <w:numFmt w:val="bullet"/>
      <w:lvlText w:val="•"/>
      <w:lvlJc w:val="left"/>
      <w:pPr>
        <w:ind w:left="2007" w:hanging="720"/>
      </w:pPr>
      <w:rPr>
        <w:rFonts w:ascii="Times New Roman" w:eastAsiaTheme="minorHAnsi" w:hAnsi="Times New Roman" w:cs="Times New Roman"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15CB47C4"/>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164D2A39"/>
    <w:multiLevelType w:val="hybridMultilevel"/>
    <w:tmpl w:val="AF5E511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41" w15:restartNumberingAfterBreak="0">
    <w:nsid w:val="167E2714"/>
    <w:multiLevelType w:val="hybridMultilevel"/>
    <w:tmpl w:val="A230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6D94771"/>
    <w:multiLevelType w:val="hybridMultilevel"/>
    <w:tmpl w:val="D45A40E0"/>
    <w:lvl w:ilvl="0" w:tplc="1CCABBFA">
      <w:start w:val="1"/>
      <w:numFmt w:val="decimal"/>
      <w:lvlText w:val="%1-"/>
      <w:lvlJc w:val="left"/>
      <w:pPr>
        <w:ind w:left="1636" w:hanging="360"/>
      </w:pPr>
      <w:rPr>
        <w:rFonts w:ascii="Times New Roman" w:hAnsi="Times New Roman"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187552FA"/>
    <w:multiLevelType w:val="hybridMultilevel"/>
    <w:tmpl w:val="B59EEC14"/>
    <w:lvl w:ilvl="0" w:tplc="710EB60A">
      <w:start w:val="1"/>
      <w:numFmt w:val="bullet"/>
      <w:lvlText w:val="·"/>
      <w:lvlJc w:val="left"/>
      <w:pPr>
        <w:ind w:left="720" w:hanging="360"/>
      </w:pPr>
      <w:rPr>
        <w:rFonts w:ascii="Symbol" w:hAnsi="Symbol" w:hint="default"/>
      </w:rPr>
    </w:lvl>
    <w:lvl w:ilvl="1" w:tplc="4A9E004A">
      <w:start w:val="1"/>
      <w:numFmt w:val="bullet"/>
      <w:lvlText w:val="o"/>
      <w:lvlJc w:val="left"/>
      <w:pPr>
        <w:ind w:left="1440" w:hanging="360"/>
      </w:pPr>
      <w:rPr>
        <w:rFonts w:ascii="Courier New" w:hAnsi="Courier New" w:hint="default"/>
      </w:rPr>
    </w:lvl>
    <w:lvl w:ilvl="2" w:tplc="9572C248">
      <w:start w:val="1"/>
      <w:numFmt w:val="bullet"/>
      <w:lvlText w:val=""/>
      <w:lvlJc w:val="left"/>
      <w:pPr>
        <w:ind w:left="2160" w:hanging="360"/>
      </w:pPr>
      <w:rPr>
        <w:rFonts w:ascii="Wingdings" w:hAnsi="Wingdings" w:hint="default"/>
      </w:rPr>
    </w:lvl>
    <w:lvl w:ilvl="3" w:tplc="C34827CA">
      <w:start w:val="1"/>
      <w:numFmt w:val="bullet"/>
      <w:lvlText w:val=""/>
      <w:lvlJc w:val="left"/>
      <w:pPr>
        <w:ind w:left="2880" w:hanging="360"/>
      </w:pPr>
      <w:rPr>
        <w:rFonts w:ascii="Symbol" w:hAnsi="Symbol" w:hint="default"/>
      </w:rPr>
    </w:lvl>
    <w:lvl w:ilvl="4" w:tplc="D0861C8E">
      <w:start w:val="1"/>
      <w:numFmt w:val="bullet"/>
      <w:lvlText w:val="o"/>
      <w:lvlJc w:val="left"/>
      <w:pPr>
        <w:ind w:left="3600" w:hanging="360"/>
      </w:pPr>
      <w:rPr>
        <w:rFonts w:ascii="Courier New" w:hAnsi="Courier New" w:hint="default"/>
      </w:rPr>
    </w:lvl>
    <w:lvl w:ilvl="5" w:tplc="F0D49348">
      <w:start w:val="1"/>
      <w:numFmt w:val="bullet"/>
      <w:lvlText w:val=""/>
      <w:lvlJc w:val="left"/>
      <w:pPr>
        <w:ind w:left="4320" w:hanging="360"/>
      </w:pPr>
      <w:rPr>
        <w:rFonts w:ascii="Wingdings" w:hAnsi="Wingdings" w:hint="default"/>
      </w:rPr>
    </w:lvl>
    <w:lvl w:ilvl="6" w:tplc="D8E207D4">
      <w:start w:val="1"/>
      <w:numFmt w:val="bullet"/>
      <w:lvlText w:val=""/>
      <w:lvlJc w:val="left"/>
      <w:pPr>
        <w:ind w:left="5040" w:hanging="360"/>
      </w:pPr>
      <w:rPr>
        <w:rFonts w:ascii="Symbol" w:hAnsi="Symbol" w:hint="default"/>
      </w:rPr>
    </w:lvl>
    <w:lvl w:ilvl="7" w:tplc="BC442F12">
      <w:start w:val="1"/>
      <w:numFmt w:val="bullet"/>
      <w:lvlText w:val="o"/>
      <w:lvlJc w:val="left"/>
      <w:pPr>
        <w:ind w:left="5760" w:hanging="360"/>
      </w:pPr>
      <w:rPr>
        <w:rFonts w:ascii="Courier New" w:hAnsi="Courier New" w:hint="default"/>
      </w:rPr>
    </w:lvl>
    <w:lvl w:ilvl="8" w:tplc="1DB28208">
      <w:start w:val="1"/>
      <w:numFmt w:val="bullet"/>
      <w:lvlText w:val=""/>
      <w:lvlJc w:val="left"/>
      <w:pPr>
        <w:ind w:left="6480" w:hanging="360"/>
      </w:pPr>
      <w:rPr>
        <w:rFonts w:ascii="Wingdings" w:hAnsi="Wingdings" w:hint="default"/>
      </w:rPr>
    </w:lvl>
  </w:abstractNum>
  <w:abstractNum w:abstractNumId="44" w15:restartNumberingAfterBreak="0">
    <w:nsid w:val="18BEBF29"/>
    <w:multiLevelType w:val="hybridMultilevel"/>
    <w:tmpl w:val="FFFFFFFF"/>
    <w:lvl w:ilvl="0" w:tplc="0C5A3A5E">
      <w:start w:val="1"/>
      <w:numFmt w:val="decimal"/>
      <w:pStyle w:val="CitaviBibliographyHeading"/>
      <w:lvlText w:val="%1."/>
      <w:lvlJc w:val="left"/>
      <w:pPr>
        <w:ind w:left="720" w:hanging="360"/>
      </w:pPr>
    </w:lvl>
    <w:lvl w:ilvl="1" w:tplc="9E246E78">
      <w:start w:val="1"/>
      <w:numFmt w:val="lowerLetter"/>
      <w:pStyle w:val="CitaviChapterBibliographyHeading"/>
      <w:lvlText w:val="%2."/>
      <w:lvlJc w:val="left"/>
      <w:pPr>
        <w:ind w:left="1440" w:hanging="360"/>
      </w:pPr>
    </w:lvl>
    <w:lvl w:ilvl="2" w:tplc="84DEDD7A">
      <w:start w:val="1"/>
      <w:numFmt w:val="lowerRoman"/>
      <w:lvlText w:val="%3."/>
      <w:lvlJc w:val="right"/>
      <w:pPr>
        <w:ind w:left="2160" w:hanging="180"/>
      </w:pPr>
    </w:lvl>
    <w:lvl w:ilvl="3" w:tplc="0C9CFE42">
      <w:start w:val="1"/>
      <w:numFmt w:val="decimal"/>
      <w:lvlText w:val="%4."/>
      <w:lvlJc w:val="left"/>
      <w:pPr>
        <w:ind w:left="2880" w:hanging="360"/>
      </w:pPr>
    </w:lvl>
    <w:lvl w:ilvl="4" w:tplc="E1BCA458">
      <w:start w:val="1"/>
      <w:numFmt w:val="lowerLetter"/>
      <w:lvlText w:val="%5."/>
      <w:lvlJc w:val="left"/>
      <w:pPr>
        <w:ind w:left="3600" w:hanging="360"/>
      </w:pPr>
    </w:lvl>
    <w:lvl w:ilvl="5" w:tplc="3D7E80DC">
      <w:start w:val="1"/>
      <w:numFmt w:val="lowerRoman"/>
      <w:lvlText w:val="%6."/>
      <w:lvlJc w:val="right"/>
      <w:pPr>
        <w:ind w:left="4320" w:hanging="180"/>
      </w:pPr>
    </w:lvl>
    <w:lvl w:ilvl="6" w:tplc="145A1FC8">
      <w:start w:val="1"/>
      <w:numFmt w:val="decimal"/>
      <w:lvlText w:val="%7."/>
      <w:lvlJc w:val="left"/>
      <w:pPr>
        <w:ind w:left="5040" w:hanging="360"/>
      </w:pPr>
    </w:lvl>
    <w:lvl w:ilvl="7" w:tplc="B34875E8">
      <w:start w:val="1"/>
      <w:numFmt w:val="lowerLetter"/>
      <w:lvlText w:val="%8."/>
      <w:lvlJc w:val="left"/>
      <w:pPr>
        <w:ind w:left="5760" w:hanging="360"/>
      </w:pPr>
    </w:lvl>
    <w:lvl w:ilvl="8" w:tplc="D7845D9A">
      <w:start w:val="1"/>
      <w:numFmt w:val="lowerRoman"/>
      <w:lvlText w:val="%9."/>
      <w:lvlJc w:val="right"/>
      <w:pPr>
        <w:ind w:left="6480" w:hanging="180"/>
      </w:pPr>
    </w:lvl>
  </w:abstractNum>
  <w:abstractNum w:abstractNumId="45" w15:restartNumberingAfterBreak="0">
    <w:nsid w:val="19C26370"/>
    <w:multiLevelType w:val="hybridMultilevel"/>
    <w:tmpl w:val="375C3084"/>
    <w:lvl w:ilvl="0" w:tplc="088C384C">
      <w:start w:val="11"/>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19D700E8"/>
    <w:multiLevelType w:val="multilevel"/>
    <w:tmpl w:val="7FA68E52"/>
    <w:lvl w:ilvl="0">
      <w:start w:val="1"/>
      <w:numFmt w:val="decimal"/>
      <w:lvlText w:val="%1."/>
      <w:lvlJc w:val="left"/>
      <w:pPr>
        <w:tabs>
          <w:tab w:val="num" w:pos="720"/>
        </w:tabs>
        <w:ind w:left="720" w:hanging="360"/>
      </w:pPr>
    </w:lvl>
    <w:lvl w:ilvl="1">
      <w:start w:val="31"/>
      <w:numFmt w:val="decimal"/>
      <w:lvlText w:val="%2."/>
      <w:lvlJc w:val="left"/>
      <w:pPr>
        <w:ind w:left="1440" w:hanging="360"/>
      </w:pPr>
      <w:rPr>
        <w:rFonts w:eastAsia="Times New Roman"/>
        <w:i w:val="0"/>
        <w:color w:val="000000"/>
      </w:rPr>
    </w:lvl>
    <w:lvl w:ilvl="2">
      <w:start w:val="1"/>
      <w:numFmt w:val="lowerRoman"/>
      <w:lvlText w:val="%3)"/>
      <w:lvlJc w:val="left"/>
      <w:pPr>
        <w:ind w:left="2520" w:hanging="720"/>
      </w:pPr>
    </w:lvl>
    <w:lvl w:ilvl="3">
      <w:start w:val="1"/>
      <w:numFmt w:val="decimal"/>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9D857CF"/>
    <w:multiLevelType w:val="hybridMultilevel"/>
    <w:tmpl w:val="EE862306"/>
    <w:lvl w:ilvl="0" w:tplc="2102A426">
      <w:start w:val="1"/>
      <w:numFmt w:val="bullet"/>
      <w:lvlText w:val=""/>
      <w:lvlJc w:val="left"/>
      <w:pPr>
        <w:ind w:left="720" w:hanging="360"/>
      </w:pPr>
      <w:rPr>
        <w:rFonts w:ascii="Symbol" w:hAnsi="Symbol" w:hint="default"/>
      </w:rPr>
    </w:lvl>
    <w:lvl w:ilvl="1" w:tplc="E4E0F964">
      <w:start w:val="1"/>
      <w:numFmt w:val="bullet"/>
      <w:lvlText w:val="o"/>
      <w:lvlJc w:val="left"/>
      <w:pPr>
        <w:ind w:left="1440" w:hanging="360"/>
      </w:pPr>
      <w:rPr>
        <w:rFonts w:ascii="Courier New" w:hAnsi="Courier New" w:hint="default"/>
      </w:rPr>
    </w:lvl>
    <w:lvl w:ilvl="2" w:tplc="0968181A">
      <w:start w:val="1"/>
      <w:numFmt w:val="bullet"/>
      <w:lvlText w:val=""/>
      <w:lvlJc w:val="left"/>
      <w:pPr>
        <w:ind w:left="2160" w:hanging="360"/>
      </w:pPr>
      <w:rPr>
        <w:rFonts w:ascii="Wingdings" w:hAnsi="Wingdings" w:hint="default"/>
      </w:rPr>
    </w:lvl>
    <w:lvl w:ilvl="3" w:tplc="0C940D5E">
      <w:start w:val="1"/>
      <w:numFmt w:val="bullet"/>
      <w:lvlText w:val=""/>
      <w:lvlJc w:val="left"/>
      <w:pPr>
        <w:ind w:left="2880" w:hanging="360"/>
      </w:pPr>
      <w:rPr>
        <w:rFonts w:ascii="Symbol" w:hAnsi="Symbol" w:hint="default"/>
      </w:rPr>
    </w:lvl>
    <w:lvl w:ilvl="4" w:tplc="16CAA71A">
      <w:start w:val="1"/>
      <w:numFmt w:val="bullet"/>
      <w:lvlText w:val="o"/>
      <w:lvlJc w:val="left"/>
      <w:pPr>
        <w:ind w:left="3600" w:hanging="360"/>
      </w:pPr>
      <w:rPr>
        <w:rFonts w:ascii="Courier New" w:hAnsi="Courier New" w:hint="default"/>
      </w:rPr>
    </w:lvl>
    <w:lvl w:ilvl="5" w:tplc="41746FA6">
      <w:start w:val="1"/>
      <w:numFmt w:val="bullet"/>
      <w:lvlText w:val=""/>
      <w:lvlJc w:val="left"/>
      <w:pPr>
        <w:ind w:left="4320" w:hanging="360"/>
      </w:pPr>
      <w:rPr>
        <w:rFonts w:ascii="Wingdings" w:hAnsi="Wingdings" w:hint="default"/>
      </w:rPr>
    </w:lvl>
    <w:lvl w:ilvl="6" w:tplc="94CCCD16">
      <w:start w:val="1"/>
      <w:numFmt w:val="bullet"/>
      <w:lvlText w:val=""/>
      <w:lvlJc w:val="left"/>
      <w:pPr>
        <w:ind w:left="5040" w:hanging="360"/>
      </w:pPr>
      <w:rPr>
        <w:rFonts w:ascii="Symbol" w:hAnsi="Symbol" w:hint="default"/>
      </w:rPr>
    </w:lvl>
    <w:lvl w:ilvl="7" w:tplc="62B085C0">
      <w:start w:val="1"/>
      <w:numFmt w:val="bullet"/>
      <w:lvlText w:val="o"/>
      <w:lvlJc w:val="left"/>
      <w:pPr>
        <w:ind w:left="5760" w:hanging="360"/>
      </w:pPr>
      <w:rPr>
        <w:rFonts w:ascii="Courier New" w:hAnsi="Courier New" w:hint="default"/>
      </w:rPr>
    </w:lvl>
    <w:lvl w:ilvl="8" w:tplc="A224C5B2">
      <w:start w:val="1"/>
      <w:numFmt w:val="bullet"/>
      <w:lvlText w:val=""/>
      <w:lvlJc w:val="left"/>
      <w:pPr>
        <w:ind w:left="6480" w:hanging="360"/>
      </w:pPr>
      <w:rPr>
        <w:rFonts w:ascii="Wingdings" w:hAnsi="Wingdings" w:hint="default"/>
      </w:rPr>
    </w:lvl>
  </w:abstractNum>
  <w:abstractNum w:abstractNumId="48" w15:restartNumberingAfterBreak="0">
    <w:nsid w:val="19FF6FDF"/>
    <w:multiLevelType w:val="hybridMultilevel"/>
    <w:tmpl w:val="1B28383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ABB1C34"/>
    <w:multiLevelType w:val="hybridMultilevel"/>
    <w:tmpl w:val="AB60ED8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1B0132A8"/>
    <w:multiLevelType w:val="hybridMultilevel"/>
    <w:tmpl w:val="1D2EC0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1B6526E6"/>
    <w:multiLevelType w:val="hybridMultilevel"/>
    <w:tmpl w:val="F3AEE3C2"/>
    <w:lvl w:ilvl="0" w:tplc="F11C8726">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1B7D3B9B"/>
    <w:multiLevelType w:val="hybridMultilevel"/>
    <w:tmpl w:val="B7D4EA00"/>
    <w:lvl w:ilvl="0" w:tplc="FFFFFFFF">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BF95AC9"/>
    <w:multiLevelType w:val="hybridMultilevel"/>
    <w:tmpl w:val="D4429D36"/>
    <w:lvl w:ilvl="0" w:tplc="48CAC38E">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1C1E614D"/>
    <w:multiLevelType w:val="hybridMultilevel"/>
    <w:tmpl w:val="AB60ED8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1CB37666"/>
    <w:multiLevelType w:val="hybridMultilevel"/>
    <w:tmpl w:val="7F0A2EF0"/>
    <w:lvl w:ilvl="0" w:tplc="2A929C6A">
      <w:start w:val="1"/>
      <w:numFmt w:val="decimal"/>
      <w:lvlText w:val="(%1)"/>
      <w:lvlJc w:val="left"/>
      <w:pPr>
        <w:ind w:left="720" w:hanging="360"/>
      </w:pPr>
    </w:lvl>
    <w:lvl w:ilvl="1" w:tplc="23FCBDD0">
      <w:start w:val="1"/>
      <w:numFmt w:val="lowerLetter"/>
      <w:lvlText w:val="%2."/>
      <w:lvlJc w:val="left"/>
      <w:pPr>
        <w:ind w:left="1440" w:hanging="360"/>
      </w:pPr>
    </w:lvl>
    <w:lvl w:ilvl="2" w:tplc="69DA6002">
      <w:start w:val="1"/>
      <w:numFmt w:val="lowerRoman"/>
      <w:lvlText w:val="%3."/>
      <w:lvlJc w:val="right"/>
      <w:pPr>
        <w:ind w:left="2160" w:hanging="180"/>
      </w:pPr>
    </w:lvl>
    <w:lvl w:ilvl="3" w:tplc="97F8B31C">
      <w:start w:val="1"/>
      <w:numFmt w:val="decimal"/>
      <w:lvlText w:val="%4."/>
      <w:lvlJc w:val="left"/>
      <w:pPr>
        <w:ind w:left="2880" w:hanging="360"/>
      </w:pPr>
    </w:lvl>
    <w:lvl w:ilvl="4" w:tplc="C15EB332">
      <w:start w:val="1"/>
      <w:numFmt w:val="lowerLetter"/>
      <w:lvlText w:val="%5."/>
      <w:lvlJc w:val="left"/>
      <w:pPr>
        <w:ind w:left="3600" w:hanging="360"/>
      </w:pPr>
    </w:lvl>
    <w:lvl w:ilvl="5" w:tplc="203057D8">
      <w:start w:val="1"/>
      <w:numFmt w:val="lowerRoman"/>
      <w:lvlText w:val="%6."/>
      <w:lvlJc w:val="right"/>
      <w:pPr>
        <w:ind w:left="4320" w:hanging="180"/>
      </w:pPr>
    </w:lvl>
    <w:lvl w:ilvl="6" w:tplc="914A3FB2">
      <w:start w:val="1"/>
      <w:numFmt w:val="decimal"/>
      <w:lvlText w:val="%7."/>
      <w:lvlJc w:val="left"/>
      <w:pPr>
        <w:ind w:left="5040" w:hanging="360"/>
      </w:pPr>
    </w:lvl>
    <w:lvl w:ilvl="7" w:tplc="0C5C92A6">
      <w:start w:val="1"/>
      <w:numFmt w:val="lowerLetter"/>
      <w:lvlText w:val="%8."/>
      <w:lvlJc w:val="left"/>
      <w:pPr>
        <w:ind w:left="5760" w:hanging="360"/>
      </w:pPr>
    </w:lvl>
    <w:lvl w:ilvl="8" w:tplc="5296964A">
      <w:start w:val="1"/>
      <w:numFmt w:val="lowerRoman"/>
      <w:lvlText w:val="%9."/>
      <w:lvlJc w:val="right"/>
      <w:pPr>
        <w:ind w:left="6480" w:hanging="180"/>
      </w:pPr>
    </w:lvl>
  </w:abstractNum>
  <w:abstractNum w:abstractNumId="56" w15:restartNumberingAfterBreak="0">
    <w:nsid w:val="1CC15353"/>
    <w:multiLevelType w:val="hybridMultilevel"/>
    <w:tmpl w:val="0C9E8148"/>
    <w:lvl w:ilvl="0" w:tplc="EB50DE9A">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7" w15:restartNumberingAfterBreak="0">
    <w:nsid w:val="1CFF29D8"/>
    <w:multiLevelType w:val="multilevel"/>
    <w:tmpl w:val="DADE31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1D630C2D"/>
    <w:multiLevelType w:val="multilevel"/>
    <w:tmpl w:val="B08A137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1E2D5D7C"/>
    <w:multiLevelType w:val="multilevel"/>
    <w:tmpl w:val="41C0CF1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15:restartNumberingAfterBreak="0">
    <w:nsid w:val="2013004E"/>
    <w:multiLevelType w:val="hybridMultilevel"/>
    <w:tmpl w:val="5E289B82"/>
    <w:lvl w:ilvl="0" w:tplc="5C3A79F2">
      <w:start w:val="1"/>
      <w:numFmt w:val="bullet"/>
      <w:lvlText w:val="·"/>
      <w:lvlJc w:val="left"/>
      <w:pPr>
        <w:ind w:left="720" w:hanging="360"/>
      </w:pPr>
      <w:rPr>
        <w:rFonts w:ascii="Symbol" w:hAnsi="Symbol" w:hint="default"/>
      </w:rPr>
    </w:lvl>
    <w:lvl w:ilvl="1" w:tplc="9DA2C530">
      <w:start w:val="1"/>
      <w:numFmt w:val="bullet"/>
      <w:lvlText w:val="o"/>
      <w:lvlJc w:val="left"/>
      <w:pPr>
        <w:ind w:left="1440" w:hanging="360"/>
      </w:pPr>
      <w:rPr>
        <w:rFonts w:ascii="Courier New" w:hAnsi="Courier New" w:hint="default"/>
      </w:rPr>
    </w:lvl>
    <w:lvl w:ilvl="2" w:tplc="79227478">
      <w:start w:val="1"/>
      <w:numFmt w:val="bullet"/>
      <w:lvlText w:val=""/>
      <w:lvlJc w:val="left"/>
      <w:pPr>
        <w:ind w:left="2160" w:hanging="360"/>
      </w:pPr>
      <w:rPr>
        <w:rFonts w:ascii="Wingdings" w:hAnsi="Wingdings" w:hint="default"/>
      </w:rPr>
    </w:lvl>
    <w:lvl w:ilvl="3" w:tplc="98FED12C">
      <w:start w:val="1"/>
      <w:numFmt w:val="bullet"/>
      <w:lvlText w:val=""/>
      <w:lvlJc w:val="left"/>
      <w:pPr>
        <w:ind w:left="2880" w:hanging="360"/>
      </w:pPr>
      <w:rPr>
        <w:rFonts w:ascii="Symbol" w:hAnsi="Symbol" w:hint="default"/>
      </w:rPr>
    </w:lvl>
    <w:lvl w:ilvl="4" w:tplc="09D8F5C8">
      <w:start w:val="1"/>
      <w:numFmt w:val="bullet"/>
      <w:lvlText w:val="o"/>
      <w:lvlJc w:val="left"/>
      <w:pPr>
        <w:ind w:left="3600" w:hanging="360"/>
      </w:pPr>
      <w:rPr>
        <w:rFonts w:ascii="Courier New" w:hAnsi="Courier New" w:hint="default"/>
      </w:rPr>
    </w:lvl>
    <w:lvl w:ilvl="5" w:tplc="7A208CF0">
      <w:start w:val="1"/>
      <w:numFmt w:val="bullet"/>
      <w:lvlText w:val=""/>
      <w:lvlJc w:val="left"/>
      <w:pPr>
        <w:ind w:left="4320" w:hanging="360"/>
      </w:pPr>
      <w:rPr>
        <w:rFonts w:ascii="Wingdings" w:hAnsi="Wingdings" w:hint="default"/>
      </w:rPr>
    </w:lvl>
    <w:lvl w:ilvl="6" w:tplc="5BE28640">
      <w:start w:val="1"/>
      <w:numFmt w:val="bullet"/>
      <w:lvlText w:val=""/>
      <w:lvlJc w:val="left"/>
      <w:pPr>
        <w:ind w:left="5040" w:hanging="360"/>
      </w:pPr>
      <w:rPr>
        <w:rFonts w:ascii="Symbol" w:hAnsi="Symbol" w:hint="default"/>
      </w:rPr>
    </w:lvl>
    <w:lvl w:ilvl="7" w:tplc="B7BE6A3C">
      <w:start w:val="1"/>
      <w:numFmt w:val="bullet"/>
      <w:lvlText w:val="o"/>
      <w:lvlJc w:val="left"/>
      <w:pPr>
        <w:ind w:left="5760" w:hanging="360"/>
      </w:pPr>
      <w:rPr>
        <w:rFonts w:ascii="Courier New" w:hAnsi="Courier New" w:hint="default"/>
      </w:rPr>
    </w:lvl>
    <w:lvl w:ilvl="8" w:tplc="E410E756">
      <w:start w:val="1"/>
      <w:numFmt w:val="bullet"/>
      <w:lvlText w:val=""/>
      <w:lvlJc w:val="left"/>
      <w:pPr>
        <w:ind w:left="6480" w:hanging="360"/>
      </w:pPr>
      <w:rPr>
        <w:rFonts w:ascii="Wingdings" w:hAnsi="Wingdings" w:hint="default"/>
      </w:rPr>
    </w:lvl>
  </w:abstractNum>
  <w:abstractNum w:abstractNumId="61" w15:restartNumberingAfterBreak="0">
    <w:nsid w:val="20755D0F"/>
    <w:multiLevelType w:val="hybridMultilevel"/>
    <w:tmpl w:val="851CF7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20DA0842"/>
    <w:multiLevelType w:val="hybridMultilevel"/>
    <w:tmpl w:val="8D2C5CD8"/>
    <w:lvl w:ilvl="0" w:tplc="FFFFFFFF">
      <w:start w:val="1"/>
      <w:numFmt w:val="bullet"/>
      <w:lvlText w:val="-"/>
      <w:lvlJc w:val="left"/>
      <w:pPr>
        <w:ind w:left="720" w:hanging="360"/>
      </w:pPr>
      <w:rPr>
        <w:rFonts w:ascii="Segoe UI" w:hAnsi="Segoe U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0ECF3A1"/>
    <w:multiLevelType w:val="hybridMultilevel"/>
    <w:tmpl w:val="FFFFFFFF"/>
    <w:lvl w:ilvl="0" w:tplc="C5585558">
      <w:start w:val="1"/>
      <w:numFmt w:val="bullet"/>
      <w:lvlText w:val="·"/>
      <w:lvlJc w:val="left"/>
      <w:pPr>
        <w:ind w:left="720" w:hanging="360"/>
      </w:pPr>
      <w:rPr>
        <w:rFonts w:ascii="Symbol" w:hAnsi="Symbol" w:hint="default"/>
      </w:rPr>
    </w:lvl>
    <w:lvl w:ilvl="1" w:tplc="62FCCF0C">
      <w:start w:val="1"/>
      <w:numFmt w:val="bullet"/>
      <w:lvlText w:val="o"/>
      <w:lvlJc w:val="left"/>
      <w:pPr>
        <w:ind w:left="1440" w:hanging="360"/>
      </w:pPr>
      <w:rPr>
        <w:rFonts w:ascii="Courier New" w:hAnsi="Courier New" w:hint="default"/>
      </w:rPr>
    </w:lvl>
    <w:lvl w:ilvl="2" w:tplc="BF300F5E">
      <w:start w:val="1"/>
      <w:numFmt w:val="bullet"/>
      <w:lvlText w:val=""/>
      <w:lvlJc w:val="left"/>
      <w:pPr>
        <w:ind w:left="2160" w:hanging="360"/>
      </w:pPr>
      <w:rPr>
        <w:rFonts w:ascii="Wingdings" w:hAnsi="Wingdings" w:hint="default"/>
      </w:rPr>
    </w:lvl>
    <w:lvl w:ilvl="3" w:tplc="F8404066">
      <w:start w:val="1"/>
      <w:numFmt w:val="bullet"/>
      <w:lvlText w:val=""/>
      <w:lvlJc w:val="left"/>
      <w:pPr>
        <w:ind w:left="2880" w:hanging="360"/>
      </w:pPr>
      <w:rPr>
        <w:rFonts w:ascii="Symbol" w:hAnsi="Symbol" w:hint="default"/>
      </w:rPr>
    </w:lvl>
    <w:lvl w:ilvl="4" w:tplc="F5124B8A">
      <w:start w:val="1"/>
      <w:numFmt w:val="bullet"/>
      <w:lvlText w:val="o"/>
      <w:lvlJc w:val="left"/>
      <w:pPr>
        <w:ind w:left="3600" w:hanging="360"/>
      </w:pPr>
      <w:rPr>
        <w:rFonts w:ascii="Courier New" w:hAnsi="Courier New" w:hint="default"/>
      </w:rPr>
    </w:lvl>
    <w:lvl w:ilvl="5" w:tplc="61E62E46">
      <w:start w:val="1"/>
      <w:numFmt w:val="bullet"/>
      <w:lvlText w:val=""/>
      <w:lvlJc w:val="left"/>
      <w:pPr>
        <w:ind w:left="4320" w:hanging="360"/>
      </w:pPr>
      <w:rPr>
        <w:rFonts w:ascii="Wingdings" w:hAnsi="Wingdings" w:hint="default"/>
      </w:rPr>
    </w:lvl>
    <w:lvl w:ilvl="6" w:tplc="AD4A83E4">
      <w:start w:val="1"/>
      <w:numFmt w:val="bullet"/>
      <w:lvlText w:val=""/>
      <w:lvlJc w:val="left"/>
      <w:pPr>
        <w:ind w:left="5040" w:hanging="360"/>
      </w:pPr>
      <w:rPr>
        <w:rFonts w:ascii="Symbol" w:hAnsi="Symbol" w:hint="default"/>
      </w:rPr>
    </w:lvl>
    <w:lvl w:ilvl="7" w:tplc="2D1840FE">
      <w:start w:val="1"/>
      <w:numFmt w:val="bullet"/>
      <w:lvlText w:val="o"/>
      <w:lvlJc w:val="left"/>
      <w:pPr>
        <w:ind w:left="5760" w:hanging="360"/>
      </w:pPr>
      <w:rPr>
        <w:rFonts w:ascii="Courier New" w:hAnsi="Courier New" w:hint="default"/>
      </w:rPr>
    </w:lvl>
    <w:lvl w:ilvl="8" w:tplc="DE785260">
      <w:start w:val="1"/>
      <w:numFmt w:val="bullet"/>
      <w:lvlText w:val=""/>
      <w:lvlJc w:val="left"/>
      <w:pPr>
        <w:ind w:left="6480" w:hanging="360"/>
      </w:pPr>
      <w:rPr>
        <w:rFonts w:ascii="Wingdings" w:hAnsi="Wingdings" w:hint="default"/>
      </w:rPr>
    </w:lvl>
  </w:abstractNum>
  <w:abstractNum w:abstractNumId="64" w15:restartNumberingAfterBreak="0">
    <w:nsid w:val="21BC5EAF"/>
    <w:multiLevelType w:val="hybridMultilevel"/>
    <w:tmpl w:val="620C00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220F5266"/>
    <w:multiLevelType w:val="multilevel"/>
    <w:tmpl w:val="CE86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52B17E2"/>
    <w:multiLevelType w:val="hybridMultilevel"/>
    <w:tmpl w:val="FFFFFFFF"/>
    <w:lvl w:ilvl="0" w:tplc="A5309DB0">
      <w:start w:val="1"/>
      <w:numFmt w:val="bullet"/>
      <w:lvlText w:val=""/>
      <w:lvlJc w:val="left"/>
      <w:pPr>
        <w:ind w:left="720" w:hanging="360"/>
      </w:pPr>
      <w:rPr>
        <w:rFonts w:ascii="Symbol" w:hAnsi="Symbol" w:hint="default"/>
      </w:rPr>
    </w:lvl>
    <w:lvl w:ilvl="1" w:tplc="E140176A">
      <w:start w:val="1"/>
      <w:numFmt w:val="bullet"/>
      <w:lvlText w:val="o"/>
      <w:lvlJc w:val="left"/>
      <w:pPr>
        <w:ind w:left="1440" w:hanging="360"/>
      </w:pPr>
      <w:rPr>
        <w:rFonts w:ascii="Courier New" w:hAnsi="Courier New" w:hint="default"/>
      </w:rPr>
    </w:lvl>
    <w:lvl w:ilvl="2" w:tplc="AD7856A6">
      <w:start w:val="1"/>
      <w:numFmt w:val="bullet"/>
      <w:lvlText w:val=""/>
      <w:lvlJc w:val="left"/>
      <w:pPr>
        <w:ind w:left="2160" w:hanging="360"/>
      </w:pPr>
      <w:rPr>
        <w:rFonts w:ascii="Wingdings" w:hAnsi="Wingdings" w:hint="default"/>
      </w:rPr>
    </w:lvl>
    <w:lvl w:ilvl="3" w:tplc="9BF80F34">
      <w:start w:val="1"/>
      <w:numFmt w:val="bullet"/>
      <w:lvlText w:val=""/>
      <w:lvlJc w:val="left"/>
      <w:pPr>
        <w:ind w:left="2880" w:hanging="360"/>
      </w:pPr>
      <w:rPr>
        <w:rFonts w:ascii="Symbol" w:hAnsi="Symbol" w:hint="default"/>
      </w:rPr>
    </w:lvl>
    <w:lvl w:ilvl="4" w:tplc="B41E8F0C">
      <w:start w:val="1"/>
      <w:numFmt w:val="bullet"/>
      <w:lvlText w:val="o"/>
      <w:lvlJc w:val="left"/>
      <w:pPr>
        <w:ind w:left="3600" w:hanging="360"/>
      </w:pPr>
      <w:rPr>
        <w:rFonts w:ascii="Courier New" w:hAnsi="Courier New" w:hint="default"/>
      </w:rPr>
    </w:lvl>
    <w:lvl w:ilvl="5" w:tplc="546AC7C4">
      <w:start w:val="1"/>
      <w:numFmt w:val="bullet"/>
      <w:lvlText w:val=""/>
      <w:lvlJc w:val="left"/>
      <w:pPr>
        <w:ind w:left="4320" w:hanging="360"/>
      </w:pPr>
      <w:rPr>
        <w:rFonts w:ascii="Wingdings" w:hAnsi="Wingdings" w:hint="default"/>
      </w:rPr>
    </w:lvl>
    <w:lvl w:ilvl="6" w:tplc="24F63E1E">
      <w:start w:val="1"/>
      <w:numFmt w:val="bullet"/>
      <w:lvlText w:val=""/>
      <w:lvlJc w:val="left"/>
      <w:pPr>
        <w:ind w:left="5040" w:hanging="360"/>
      </w:pPr>
      <w:rPr>
        <w:rFonts w:ascii="Symbol" w:hAnsi="Symbol" w:hint="default"/>
      </w:rPr>
    </w:lvl>
    <w:lvl w:ilvl="7" w:tplc="78DE5A86">
      <w:start w:val="1"/>
      <w:numFmt w:val="bullet"/>
      <w:lvlText w:val="o"/>
      <w:lvlJc w:val="left"/>
      <w:pPr>
        <w:ind w:left="5760" w:hanging="360"/>
      </w:pPr>
      <w:rPr>
        <w:rFonts w:ascii="Courier New" w:hAnsi="Courier New" w:hint="default"/>
      </w:rPr>
    </w:lvl>
    <w:lvl w:ilvl="8" w:tplc="63AE7654">
      <w:start w:val="1"/>
      <w:numFmt w:val="bullet"/>
      <w:lvlText w:val=""/>
      <w:lvlJc w:val="left"/>
      <w:pPr>
        <w:ind w:left="6480" w:hanging="360"/>
      </w:pPr>
      <w:rPr>
        <w:rFonts w:ascii="Wingdings" w:hAnsi="Wingdings" w:hint="default"/>
      </w:rPr>
    </w:lvl>
  </w:abstractNum>
  <w:abstractNum w:abstractNumId="67" w15:restartNumberingAfterBreak="0">
    <w:nsid w:val="25C36CEE"/>
    <w:multiLevelType w:val="hybridMultilevel"/>
    <w:tmpl w:val="8E68C3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26344880"/>
    <w:multiLevelType w:val="hybridMultilevel"/>
    <w:tmpl w:val="14B4B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69E43C7"/>
    <w:multiLevelType w:val="hybridMultilevel"/>
    <w:tmpl w:val="715078E2"/>
    <w:lvl w:ilvl="0" w:tplc="2E6AE414">
      <w:start w:val="1"/>
      <w:numFmt w:val="decimal"/>
      <w:lvlText w:val="%1."/>
      <w:lvlJc w:val="left"/>
      <w:pPr>
        <w:ind w:left="720" w:hanging="360"/>
      </w:pPr>
      <w:rPr>
        <w:rFonts w:hint="default"/>
        <w:color w:val="5A5A5A" w:themeColor="text1" w:themeTint="A5"/>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0" w15:restartNumberingAfterBreak="0">
    <w:nsid w:val="276F1499"/>
    <w:multiLevelType w:val="hybridMultilevel"/>
    <w:tmpl w:val="B6DC95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27B9218F"/>
    <w:multiLevelType w:val="hybridMultilevel"/>
    <w:tmpl w:val="DE76FE98"/>
    <w:styleLink w:val="Style2"/>
    <w:lvl w:ilvl="0" w:tplc="6958E4C8">
      <w:start w:val="1"/>
      <w:numFmt w:val="bullet"/>
      <w:lvlText w:val=""/>
      <w:lvlJc w:val="left"/>
      <w:pPr>
        <w:ind w:left="1760" w:hanging="360"/>
      </w:pPr>
      <w:rPr>
        <w:rFonts w:ascii="Symbol" w:hAnsi="Symbol" w:hint="default"/>
        <w:color w:val="8064A2" w:themeColor="accent4"/>
      </w:rPr>
    </w:lvl>
    <w:lvl w:ilvl="1" w:tplc="0C070003">
      <w:start w:val="1"/>
      <w:numFmt w:val="bullet"/>
      <w:lvlText w:val="o"/>
      <w:lvlJc w:val="left"/>
      <w:pPr>
        <w:ind w:left="2480" w:hanging="360"/>
      </w:pPr>
      <w:rPr>
        <w:rFonts w:ascii="Courier New" w:hAnsi="Courier New" w:cs="Courier New" w:hint="default"/>
      </w:rPr>
    </w:lvl>
    <w:lvl w:ilvl="2" w:tplc="0C070005">
      <w:start w:val="1"/>
      <w:numFmt w:val="bullet"/>
      <w:lvlText w:val=""/>
      <w:lvlJc w:val="left"/>
      <w:pPr>
        <w:ind w:left="3200" w:hanging="360"/>
      </w:pPr>
      <w:rPr>
        <w:rFonts w:ascii="Wingdings" w:hAnsi="Wingdings" w:hint="default"/>
      </w:rPr>
    </w:lvl>
    <w:lvl w:ilvl="3" w:tplc="0C070001">
      <w:start w:val="1"/>
      <w:numFmt w:val="bullet"/>
      <w:lvlText w:val=""/>
      <w:lvlJc w:val="left"/>
      <w:pPr>
        <w:ind w:left="3920" w:hanging="360"/>
      </w:pPr>
      <w:rPr>
        <w:rFonts w:ascii="Symbol" w:hAnsi="Symbol" w:hint="default"/>
      </w:rPr>
    </w:lvl>
    <w:lvl w:ilvl="4" w:tplc="0C070003">
      <w:start w:val="1"/>
      <w:numFmt w:val="bullet"/>
      <w:lvlText w:val="o"/>
      <w:lvlJc w:val="left"/>
      <w:pPr>
        <w:ind w:left="4640" w:hanging="360"/>
      </w:pPr>
      <w:rPr>
        <w:rFonts w:ascii="Courier New" w:hAnsi="Courier New" w:cs="Courier New" w:hint="default"/>
      </w:rPr>
    </w:lvl>
    <w:lvl w:ilvl="5" w:tplc="0C070005">
      <w:start w:val="1"/>
      <w:numFmt w:val="bullet"/>
      <w:lvlText w:val=""/>
      <w:lvlJc w:val="left"/>
      <w:pPr>
        <w:ind w:left="5360" w:hanging="360"/>
      </w:pPr>
      <w:rPr>
        <w:rFonts w:ascii="Wingdings" w:hAnsi="Wingdings" w:hint="default"/>
      </w:rPr>
    </w:lvl>
    <w:lvl w:ilvl="6" w:tplc="0C070001">
      <w:start w:val="1"/>
      <w:numFmt w:val="bullet"/>
      <w:lvlText w:val=""/>
      <w:lvlJc w:val="left"/>
      <w:pPr>
        <w:ind w:left="6080" w:hanging="360"/>
      </w:pPr>
      <w:rPr>
        <w:rFonts w:ascii="Symbol" w:hAnsi="Symbol" w:hint="default"/>
      </w:rPr>
    </w:lvl>
    <w:lvl w:ilvl="7" w:tplc="0C070003">
      <w:start w:val="1"/>
      <w:numFmt w:val="bullet"/>
      <w:lvlText w:val="o"/>
      <w:lvlJc w:val="left"/>
      <w:pPr>
        <w:ind w:left="6800" w:hanging="360"/>
      </w:pPr>
      <w:rPr>
        <w:rFonts w:ascii="Courier New" w:hAnsi="Courier New" w:cs="Courier New" w:hint="default"/>
      </w:rPr>
    </w:lvl>
    <w:lvl w:ilvl="8" w:tplc="0C070005">
      <w:start w:val="1"/>
      <w:numFmt w:val="bullet"/>
      <w:lvlText w:val=""/>
      <w:lvlJc w:val="left"/>
      <w:pPr>
        <w:ind w:left="7520" w:hanging="360"/>
      </w:pPr>
      <w:rPr>
        <w:rFonts w:ascii="Wingdings" w:hAnsi="Wingdings" w:hint="default"/>
      </w:rPr>
    </w:lvl>
  </w:abstractNum>
  <w:abstractNum w:abstractNumId="72" w15:restartNumberingAfterBreak="0">
    <w:nsid w:val="27F3AB99"/>
    <w:multiLevelType w:val="hybridMultilevel"/>
    <w:tmpl w:val="FFFFFFFF"/>
    <w:lvl w:ilvl="0" w:tplc="E3A60884">
      <w:start w:val="1"/>
      <w:numFmt w:val="bullet"/>
      <w:lvlText w:val="·"/>
      <w:lvlJc w:val="left"/>
      <w:pPr>
        <w:ind w:left="720" w:hanging="360"/>
      </w:pPr>
      <w:rPr>
        <w:rFonts w:ascii="Symbol" w:hAnsi="Symbol" w:hint="default"/>
      </w:rPr>
    </w:lvl>
    <w:lvl w:ilvl="1" w:tplc="32648594">
      <w:start w:val="1"/>
      <w:numFmt w:val="bullet"/>
      <w:lvlText w:val="o"/>
      <w:lvlJc w:val="left"/>
      <w:pPr>
        <w:ind w:left="1440" w:hanging="360"/>
      </w:pPr>
      <w:rPr>
        <w:rFonts w:ascii="Courier New" w:hAnsi="Courier New" w:hint="default"/>
      </w:rPr>
    </w:lvl>
    <w:lvl w:ilvl="2" w:tplc="00949AE4">
      <w:start w:val="1"/>
      <w:numFmt w:val="bullet"/>
      <w:lvlText w:val=""/>
      <w:lvlJc w:val="left"/>
      <w:pPr>
        <w:ind w:left="2160" w:hanging="360"/>
      </w:pPr>
      <w:rPr>
        <w:rFonts w:ascii="Wingdings" w:hAnsi="Wingdings" w:hint="default"/>
      </w:rPr>
    </w:lvl>
    <w:lvl w:ilvl="3" w:tplc="C65663EA">
      <w:start w:val="1"/>
      <w:numFmt w:val="bullet"/>
      <w:lvlText w:val=""/>
      <w:lvlJc w:val="left"/>
      <w:pPr>
        <w:ind w:left="2880" w:hanging="360"/>
      </w:pPr>
      <w:rPr>
        <w:rFonts w:ascii="Symbol" w:hAnsi="Symbol" w:hint="default"/>
      </w:rPr>
    </w:lvl>
    <w:lvl w:ilvl="4" w:tplc="7290937C">
      <w:start w:val="1"/>
      <w:numFmt w:val="bullet"/>
      <w:lvlText w:val="o"/>
      <w:lvlJc w:val="left"/>
      <w:pPr>
        <w:ind w:left="3600" w:hanging="360"/>
      </w:pPr>
      <w:rPr>
        <w:rFonts w:ascii="Courier New" w:hAnsi="Courier New" w:hint="default"/>
      </w:rPr>
    </w:lvl>
    <w:lvl w:ilvl="5" w:tplc="9CE6C8D8">
      <w:start w:val="1"/>
      <w:numFmt w:val="bullet"/>
      <w:lvlText w:val=""/>
      <w:lvlJc w:val="left"/>
      <w:pPr>
        <w:ind w:left="4320" w:hanging="360"/>
      </w:pPr>
      <w:rPr>
        <w:rFonts w:ascii="Wingdings" w:hAnsi="Wingdings" w:hint="default"/>
      </w:rPr>
    </w:lvl>
    <w:lvl w:ilvl="6" w:tplc="91D88AC4">
      <w:start w:val="1"/>
      <w:numFmt w:val="bullet"/>
      <w:lvlText w:val=""/>
      <w:lvlJc w:val="left"/>
      <w:pPr>
        <w:ind w:left="5040" w:hanging="360"/>
      </w:pPr>
      <w:rPr>
        <w:rFonts w:ascii="Symbol" w:hAnsi="Symbol" w:hint="default"/>
      </w:rPr>
    </w:lvl>
    <w:lvl w:ilvl="7" w:tplc="28A47ECC">
      <w:start w:val="1"/>
      <w:numFmt w:val="bullet"/>
      <w:lvlText w:val="o"/>
      <w:lvlJc w:val="left"/>
      <w:pPr>
        <w:ind w:left="5760" w:hanging="360"/>
      </w:pPr>
      <w:rPr>
        <w:rFonts w:ascii="Courier New" w:hAnsi="Courier New" w:hint="default"/>
      </w:rPr>
    </w:lvl>
    <w:lvl w:ilvl="8" w:tplc="E15ACF44">
      <w:start w:val="1"/>
      <w:numFmt w:val="bullet"/>
      <w:lvlText w:val=""/>
      <w:lvlJc w:val="left"/>
      <w:pPr>
        <w:ind w:left="6480" w:hanging="360"/>
      </w:pPr>
      <w:rPr>
        <w:rFonts w:ascii="Wingdings" w:hAnsi="Wingdings" w:hint="default"/>
      </w:rPr>
    </w:lvl>
  </w:abstractNum>
  <w:abstractNum w:abstractNumId="73" w15:restartNumberingAfterBreak="0">
    <w:nsid w:val="280051FF"/>
    <w:multiLevelType w:val="multilevel"/>
    <w:tmpl w:val="C778C45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4" w15:restartNumberingAfterBreak="0">
    <w:nsid w:val="28672D6E"/>
    <w:multiLevelType w:val="hybridMultilevel"/>
    <w:tmpl w:val="AF40B126"/>
    <w:styleLink w:val="Style21"/>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28A61B75"/>
    <w:multiLevelType w:val="hybridMultilevel"/>
    <w:tmpl w:val="2DF2F62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360" w:hanging="360"/>
      </w:pPr>
      <w:rPr>
        <w:rFonts w:ascii="Courier New" w:hAnsi="Courier New" w:cs="Courier New" w:hint="default"/>
      </w:rPr>
    </w:lvl>
    <w:lvl w:ilvl="2" w:tplc="18090005">
      <w:start w:val="1"/>
      <w:numFmt w:val="bullet"/>
      <w:lvlText w:val=""/>
      <w:lvlJc w:val="left"/>
      <w:pPr>
        <w:ind w:left="1080" w:hanging="360"/>
      </w:pPr>
      <w:rPr>
        <w:rFonts w:ascii="Wingdings" w:hAnsi="Wingdings" w:hint="default"/>
      </w:rPr>
    </w:lvl>
    <w:lvl w:ilvl="3" w:tplc="18090001">
      <w:start w:val="1"/>
      <w:numFmt w:val="bullet"/>
      <w:lvlText w:val=""/>
      <w:lvlJc w:val="left"/>
      <w:pPr>
        <w:ind w:left="1800" w:hanging="360"/>
      </w:pPr>
      <w:rPr>
        <w:rFonts w:ascii="Symbol" w:hAnsi="Symbol" w:hint="default"/>
      </w:rPr>
    </w:lvl>
    <w:lvl w:ilvl="4" w:tplc="18090003">
      <w:start w:val="1"/>
      <w:numFmt w:val="bullet"/>
      <w:lvlText w:val="o"/>
      <w:lvlJc w:val="left"/>
      <w:pPr>
        <w:ind w:left="2520" w:hanging="360"/>
      </w:pPr>
      <w:rPr>
        <w:rFonts w:ascii="Courier New" w:hAnsi="Courier New" w:cs="Courier New" w:hint="default"/>
      </w:rPr>
    </w:lvl>
    <w:lvl w:ilvl="5" w:tplc="18090005">
      <w:start w:val="1"/>
      <w:numFmt w:val="bullet"/>
      <w:lvlText w:val=""/>
      <w:lvlJc w:val="left"/>
      <w:pPr>
        <w:ind w:left="3240" w:hanging="360"/>
      </w:pPr>
      <w:rPr>
        <w:rFonts w:ascii="Wingdings" w:hAnsi="Wingdings" w:hint="default"/>
      </w:rPr>
    </w:lvl>
    <w:lvl w:ilvl="6" w:tplc="18090001">
      <w:start w:val="1"/>
      <w:numFmt w:val="bullet"/>
      <w:lvlText w:val=""/>
      <w:lvlJc w:val="left"/>
      <w:pPr>
        <w:ind w:left="3960" w:hanging="360"/>
      </w:pPr>
      <w:rPr>
        <w:rFonts w:ascii="Symbol" w:hAnsi="Symbol" w:hint="default"/>
      </w:rPr>
    </w:lvl>
    <w:lvl w:ilvl="7" w:tplc="18090003">
      <w:start w:val="1"/>
      <w:numFmt w:val="bullet"/>
      <w:lvlText w:val="o"/>
      <w:lvlJc w:val="left"/>
      <w:pPr>
        <w:ind w:left="4680" w:hanging="360"/>
      </w:pPr>
      <w:rPr>
        <w:rFonts w:ascii="Courier New" w:hAnsi="Courier New" w:cs="Courier New" w:hint="default"/>
      </w:rPr>
    </w:lvl>
    <w:lvl w:ilvl="8" w:tplc="18090005">
      <w:start w:val="1"/>
      <w:numFmt w:val="bullet"/>
      <w:lvlText w:val=""/>
      <w:lvlJc w:val="left"/>
      <w:pPr>
        <w:ind w:left="5400" w:hanging="360"/>
      </w:pPr>
      <w:rPr>
        <w:rFonts w:ascii="Wingdings" w:hAnsi="Wingdings" w:hint="default"/>
      </w:rPr>
    </w:lvl>
  </w:abstractNum>
  <w:abstractNum w:abstractNumId="76" w15:restartNumberingAfterBreak="0">
    <w:nsid w:val="290E489E"/>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 w15:restartNumberingAfterBreak="0">
    <w:nsid w:val="29CFDB4E"/>
    <w:multiLevelType w:val="hybridMultilevel"/>
    <w:tmpl w:val="FFFFFFFF"/>
    <w:lvl w:ilvl="0" w:tplc="84426962">
      <w:start w:val="1"/>
      <w:numFmt w:val="lowerLetter"/>
      <w:lvlText w:val="(%1)"/>
      <w:lvlJc w:val="left"/>
      <w:pPr>
        <w:ind w:left="720" w:hanging="360"/>
      </w:pPr>
    </w:lvl>
    <w:lvl w:ilvl="1" w:tplc="3F1EF614">
      <w:start w:val="1"/>
      <w:numFmt w:val="lowerLetter"/>
      <w:lvlText w:val="%2."/>
      <w:lvlJc w:val="left"/>
      <w:pPr>
        <w:ind w:left="1440" w:hanging="360"/>
      </w:pPr>
    </w:lvl>
    <w:lvl w:ilvl="2" w:tplc="26923ABE">
      <w:start w:val="1"/>
      <w:numFmt w:val="lowerRoman"/>
      <w:lvlText w:val="%3."/>
      <w:lvlJc w:val="right"/>
      <w:pPr>
        <w:ind w:left="2160" w:hanging="180"/>
      </w:pPr>
    </w:lvl>
    <w:lvl w:ilvl="3" w:tplc="DC9E3072">
      <w:start w:val="1"/>
      <w:numFmt w:val="decimal"/>
      <w:lvlText w:val="%4."/>
      <w:lvlJc w:val="left"/>
      <w:pPr>
        <w:ind w:left="2880" w:hanging="360"/>
      </w:pPr>
    </w:lvl>
    <w:lvl w:ilvl="4" w:tplc="D0F4A3D6">
      <w:start w:val="1"/>
      <w:numFmt w:val="lowerLetter"/>
      <w:lvlText w:val="%5."/>
      <w:lvlJc w:val="left"/>
      <w:pPr>
        <w:ind w:left="3600" w:hanging="360"/>
      </w:pPr>
    </w:lvl>
    <w:lvl w:ilvl="5" w:tplc="CB5AEFFC">
      <w:start w:val="1"/>
      <w:numFmt w:val="lowerRoman"/>
      <w:lvlText w:val="%6."/>
      <w:lvlJc w:val="right"/>
      <w:pPr>
        <w:ind w:left="4320" w:hanging="180"/>
      </w:pPr>
    </w:lvl>
    <w:lvl w:ilvl="6" w:tplc="2130B5D4">
      <w:start w:val="1"/>
      <w:numFmt w:val="decimal"/>
      <w:lvlText w:val="%7."/>
      <w:lvlJc w:val="left"/>
      <w:pPr>
        <w:ind w:left="5040" w:hanging="360"/>
      </w:pPr>
    </w:lvl>
    <w:lvl w:ilvl="7" w:tplc="3232EF8C">
      <w:start w:val="1"/>
      <w:numFmt w:val="lowerLetter"/>
      <w:lvlText w:val="%8."/>
      <w:lvlJc w:val="left"/>
      <w:pPr>
        <w:ind w:left="5760" w:hanging="360"/>
      </w:pPr>
    </w:lvl>
    <w:lvl w:ilvl="8" w:tplc="6FCECA86">
      <w:start w:val="1"/>
      <w:numFmt w:val="lowerRoman"/>
      <w:lvlText w:val="%9."/>
      <w:lvlJc w:val="right"/>
      <w:pPr>
        <w:ind w:left="6480" w:hanging="180"/>
      </w:pPr>
    </w:lvl>
  </w:abstractNum>
  <w:abstractNum w:abstractNumId="78" w15:restartNumberingAfterBreak="0">
    <w:nsid w:val="2A343CCD"/>
    <w:multiLevelType w:val="hybridMultilevel"/>
    <w:tmpl w:val="649C0D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A621C5C"/>
    <w:multiLevelType w:val="hybridMultilevel"/>
    <w:tmpl w:val="FFFFFFFF"/>
    <w:lvl w:ilvl="0" w:tplc="C2A248A8">
      <w:start w:val="1"/>
      <w:numFmt w:val="bullet"/>
      <w:lvlText w:val=""/>
      <w:lvlJc w:val="left"/>
      <w:pPr>
        <w:ind w:left="720" w:hanging="360"/>
      </w:pPr>
      <w:rPr>
        <w:rFonts w:ascii="Symbol" w:hAnsi="Symbol" w:hint="default"/>
      </w:rPr>
    </w:lvl>
    <w:lvl w:ilvl="1" w:tplc="A26A6612">
      <w:start w:val="1"/>
      <w:numFmt w:val="bullet"/>
      <w:lvlText w:val="o"/>
      <w:lvlJc w:val="left"/>
      <w:pPr>
        <w:ind w:left="1440" w:hanging="360"/>
      </w:pPr>
      <w:rPr>
        <w:rFonts w:ascii="Courier New" w:hAnsi="Courier New" w:hint="default"/>
      </w:rPr>
    </w:lvl>
    <w:lvl w:ilvl="2" w:tplc="20CA593A">
      <w:start w:val="1"/>
      <w:numFmt w:val="bullet"/>
      <w:lvlText w:val=""/>
      <w:lvlJc w:val="left"/>
      <w:pPr>
        <w:ind w:left="2160" w:hanging="360"/>
      </w:pPr>
      <w:rPr>
        <w:rFonts w:ascii="Wingdings" w:hAnsi="Wingdings" w:hint="default"/>
      </w:rPr>
    </w:lvl>
    <w:lvl w:ilvl="3" w:tplc="9A763CAC">
      <w:start w:val="1"/>
      <w:numFmt w:val="bullet"/>
      <w:lvlText w:val=""/>
      <w:lvlJc w:val="left"/>
      <w:pPr>
        <w:ind w:left="2880" w:hanging="360"/>
      </w:pPr>
      <w:rPr>
        <w:rFonts w:ascii="Symbol" w:hAnsi="Symbol" w:hint="default"/>
      </w:rPr>
    </w:lvl>
    <w:lvl w:ilvl="4" w:tplc="0500239E">
      <w:start w:val="1"/>
      <w:numFmt w:val="bullet"/>
      <w:lvlText w:val="o"/>
      <w:lvlJc w:val="left"/>
      <w:pPr>
        <w:ind w:left="3600" w:hanging="360"/>
      </w:pPr>
      <w:rPr>
        <w:rFonts w:ascii="Courier New" w:hAnsi="Courier New" w:hint="default"/>
      </w:rPr>
    </w:lvl>
    <w:lvl w:ilvl="5" w:tplc="EED88D90">
      <w:start w:val="1"/>
      <w:numFmt w:val="bullet"/>
      <w:lvlText w:val=""/>
      <w:lvlJc w:val="left"/>
      <w:pPr>
        <w:ind w:left="4320" w:hanging="360"/>
      </w:pPr>
      <w:rPr>
        <w:rFonts w:ascii="Wingdings" w:hAnsi="Wingdings" w:hint="default"/>
      </w:rPr>
    </w:lvl>
    <w:lvl w:ilvl="6" w:tplc="49441456">
      <w:start w:val="1"/>
      <w:numFmt w:val="bullet"/>
      <w:lvlText w:val=""/>
      <w:lvlJc w:val="left"/>
      <w:pPr>
        <w:ind w:left="5040" w:hanging="360"/>
      </w:pPr>
      <w:rPr>
        <w:rFonts w:ascii="Symbol" w:hAnsi="Symbol" w:hint="default"/>
      </w:rPr>
    </w:lvl>
    <w:lvl w:ilvl="7" w:tplc="766C8CFA">
      <w:start w:val="1"/>
      <w:numFmt w:val="bullet"/>
      <w:lvlText w:val="o"/>
      <w:lvlJc w:val="left"/>
      <w:pPr>
        <w:ind w:left="5760" w:hanging="360"/>
      </w:pPr>
      <w:rPr>
        <w:rFonts w:ascii="Courier New" w:hAnsi="Courier New" w:hint="default"/>
      </w:rPr>
    </w:lvl>
    <w:lvl w:ilvl="8" w:tplc="D67E5CF8">
      <w:start w:val="1"/>
      <w:numFmt w:val="bullet"/>
      <w:lvlText w:val=""/>
      <w:lvlJc w:val="left"/>
      <w:pPr>
        <w:ind w:left="6480" w:hanging="360"/>
      </w:pPr>
      <w:rPr>
        <w:rFonts w:ascii="Wingdings" w:hAnsi="Wingdings" w:hint="default"/>
      </w:rPr>
    </w:lvl>
  </w:abstractNum>
  <w:abstractNum w:abstractNumId="80" w15:restartNumberingAfterBreak="0">
    <w:nsid w:val="2ACF124E"/>
    <w:multiLevelType w:val="hybridMultilevel"/>
    <w:tmpl w:val="8FBC85D4"/>
    <w:lvl w:ilvl="0" w:tplc="44B8DD18">
      <w:start w:val="1"/>
      <w:numFmt w:val="decimal"/>
      <w:pStyle w:val="JRCTextnumberedlist1"/>
      <w:lvlText w:val="%1."/>
      <w:lvlJc w:val="left"/>
      <w:pPr>
        <w:ind w:left="720" w:hanging="360"/>
      </w:pPr>
    </w:lvl>
    <w:lvl w:ilvl="1" w:tplc="8A9C066A">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2BA932D4"/>
    <w:multiLevelType w:val="hybridMultilevel"/>
    <w:tmpl w:val="5172D2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2BCC77B2"/>
    <w:multiLevelType w:val="hybridMultilevel"/>
    <w:tmpl w:val="15BC1F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2BD661CA"/>
    <w:multiLevelType w:val="multilevel"/>
    <w:tmpl w:val="92D8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BF07A55"/>
    <w:multiLevelType w:val="hybridMultilevel"/>
    <w:tmpl w:val="FFFFFFFF"/>
    <w:lvl w:ilvl="0" w:tplc="FF669EDC">
      <w:start w:val="1"/>
      <w:numFmt w:val="bullet"/>
      <w:lvlText w:val=""/>
      <w:lvlJc w:val="left"/>
      <w:pPr>
        <w:ind w:left="720" w:hanging="360"/>
      </w:pPr>
      <w:rPr>
        <w:rFonts w:ascii="Symbol" w:hAnsi="Symbol" w:hint="default"/>
      </w:rPr>
    </w:lvl>
    <w:lvl w:ilvl="1" w:tplc="F9ACED70">
      <w:start w:val="1"/>
      <w:numFmt w:val="bullet"/>
      <w:lvlText w:val="o"/>
      <w:lvlJc w:val="left"/>
      <w:pPr>
        <w:ind w:left="1440" w:hanging="360"/>
      </w:pPr>
      <w:rPr>
        <w:rFonts w:ascii="Courier New" w:hAnsi="Courier New" w:hint="default"/>
      </w:rPr>
    </w:lvl>
    <w:lvl w:ilvl="2" w:tplc="83501FC4">
      <w:start w:val="1"/>
      <w:numFmt w:val="bullet"/>
      <w:lvlText w:val=""/>
      <w:lvlJc w:val="left"/>
      <w:pPr>
        <w:ind w:left="2160" w:hanging="360"/>
      </w:pPr>
      <w:rPr>
        <w:rFonts w:ascii="Wingdings" w:hAnsi="Wingdings" w:hint="default"/>
      </w:rPr>
    </w:lvl>
    <w:lvl w:ilvl="3" w:tplc="16BEF81C">
      <w:start w:val="1"/>
      <w:numFmt w:val="bullet"/>
      <w:lvlText w:val=""/>
      <w:lvlJc w:val="left"/>
      <w:pPr>
        <w:ind w:left="2880" w:hanging="360"/>
      </w:pPr>
      <w:rPr>
        <w:rFonts w:ascii="Symbol" w:hAnsi="Symbol" w:hint="default"/>
      </w:rPr>
    </w:lvl>
    <w:lvl w:ilvl="4" w:tplc="11C29AF0">
      <w:start w:val="1"/>
      <w:numFmt w:val="bullet"/>
      <w:lvlText w:val="o"/>
      <w:lvlJc w:val="left"/>
      <w:pPr>
        <w:ind w:left="3600" w:hanging="360"/>
      </w:pPr>
      <w:rPr>
        <w:rFonts w:ascii="Courier New" w:hAnsi="Courier New" w:hint="default"/>
      </w:rPr>
    </w:lvl>
    <w:lvl w:ilvl="5" w:tplc="787A5B3A">
      <w:start w:val="1"/>
      <w:numFmt w:val="bullet"/>
      <w:lvlText w:val=""/>
      <w:lvlJc w:val="left"/>
      <w:pPr>
        <w:ind w:left="4320" w:hanging="360"/>
      </w:pPr>
      <w:rPr>
        <w:rFonts w:ascii="Wingdings" w:hAnsi="Wingdings" w:hint="default"/>
      </w:rPr>
    </w:lvl>
    <w:lvl w:ilvl="6" w:tplc="2DFC6718">
      <w:start w:val="1"/>
      <w:numFmt w:val="bullet"/>
      <w:lvlText w:val=""/>
      <w:lvlJc w:val="left"/>
      <w:pPr>
        <w:ind w:left="5040" w:hanging="360"/>
      </w:pPr>
      <w:rPr>
        <w:rFonts w:ascii="Symbol" w:hAnsi="Symbol" w:hint="default"/>
      </w:rPr>
    </w:lvl>
    <w:lvl w:ilvl="7" w:tplc="87DCA688">
      <w:start w:val="1"/>
      <w:numFmt w:val="bullet"/>
      <w:lvlText w:val="o"/>
      <w:lvlJc w:val="left"/>
      <w:pPr>
        <w:ind w:left="5760" w:hanging="360"/>
      </w:pPr>
      <w:rPr>
        <w:rFonts w:ascii="Courier New" w:hAnsi="Courier New" w:hint="default"/>
      </w:rPr>
    </w:lvl>
    <w:lvl w:ilvl="8" w:tplc="49CA19D8">
      <w:start w:val="1"/>
      <w:numFmt w:val="bullet"/>
      <w:lvlText w:val=""/>
      <w:lvlJc w:val="left"/>
      <w:pPr>
        <w:ind w:left="6480" w:hanging="360"/>
      </w:pPr>
      <w:rPr>
        <w:rFonts w:ascii="Wingdings" w:hAnsi="Wingdings" w:hint="default"/>
      </w:rPr>
    </w:lvl>
  </w:abstractNum>
  <w:abstractNum w:abstractNumId="85" w15:restartNumberingAfterBreak="0">
    <w:nsid w:val="2C35278E"/>
    <w:multiLevelType w:val="hybridMultilevel"/>
    <w:tmpl w:val="4CF6F5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2DC98835"/>
    <w:multiLevelType w:val="hybridMultilevel"/>
    <w:tmpl w:val="FFFFFFFF"/>
    <w:lvl w:ilvl="0" w:tplc="818A329A">
      <w:start w:val="1"/>
      <w:numFmt w:val="decimal"/>
      <w:lvlText w:val="%1."/>
      <w:lvlJc w:val="left"/>
      <w:pPr>
        <w:ind w:left="720" w:hanging="360"/>
      </w:pPr>
    </w:lvl>
    <w:lvl w:ilvl="1" w:tplc="A73E720E">
      <w:start w:val="1"/>
      <w:numFmt w:val="lowerLetter"/>
      <w:lvlText w:val="%2."/>
      <w:lvlJc w:val="left"/>
      <w:pPr>
        <w:ind w:left="1440" w:hanging="360"/>
      </w:pPr>
    </w:lvl>
    <w:lvl w:ilvl="2" w:tplc="0C20AC4E">
      <w:start w:val="1"/>
      <w:numFmt w:val="lowerRoman"/>
      <w:lvlText w:val="%3."/>
      <w:lvlJc w:val="right"/>
      <w:pPr>
        <w:ind w:left="2160" w:hanging="180"/>
      </w:pPr>
    </w:lvl>
    <w:lvl w:ilvl="3" w:tplc="A9B286F8">
      <w:start w:val="1"/>
      <w:numFmt w:val="decimal"/>
      <w:lvlText w:val="%4."/>
      <w:lvlJc w:val="left"/>
      <w:pPr>
        <w:ind w:left="2880" w:hanging="360"/>
      </w:pPr>
    </w:lvl>
    <w:lvl w:ilvl="4" w:tplc="78A824A0">
      <w:start w:val="1"/>
      <w:numFmt w:val="lowerLetter"/>
      <w:lvlText w:val="%5."/>
      <w:lvlJc w:val="left"/>
      <w:pPr>
        <w:ind w:left="3600" w:hanging="360"/>
      </w:pPr>
    </w:lvl>
    <w:lvl w:ilvl="5" w:tplc="5A9200B0">
      <w:start w:val="1"/>
      <w:numFmt w:val="lowerRoman"/>
      <w:lvlText w:val="%6."/>
      <w:lvlJc w:val="right"/>
      <w:pPr>
        <w:ind w:left="4320" w:hanging="180"/>
      </w:pPr>
    </w:lvl>
    <w:lvl w:ilvl="6" w:tplc="BDACF3CC">
      <w:start w:val="1"/>
      <w:numFmt w:val="decimal"/>
      <w:lvlText w:val="%7."/>
      <w:lvlJc w:val="left"/>
      <w:pPr>
        <w:ind w:left="5040" w:hanging="360"/>
      </w:pPr>
    </w:lvl>
    <w:lvl w:ilvl="7" w:tplc="65D62B30">
      <w:start w:val="1"/>
      <w:numFmt w:val="lowerLetter"/>
      <w:lvlText w:val="%8."/>
      <w:lvlJc w:val="left"/>
      <w:pPr>
        <w:ind w:left="5760" w:hanging="360"/>
      </w:pPr>
    </w:lvl>
    <w:lvl w:ilvl="8" w:tplc="37FC2954">
      <w:start w:val="1"/>
      <w:numFmt w:val="lowerRoman"/>
      <w:lvlText w:val="%9."/>
      <w:lvlJc w:val="right"/>
      <w:pPr>
        <w:ind w:left="6480" w:hanging="180"/>
      </w:pPr>
    </w:lvl>
  </w:abstractNum>
  <w:abstractNum w:abstractNumId="87" w15:restartNumberingAfterBreak="0">
    <w:nsid w:val="2DF37C85"/>
    <w:multiLevelType w:val="hybridMultilevel"/>
    <w:tmpl w:val="83388A0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8" w15:restartNumberingAfterBreak="0">
    <w:nsid w:val="2E9C4A85"/>
    <w:multiLevelType w:val="hybridMultilevel"/>
    <w:tmpl w:val="05EEBF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2F8955D8"/>
    <w:multiLevelType w:val="hybridMultilevel"/>
    <w:tmpl w:val="390A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FAB7CA7"/>
    <w:multiLevelType w:val="hybridMultilevel"/>
    <w:tmpl w:val="CD78FB9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1" w15:restartNumberingAfterBreak="0">
    <w:nsid w:val="302F4741"/>
    <w:multiLevelType w:val="multilevel"/>
    <w:tmpl w:val="86D4100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2" w15:restartNumberingAfterBreak="0">
    <w:nsid w:val="311B156F"/>
    <w:multiLevelType w:val="hybridMultilevel"/>
    <w:tmpl w:val="D4A68574"/>
    <w:lvl w:ilvl="0" w:tplc="0407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17938A8"/>
    <w:multiLevelType w:val="hybridMultilevel"/>
    <w:tmpl w:val="781A14D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4" w15:restartNumberingAfterBreak="0">
    <w:nsid w:val="31D4520F"/>
    <w:multiLevelType w:val="hybridMultilevel"/>
    <w:tmpl w:val="A88ED5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32B63A52"/>
    <w:multiLevelType w:val="hybridMultilevel"/>
    <w:tmpl w:val="4DA29006"/>
    <w:lvl w:ilvl="0" w:tplc="18090001">
      <w:start w:val="1"/>
      <w:numFmt w:val="bullet"/>
      <w:lvlText w:val=""/>
      <w:lvlJc w:val="left"/>
      <w:pPr>
        <w:ind w:left="777" w:hanging="360"/>
      </w:pPr>
      <w:rPr>
        <w:rFonts w:ascii="Symbol" w:hAnsi="Symbol" w:hint="default"/>
      </w:rPr>
    </w:lvl>
    <w:lvl w:ilvl="1" w:tplc="18090003" w:tentative="1">
      <w:start w:val="1"/>
      <w:numFmt w:val="bullet"/>
      <w:lvlText w:val="o"/>
      <w:lvlJc w:val="left"/>
      <w:pPr>
        <w:ind w:left="1497" w:hanging="360"/>
      </w:pPr>
      <w:rPr>
        <w:rFonts w:ascii="Courier New" w:hAnsi="Courier New" w:cs="Courier New" w:hint="default"/>
      </w:rPr>
    </w:lvl>
    <w:lvl w:ilvl="2" w:tplc="18090005" w:tentative="1">
      <w:start w:val="1"/>
      <w:numFmt w:val="bullet"/>
      <w:lvlText w:val=""/>
      <w:lvlJc w:val="left"/>
      <w:pPr>
        <w:ind w:left="2217" w:hanging="360"/>
      </w:pPr>
      <w:rPr>
        <w:rFonts w:ascii="Wingdings" w:hAnsi="Wingdings" w:hint="default"/>
      </w:rPr>
    </w:lvl>
    <w:lvl w:ilvl="3" w:tplc="18090001" w:tentative="1">
      <w:start w:val="1"/>
      <w:numFmt w:val="bullet"/>
      <w:lvlText w:val=""/>
      <w:lvlJc w:val="left"/>
      <w:pPr>
        <w:ind w:left="2937" w:hanging="360"/>
      </w:pPr>
      <w:rPr>
        <w:rFonts w:ascii="Symbol" w:hAnsi="Symbol" w:hint="default"/>
      </w:rPr>
    </w:lvl>
    <w:lvl w:ilvl="4" w:tplc="18090003" w:tentative="1">
      <w:start w:val="1"/>
      <w:numFmt w:val="bullet"/>
      <w:lvlText w:val="o"/>
      <w:lvlJc w:val="left"/>
      <w:pPr>
        <w:ind w:left="3657" w:hanging="360"/>
      </w:pPr>
      <w:rPr>
        <w:rFonts w:ascii="Courier New" w:hAnsi="Courier New" w:cs="Courier New" w:hint="default"/>
      </w:rPr>
    </w:lvl>
    <w:lvl w:ilvl="5" w:tplc="18090005" w:tentative="1">
      <w:start w:val="1"/>
      <w:numFmt w:val="bullet"/>
      <w:lvlText w:val=""/>
      <w:lvlJc w:val="left"/>
      <w:pPr>
        <w:ind w:left="4377" w:hanging="360"/>
      </w:pPr>
      <w:rPr>
        <w:rFonts w:ascii="Wingdings" w:hAnsi="Wingdings" w:hint="default"/>
      </w:rPr>
    </w:lvl>
    <w:lvl w:ilvl="6" w:tplc="18090001" w:tentative="1">
      <w:start w:val="1"/>
      <w:numFmt w:val="bullet"/>
      <w:lvlText w:val=""/>
      <w:lvlJc w:val="left"/>
      <w:pPr>
        <w:ind w:left="5097" w:hanging="360"/>
      </w:pPr>
      <w:rPr>
        <w:rFonts w:ascii="Symbol" w:hAnsi="Symbol" w:hint="default"/>
      </w:rPr>
    </w:lvl>
    <w:lvl w:ilvl="7" w:tplc="18090003" w:tentative="1">
      <w:start w:val="1"/>
      <w:numFmt w:val="bullet"/>
      <w:lvlText w:val="o"/>
      <w:lvlJc w:val="left"/>
      <w:pPr>
        <w:ind w:left="5817" w:hanging="360"/>
      </w:pPr>
      <w:rPr>
        <w:rFonts w:ascii="Courier New" w:hAnsi="Courier New" w:cs="Courier New" w:hint="default"/>
      </w:rPr>
    </w:lvl>
    <w:lvl w:ilvl="8" w:tplc="18090005" w:tentative="1">
      <w:start w:val="1"/>
      <w:numFmt w:val="bullet"/>
      <w:lvlText w:val=""/>
      <w:lvlJc w:val="left"/>
      <w:pPr>
        <w:ind w:left="6537" w:hanging="360"/>
      </w:pPr>
      <w:rPr>
        <w:rFonts w:ascii="Wingdings" w:hAnsi="Wingdings" w:hint="default"/>
      </w:rPr>
    </w:lvl>
  </w:abstractNum>
  <w:abstractNum w:abstractNumId="96" w15:restartNumberingAfterBreak="0">
    <w:nsid w:val="334B75A7"/>
    <w:multiLevelType w:val="hybridMultilevel"/>
    <w:tmpl w:val="0974E1DC"/>
    <w:lvl w:ilvl="0" w:tplc="1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36D139F"/>
    <w:multiLevelType w:val="multilevel"/>
    <w:tmpl w:val="FC84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3F905B6"/>
    <w:multiLevelType w:val="hybridMultilevel"/>
    <w:tmpl w:val="051C3ADC"/>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41B25A2"/>
    <w:multiLevelType w:val="hybridMultilevel"/>
    <w:tmpl w:val="EF0C34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34206347"/>
    <w:multiLevelType w:val="multilevel"/>
    <w:tmpl w:val="DD5834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4CA6E19"/>
    <w:multiLevelType w:val="hybridMultilevel"/>
    <w:tmpl w:val="D9F4E4A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2" w15:restartNumberingAfterBreak="0">
    <w:nsid w:val="34E8CA66"/>
    <w:multiLevelType w:val="hybridMultilevel"/>
    <w:tmpl w:val="FFFFFFFF"/>
    <w:lvl w:ilvl="0" w:tplc="6C8CAC50">
      <w:start w:val="1"/>
      <w:numFmt w:val="bullet"/>
      <w:lvlText w:val=""/>
      <w:lvlJc w:val="left"/>
      <w:pPr>
        <w:ind w:left="720" w:hanging="360"/>
      </w:pPr>
      <w:rPr>
        <w:rFonts w:ascii="Symbol" w:hAnsi="Symbol" w:hint="default"/>
      </w:rPr>
    </w:lvl>
    <w:lvl w:ilvl="1" w:tplc="F40AC0B6">
      <w:start w:val="1"/>
      <w:numFmt w:val="bullet"/>
      <w:lvlText w:val="o"/>
      <w:lvlJc w:val="left"/>
      <w:pPr>
        <w:ind w:left="1440" w:hanging="360"/>
      </w:pPr>
      <w:rPr>
        <w:rFonts w:ascii="Courier New" w:hAnsi="Courier New" w:hint="default"/>
      </w:rPr>
    </w:lvl>
    <w:lvl w:ilvl="2" w:tplc="A94660B6">
      <w:start w:val="1"/>
      <w:numFmt w:val="bullet"/>
      <w:lvlText w:val=""/>
      <w:lvlJc w:val="left"/>
      <w:pPr>
        <w:ind w:left="2160" w:hanging="360"/>
      </w:pPr>
      <w:rPr>
        <w:rFonts w:ascii="Wingdings" w:hAnsi="Wingdings" w:hint="default"/>
      </w:rPr>
    </w:lvl>
    <w:lvl w:ilvl="3" w:tplc="9B28EB4A">
      <w:start w:val="1"/>
      <w:numFmt w:val="bullet"/>
      <w:lvlText w:val=""/>
      <w:lvlJc w:val="left"/>
      <w:pPr>
        <w:ind w:left="2880" w:hanging="360"/>
      </w:pPr>
      <w:rPr>
        <w:rFonts w:ascii="Symbol" w:hAnsi="Symbol" w:hint="default"/>
      </w:rPr>
    </w:lvl>
    <w:lvl w:ilvl="4" w:tplc="185C079E">
      <w:start w:val="1"/>
      <w:numFmt w:val="bullet"/>
      <w:lvlText w:val="o"/>
      <w:lvlJc w:val="left"/>
      <w:pPr>
        <w:ind w:left="3600" w:hanging="360"/>
      </w:pPr>
      <w:rPr>
        <w:rFonts w:ascii="Courier New" w:hAnsi="Courier New" w:hint="default"/>
      </w:rPr>
    </w:lvl>
    <w:lvl w:ilvl="5" w:tplc="85D84060">
      <w:start w:val="1"/>
      <w:numFmt w:val="bullet"/>
      <w:lvlText w:val=""/>
      <w:lvlJc w:val="left"/>
      <w:pPr>
        <w:ind w:left="4320" w:hanging="360"/>
      </w:pPr>
      <w:rPr>
        <w:rFonts w:ascii="Wingdings" w:hAnsi="Wingdings" w:hint="default"/>
      </w:rPr>
    </w:lvl>
    <w:lvl w:ilvl="6" w:tplc="1FA43550">
      <w:start w:val="1"/>
      <w:numFmt w:val="bullet"/>
      <w:lvlText w:val=""/>
      <w:lvlJc w:val="left"/>
      <w:pPr>
        <w:ind w:left="5040" w:hanging="360"/>
      </w:pPr>
      <w:rPr>
        <w:rFonts w:ascii="Symbol" w:hAnsi="Symbol" w:hint="default"/>
      </w:rPr>
    </w:lvl>
    <w:lvl w:ilvl="7" w:tplc="9662D246">
      <w:start w:val="1"/>
      <w:numFmt w:val="bullet"/>
      <w:lvlText w:val="o"/>
      <w:lvlJc w:val="left"/>
      <w:pPr>
        <w:ind w:left="5760" w:hanging="360"/>
      </w:pPr>
      <w:rPr>
        <w:rFonts w:ascii="Courier New" w:hAnsi="Courier New" w:hint="default"/>
      </w:rPr>
    </w:lvl>
    <w:lvl w:ilvl="8" w:tplc="683E6B30">
      <w:start w:val="1"/>
      <w:numFmt w:val="bullet"/>
      <w:lvlText w:val=""/>
      <w:lvlJc w:val="left"/>
      <w:pPr>
        <w:ind w:left="6480" w:hanging="360"/>
      </w:pPr>
      <w:rPr>
        <w:rFonts w:ascii="Wingdings" w:hAnsi="Wingdings" w:hint="default"/>
      </w:rPr>
    </w:lvl>
  </w:abstractNum>
  <w:abstractNum w:abstractNumId="103" w15:restartNumberingAfterBreak="0">
    <w:nsid w:val="37125D82"/>
    <w:multiLevelType w:val="hybridMultilevel"/>
    <w:tmpl w:val="3EA0D104"/>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373F5D96"/>
    <w:multiLevelType w:val="hybridMultilevel"/>
    <w:tmpl w:val="FFFFFFFF"/>
    <w:lvl w:ilvl="0" w:tplc="AFE21E96">
      <w:start w:val="1"/>
      <w:numFmt w:val="bullet"/>
      <w:lvlText w:val="·"/>
      <w:lvlJc w:val="left"/>
      <w:pPr>
        <w:ind w:left="720" w:hanging="360"/>
      </w:pPr>
      <w:rPr>
        <w:rFonts w:ascii="Symbol" w:hAnsi="Symbol" w:hint="default"/>
      </w:rPr>
    </w:lvl>
    <w:lvl w:ilvl="1" w:tplc="BB9CED00">
      <w:start w:val="1"/>
      <w:numFmt w:val="bullet"/>
      <w:lvlText w:val="o"/>
      <w:lvlJc w:val="left"/>
      <w:pPr>
        <w:ind w:left="1440" w:hanging="360"/>
      </w:pPr>
      <w:rPr>
        <w:rFonts w:ascii="Courier New" w:hAnsi="Courier New" w:hint="default"/>
      </w:rPr>
    </w:lvl>
    <w:lvl w:ilvl="2" w:tplc="CDAA974C">
      <w:start w:val="1"/>
      <w:numFmt w:val="bullet"/>
      <w:lvlText w:val=""/>
      <w:lvlJc w:val="left"/>
      <w:pPr>
        <w:ind w:left="2160" w:hanging="360"/>
      </w:pPr>
      <w:rPr>
        <w:rFonts w:ascii="Wingdings" w:hAnsi="Wingdings" w:hint="default"/>
      </w:rPr>
    </w:lvl>
    <w:lvl w:ilvl="3" w:tplc="B82AC6B8">
      <w:start w:val="1"/>
      <w:numFmt w:val="bullet"/>
      <w:lvlText w:val=""/>
      <w:lvlJc w:val="left"/>
      <w:pPr>
        <w:ind w:left="2880" w:hanging="360"/>
      </w:pPr>
      <w:rPr>
        <w:rFonts w:ascii="Symbol" w:hAnsi="Symbol" w:hint="default"/>
      </w:rPr>
    </w:lvl>
    <w:lvl w:ilvl="4" w:tplc="2CA4D788">
      <w:start w:val="1"/>
      <w:numFmt w:val="bullet"/>
      <w:lvlText w:val="o"/>
      <w:lvlJc w:val="left"/>
      <w:pPr>
        <w:ind w:left="3600" w:hanging="360"/>
      </w:pPr>
      <w:rPr>
        <w:rFonts w:ascii="Courier New" w:hAnsi="Courier New" w:hint="default"/>
      </w:rPr>
    </w:lvl>
    <w:lvl w:ilvl="5" w:tplc="23085458">
      <w:start w:val="1"/>
      <w:numFmt w:val="bullet"/>
      <w:lvlText w:val=""/>
      <w:lvlJc w:val="left"/>
      <w:pPr>
        <w:ind w:left="4320" w:hanging="360"/>
      </w:pPr>
      <w:rPr>
        <w:rFonts w:ascii="Wingdings" w:hAnsi="Wingdings" w:hint="default"/>
      </w:rPr>
    </w:lvl>
    <w:lvl w:ilvl="6" w:tplc="3AAADD42">
      <w:start w:val="1"/>
      <w:numFmt w:val="bullet"/>
      <w:lvlText w:val=""/>
      <w:lvlJc w:val="left"/>
      <w:pPr>
        <w:ind w:left="5040" w:hanging="360"/>
      </w:pPr>
      <w:rPr>
        <w:rFonts w:ascii="Symbol" w:hAnsi="Symbol" w:hint="default"/>
      </w:rPr>
    </w:lvl>
    <w:lvl w:ilvl="7" w:tplc="C342480C">
      <w:start w:val="1"/>
      <w:numFmt w:val="bullet"/>
      <w:lvlText w:val="o"/>
      <w:lvlJc w:val="left"/>
      <w:pPr>
        <w:ind w:left="5760" w:hanging="360"/>
      </w:pPr>
      <w:rPr>
        <w:rFonts w:ascii="Courier New" w:hAnsi="Courier New" w:hint="default"/>
      </w:rPr>
    </w:lvl>
    <w:lvl w:ilvl="8" w:tplc="41B6575A">
      <w:start w:val="1"/>
      <w:numFmt w:val="bullet"/>
      <w:lvlText w:val=""/>
      <w:lvlJc w:val="left"/>
      <w:pPr>
        <w:ind w:left="6480" w:hanging="360"/>
      </w:pPr>
      <w:rPr>
        <w:rFonts w:ascii="Wingdings" w:hAnsi="Wingdings" w:hint="default"/>
      </w:rPr>
    </w:lvl>
  </w:abstractNum>
  <w:abstractNum w:abstractNumId="105" w15:restartNumberingAfterBreak="0">
    <w:nsid w:val="377C429B"/>
    <w:multiLevelType w:val="hybridMultilevel"/>
    <w:tmpl w:val="DDEC2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6" w15:restartNumberingAfterBreak="0">
    <w:nsid w:val="37FC7B4B"/>
    <w:multiLevelType w:val="hybridMultilevel"/>
    <w:tmpl w:val="F9C2282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07" w15:restartNumberingAfterBreak="0">
    <w:nsid w:val="380F4AC8"/>
    <w:multiLevelType w:val="hybridMultilevel"/>
    <w:tmpl w:val="336E48D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8" w15:restartNumberingAfterBreak="0">
    <w:nsid w:val="38154B5C"/>
    <w:multiLevelType w:val="hybridMultilevel"/>
    <w:tmpl w:val="91723B8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9" w15:restartNumberingAfterBreak="0">
    <w:nsid w:val="3884670D"/>
    <w:multiLevelType w:val="hybridMultilevel"/>
    <w:tmpl w:val="734CC048"/>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0" w15:restartNumberingAfterBreak="0">
    <w:nsid w:val="392031EB"/>
    <w:multiLevelType w:val="multilevel"/>
    <w:tmpl w:val="961C39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9AD07AD"/>
    <w:multiLevelType w:val="hybridMultilevel"/>
    <w:tmpl w:val="FFFFFFFF"/>
    <w:lvl w:ilvl="0" w:tplc="CAD02094">
      <w:start w:val="1"/>
      <w:numFmt w:val="bullet"/>
      <w:lvlText w:val="-"/>
      <w:lvlJc w:val="left"/>
      <w:pPr>
        <w:ind w:left="720" w:hanging="360"/>
      </w:pPr>
      <w:rPr>
        <w:rFonts w:ascii="&quot;Calibri&quot;,sans-serif" w:hAnsi="&quot;Calibri&quot;,sans-serif" w:hint="default"/>
      </w:rPr>
    </w:lvl>
    <w:lvl w:ilvl="1" w:tplc="432AF916">
      <w:start w:val="1"/>
      <w:numFmt w:val="bullet"/>
      <w:lvlText w:val="o"/>
      <w:lvlJc w:val="left"/>
      <w:pPr>
        <w:ind w:left="1440" w:hanging="360"/>
      </w:pPr>
      <w:rPr>
        <w:rFonts w:ascii="Courier New" w:hAnsi="Courier New" w:hint="default"/>
      </w:rPr>
    </w:lvl>
    <w:lvl w:ilvl="2" w:tplc="42DA2544">
      <w:start w:val="1"/>
      <w:numFmt w:val="bullet"/>
      <w:lvlText w:val=""/>
      <w:lvlJc w:val="left"/>
      <w:pPr>
        <w:ind w:left="2160" w:hanging="360"/>
      </w:pPr>
      <w:rPr>
        <w:rFonts w:ascii="Wingdings" w:hAnsi="Wingdings" w:hint="default"/>
      </w:rPr>
    </w:lvl>
    <w:lvl w:ilvl="3" w:tplc="18CEEDB0">
      <w:start w:val="1"/>
      <w:numFmt w:val="bullet"/>
      <w:lvlText w:val=""/>
      <w:lvlJc w:val="left"/>
      <w:pPr>
        <w:ind w:left="2880" w:hanging="360"/>
      </w:pPr>
      <w:rPr>
        <w:rFonts w:ascii="Symbol" w:hAnsi="Symbol" w:hint="default"/>
      </w:rPr>
    </w:lvl>
    <w:lvl w:ilvl="4" w:tplc="0CA21CD8">
      <w:start w:val="1"/>
      <w:numFmt w:val="bullet"/>
      <w:lvlText w:val="o"/>
      <w:lvlJc w:val="left"/>
      <w:pPr>
        <w:ind w:left="3600" w:hanging="360"/>
      </w:pPr>
      <w:rPr>
        <w:rFonts w:ascii="Courier New" w:hAnsi="Courier New" w:hint="default"/>
      </w:rPr>
    </w:lvl>
    <w:lvl w:ilvl="5" w:tplc="101A0C1C">
      <w:start w:val="1"/>
      <w:numFmt w:val="bullet"/>
      <w:lvlText w:val=""/>
      <w:lvlJc w:val="left"/>
      <w:pPr>
        <w:ind w:left="4320" w:hanging="360"/>
      </w:pPr>
      <w:rPr>
        <w:rFonts w:ascii="Wingdings" w:hAnsi="Wingdings" w:hint="default"/>
      </w:rPr>
    </w:lvl>
    <w:lvl w:ilvl="6" w:tplc="E0E2D5AE">
      <w:start w:val="1"/>
      <w:numFmt w:val="bullet"/>
      <w:lvlText w:val=""/>
      <w:lvlJc w:val="left"/>
      <w:pPr>
        <w:ind w:left="5040" w:hanging="360"/>
      </w:pPr>
      <w:rPr>
        <w:rFonts w:ascii="Symbol" w:hAnsi="Symbol" w:hint="default"/>
      </w:rPr>
    </w:lvl>
    <w:lvl w:ilvl="7" w:tplc="2CBECC88">
      <w:start w:val="1"/>
      <w:numFmt w:val="bullet"/>
      <w:lvlText w:val="o"/>
      <w:lvlJc w:val="left"/>
      <w:pPr>
        <w:ind w:left="5760" w:hanging="360"/>
      </w:pPr>
      <w:rPr>
        <w:rFonts w:ascii="Courier New" w:hAnsi="Courier New" w:hint="default"/>
      </w:rPr>
    </w:lvl>
    <w:lvl w:ilvl="8" w:tplc="F63ACBE0">
      <w:start w:val="1"/>
      <w:numFmt w:val="bullet"/>
      <w:lvlText w:val=""/>
      <w:lvlJc w:val="left"/>
      <w:pPr>
        <w:ind w:left="6480" w:hanging="360"/>
      </w:pPr>
      <w:rPr>
        <w:rFonts w:ascii="Wingdings" w:hAnsi="Wingdings" w:hint="default"/>
      </w:rPr>
    </w:lvl>
  </w:abstractNum>
  <w:abstractNum w:abstractNumId="112" w15:restartNumberingAfterBreak="0">
    <w:nsid w:val="3A4636C8"/>
    <w:multiLevelType w:val="hybridMultilevel"/>
    <w:tmpl w:val="FFFFFFFF"/>
    <w:lvl w:ilvl="0" w:tplc="D15C4E04">
      <w:start w:val="1"/>
      <w:numFmt w:val="bullet"/>
      <w:lvlText w:val="·"/>
      <w:lvlJc w:val="left"/>
      <w:pPr>
        <w:ind w:left="720" w:hanging="360"/>
      </w:pPr>
      <w:rPr>
        <w:rFonts w:ascii="Symbol" w:hAnsi="Symbol" w:hint="default"/>
      </w:rPr>
    </w:lvl>
    <w:lvl w:ilvl="1" w:tplc="45BA6F0E">
      <w:start w:val="1"/>
      <w:numFmt w:val="bullet"/>
      <w:lvlText w:val="o"/>
      <w:lvlJc w:val="left"/>
      <w:pPr>
        <w:ind w:left="1440" w:hanging="360"/>
      </w:pPr>
      <w:rPr>
        <w:rFonts w:ascii="Courier New" w:hAnsi="Courier New" w:hint="default"/>
      </w:rPr>
    </w:lvl>
    <w:lvl w:ilvl="2" w:tplc="D8B66A54">
      <w:start w:val="1"/>
      <w:numFmt w:val="bullet"/>
      <w:lvlText w:val=""/>
      <w:lvlJc w:val="left"/>
      <w:pPr>
        <w:ind w:left="2160" w:hanging="360"/>
      </w:pPr>
      <w:rPr>
        <w:rFonts w:ascii="Wingdings" w:hAnsi="Wingdings" w:hint="default"/>
      </w:rPr>
    </w:lvl>
    <w:lvl w:ilvl="3" w:tplc="B6EAABAA">
      <w:start w:val="1"/>
      <w:numFmt w:val="bullet"/>
      <w:lvlText w:val=""/>
      <w:lvlJc w:val="left"/>
      <w:pPr>
        <w:ind w:left="2880" w:hanging="360"/>
      </w:pPr>
      <w:rPr>
        <w:rFonts w:ascii="Symbol" w:hAnsi="Symbol" w:hint="default"/>
      </w:rPr>
    </w:lvl>
    <w:lvl w:ilvl="4" w:tplc="077EB610">
      <w:start w:val="1"/>
      <w:numFmt w:val="bullet"/>
      <w:lvlText w:val="o"/>
      <w:lvlJc w:val="left"/>
      <w:pPr>
        <w:ind w:left="3600" w:hanging="360"/>
      </w:pPr>
      <w:rPr>
        <w:rFonts w:ascii="Courier New" w:hAnsi="Courier New" w:hint="default"/>
      </w:rPr>
    </w:lvl>
    <w:lvl w:ilvl="5" w:tplc="021E744C">
      <w:start w:val="1"/>
      <w:numFmt w:val="bullet"/>
      <w:lvlText w:val=""/>
      <w:lvlJc w:val="left"/>
      <w:pPr>
        <w:ind w:left="4320" w:hanging="360"/>
      </w:pPr>
      <w:rPr>
        <w:rFonts w:ascii="Wingdings" w:hAnsi="Wingdings" w:hint="default"/>
      </w:rPr>
    </w:lvl>
    <w:lvl w:ilvl="6" w:tplc="11B6C5DC">
      <w:start w:val="1"/>
      <w:numFmt w:val="bullet"/>
      <w:lvlText w:val=""/>
      <w:lvlJc w:val="left"/>
      <w:pPr>
        <w:ind w:left="5040" w:hanging="360"/>
      </w:pPr>
      <w:rPr>
        <w:rFonts w:ascii="Symbol" w:hAnsi="Symbol" w:hint="default"/>
      </w:rPr>
    </w:lvl>
    <w:lvl w:ilvl="7" w:tplc="144E5FCC">
      <w:start w:val="1"/>
      <w:numFmt w:val="bullet"/>
      <w:lvlText w:val="o"/>
      <w:lvlJc w:val="left"/>
      <w:pPr>
        <w:ind w:left="5760" w:hanging="360"/>
      </w:pPr>
      <w:rPr>
        <w:rFonts w:ascii="Courier New" w:hAnsi="Courier New" w:hint="default"/>
      </w:rPr>
    </w:lvl>
    <w:lvl w:ilvl="8" w:tplc="7722EF3A">
      <w:start w:val="1"/>
      <w:numFmt w:val="bullet"/>
      <w:lvlText w:val=""/>
      <w:lvlJc w:val="left"/>
      <w:pPr>
        <w:ind w:left="6480" w:hanging="360"/>
      </w:pPr>
      <w:rPr>
        <w:rFonts w:ascii="Wingdings" w:hAnsi="Wingdings" w:hint="default"/>
      </w:rPr>
    </w:lvl>
  </w:abstractNum>
  <w:abstractNum w:abstractNumId="113" w15:restartNumberingAfterBreak="0">
    <w:nsid w:val="3A8C3AE5"/>
    <w:multiLevelType w:val="hybridMultilevel"/>
    <w:tmpl w:val="5978E1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AB70DE3"/>
    <w:multiLevelType w:val="hybridMultilevel"/>
    <w:tmpl w:val="FFFFFFFF"/>
    <w:lvl w:ilvl="0" w:tplc="BD865DDA">
      <w:start w:val="1"/>
      <w:numFmt w:val="bullet"/>
      <w:lvlText w:val=""/>
      <w:lvlJc w:val="left"/>
      <w:pPr>
        <w:ind w:left="720" w:hanging="360"/>
      </w:pPr>
      <w:rPr>
        <w:rFonts w:ascii="Symbol" w:hAnsi="Symbol" w:hint="default"/>
      </w:rPr>
    </w:lvl>
    <w:lvl w:ilvl="1" w:tplc="08C49258">
      <w:start w:val="1"/>
      <w:numFmt w:val="bullet"/>
      <w:lvlText w:val="·"/>
      <w:lvlJc w:val="left"/>
      <w:pPr>
        <w:ind w:left="1440" w:hanging="360"/>
      </w:pPr>
      <w:rPr>
        <w:rFonts w:ascii="Symbol" w:hAnsi="Symbol" w:hint="default"/>
      </w:rPr>
    </w:lvl>
    <w:lvl w:ilvl="2" w:tplc="C89C831A">
      <w:start w:val="1"/>
      <w:numFmt w:val="bullet"/>
      <w:lvlText w:val=""/>
      <w:lvlJc w:val="left"/>
      <w:pPr>
        <w:ind w:left="2160" w:hanging="360"/>
      </w:pPr>
      <w:rPr>
        <w:rFonts w:ascii="Wingdings" w:hAnsi="Wingdings" w:hint="default"/>
      </w:rPr>
    </w:lvl>
    <w:lvl w:ilvl="3" w:tplc="F558E7F4">
      <w:start w:val="1"/>
      <w:numFmt w:val="bullet"/>
      <w:lvlText w:val=""/>
      <w:lvlJc w:val="left"/>
      <w:pPr>
        <w:ind w:left="2880" w:hanging="360"/>
      </w:pPr>
      <w:rPr>
        <w:rFonts w:ascii="Symbol" w:hAnsi="Symbol" w:hint="default"/>
      </w:rPr>
    </w:lvl>
    <w:lvl w:ilvl="4" w:tplc="346ED3AC">
      <w:start w:val="1"/>
      <w:numFmt w:val="bullet"/>
      <w:lvlText w:val="o"/>
      <w:lvlJc w:val="left"/>
      <w:pPr>
        <w:ind w:left="3600" w:hanging="360"/>
      </w:pPr>
      <w:rPr>
        <w:rFonts w:ascii="Courier New" w:hAnsi="Courier New" w:hint="default"/>
      </w:rPr>
    </w:lvl>
    <w:lvl w:ilvl="5" w:tplc="2BF259F0">
      <w:start w:val="1"/>
      <w:numFmt w:val="bullet"/>
      <w:lvlText w:val=""/>
      <w:lvlJc w:val="left"/>
      <w:pPr>
        <w:ind w:left="4320" w:hanging="360"/>
      </w:pPr>
      <w:rPr>
        <w:rFonts w:ascii="Wingdings" w:hAnsi="Wingdings" w:hint="default"/>
      </w:rPr>
    </w:lvl>
    <w:lvl w:ilvl="6" w:tplc="BC360FC4">
      <w:start w:val="1"/>
      <w:numFmt w:val="bullet"/>
      <w:lvlText w:val=""/>
      <w:lvlJc w:val="left"/>
      <w:pPr>
        <w:ind w:left="5040" w:hanging="360"/>
      </w:pPr>
      <w:rPr>
        <w:rFonts w:ascii="Symbol" w:hAnsi="Symbol" w:hint="default"/>
      </w:rPr>
    </w:lvl>
    <w:lvl w:ilvl="7" w:tplc="1F8ED7BE">
      <w:start w:val="1"/>
      <w:numFmt w:val="bullet"/>
      <w:lvlText w:val="o"/>
      <w:lvlJc w:val="left"/>
      <w:pPr>
        <w:ind w:left="5760" w:hanging="360"/>
      </w:pPr>
      <w:rPr>
        <w:rFonts w:ascii="Courier New" w:hAnsi="Courier New" w:hint="default"/>
      </w:rPr>
    </w:lvl>
    <w:lvl w:ilvl="8" w:tplc="22E4041A">
      <w:start w:val="1"/>
      <w:numFmt w:val="bullet"/>
      <w:lvlText w:val=""/>
      <w:lvlJc w:val="left"/>
      <w:pPr>
        <w:ind w:left="6480" w:hanging="360"/>
      </w:pPr>
      <w:rPr>
        <w:rFonts w:ascii="Wingdings" w:hAnsi="Wingdings" w:hint="default"/>
      </w:rPr>
    </w:lvl>
  </w:abstractNum>
  <w:abstractNum w:abstractNumId="115" w15:restartNumberingAfterBreak="0">
    <w:nsid w:val="3B2949F6"/>
    <w:multiLevelType w:val="hybridMultilevel"/>
    <w:tmpl w:val="DE76FE98"/>
    <w:styleLink w:val="AMECHeadings"/>
    <w:lvl w:ilvl="0" w:tplc="6958E4C8">
      <w:start w:val="1"/>
      <w:numFmt w:val="bullet"/>
      <w:pStyle w:val="WDRoman"/>
      <w:lvlText w:val=""/>
      <w:lvlJc w:val="left"/>
      <w:pPr>
        <w:ind w:left="1760" w:hanging="360"/>
      </w:pPr>
      <w:rPr>
        <w:rFonts w:ascii="Symbol" w:hAnsi="Symbol" w:hint="default"/>
        <w:color w:val="8064A2" w:themeColor="accent4"/>
      </w:rPr>
    </w:lvl>
    <w:lvl w:ilvl="1" w:tplc="0C070003">
      <w:start w:val="1"/>
      <w:numFmt w:val="bullet"/>
      <w:lvlText w:val="o"/>
      <w:lvlJc w:val="left"/>
      <w:pPr>
        <w:ind w:left="2480" w:hanging="360"/>
      </w:pPr>
      <w:rPr>
        <w:rFonts w:ascii="Courier New" w:hAnsi="Courier New" w:cs="Courier New" w:hint="default"/>
      </w:rPr>
    </w:lvl>
    <w:lvl w:ilvl="2" w:tplc="0C070005">
      <w:start w:val="1"/>
      <w:numFmt w:val="bullet"/>
      <w:lvlText w:val=""/>
      <w:lvlJc w:val="left"/>
      <w:pPr>
        <w:ind w:left="3200" w:hanging="360"/>
      </w:pPr>
      <w:rPr>
        <w:rFonts w:ascii="Wingdings" w:hAnsi="Wingdings" w:hint="default"/>
      </w:rPr>
    </w:lvl>
    <w:lvl w:ilvl="3" w:tplc="0C070001">
      <w:start w:val="1"/>
      <w:numFmt w:val="bullet"/>
      <w:lvlText w:val=""/>
      <w:lvlJc w:val="left"/>
      <w:pPr>
        <w:ind w:left="3920" w:hanging="360"/>
      </w:pPr>
      <w:rPr>
        <w:rFonts w:ascii="Symbol" w:hAnsi="Symbol" w:hint="default"/>
      </w:rPr>
    </w:lvl>
    <w:lvl w:ilvl="4" w:tplc="0C070003">
      <w:start w:val="1"/>
      <w:numFmt w:val="bullet"/>
      <w:lvlText w:val="o"/>
      <w:lvlJc w:val="left"/>
      <w:pPr>
        <w:ind w:left="4640" w:hanging="360"/>
      </w:pPr>
      <w:rPr>
        <w:rFonts w:ascii="Courier New" w:hAnsi="Courier New" w:cs="Courier New" w:hint="default"/>
      </w:rPr>
    </w:lvl>
    <w:lvl w:ilvl="5" w:tplc="0C070005">
      <w:start w:val="1"/>
      <w:numFmt w:val="bullet"/>
      <w:lvlText w:val=""/>
      <w:lvlJc w:val="left"/>
      <w:pPr>
        <w:ind w:left="5360" w:hanging="360"/>
      </w:pPr>
      <w:rPr>
        <w:rFonts w:ascii="Wingdings" w:hAnsi="Wingdings" w:hint="default"/>
      </w:rPr>
    </w:lvl>
    <w:lvl w:ilvl="6" w:tplc="0C070001">
      <w:start w:val="1"/>
      <w:numFmt w:val="bullet"/>
      <w:lvlText w:val=""/>
      <w:lvlJc w:val="left"/>
      <w:pPr>
        <w:ind w:left="6080" w:hanging="360"/>
      </w:pPr>
      <w:rPr>
        <w:rFonts w:ascii="Symbol" w:hAnsi="Symbol" w:hint="default"/>
      </w:rPr>
    </w:lvl>
    <w:lvl w:ilvl="7" w:tplc="0C070003">
      <w:start w:val="1"/>
      <w:numFmt w:val="bullet"/>
      <w:lvlText w:val="o"/>
      <w:lvlJc w:val="left"/>
      <w:pPr>
        <w:ind w:left="6800" w:hanging="360"/>
      </w:pPr>
      <w:rPr>
        <w:rFonts w:ascii="Courier New" w:hAnsi="Courier New" w:cs="Courier New" w:hint="default"/>
      </w:rPr>
    </w:lvl>
    <w:lvl w:ilvl="8" w:tplc="0C070005">
      <w:start w:val="1"/>
      <w:numFmt w:val="bullet"/>
      <w:lvlText w:val=""/>
      <w:lvlJc w:val="left"/>
      <w:pPr>
        <w:ind w:left="7520" w:hanging="360"/>
      </w:pPr>
      <w:rPr>
        <w:rFonts w:ascii="Wingdings" w:hAnsi="Wingdings" w:hint="default"/>
      </w:rPr>
    </w:lvl>
  </w:abstractNum>
  <w:abstractNum w:abstractNumId="116" w15:restartNumberingAfterBreak="0">
    <w:nsid w:val="3B2F4070"/>
    <w:multiLevelType w:val="hybridMultilevel"/>
    <w:tmpl w:val="FFFFFFFF"/>
    <w:lvl w:ilvl="0" w:tplc="B1406D50">
      <w:start w:val="1"/>
      <w:numFmt w:val="bullet"/>
      <w:lvlText w:val=""/>
      <w:lvlJc w:val="left"/>
      <w:pPr>
        <w:ind w:left="720" w:hanging="360"/>
      </w:pPr>
      <w:rPr>
        <w:rFonts w:ascii="Symbol" w:hAnsi="Symbol" w:hint="default"/>
      </w:rPr>
    </w:lvl>
    <w:lvl w:ilvl="1" w:tplc="F07A30F6">
      <w:start w:val="1"/>
      <w:numFmt w:val="bullet"/>
      <w:lvlText w:val="o"/>
      <w:lvlJc w:val="left"/>
      <w:pPr>
        <w:ind w:left="1440" w:hanging="360"/>
      </w:pPr>
      <w:rPr>
        <w:rFonts w:ascii="Courier New" w:hAnsi="Courier New" w:hint="default"/>
      </w:rPr>
    </w:lvl>
    <w:lvl w:ilvl="2" w:tplc="D9C604F8">
      <w:start w:val="1"/>
      <w:numFmt w:val="bullet"/>
      <w:lvlText w:val=""/>
      <w:lvlJc w:val="left"/>
      <w:pPr>
        <w:ind w:left="2160" w:hanging="360"/>
      </w:pPr>
      <w:rPr>
        <w:rFonts w:ascii="Wingdings" w:hAnsi="Wingdings" w:hint="default"/>
      </w:rPr>
    </w:lvl>
    <w:lvl w:ilvl="3" w:tplc="EA626AE2">
      <w:start w:val="1"/>
      <w:numFmt w:val="bullet"/>
      <w:lvlText w:val=""/>
      <w:lvlJc w:val="left"/>
      <w:pPr>
        <w:ind w:left="2880" w:hanging="360"/>
      </w:pPr>
      <w:rPr>
        <w:rFonts w:ascii="Symbol" w:hAnsi="Symbol" w:hint="default"/>
      </w:rPr>
    </w:lvl>
    <w:lvl w:ilvl="4" w:tplc="D644A72E">
      <w:start w:val="1"/>
      <w:numFmt w:val="bullet"/>
      <w:lvlText w:val="o"/>
      <w:lvlJc w:val="left"/>
      <w:pPr>
        <w:ind w:left="3600" w:hanging="360"/>
      </w:pPr>
      <w:rPr>
        <w:rFonts w:ascii="Courier New" w:hAnsi="Courier New" w:hint="default"/>
      </w:rPr>
    </w:lvl>
    <w:lvl w:ilvl="5" w:tplc="00C28244">
      <w:start w:val="1"/>
      <w:numFmt w:val="bullet"/>
      <w:lvlText w:val=""/>
      <w:lvlJc w:val="left"/>
      <w:pPr>
        <w:ind w:left="4320" w:hanging="360"/>
      </w:pPr>
      <w:rPr>
        <w:rFonts w:ascii="Wingdings" w:hAnsi="Wingdings" w:hint="default"/>
      </w:rPr>
    </w:lvl>
    <w:lvl w:ilvl="6" w:tplc="D500FBEA">
      <w:start w:val="1"/>
      <w:numFmt w:val="bullet"/>
      <w:lvlText w:val=""/>
      <w:lvlJc w:val="left"/>
      <w:pPr>
        <w:ind w:left="5040" w:hanging="360"/>
      </w:pPr>
      <w:rPr>
        <w:rFonts w:ascii="Symbol" w:hAnsi="Symbol" w:hint="default"/>
      </w:rPr>
    </w:lvl>
    <w:lvl w:ilvl="7" w:tplc="FE62AC7C">
      <w:start w:val="1"/>
      <w:numFmt w:val="bullet"/>
      <w:lvlText w:val="o"/>
      <w:lvlJc w:val="left"/>
      <w:pPr>
        <w:ind w:left="5760" w:hanging="360"/>
      </w:pPr>
      <w:rPr>
        <w:rFonts w:ascii="Courier New" w:hAnsi="Courier New" w:hint="default"/>
      </w:rPr>
    </w:lvl>
    <w:lvl w:ilvl="8" w:tplc="7B4C9FA4">
      <w:start w:val="1"/>
      <w:numFmt w:val="bullet"/>
      <w:lvlText w:val=""/>
      <w:lvlJc w:val="left"/>
      <w:pPr>
        <w:ind w:left="6480" w:hanging="360"/>
      </w:pPr>
      <w:rPr>
        <w:rFonts w:ascii="Wingdings" w:hAnsi="Wingdings" w:hint="default"/>
      </w:rPr>
    </w:lvl>
  </w:abstractNum>
  <w:abstractNum w:abstractNumId="117" w15:restartNumberingAfterBreak="0">
    <w:nsid w:val="3B3520AF"/>
    <w:multiLevelType w:val="hybridMultilevel"/>
    <w:tmpl w:val="36EC66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8" w15:restartNumberingAfterBreak="0">
    <w:nsid w:val="3B8475D9"/>
    <w:multiLevelType w:val="hybridMultilevel"/>
    <w:tmpl w:val="CEEA9F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3BCA7022"/>
    <w:multiLevelType w:val="multilevel"/>
    <w:tmpl w:val="FC40EF9C"/>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3BEE6827"/>
    <w:multiLevelType w:val="hybridMultilevel"/>
    <w:tmpl w:val="03CCF680"/>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1" w15:restartNumberingAfterBreak="0">
    <w:nsid w:val="3C8B6796"/>
    <w:multiLevelType w:val="hybridMultilevel"/>
    <w:tmpl w:val="897837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2" w15:restartNumberingAfterBreak="0">
    <w:nsid w:val="3C932223"/>
    <w:multiLevelType w:val="hybridMultilevel"/>
    <w:tmpl w:val="BEF653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3"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24" w15:restartNumberingAfterBreak="0">
    <w:nsid w:val="3E725E55"/>
    <w:multiLevelType w:val="hybridMultilevel"/>
    <w:tmpl w:val="A4EEA6E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5" w15:restartNumberingAfterBreak="0">
    <w:nsid w:val="3F3C31A8"/>
    <w:multiLevelType w:val="multilevel"/>
    <w:tmpl w:val="6F92A110"/>
    <w:lvl w:ilvl="0">
      <w:start w:val="2"/>
      <w:numFmt w:val="decimal"/>
      <w:lvlText w:val="%1"/>
      <w:lvlJc w:val="left"/>
      <w:pPr>
        <w:ind w:left="360" w:hanging="360"/>
      </w:pPr>
      <w:rPr>
        <w:rFonts w:hint="default"/>
      </w:rPr>
    </w:lvl>
    <w:lvl w:ilvl="1">
      <w:start w:val="1"/>
      <w:numFmt w:val="decimal"/>
      <w:lvlText w:val="%1.%2"/>
      <w:lvlJc w:val="left"/>
      <w:pPr>
        <w:ind w:left="15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126" w15:restartNumberingAfterBreak="0">
    <w:nsid w:val="40892D0E"/>
    <w:multiLevelType w:val="hybridMultilevel"/>
    <w:tmpl w:val="FFFFFFFF"/>
    <w:lvl w:ilvl="0" w:tplc="2BACCD84">
      <w:start w:val="1"/>
      <w:numFmt w:val="bullet"/>
      <w:lvlText w:val="·"/>
      <w:lvlJc w:val="left"/>
      <w:pPr>
        <w:ind w:left="720" w:hanging="360"/>
      </w:pPr>
      <w:rPr>
        <w:rFonts w:ascii="Symbol" w:hAnsi="Symbol" w:hint="default"/>
      </w:rPr>
    </w:lvl>
    <w:lvl w:ilvl="1" w:tplc="CAFCC62E">
      <w:start w:val="1"/>
      <w:numFmt w:val="bullet"/>
      <w:lvlText w:val="o"/>
      <w:lvlJc w:val="left"/>
      <w:pPr>
        <w:ind w:left="1440" w:hanging="360"/>
      </w:pPr>
      <w:rPr>
        <w:rFonts w:ascii="Courier New" w:hAnsi="Courier New" w:hint="default"/>
      </w:rPr>
    </w:lvl>
    <w:lvl w:ilvl="2" w:tplc="5382FF7A">
      <w:start w:val="1"/>
      <w:numFmt w:val="bullet"/>
      <w:lvlText w:val=""/>
      <w:lvlJc w:val="left"/>
      <w:pPr>
        <w:ind w:left="2160" w:hanging="360"/>
      </w:pPr>
      <w:rPr>
        <w:rFonts w:ascii="Wingdings" w:hAnsi="Wingdings" w:hint="default"/>
      </w:rPr>
    </w:lvl>
    <w:lvl w:ilvl="3" w:tplc="8A348632">
      <w:start w:val="1"/>
      <w:numFmt w:val="bullet"/>
      <w:lvlText w:val=""/>
      <w:lvlJc w:val="left"/>
      <w:pPr>
        <w:ind w:left="2880" w:hanging="360"/>
      </w:pPr>
      <w:rPr>
        <w:rFonts w:ascii="Symbol" w:hAnsi="Symbol" w:hint="default"/>
      </w:rPr>
    </w:lvl>
    <w:lvl w:ilvl="4" w:tplc="ABBA6FE0">
      <w:start w:val="1"/>
      <w:numFmt w:val="bullet"/>
      <w:lvlText w:val="o"/>
      <w:lvlJc w:val="left"/>
      <w:pPr>
        <w:ind w:left="3600" w:hanging="360"/>
      </w:pPr>
      <w:rPr>
        <w:rFonts w:ascii="Courier New" w:hAnsi="Courier New" w:hint="default"/>
      </w:rPr>
    </w:lvl>
    <w:lvl w:ilvl="5" w:tplc="5D609CB0">
      <w:start w:val="1"/>
      <w:numFmt w:val="bullet"/>
      <w:lvlText w:val=""/>
      <w:lvlJc w:val="left"/>
      <w:pPr>
        <w:ind w:left="4320" w:hanging="360"/>
      </w:pPr>
      <w:rPr>
        <w:rFonts w:ascii="Wingdings" w:hAnsi="Wingdings" w:hint="default"/>
      </w:rPr>
    </w:lvl>
    <w:lvl w:ilvl="6" w:tplc="B2BEB6EC">
      <w:start w:val="1"/>
      <w:numFmt w:val="bullet"/>
      <w:lvlText w:val=""/>
      <w:lvlJc w:val="left"/>
      <w:pPr>
        <w:ind w:left="5040" w:hanging="360"/>
      </w:pPr>
      <w:rPr>
        <w:rFonts w:ascii="Symbol" w:hAnsi="Symbol" w:hint="default"/>
      </w:rPr>
    </w:lvl>
    <w:lvl w:ilvl="7" w:tplc="F85C88CC">
      <w:start w:val="1"/>
      <w:numFmt w:val="bullet"/>
      <w:lvlText w:val="o"/>
      <w:lvlJc w:val="left"/>
      <w:pPr>
        <w:ind w:left="5760" w:hanging="360"/>
      </w:pPr>
      <w:rPr>
        <w:rFonts w:ascii="Courier New" w:hAnsi="Courier New" w:hint="default"/>
      </w:rPr>
    </w:lvl>
    <w:lvl w:ilvl="8" w:tplc="73B6ADBC">
      <w:start w:val="1"/>
      <w:numFmt w:val="bullet"/>
      <w:lvlText w:val=""/>
      <w:lvlJc w:val="left"/>
      <w:pPr>
        <w:ind w:left="6480" w:hanging="360"/>
      </w:pPr>
      <w:rPr>
        <w:rFonts w:ascii="Wingdings" w:hAnsi="Wingdings" w:hint="default"/>
      </w:rPr>
    </w:lvl>
  </w:abstractNum>
  <w:abstractNum w:abstractNumId="127" w15:restartNumberingAfterBreak="0">
    <w:nsid w:val="40E668E0"/>
    <w:multiLevelType w:val="hybridMultilevel"/>
    <w:tmpl w:val="61880DF4"/>
    <w:lvl w:ilvl="0" w:tplc="DECE2A7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40EC71A2"/>
    <w:multiLevelType w:val="hybridMultilevel"/>
    <w:tmpl w:val="9FA04F7C"/>
    <w:lvl w:ilvl="0" w:tplc="590CA0C8">
      <w:start w:val="1"/>
      <w:numFmt w:val="lowerLetter"/>
      <w:lvlText w:val="%1)"/>
      <w:lvlJc w:val="left"/>
      <w:pPr>
        <w:ind w:left="587" w:hanging="360"/>
      </w:pPr>
      <w:rPr>
        <w:rFonts w:hint="default"/>
      </w:rPr>
    </w:lvl>
    <w:lvl w:ilvl="1" w:tplc="18090019" w:tentative="1">
      <w:start w:val="1"/>
      <w:numFmt w:val="lowerLetter"/>
      <w:lvlText w:val="%2."/>
      <w:lvlJc w:val="left"/>
      <w:pPr>
        <w:ind w:left="1307" w:hanging="360"/>
      </w:pPr>
    </w:lvl>
    <w:lvl w:ilvl="2" w:tplc="1809001B" w:tentative="1">
      <w:start w:val="1"/>
      <w:numFmt w:val="lowerRoman"/>
      <w:lvlText w:val="%3."/>
      <w:lvlJc w:val="right"/>
      <w:pPr>
        <w:ind w:left="2027" w:hanging="180"/>
      </w:pPr>
    </w:lvl>
    <w:lvl w:ilvl="3" w:tplc="1809000F" w:tentative="1">
      <w:start w:val="1"/>
      <w:numFmt w:val="decimal"/>
      <w:lvlText w:val="%4."/>
      <w:lvlJc w:val="left"/>
      <w:pPr>
        <w:ind w:left="2747" w:hanging="360"/>
      </w:pPr>
    </w:lvl>
    <w:lvl w:ilvl="4" w:tplc="18090019" w:tentative="1">
      <w:start w:val="1"/>
      <w:numFmt w:val="lowerLetter"/>
      <w:lvlText w:val="%5."/>
      <w:lvlJc w:val="left"/>
      <w:pPr>
        <w:ind w:left="3467" w:hanging="360"/>
      </w:pPr>
    </w:lvl>
    <w:lvl w:ilvl="5" w:tplc="1809001B" w:tentative="1">
      <w:start w:val="1"/>
      <w:numFmt w:val="lowerRoman"/>
      <w:lvlText w:val="%6."/>
      <w:lvlJc w:val="right"/>
      <w:pPr>
        <w:ind w:left="4187" w:hanging="180"/>
      </w:pPr>
    </w:lvl>
    <w:lvl w:ilvl="6" w:tplc="1809000F" w:tentative="1">
      <w:start w:val="1"/>
      <w:numFmt w:val="decimal"/>
      <w:lvlText w:val="%7."/>
      <w:lvlJc w:val="left"/>
      <w:pPr>
        <w:ind w:left="4907" w:hanging="360"/>
      </w:pPr>
    </w:lvl>
    <w:lvl w:ilvl="7" w:tplc="18090019" w:tentative="1">
      <w:start w:val="1"/>
      <w:numFmt w:val="lowerLetter"/>
      <w:lvlText w:val="%8."/>
      <w:lvlJc w:val="left"/>
      <w:pPr>
        <w:ind w:left="5627" w:hanging="360"/>
      </w:pPr>
    </w:lvl>
    <w:lvl w:ilvl="8" w:tplc="1809001B" w:tentative="1">
      <w:start w:val="1"/>
      <w:numFmt w:val="lowerRoman"/>
      <w:lvlText w:val="%9."/>
      <w:lvlJc w:val="right"/>
      <w:pPr>
        <w:ind w:left="6347" w:hanging="180"/>
      </w:pPr>
    </w:lvl>
  </w:abstractNum>
  <w:abstractNum w:abstractNumId="129" w15:restartNumberingAfterBreak="0">
    <w:nsid w:val="40F1297E"/>
    <w:multiLevelType w:val="hybridMultilevel"/>
    <w:tmpl w:val="1146F8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410640A5"/>
    <w:multiLevelType w:val="hybridMultilevel"/>
    <w:tmpl w:val="5E6816EA"/>
    <w:lvl w:ilvl="0" w:tplc="34809D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4149CCAB"/>
    <w:multiLevelType w:val="hybridMultilevel"/>
    <w:tmpl w:val="FFFFFFFF"/>
    <w:lvl w:ilvl="0" w:tplc="7A9AF46E">
      <w:start w:val="1"/>
      <w:numFmt w:val="bullet"/>
      <w:lvlText w:val=""/>
      <w:lvlJc w:val="left"/>
      <w:pPr>
        <w:ind w:left="720" w:hanging="360"/>
      </w:pPr>
      <w:rPr>
        <w:rFonts w:ascii="Symbol" w:hAnsi="Symbol" w:hint="default"/>
      </w:rPr>
    </w:lvl>
    <w:lvl w:ilvl="1" w:tplc="E42E674E">
      <w:start w:val="1"/>
      <w:numFmt w:val="bullet"/>
      <w:lvlText w:val="o"/>
      <w:lvlJc w:val="left"/>
      <w:pPr>
        <w:ind w:left="1440" w:hanging="360"/>
      </w:pPr>
      <w:rPr>
        <w:rFonts w:ascii="Courier New" w:hAnsi="Courier New" w:hint="default"/>
      </w:rPr>
    </w:lvl>
    <w:lvl w:ilvl="2" w:tplc="907A281E">
      <w:start w:val="1"/>
      <w:numFmt w:val="bullet"/>
      <w:lvlText w:val=""/>
      <w:lvlJc w:val="left"/>
      <w:pPr>
        <w:ind w:left="2160" w:hanging="360"/>
      </w:pPr>
      <w:rPr>
        <w:rFonts w:ascii="Wingdings" w:hAnsi="Wingdings" w:hint="default"/>
      </w:rPr>
    </w:lvl>
    <w:lvl w:ilvl="3" w:tplc="8CB2FB94">
      <w:start w:val="1"/>
      <w:numFmt w:val="bullet"/>
      <w:lvlText w:val=""/>
      <w:lvlJc w:val="left"/>
      <w:pPr>
        <w:ind w:left="2880" w:hanging="360"/>
      </w:pPr>
      <w:rPr>
        <w:rFonts w:ascii="Symbol" w:hAnsi="Symbol" w:hint="default"/>
      </w:rPr>
    </w:lvl>
    <w:lvl w:ilvl="4" w:tplc="0EE2546E">
      <w:start w:val="1"/>
      <w:numFmt w:val="bullet"/>
      <w:lvlText w:val="o"/>
      <w:lvlJc w:val="left"/>
      <w:pPr>
        <w:ind w:left="3600" w:hanging="360"/>
      </w:pPr>
      <w:rPr>
        <w:rFonts w:ascii="Courier New" w:hAnsi="Courier New" w:hint="default"/>
      </w:rPr>
    </w:lvl>
    <w:lvl w:ilvl="5" w:tplc="9328E96A">
      <w:start w:val="1"/>
      <w:numFmt w:val="bullet"/>
      <w:lvlText w:val=""/>
      <w:lvlJc w:val="left"/>
      <w:pPr>
        <w:ind w:left="4320" w:hanging="360"/>
      </w:pPr>
      <w:rPr>
        <w:rFonts w:ascii="Wingdings" w:hAnsi="Wingdings" w:hint="default"/>
      </w:rPr>
    </w:lvl>
    <w:lvl w:ilvl="6" w:tplc="0C7893CA">
      <w:start w:val="1"/>
      <w:numFmt w:val="bullet"/>
      <w:lvlText w:val=""/>
      <w:lvlJc w:val="left"/>
      <w:pPr>
        <w:ind w:left="5040" w:hanging="360"/>
      </w:pPr>
      <w:rPr>
        <w:rFonts w:ascii="Symbol" w:hAnsi="Symbol" w:hint="default"/>
      </w:rPr>
    </w:lvl>
    <w:lvl w:ilvl="7" w:tplc="3B045904">
      <w:start w:val="1"/>
      <w:numFmt w:val="bullet"/>
      <w:lvlText w:val="o"/>
      <w:lvlJc w:val="left"/>
      <w:pPr>
        <w:ind w:left="5760" w:hanging="360"/>
      </w:pPr>
      <w:rPr>
        <w:rFonts w:ascii="Courier New" w:hAnsi="Courier New" w:hint="default"/>
      </w:rPr>
    </w:lvl>
    <w:lvl w:ilvl="8" w:tplc="5776E182">
      <w:start w:val="1"/>
      <w:numFmt w:val="bullet"/>
      <w:lvlText w:val=""/>
      <w:lvlJc w:val="left"/>
      <w:pPr>
        <w:ind w:left="6480" w:hanging="360"/>
      </w:pPr>
      <w:rPr>
        <w:rFonts w:ascii="Wingdings" w:hAnsi="Wingdings" w:hint="default"/>
      </w:rPr>
    </w:lvl>
  </w:abstractNum>
  <w:abstractNum w:abstractNumId="132" w15:restartNumberingAfterBreak="0">
    <w:nsid w:val="428F3651"/>
    <w:multiLevelType w:val="hybridMultilevel"/>
    <w:tmpl w:val="1ED067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3" w15:restartNumberingAfterBreak="0">
    <w:nsid w:val="42A279B6"/>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433456F1"/>
    <w:multiLevelType w:val="multilevel"/>
    <w:tmpl w:val="9CEED1B8"/>
    <w:lvl w:ilvl="0">
      <w:start w:val="1"/>
      <w:numFmt w:val="decimal"/>
      <w:lvlText w:val="%1."/>
      <w:lvlJc w:val="left"/>
      <w:pPr>
        <w:ind w:left="2062" w:hanging="360"/>
      </w:pPr>
      <w:rPr>
        <w:rFonts w:hint="default"/>
      </w:rPr>
    </w:lvl>
    <w:lvl w:ilvl="1">
      <w:start w:val="1"/>
      <w:numFmt w:val="decimal"/>
      <w:lvlText w:val="%1.%2."/>
      <w:lvlJc w:val="left"/>
      <w:pPr>
        <w:ind w:left="792" w:hanging="432"/>
      </w:pPr>
      <w:rPr>
        <w:rFonts w:hint="default"/>
      </w:rPr>
    </w:lvl>
    <w:lvl w:ilvl="2">
      <w:start w:val="1"/>
      <w:numFmt w:val="decimal"/>
      <w:pStyle w:val="HeaderCoverPag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35" w15:restartNumberingAfterBreak="0">
    <w:nsid w:val="448436EB"/>
    <w:multiLevelType w:val="hybridMultilevel"/>
    <w:tmpl w:val="39060478"/>
    <w:lvl w:ilvl="0" w:tplc="18090001">
      <w:start w:val="1"/>
      <w:numFmt w:val="bullet"/>
      <w:lvlText w:val=""/>
      <w:lvlJc w:val="left"/>
      <w:pPr>
        <w:ind w:left="777" w:hanging="360"/>
      </w:pPr>
      <w:rPr>
        <w:rFonts w:ascii="Symbol" w:hAnsi="Symbol" w:hint="default"/>
      </w:rPr>
    </w:lvl>
    <w:lvl w:ilvl="1" w:tplc="18090003" w:tentative="1">
      <w:start w:val="1"/>
      <w:numFmt w:val="bullet"/>
      <w:lvlText w:val="o"/>
      <w:lvlJc w:val="left"/>
      <w:pPr>
        <w:ind w:left="1497" w:hanging="360"/>
      </w:pPr>
      <w:rPr>
        <w:rFonts w:ascii="Courier New" w:hAnsi="Courier New" w:cs="Courier New" w:hint="default"/>
      </w:rPr>
    </w:lvl>
    <w:lvl w:ilvl="2" w:tplc="18090005" w:tentative="1">
      <w:start w:val="1"/>
      <w:numFmt w:val="bullet"/>
      <w:lvlText w:val=""/>
      <w:lvlJc w:val="left"/>
      <w:pPr>
        <w:ind w:left="2217" w:hanging="360"/>
      </w:pPr>
      <w:rPr>
        <w:rFonts w:ascii="Wingdings" w:hAnsi="Wingdings" w:hint="default"/>
      </w:rPr>
    </w:lvl>
    <w:lvl w:ilvl="3" w:tplc="18090001" w:tentative="1">
      <w:start w:val="1"/>
      <w:numFmt w:val="bullet"/>
      <w:lvlText w:val=""/>
      <w:lvlJc w:val="left"/>
      <w:pPr>
        <w:ind w:left="2937" w:hanging="360"/>
      </w:pPr>
      <w:rPr>
        <w:rFonts w:ascii="Symbol" w:hAnsi="Symbol" w:hint="default"/>
      </w:rPr>
    </w:lvl>
    <w:lvl w:ilvl="4" w:tplc="18090003" w:tentative="1">
      <w:start w:val="1"/>
      <w:numFmt w:val="bullet"/>
      <w:lvlText w:val="o"/>
      <w:lvlJc w:val="left"/>
      <w:pPr>
        <w:ind w:left="3657" w:hanging="360"/>
      </w:pPr>
      <w:rPr>
        <w:rFonts w:ascii="Courier New" w:hAnsi="Courier New" w:cs="Courier New" w:hint="default"/>
      </w:rPr>
    </w:lvl>
    <w:lvl w:ilvl="5" w:tplc="18090005" w:tentative="1">
      <w:start w:val="1"/>
      <w:numFmt w:val="bullet"/>
      <w:lvlText w:val=""/>
      <w:lvlJc w:val="left"/>
      <w:pPr>
        <w:ind w:left="4377" w:hanging="360"/>
      </w:pPr>
      <w:rPr>
        <w:rFonts w:ascii="Wingdings" w:hAnsi="Wingdings" w:hint="default"/>
      </w:rPr>
    </w:lvl>
    <w:lvl w:ilvl="6" w:tplc="18090001" w:tentative="1">
      <w:start w:val="1"/>
      <w:numFmt w:val="bullet"/>
      <w:lvlText w:val=""/>
      <w:lvlJc w:val="left"/>
      <w:pPr>
        <w:ind w:left="5097" w:hanging="360"/>
      </w:pPr>
      <w:rPr>
        <w:rFonts w:ascii="Symbol" w:hAnsi="Symbol" w:hint="default"/>
      </w:rPr>
    </w:lvl>
    <w:lvl w:ilvl="7" w:tplc="18090003" w:tentative="1">
      <w:start w:val="1"/>
      <w:numFmt w:val="bullet"/>
      <w:lvlText w:val="o"/>
      <w:lvlJc w:val="left"/>
      <w:pPr>
        <w:ind w:left="5817" w:hanging="360"/>
      </w:pPr>
      <w:rPr>
        <w:rFonts w:ascii="Courier New" w:hAnsi="Courier New" w:cs="Courier New" w:hint="default"/>
      </w:rPr>
    </w:lvl>
    <w:lvl w:ilvl="8" w:tplc="18090005" w:tentative="1">
      <w:start w:val="1"/>
      <w:numFmt w:val="bullet"/>
      <w:lvlText w:val=""/>
      <w:lvlJc w:val="left"/>
      <w:pPr>
        <w:ind w:left="6537" w:hanging="360"/>
      </w:pPr>
      <w:rPr>
        <w:rFonts w:ascii="Wingdings" w:hAnsi="Wingdings" w:hint="default"/>
      </w:rPr>
    </w:lvl>
  </w:abstractNum>
  <w:abstractNum w:abstractNumId="136" w15:restartNumberingAfterBreak="0">
    <w:nsid w:val="45702624"/>
    <w:multiLevelType w:val="hybridMultilevel"/>
    <w:tmpl w:val="F462E31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468F1F5C"/>
    <w:multiLevelType w:val="hybridMultilevel"/>
    <w:tmpl w:val="64BE3DBA"/>
    <w:lvl w:ilvl="0" w:tplc="DECE2A76">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46DF21BF"/>
    <w:multiLevelType w:val="hybridMultilevel"/>
    <w:tmpl w:val="C2C20C4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9" w15:restartNumberingAfterBreak="0">
    <w:nsid w:val="46E03390"/>
    <w:multiLevelType w:val="hybridMultilevel"/>
    <w:tmpl w:val="9B42C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6F55FC4"/>
    <w:multiLevelType w:val="hybridMultilevel"/>
    <w:tmpl w:val="41A6DA5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1" w15:restartNumberingAfterBreak="0">
    <w:nsid w:val="47607E69"/>
    <w:multiLevelType w:val="hybridMultilevel"/>
    <w:tmpl w:val="8C143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2" w15:restartNumberingAfterBreak="0">
    <w:nsid w:val="47B53DE3"/>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 w15:restartNumberingAfterBreak="0">
    <w:nsid w:val="493A077F"/>
    <w:multiLevelType w:val="hybridMultilevel"/>
    <w:tmpl w:val="6F9C31F4"/>
    <w:lvl w:ilvl="0" w:tplc="6864491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4" w15:restartNumberingAfterBreak="0">
    <w:nsid w:val="4AA153C0"/>
    <w:multiLevelType w:val="hybridMultilevel"/>
    <w:tmpl w:val="2334022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45" w15:restartNumberingAfterBreak="0">
    <w:nsid w:val="4ABA0E78"/>
    <w:multiLevelType w:val="hybridMultilevel"/>
    <w:tmpl w:val="8D2C4B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6" w15:restartNumberingAfterBreak="0">
    <w:nsid w:val="4AECCFE9"/>
    <w:multiLevelType w:val="hybridMultilevel"/>
    <w:tmpl w:val="FFFFFFFF"/>
    <w:lvl w:ilvl="0" w:tplc="B2AE4E2E">
      <w:start w:val="1"/>
      <w:numFmt w:val="bullet"/>
      <w:lvlText w:val="·"/>
      <w:lvlJc w:val="left"/>
      <w:pPr>
        <w:ind w:left="720" w:hanging="360"/>
      </w:pPr>
      <w:rPr>
        <w:rFonts w:ascii="Symbol" w:hAnsi="Symbol" w:hint="default"/>
      </w:rPr>
    </w:lvl>
    <w:lvl w:ilvl="1" w:tplc="9EDE12A2">
      <w:start w:val="1"/>
      <w:numFmt w:val="bullet"/>
      <w:lvlText w:val="o"/>
      <w:lvlJc w:val="left"/>
      <w:pPr>
        <w:ind w:left="1440" w:hanging="360"/>
      </w:pPr>
      <w:rPr>
        <w:rFonts w:ascii="Courier New" w:hAnsi="Courier New" w:hint="default"/>
      </w:rPr>
    </w:lvl>
    <w:lvl w:ilvl="2" w:tplc="53882118">
      <w:start w:val="1"/>
      <w:numFmt w:val="bullet"/>
      <w:lvlText w:val=""/>
      <w:lvlJc w:val="left"/>
      <w:pPr>
        <w:ind w:left="2160" w:hanging="360"/>
      </w:pPr>
      <w:rPr>
        <w:rFonts w:ascii="Wingdings" w:hAnsi="Wingdings" w:hint="default"/>
      </w:rPr>
    </w:lvl>
    <w:lvl w:ilvl="3" w:tplc="DA50DE22">
      <w:start w:val="1"/>
      <w:numFmt w:val="bullet"/>
      <w:lvlText w:val=""/>
      <w:lvlJc w:val="left"/>
      <w:pPr>
        <w:ind w:left="2880" w:hanging="360"/>
      </w:pPr>
      <w:rPr>
        <w:rFonts w:ascii="Symbol" w:hAnsi="Symbol" w:hint="default"/>
      </w:rPr>
    </w:lvl>
    <w:lvl w:ilvl="4" w:tplc="3B0CC4F2">
      <w:start w:val="1"/>
      <w:numFmt w:val="bullet"/>
      <w:lvlText w:val="o"/>
      <w:lvlJc w:val="left"/>
      <w:pPr>
        <w:ind w:left="3600" w:hanging="360"/>
      </w:pPr>
      <w:rPr>
        <w:rFonts w:ascii="Courier New" w:hAnsi="Courier New" w:hint="default"/>
      </w:rPr>
    </w:lvl>
    <w:lvl w:ilvl="5" w:tplc="05946746">
      <w:start w:val="1"/>
      <w:numFmt w:val="bullet"/>
      <w:lvlText w:val=""/>
      <w:lvlJc w:val="left"/>
      <w:pPr>
        <w:ind w:left="4320" w:hanging="360"/>
      </w:pPr>
      <w:rPr>
        <w:rFonts w:ascii="Wingdings" w:hAnsi="Wingdings" w:hint="default"/>
      </w:rPr>
    </w:lvl>
    <w:lvl w:ilvl="6" w:tplc="76A06ED6">
      <w:start w:val="1"/>
      <w:numFmt w:val="bullet"/>
      <w:lvlText w:val=""/>
      <w:lvlJc w:val="left"/>
      <w:pPr>
        <w:ind w:left="5040" w:hanging="360"/>
      </w:pPr>
      <w:rPr>
        <w:rFonts w:ascii="Symbol" w:hAnsi="Symbol" w:hint="default"/>
      </w:rPr>
    </w:lvl>
    <w:lvl w:ilvl="7" w:tplc="6A6E86AA">
      <w:start w:val="1"/>
      <w:numFmt w:val="bullet"/>
      <w:lvlText w:val="o"/>
      <w:lvlJc w:val="left"/>
      <w:pPr>
        <w:ind w:left="5760" w:hanging="360"/>
      </w:pPr>
      <w:rPr>
        <w:rFonts w:ascii="Courier New" w:hAnsi="Courier New" w:hint="default"/>
      </w:rPr>
    </w:lvl>
    <w:lvl w:ilvl="8" w:tplc="9758A0AA">
      <w:start w:val="1"/>
      <w:numFmt w:val="bullet"/>
      <w:lvlText w:val=""/>
      <w:lvlJc w:val="left"/>
      <w:pPr>
        <w:ind w:left="6480" w:hanging="360"/>
      </w:pPr>
      <w:rPr>
        <w:rFonts w:ascii="Wingdings" w:hAnsi="Wingdings" w:hint="default"/>
      </w:rPr>
    </w:lvl>
  </w:abstractNum>
  <w:abstractNum w:abstractNumId="147" w15:restartNumberingAfterBreak="0">
    <w:nsid w:val="4B1F3B32"/>
    <w:multiLevelType w:val="hybridMultilevel"/>
    <w:tmpl w:val="3D4843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15:restartNumberingAfterBreak="0">
    <w:nsid w:val="4C157B46"/>
    <w:multiLevelType w:val="hybridMultilevel"/>
    <w:tmpl w:val="0D9A4B4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9" w15:restartNumberingAfterBreak="0">
    <w:nsid w:val="4C9237E1"/>
    <w:multiLevelType w:val="hybridMultilevel"/>
    <w:tmpl w:val="C43EF1D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0" w15:restartNumberingAfterBreak="0">
    <w:nsid w:val="4D586266"/>
    <w:multiLevelType w:val="multilevel"/>
    <w:tmpl w:val="47F864C8"/>
    <w:lvl w:ilvl="0">
      <w:start w:val="2"/>
      <w:numFmt w:val="decimal"/>
      <w:lvlText w:val="%1."/>
      <w:lvlJc w:val="left"/>
      <w:pPr>
        <w:tabs>
          <w:tab w:val="num" w:pos="720"/>
        </w:tabs>
        <w:ind w:left="720" w:hanging="360"/>
      </w:pPr>
    </w:lvl>
    <w:lvl w:ilvl="1">
      <w:start w:val="31"/>
      <w:numFmt w:val="decimal"/>
      <w:lvlText w:val="%2."/>
      <w:lvlJc w:val="left"/>
      <w:pPr>
        <w:ind w:left="1440" w:hanging="360"/>
      </w:pPr>
      <w:rPr>
        <w:rFonts w:eastAsia="Times New Roman" w:hint="default"/>
        <w:i w:val="0"/>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D877BE3"/>
    <w:multiLevelType w:val="hybridMultilevel"/>
    <w:tmpl w:val="7AAA63C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E1A982C"/>
    <w:multiLevelType w:val="multilevel"/>
    <w:tmpl w:val="B6FC7880"/>
    <w:name w:val="ListBulletNumbering"/>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4"/>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4"/>
      </w:pPr>
      <w:rPr>
        <w:rFonts w:ascii="Symbol" w:hAnsi="Symbol"/>
      </w:r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53" w15:restartNumberingAfterBreak="0">
    <w:nsid w:val="4E8F1B7B"/>
    <w:multiLevelType w:val="hybridMultilevel"/>
    <w:tmpl w:val="F26A71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4" w15:restartNumberingAfterBreak="0">
    <w:nsid w:val="510B4BF9"/>
    <w:multiLevelType w:val="hybridMultilevel"/>
    <w:tmpl w:val="5A2E283C"/>
    <w:lvl w:ilvl="0" w:tplc="A6FA6DEC">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5" w15:restartNumberingAfterBreak="0">
    <w:nsid w:val="51602510"/>
    <w:multiLevelType w:val="hybridMultilevel"/>
    <w:tmpl w:val="43269D26"/>
    <w:lvl w:ilvl="0" w:tplc="1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 w15:restartNumberingAfterBreak="0">
    <w:nsid w:val="51DE024F"/>
    <w:multiLevelType w:val="hybridMultilevel"/>
    <w:tmpl w:val="2646A8E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5296769F"/>
    <w:multiLevelType w:val="hybridMultilevel"/>
    <w:tmpl w:val="A36E39E0"/>
    <w:lvl w:ilvl="0" w:tplc="C316BF08">
      <w:start w:val="1"/>
      <w:numFmt w:val="bullet"/>
      <w:lvlText w:val="·"/>
      <w:lvlJc w:val="left"/>
      <w:pPr>
        <w:ind w:left="720" w:hanging="360"/>
      </w:pPr>
      <w:rPr>
        <w:rFonts w:ascii="Symbol" w:hAnsi="Symbol" w:hint="default"/>
      </w:rPr>
    </w:lvl>
    <w:lvl w:ilvl="1" w:tplc="375420BC">
      <w:start w:val="1"/>
      <w:numFmt w:val="bullet"/>
      <w:lvlText w:val="o"/>
      <w:lvlJc w:val="left"/>
      <w:pPr>
        <w:ind w:left="1440" w:hanging="360"/>
      </w:pPr>
      <w:rPr>
        <w:rFonts w:ascii="Courier New" w:hAnsi="Courier New" w:hint="default"/>
      </w:rPr>
    </w:lvl>
    <w:lvl w:ilvl="2" w:tplc="4DFE8AD6">
      <w:start w:val="1"/>
      <w:numFmt w:val="bullet"/>
      <w:lvlText w:val=""/>
      <w:lvlJc w:val="left"/>
      <w:pPr>
        <w:ind w:left="2160" w:hanging="360"/>
      </w:pPr>
      <w:rPr>
        <w:rFonts w:ascii="Wingdings" w:hAnsi="Wingdings" w:hint="default"/>
      </w:rPr>
    </w:lvl>
    <w:lvl w:ilvl="3" w:tplc="CE4E1994">
      <w:start w:val="1"/>
      <w:numFmt w:val="bullet"/>
      <w:lvlText w:val=""/>
      <w:lvlJc w:val="left"/>
      <w:pPr>
        <w:ind w:left="2880" w:hanging="360"/>
      </w:pPr>
      <w:rPr>
        <w:rFonts w:ascii="Symbol" w:hAnsi="Symbol" w:hint="default"/>
      </w:rPr>
    </w:lvl>
    <w:lvl w:ilvl="4" w:tplc="B7AE081A">
      <w:start w:val="1"/>
      <w:numFmt w:val="bullet"/>
      <w:lvlText w:val="o"/>
      <w:lvlJc w:val="left"/>
      <w:pPr>
        <w:ind w:left="3600" w:hanging="360"/>
      </w:pPr>
      <w:rPr>
        <w:rFonts w:ascii="Courier New" w:hAnsi="Courier New" w:hint="default"/>
      </w:rPr>
    </w:lvl>
    <w:lvl w:ilvl="5" w:tplc="3A0E94FC">
      <w:start w:val="1"/>
      <w:numFmt w:val="bullet"/>
      <w:lvlText w:val=""/>
      <w:lvlJc w:val="left"/>
      <w:pPr>
        <w:ind w:left="4320" w:hanging="360"/>
      </w:pPr>
      <w:rPr>
        <w:rFonts w:ascii="Wingdings" w:hAnsi="Wingdings" w:hint="default"/>
      </w:rPr>
    </w:lvl>
    <w:lvl w:ilvl="6" w:tplc="34CE4C0C">
      <w:start w:val="1"/>
      <w:numFmt w:val="bullet"/>
      <w:lvlText w:val=""/>
      <w:lvlJc w:val="left"/>
      <w:pPr>
        <w:ind w:left="5040" w:hanging="360"/>
      </w:pPr>
      <w:rPr>
        <w:rFonts w:ascii="Symbol" w:hAnsi="Symbol" w:hint="default"/>
      </w:rPr>
    </w:lvl>
    <w:lvl w:ilvl="7" w:tplc="EA3A3770">
      <w:start w:val="1"/>
      <w:numFmt w:val="bullet"/>
      <w:lvlText w:val="o"/>
      <w:lvlJc w:val="left"/>
      <w:pPr>
        <w:ind w:left="5760" w:hanging="360"/>
      </w:pPr>
      <w:rPr>
        <w:rFonts w:ascii="Courier New" w:hAnsi="Courier New" w:hint="default"/>
      </w:rPr>
    </w:lvl>
    <w:lvl w:ilvl="8" w:tplc="486499A0">
      <w:start w:val="1"/>
      <w:numFmt w:val="bullet"/>
      <w:lvlText w:val=""/>
      <w:lvlJc w:val="left"/>
      <w:pPr>
        <w:ind w:left="6480" w:hanging="360"/>
      </w:pPr>
      <w:rPr>
        <w:rFonts w:ascii="Wingdings" w:hAnsi="Wingdings" w:hint="default"/>
      </w:rPr>
    </w:lvl>
  </w:abstractNum>
  <w:abstractNum w:abstractNumId="158" w15:restartNumberingAfterBreak="0">
    <w:nsid w:val="52D923EF"/>
    <w:multiLevelType w:val="multilevel"/>
    <w:tmpl w:val="7FA68E52"/>
    <w:lvl w:ilvl="0">
      <w:start w:val="1"/>
      <w:numFmt w:val="decimal"/>
      <w:lvlText w:val="%1."/>
      <w:lvlJc w:val="left"/>
      <w:pPr>
        <w:tabs>
          <w:tab w:val="num" w:pos="720"/>
        </w:tabs>
        <w:ind w:left="720" w:hanging="360"/>
      </w:pPr>
    </w:lvl>
    <w:lvl w:ilvl="1">
      <w:start w:val="31"/>
      <w:numFmt w:val="decimal"/>
      <w:lvlText w:val="%2."/>
      <w:lvlJc w:val="left"/>
      <w:pPr>
        <w:ind w:left="1440" w:hanging="360"/>
      </w:pPr>
      <w:rPr>
        <w:rFonts w:eastAsia="Times New Roman"/>
        <w:i w:val="0"/>
        <w:color w:val="000000"/>
      </w:rPr>
    </w:lvl>
    <w:lvl w:ilvl="2">
      <w:start w:val="1"/>
      <w:numFmt w:val="lowerRoman"/>
      <w:lvlText w:val="%3)"/>
      <w:lvlJc w:val="left"/>
      <w:pPr>
        <w:ind w:left="2520" w:hanging="720"/>
      </w:pPr>
    </w:lvl>
    <w:lvl w:ilvl="3">
      <w:start w:val="1"/>
      <w:numFmt w:val="decimal"/>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52DA4CA0"/>
    <w:multiLevelType w:val="hybridMultilevel"/>
    <w:tmpl w:val="D9A40C44"/>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0" w15:restartNumberingAfterBreak="0">
    <w:nsid w:val="53396666"/>
    <w:multiLevelType w:val="hybridMultilevel"/>
    <w:tmpl w:val="9890620C"/>
    <w:lvl w:ilvl="0" w:tplc="313EA1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41501C1"/>
    <w:multiLevelType w:val="multilevel"/>
    <w:tmpl w:val="CCE28C2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2" w15:restartNumberingAfterBreak="0">
    <w:nsid w:val="550160F3"/>
    <w:multiLevelType w:val="hybridMultilevel"/>
    <w:tmpl w:val="07861B8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63" w15:restartNumberingAfterBreak="0">
    <w:nsid w:val="55136FF1"/>
    <w:multiLevelType w:val="hybridMultilevel"/>
    <w:tmpl w:val="B53A27BC"/>
    <w:lvl w:ilvl="0" w:tplc="04070001">
      <w:start w:val="1"/>
      <w:numFmt w:val="bullet"/>
      <w:lvlText w:val=""/>
      <w:lvlJc w:val="left"/>
      <w:pPr>
        <w:ind w:left="720" w:hanging="360"/>
      </w:pPr>
      <w:rPr>
        <w:rFonts w:ascii="Symbol" w:hAnsi="Symbol" w:hint="default"/>
      </w:rPr>
    </w:lvl>
    <w:lvl w:ilvl="1" w:tplc="B71E9292">
      <w:start w:val="8"/>
      <w:numFmt w:val="bullet"/>
      <w:pStyle w:val="TabelleninhaltAufzhlungszeichen"/>
      <w:lvlText w:val="-"/>
      <w:lvlJc w:val="left"/>
      <w:pPr>
        <w:ind w:left="1440" w:hanging="360"/>
      </w:pPr>
      <w:rPr>
        <w:rFonts w:ascii="Franklin Gothic Book" w:hAnsi="Franklin Gothic Book" w:cstheme="minorBidi" w:hint="default"/>
        <w:color w:val="1F497D" w:themeColor="text2"/>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558100BD"/>
    <w:multiLevelType w:val="hybridMultilevel"/>
    <w:tmpl w:val="0512BEA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5" w15:restartNumberingAfterBreak="0">
    <w:nsid w:val="55FE3755"/>
    <w:multiLevelType w:val="hybridMultilevel"/>
    <w:tmpl w:val="FFFFFFFF"/>
    <w:lvl w:ilvl="0" w:tplc="E738EC96">
      <w:start w:val="1"/>
      <w:numFmt w:val="bullet"/>
      <w:lvlText w:val="·"/>
      <w:lvlJc w:val="left"/>
      <w:pPr>
        <w:ind w:left="720" w:hanging="360"/>
      </w:pPr>
      <w:rPr>
        <w:rFonts w:ascii="Symbol" w:hAnsi="Symbol" w:hint="default"/>
      </w:rPr>
    </w:lvl>
    <w:lvl w:ilvl="1" w:tplc="D86C27E8">
      <w:start w:val="1"/>
      <w:numFmt w:val="bullet"/>
      <w:lvlText w:val="o"/>
      <w:lvlJc w:val="left"/>
      <w:pPr>
        <w:ind w:left="1440" w:hanging="360"/>
      </w:pPr>
      <w:rPr>
        <w:rFonts w:ascii="Courier New" w:hAnsi="Courier New" w:hint="default"/>
      </w:rPr>
    </w:lvl>
    <w:lvl w:ilvl="2" w:tplc="386E34F8">
      <w:start w:val="1"/>
      <w:numFmt w:val="bullet"/>
      <w:lvlText w:val=""/>
      <w:lvlJc w:val="left"/>
      <w:pPr>
        <w:ind w:left="2160" w:hanging="360"/>
      </w:pPr>
      <w:rPr>
        <w:rFonts w:ascii="Wingdings" w:hAnsi="Wingdings" w:hint="default"/>
      </w:rPr>
    </w:lvl>
    <w:lvl w:ilvl="3" w:tplc="9E06F93E">
      <w:start w:val="1"/>
      <w:numFmt w:val="bullet"/>
      <w:lvlText w:val=""/>
      <w:lvlJc w:val="left"/>
      <w:pPr>
        <w:ind w:left="2880" w:hanging="360"/>
      </w:pPr>
      <w:rPr>
        <w:rFonts w:ascii="Symbol" w:hAnsi="Symbol" w:hint="default"/>
      </w:rPr>
    </w:lvl>
    <w:lvl w:ilvl="4" w:tplc="7778ACD8">
      <w:start w:val="1"/>
      <w:numFmt w:val="bullet"/>
      <w:lvlText w:val="o"/>
      <w:lvlJc w:val="left"/>
      <w:pPr>
        <w:ind w:left="3600" w:hanging="360"/>
      </w:pPr>
      <w:rPr>
        <w:rFonts w:ascii="Courier New" w:hAnsi="Courier New" w:hint="default"/>
      </w:rPr>
    </w:lvl>
    <w:lvl w:ilvl="5" w:tplc="671887FC">
      <w:start w:val="1"/>
      <w:numFmt w:val="bullet"/>
      <w:lvlText w:val=""/>
      <w:lvlJc w:val="left"/>
      <w:pPr>
        <w:ind w:left="4320" w:hanging="360"/>
      </w:pPr>
      <w:rPr>
        <w:rFonts w:ascii="Wingdings" w:hAnsi="Wingdings" w:hint="default"/>
      </w:rPr>
    </w:lvl>
    <w:lvl w:ilvl="6" w:tplc="3140AF8C">
      <w:start w:val="1"/>
      <w:numFmt w:val="bullet"/>
      <w:lvlText w:val=""/>
      <w:lvlJc w:val="left"/>
      <w:pPr>
        <w:ind w:left="5040" w:hanging="360"/>
      </w:pPr>
      <w:rPr>
        <w:rFonts w:ascii="Symbol" w:hAnsi="Symbol" w:hint="default"/>
      </w:rPr>
    </w:lvl>
    <w:lvl w:ilvl="7" w:tplc="27FA1082">
      <w:start w:val="1"/>
      <w:numFmt w:val="bullet"/>
      <w:lvlText w:val="o"/>
      <w:lvlJc w:val="left"/>
      <w:pPr>
        <w:ind w:left="5760" w:hanging="360"/>
      </w:pPr>
      <w:rPr>
        <w:rFonts w:ascii="Courier New" w:hAnsi="Courier New" w:hint="default"/>
      </w:rPr>
    </w:lvl>
    <w:lvl w:ilvl="8" w:tplc="BC9C60FA">
      <w:start w:val="1"/>
      <w:numFmt w:val="bullet"/>
      <w:lvlText w:val=""/>
      <w:lvlJc w:val="left"/>
      <w:pPr>
        <w:ind w:left="6480" w:hanging="360"/>
      </w:pPr>
      <w:rPr>
        <w:rFonts w:ascii="Wingdings" w:hAnsi="Wingdings" w:hint="default"/>
      </w:rPr>
    </w:lvl>
  </w:abstractNum>
  <w:abstractNum w:abstractNumId="166" w15:restartNumberingAfterBreak="0">
    <w:nsid w:val="56DB5CAE"/>
    <w:multiLevelType w:val="multilevel"/>
    <w:tmpl w:val="8780D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7940BB1"/>
    <w:multiLevelType w:val="multilevel"/>
    <w:tmpl w:val="5E64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7F340A5"/>
    <w:multiLevelType w:val="hybridMultilevel"/>
    <w:tmpl w:val="6E620E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9" w15:restartNumberingAfterBreak="0">
    <w:nsid w:val="58172C4B"/>
    <w:multiLevelType w:val="hybridMultilevel"/>
    <w:tmpl w:val="045484F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0" w15:restartNumberingAfterBreak="0">
    <w:nsid w:val="598810DB"/>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1" w15:restartNumberingAfterBreak="0">
    <w:nsid w:val="5C3369D8"/>
    <w:multiLevelType w:val="hybridMultilevel"/>
    <w:tmpl w:val="AF40B126"/>
    <w:lvl w:ilvl="0" w:tplc="EB4A356A">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2" w15:restartNumberingAfterBreak="0">
    <w:nsid w:val="5C8F24C0"/>
    <w:multiLevelType w:val="hybridMultilevel"/>
    <w:tmpl w:val="0E4AAD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3" w15:restartNumberingAfterBreak="0">
    <w:nsid w:val="5D150473"/>
    <w:multiLevelType w:val="hybridMultilevel"/>
    <w:tmpl w:val="644A0780"/>
    <w:lvl w:ilvl="0" w:tplc="FFFFFFFF">
      <w:start w:val="1"/>
      <w:numFmt w:val="bullet"/>
      <w:lvlText w:val=""/>
      <w:lvlJc w:val="left"/>
      <w:pPr>
        <w:ind w:left="360" w:hanging="360"/>
      </w:pPr>
      <w:rPr>
        <w:rFonts w:ascii="Symbol" w:hAnsi="Symbol" w:hint="default"/>
      </w:rPr>
    </w:lvl>
    <w:lvl w:ilvl="1" w:tplc="22A2022C">
      <w:start w:val="1"/>
      <w:numFmt w:val="bullet"/>
      <w:lvlText w:val="o"/>
      <w:lvlJc w:val="left"/>
      <w:pPr>
        <w:ind w:left="1080" w:hanging="360"/>
      </w:pPr>
      <w:rPr>
        <w:rFonts w:ascii="Courier New" w:hAnsi="Courier New" w:hint="default"/>
      </w:rPr>
    </w:lvl>
    <w:lvl w:ilvl="2" w:tplc="A31AC960">
      <w:start w:val="1"/>
      <w:numFmt w:val="bullet"/>
      <w:lvlText w:val=""/>
      <w:lvlJc w:val="left"/>
      <w:pPr>
        <w:ind w:left="1800" w:hanging="360"/>
      </w:pPr>
      <w:rPr>
        <w:rFonts w:ascii="Wingdings" w:hAnsi="Wingdings" w:hint="default"/>
      </w:rPr>
    </w:lvl>
    <w:lvl w:ilvl="3" w:tplc="DD1ACC04">
      <w:start w:val="1"/>
      <w:numFmt w:val="bullet"/>
      <w:lvlText w:val=""/>
      <w:lvlJc w:val="left"/>
      <w:pPr>
        <w:ind w:left="2520" w:hanging="360"/>
      </w:pPr>
      <w:rPr>
        <w:rFonts w:ascii="Symbol" w:hAnsi="Symbol" w:hint="default"/>
      </w:rPr>
    </w:lvl>
    <w:lvl w:ilvl="4" w:tplc="4AEA76B0">
      <w:start w:val="1"/>
      <w:numFmt w:val="bullet"/>
      <w:lvlText w:val="o"/>
      <w:lvlJc w:val="left"/>
      <w:pPr>
        <w:ind w:left="3240" w:hanging="360"/>
      </w:pPr>
      <w:rPr>
        <w:rFonts w:ascii="Courier New" w:hAnsi="Courier New" w:hint="default"/>
      </w:rPr>
    </w:lvl>
    <w:lvl w:ilvl="5" w:tplc="B6B008D0">
      <w:start w:val="1"/>
      <w:numFmt w:val="bullet"/>
      <w:lvlText w:val=""/>
      <w:lvlJc w:val="left"/>
      <w:pPr>
        <w:ind w:left="3960" w:hanging="360"/>
      </w:pPr>
      <w:rPr>
        <w:rFonts w:ascii="Wingdings" w:hAnsi="Wingdings" w:hint="default"/>
      </w:rPr>
    </w:lvl>
    <w:lvl w:ilvl="6" w:tplc="6F3CC972">
      <w:start w:val="1"/>
      <w:numFmt w:val="bullet"/>
      <w:lvlText w:val=""/>
      <w:lvlJc w:val="left"/>
      <w:pPr>
        <w:ind w:left="4680" w:hanging="360"/>
      </w:pPr>
      <w:rPr>
        <w:rFonts w:ascii="Symbol" w:hAnsi="Symbol" w:hint="default"/>
      </w:rPr>
    </w:lvl>
    <w:lvl w:ilvl="7" w:tplc="8E386F7A">
      <w:start w:val="1"/>
      <w:numFmt w:val="bullet"/>
      <w:lvlText w:val="o"/>
      <w:lvlJc w:val="left"/>
      <w:pPr>
        <w:ind w:left="5400" w:hanging="360"/>
      </w:pPr>
      <w:rPr>
        <w:rFonts w:ascii="Courier New" w:hAnsi="Courier New" w:hint="default"/>
      </w:rPr>
    </w:lvl>
    <w:lvl w:ilvl="8" w:tplc="20BC4568">
      <w:start w:val="1"/>
      <w:numFmt w:val="bullet"/>
      <w:lvlText w:val=""/>
      <w:lvlJc w:val="left"/>
      <w:pPr>
        <w:ind w:left="6120" w:hanging="360"/>
      </w:pPr>
      <w:rPr>
        <w:rFonts w:ascii="Wingdings" w:hAnsi="Wingdings" w:hint="default"/>
      </w:rPr>
    </w:lvl>
  </w:abstractNum>
  <w:abstractNum w:abstractNumId="174" w15:restartNumberingAfterBreak="0">
    <w:nsid w:val="5D5D77B4"/>
    <w:multiLevelType w:val="hybridMultilevel"/>
    <w:tmpl w:val="29446B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5" w15:restartNumberingAfterBreak="0">
    <w:nsid w:val="5EBF0A8F"/>
    <w:multiLevelType w:val="hybridMultilevel"/>
    <w:tmpl w:val="7DBE73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6" w15:restartNumberingAfterBreak="0">
    <w:nsid w:val="60B5441A"/>
    <w:multiLevelType w:val="hybridMultilevel"/>
    <w:tmpl w:val="D59A1078"/>
    <w:lvl w:ilvl="0" w:tplc="FFFFFFFF">
      <w:numFmt w:val="bullet"/>
      <w:lvlText w:val="-"/>
      <w:lvlJc w:val="left"/>
      <w:pPr>
        <w:ind w:left="720" w:hanging="360"/>
      </w:pPr>
      <w:rPr>
        <w:rFonts w:ascii="Times New Roman" w:eastAsiaTheme="minorHAnsi" w:hAnsi="Times New Roman" w:cs="Times New Roman" w:hint="default"/>
      </w:rPr>
    </w:lvl>
    <w:lvl w:ilvl="1" w:tplc="4D08ABEC">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614C7A15"/>
    <w:multiLevelType w:val="hybridMultilevel"/>
    <w:tmpl w:val="9B4C4334"/>
    <w:lvl w:ilvl="0" w:tplc="18090001">
      <w:start w:val="1"/>
      <w:numFmt w:val="bullet"/>
      <w:lvlText w:val=""/>
      <w:lvlJc w:val="left"/>
      <w:pPr>
        <w:ind w:left="2453" w:hanging="360"/>
      </w:pPr>
      <w:rPr>
        <w:rFonts w:ascii="Symbol" w:hAnsi="Symbol" w:hint="default"/>
      </w:rPr>
    </w:lvl>
    <w:lvl w:ilvl="1" w:tplc="18090003">
      <w:start w:val="1"/>
      <w:numFmt w:val="bullet"/>
      <w:lvlText w:val="o"/>
      <w:lvlJc w:val="left"/>
      <w:pPr>
        <w:ind w:left="3173" w:hanging="360"/>
      </w:pPr>
      <w:rPr>
        <w:rFonts w:ascii="Courier New" w:hAnsi="Courier New" w:cs="Courier New" w:hint="default"/>
      </w:rPr>
    </w:lvl>
    <w:lvl w:ilvl="2" w:tplc="18090005" w:tentative="1">
      <w:start w:val="1"/>
      <w:numFmt w:val="bullet"/>
      <w:lvlText w:val=""/>
      <w:lvlJc w:val="left"/>
      <w:pPr>
        <w:ind w:left="3893" w:hanging="360"/>
      </w:pPr>
      <w:rPr>
        <w:rFonts w:ascii="Wingdings" w:hAnsi="Wingdings" w:hint="default"/>
      </w:rPr>
    </w:lvl>
    <w:lvl w:ilvl="3" w:tplc="18090001" w:tentative="1">
      <w:start w:val="1"/>
      <w:numFmt w:val="bullet"/>
      <w:lvlText w:val=""/>
      <w:lvlJc w:val="left"/>
      <w:pPr>
        <w:ind w:left="4613" w:hanging="360"/>
      </w:pPr>
      <w:rPr>
        <w:rFonts w:ascii="Symbol" w:hAnsi="Symbol" w:hint="default"/>
      </w:rPr>
    </w:lvl>
    <w:lvl w:ilvl="4" w:tplc="18090003" w:tentative="1">
      <w:start w:val="1"/>
      <w:numFmt w:val="bullet"/>
      <w:lvlText w:val="o"/>
      <w:lvlJc w:val="left"/>
      <w:pPr>
        <w:ind w:left="5333" w:hanging="360"/>
      </w:pPr>
      <w:rPr>
        <w:rFonts w:ascii="Courier New" w:hAnsi="Courier New" w:cs="Courier New" w:hint="default"/>
      </w:rPr>
    </w:lvl>
    <w:lvl w:ilvl="5" w:tplc="18090005" w:tentative="1">
      <w:start w:val="1"/>
      <w:numFmt w:val="bullet"/>
      <w:lvlText w:val=""/>
      <w:lvlJc w:val="left"/>
      <w:pPr>
        <w:ind w:left="6053" w:hanging="360"/>
      </w:pPr>
      <w:rPr>
        <w:rFonts w:ascii="Wingdings" w:hAnsi="Wingdings" w:hint="default"/>
      </w:rPr>
    </w:lvl>
    <w:lvl w:ilvl="6" w:tplc="18090001" w:tentative="1">
      <w:start w:val="1"/>
      <w:numFmt w:val="bullet"/>
      <w:lvlText w:val=""/>
      <w:lvlJc w:val="left"/>
      <w:pPr>
        <w:ind w:left="6773" w:hanging="360"/>
      </w:pPr>
      <w:rPr>
        <w:rFonts w:ascii="Symbol" w:hAnsi="Symbol" w:hint="default"/>
      </w:rPr>
    </w:lvl>
    <w:lvl w:ilvl="7" w:tplc="18090003" w:tentative="1">
      <w:start w:val="1"/>
      <w:numFmt w:val="bullet"/>
      <w:lvlText w:val="o"/>
      <w:lvlJc w:val="left"/>
      <w:pPr>
        <w:ind w:left="7493" w:hanging="360"/>
      </w:pPr>
      <w:rPr>
        <w:rFonts w:ascii="Courier New" w:hAnsi="Courier New" w:cs="Courier New" w:hint="default"/>
      </w:rPr>
    </w:lvl>
    <w:lvl w:ilvl="8" w:tplc="18090005" w:tentative="1">
      <w:start w:val="1"/>
      <w:numFmt w:val="bullet"/>
      <w:lvlText w:val=""/>
      <w:lvlJc w:val="left"/>
      <w:pPr>
        <w:ind w:left="8213" w:hanging="360"/>
      </w:pPr>
      <w:rPr>
        <w:rFonts w:ascii="Wingdings" w:hAnsi="Wingdings" w:hint="default"/>
      </w:rPr>
    </w:lvl>
  </w:abstractNum>
  <w:abstractNum w:abstractNumId="178" w15:restartNumberingAfterBreak="0">
    <w:nsid w:val="61F66C55"/>
    <w:multiLevelType w:val="hybridMultilevel"/>
    <w:tmpl w:val="AF40B12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9" w15:restartNumberingAfterBreak="0">
    <w:nsid w:val="63224297"/>
    <w:multiLevelType w:val="hybridMultilevel"/>
    <w:tmpl w:val="CE263962"/>
    <w:lvl w:ilvl="0" w:tplc="FFFFFFFF">
      <w:start w:val="1"/>
      <w:numFmt w:val="bullet"/>
      <w:lvlText w:val=""/>
      <w:lvlJc w:val="left"/>
      <w:pPr>
        <w:ind w:left="720" w:hanging="360"/>
      </w:pPr>
      <w:rPr>
        <w:rFonts w:ascii="Symbol" w:hAnsi="Symbol" w:hint="default"/>
      </w:rPr>
    </w:lvl>
    <w:lvl w:ilvl="1" w:tplc="72BAA964">
      <w:start w:val="1"/>
      <w:numFmt w:val="bullet"/>
      <w:lvlText w:val="o"/>
      <w:lvlJc w:val="left"/>
      <w:pPr>
        <w:ind w:left="1440" w:hanging="360"/>
      </w:pPr>
      <w:rPr>
        <w:rFonts w:ascii="Courier New" w:hAnsi="Courier New" w:hint="default"/>
      </w:rPr>
    </w:lvl>
    <w:lvl w:ilvl="2" w:tplc="FA900182">
      <w:start w:val="1"/>
      <w:numFmt w:val="bullet"/>
      <w:lvlText w:val=""/>
      <w:lvlJc w:val="left"/>
      <w:pPr>
        <w:ind w:left="2160" w:hanging="360"/>
      </w:pPr>
      <w:rPr>
        <w:rFonts w:ascii="Wingdings" w:hAnsi="Wingdings" w:hint="default"/>
      </w:rPr>
    </w:lvl>
    <w:lvl w:ilvl="3" w:tplc="39388A6E">
      <w:start w:val="1"/>
      <w:numFmt w:val="bullet"/>
      <w:lvlText w:val=""/>
      <w:lvlJc w:val="left"/>
      <w:pPr>
        <w:ind w:left="2880" w:hanging="360"/>
      </w:pPr>
      <w:rPr>
        <w:rFonts w:ascii="Symbol" w:hAnsi="Symbol" w:hint="default"/>
      </w:rPr>
    </w:lvl>
    <w:lvl w:ilvl="4" w:tplc="FFEA3940">
      <w:start w:val="1"/>
      <w:numFmt w:val="bullet"/>
      <w:lvlText w:val="o"/>
      <w:lvlJc w:val="left"/>
      <w:pPr>
        <w:ind w:left="3600" w:hanging="360"/>
      </w:pPr>
      <w:rPr>
        <w:rFonts w:ascii="Courier New" w:hAnsi="Courier New" w:hint="default"/>
      </w:rPr>
    </w:lvl>
    <w:lvl w:ilvl="5" w:tplc="C61E201C">
      <w:start w:val="1"/>
      <w:numFmt w:val="bullet"/>
      <w:lvlText w:val=""/>
      <w:lvlJc w:val="left"/>
      <w:pPr>
        <w:ind w:left="4320" w:hanging="360"/>
      </w:pPr>
      <w:rPr>
        <w:rFonts w:ascii="Wingdings" w:hAnsi="Wingdings" w:hint="default"/>
      </w:rPr>
    </w:lvl>
    <w:lvl w:ilvl="6" w:tplc="2FCAA26C">
      <w:start w:val="1"/>
      <w:numFmt w:val="bullet"/>
      <w:lvlText w:val=""/>
      <w:lvlJc w:val="left"/>
      <w:pPr>
        <w:ind w:left="5040" w:hanging="360"/>
      </w:pPr>
      <w:rPr>
        <w:rFonts w:ascii="Symbol" w:hAnsi="Symbol" w:hint="default"/>
      </w:rPr>
    </w:lvl>
    <w:lvl w:ilvl="7" w:tplc="7F02E460">
      <w:start w:val="1"/>
      <w:numFmt w:val="bullet"/>
      <w:lvlText w:val="o"/>
      <w:lvlJc w:val="left"/>
      <w:pPr>
        <w:ind w:left="5760" w:hanging="360"/>
      </w:pPr>
      <w:rPr>
        <w:rFonts w:ascii="Courier New" w:hAnsi="Courier New" w:hint="default"/>
      </w:rPr>
    </w:lvl>
    <w:lvl w:ilvl="8" w:tplc="FA6EE2F8">
      <w:start w:val="1"/>
      <w:numFmt w:val="bullet"/>
      <w:lvlText w:val=""/>
      <w:lvlJc w:val="left"/>
      <w:pPr>
        <w:ind w:left="6480" w:hanging="360"/>
      </w:pPr>
      <w:rPr>
        <w:rFonts w:ascii="Wingdings" w:hAnsi="Wingdings" w:hint="default"/>
      </w:rPr>
    </w:lvl>
  </w:abstractNum>
  <w:abstractNum w:abstractNumId="180" w15:restartNumberingAfterBreak="0">
    <w:nsid w:val="63BA1346"/>
    <w:multiLevelType w:val="hybridMultilevel"/>
    <w:tmpl w:val="FFFFFFFF"/>
    <w:lvl w:ilvl="0" w:tplc="6216491E">
      <w:start w:val="1"/>
      <w:numFmt w:val="decimal"/>
      <w:lvlText w:val="%1."/>
      <w:lvlJc w:val="left"/>
      <w:pPr>
        <w:ind w:left="1080" w:hanging="720"/>
      </w:pPr>
    </w:lvl>
    <w:lvl w:ilvl="1" w:tplc="724AFEC0">
      <w:start w:val="1"/>
      <w:numFmt w:val="lowerLetter"/>
      <w:lvlText w:val="%2."/>
      <w:lvlJc w:val="left"/>
      <w:pPr>
        <w:ind w:left="1440" w:hanging="360"/>
      </w:pPr>
    </w:lvl>
    <w:lvl w:ilvl="2" w:tplc="A7A88750">
      <w:start w:val="1"/>
      <w:numFmt w:val="lowerRoman"/>
      <w:lvlText w:val="%3."/>
      <w:lvlJc w:val="right"/>
      <w:pPr>
        <w:ind w:left="2160" w:hanging="180"/>
      </w:pPr>
    </w:lvl>
    <w:lvl w:ilvl="3" w:tplc="A32EBF48">
      <w:start w:val="1"/>
      <w:numFmt w:val="decimal"/>
      <w:lvlText w:val="%4."/>
      <w:lvlJc w:val="left"/>
      <w:pPr>
        <w:ind w:left="2880" w:hanging="360"/>
      </w:pPr>
    </w:lvl>
    <w:lvl w:ilvl="4" w:tplc="E2465C28">
      <w:start w:val="1"/>
      <w:numFmt w:val="lowerLetter"/>
      <w:lvlText w:val="%5."/>
      <w:lvlJc w:val="left"/>
      <w:pPr>
        <w:ind w:left="3600" w:hanging="360"/>
      </w:pPr>
    </w:lvl>
    <w:lvl w:ilvl="5" w:tplc="CAA24A2E">
      <w:start w:val="1"/>
      <w:numFmt w:val="lowerRoman"/>
      <w:lvlText w:val="%6."/>
      <w:lvlJc w:val="right"/>
      <w:pPr>
        <w:ind w:left="4320" w:hanging="180"/>
      </w:pPr>
    </w:lvl>
    <w:lvl w:ilvl="6" w:tplc="5CB28BC4">
      <w:start w:val="1"/>
      <w:numFmt w:val="decimal"/>
      <w:lvlText w:val="%7."/>
      <w:lvlJc w:val="left"/>
      <w:pPr>
        <w:ind w:left="5040" w:hanging="360"/>
      </w:pPr>
    </w:lvl>
    <w:lvl w:ilvl="7" w:tplc="558427E4">
      <w:start w:val="1"/>
      <w:numFmt w:val="lowerLetter"/>
      <w:lvlText w:val="%8."/>
      <w:lvlJc w:val="left"/>
      <w:pPr>
        <w:ind w:left="5760" w:hanging="360"/>
      </w:pPr>
    </w:lvl>
    <w:lvl w:ilvl="8" w:tplc="B94C2F98">
      <w:start w:val="1"/>
      <w:numFmt w:val="lowerRoman"/>
      <w:lvlText w:val="%9."/>
      <w:lvlJc w:val="right"/>
      <w:pPr>
        <w:ind w:left="6480" w:hanging="180"/>
      </w:pPr>
    </w:lvl>
  </w:abstractNum>
  <w:abstractNum w:abstractNumId="181" w15:restartNumberingAfterBreak="0">
    <w:nsid w:val="64641129"/>
    <w:multiLevelType w:val="hybridMultilevel"/>
    <w:tmpl w:val="208AA6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2" w15:restartNumberingAfterBreak="0">
    <w:nsid w:val="654D17DF"/>
    <w:multiLevelType w:val="hybridMultilevel"/>
    <w:tmpl w:val="FFFFFFFF"/>
    <w:lvl w:ilvl="0" w:tplc="2F4A7E3E">
      <w:start w:val="1"/>
      <w:numFmt w:val="bullet"/>
      <w:lvlText w:val="·"/>
      <w:lvlJc w:val="left"/>
      <w:pPr>
        <w:ind w:left="720" w:hanging="360"/>
      </w:pPr>
      <w:rPr>
        <w:rFonts w:ascii="Symbol" w:hAnsi="Symbol" w:hint="default"/>
      </w:rPr>
    </w:lvl>
    <w:lvl w:ilvl="1" w:tplc="9D94E014">
      <w:start w:val="1"/>
      <w:numFmt w:val="bullet"/>
      <w:lvlText w:val="o"/>
      <w:lvlJc w:val="left"/>
      <w:pPr>
        <w:ind w:left="1440" w:hanging="360"/>
      </w:pPr>
      <w:rPr>
        <w:rFonts w:ascii="Courier New" w:hAnsi="Courier New" w:hint="default"/>
      </w:rPr>
    </w:lvl>
    <w:lvl w:ilvl="2" w:tplc="041608D4">
      <w:start w:val="1"/>
      <w:numFmt w:val="bullet"/>
      <w:lvlText w:val=""/>
      <w:lvlJc w:val="left"/>
      <w:pPr>
        <w:ind w:left="2160" w:hanging="360"/>
      </w:pPr>
      <w:rPr>
        <w:rFonts w:ascii="Wingdings" w:hAnsi="Wingdings" w:hint="default"/>
      </w:rPr>
    </w:lvl>
    <w:lvl w:ilvl="3" w:tplc="27160518">
      <w:start w:val="1"/>
      <w:numFmt w:val="bullet"/>
      <w:lvlText w:val=""/>
      <w:lvlJc w:val="left"/>
      <w:pPr>
        <w:ind w:left="2880" w:hanging="360"/>
      </w:pPr>
      <w:rPr>
        <w:rFonts w:ascii="Symbol" w:hAnsi="Symbol" w:hint="default"/>
      </w:rPr>
    </w:lvl>
    <w:lvl w:ilvl="4" w:tplc="AE4E517A">
      <w:start w:val="1"/>
      <w:numFmt w:val="bullet"/>
      <w:lvlText w:val="o"/>
      <w:lvlJc w:val="left"/>
      <w:pPr>
        <w:ind w:left="3600" w:hanging="360"/>
      </w:pPr>
      <w:rPr>
        <w:rFonts w:ascii="Courier New" w:hAnsi="Courier New" w:hint="default"/>
      </w:rPr>
    </w:lvl>
    <w:lvl w:ilvl="5" w:tplc="2D8A766C">
      <w:start w:val="1"/>
      <w:numFmt w:val="bullet"/>
      <w:lvlText w:val=""/>
      <w:lvlJc w:val="left"/>
      <w:pPr>
        <w:ind w:left="4320" w:hanging="360"/>
      </w:pPr>
      <w:rPr>
        <w:rFonts w:ascii="Wingdings" w:hAnsi="Wingdings" w:hint="default"/>
      </w:rPr>
    </w:lvl>
    <w:lvl w:ilvl="6" w:tplc="97F2C23C">
      <w:start w:val="1"/>
      <w:numFmt w:val="bullet"/>
      <w:lvlText w:val=""/>
      <w:lvlJc w:val="left"/>
      <w:pPr>
        <w:ind w:left="5040" w:hanging="360"/>
      </w:pPr>
      <w:rPr>
        <w:rFonts w:ascii="Symbol" w:hAnsi="Symbol" w:hint="default"/>
      </w:rPr>
    </w:lvl>
    <w:lvl w:ilvl="7" w:tplc="0DEA3C96">
      <w:start w:val="1"/>
      <w:numFmt w:val="bullet"/>
      <w:lvlText w:val="o"/>
      <w:lvlJc w:val="left"/>
      <w:pPr>
        <w:ind w:left="5760" w:hanging="360"/>
      </w:pPr>
      <w:rPr>
        <w:rFonts w:ascii="Courier New" w:hAnsi="Courier New" w:hint="default"/>
      </w:rPr>
    </w:lvl>
    <w:lvl w:ilvl="8" w:tplc="D46CC5F4">
      <w:start w:val="1"/>
      <w:numFmt w:val="bullet"/>
      <w:lvlText w:val=""/>
      <w:lvlJc w:val="left"/>
      <w:pPr>
        <w:ind w:left="6480" w:hanging="360"/>
      </w:pPr>
      <w:rPr>
        <w:rFonts w:ascii="Wingdings" w:hAnsi="Wingdings" w:hint="default"/>
      </w:rPr>
    </w:lvl>
  </w:abstractNum>
  <w:abstractNum w:abstractNumId="183" w15:restartNumberingAfterBreak="0">
    <w:nsid w:val="65E67A2F"/>
    <w:multiLevelType w:val="hybridMultilevel"/>
    <w:tmpl w:val="93664674"/>
    <w:lvl w:ilvl="0" w:tplc="18090001">
      <w:start w:val="1"/>
      <w:numFmt w:val="bullet"/>
      <w:lvlText w:val=""/>
      <w:lvlJc w:val="left"/>
      <w:pPr>
        <w:ind w:left="785" w:hanging="360"/>
      </w:pPr>
      <w:rPr>
        <w:rFonts w:ascii="Symbol" w:hAnsi="Symbol" w:hint="default"/>
      </w:rPr>
    </w:lvl>
    <w:lvl w:ilvl="1" w:tplc="18090003" w:tentative="1">
      <w:start w:val="1"/>
      <w:numFmt w:val="bullet"/>
      <w:lvlText w:val="o"/>
      <w:lvlJc w:val="left"/>
      <w:pPr>
        <w:ind w:left="1505" w:hanging="360"/>
      </w:pPr>
      <w:rPr>
        <w:rFonts w:ascii="Courier New" w:hAnsi="Courier New" w:cs="Courier New" w:hint="default"/>
      </w:rPr>
    </w:lvl>
    <w:lvl w:ilvl="2" w:tplc="18090005" w:tentative="1">
      <w:start w:val="1"/>
      <w:numFmt w:val="bullet"/>
      <w:lvlText w:val=""/>
      <w:lvlJc w:val="left"/>
      <w:pPr>
        <w:ind w:left="2225" w:hanging="360"/>
      </w:pPr>
      <w:rPr>
        <w:rFonts w:ascii="Wingdings" w:hAnsi="Wingdings" w:hint="default"/>
      </w:rPr>
    </w:lvl>
    <w:lvl w:ilvl="3" w:tplc="18090001" w:tentative="1">
      <w:start w:val="1"/>
      <w:numFmt w:val="bullet"/>
      <w:lvlText w:val=""/>
      <w:lvlJc w:val="left"/>
      <w:pPr>
        <w:ind w:left="2945" w:hanging="360"/>
      </w:pPr>
      <w:rPr>
        <w:rFonts w:ascii="Symbol" w:hAnsi="Symbol" w:hint="default"/>
      </w:rPr>
    </w:lvl>
    <w:lvl w:ilvl="4" w:tplc="18090003" w:tentative="1">
      <w:start w:val="1"/>
      <w:numFmt w:val="bullet"/>
      <w:lvlText w:val="o"/>
      <w:lvlJc w:val="left"/>
      <w:pPr>
        <w:ind w:left="3665" w:hanging="360"/>
      </w:pPr>
      <w:rPr>
        <w:rFonts w:ascii="Courier New" w:hAnsi="Courier New" w:cs="Courier New" w:hint="default"/>
      </w:rPr>
    </w:lvl>
    <w:lvl w:ilvl="5" w:tplc="18090005" w:tentative="1">
      <w:start w:val="1"/>
      <w:numFmt w:val="bullet"/>
      <w:lvlText w:val=""/>
      <w:lvlJc w:val="left"/>
      <w:pPr>
        <w:ind w:left="4385" w:hanging="360"/>
      </w:pPr>
      <w:rPr>
        <w:rFonts w:ascii="Wingdings" w:hAnsi="Wingdings" w:hint="default"/>
      </w:rPr>
    </w:lvl>
    <w:lvl w:ilvl="6" w:tplc="18090001" w:tentative="1">
      <w:start w:val="1"/>
      <w:numFmt w:val="bullet"/>
      <w:lvlText w:val=""/>
      <w:lvlJc w:val="left"/>
      <w:pPr>
        <w:ind w:left="5105" w:hanging="360"/>
      </w:pPr>
      <w:rPr>
        <w:rFonts w:ascii="Symbol" w:hAnsi="Symbol" w:hint="default"/>
      </w:rPr>
    </w:lvl>
    <w:lvl w:ilvl="7" w:tplc="18090003" w:tentative="1">
      <w:start w:val="1"/>
      <w:numFmt w:val="bullet"/>
      <w:lvlText w:val="o"/>
      <w:lvlJc w:val="left"/>
      <w:pPr>
        <w:ind w:left="5825" w:hanging="360"/>
      </w:pPr>
      <w:rPr>
        <w:rFonts w:ascii="Courier New" w:hAnsi="Courier New" w:cs="Courier New" w:hint="default"/>
      </w:rPr>
    </w:lvl>
    <w:lvl w:ilvl="8" w:tplc="18090005" w:tentative="1">
      <w:start w:val="1"/>
      <w:numFmt w:val="bullet"/>
      <w:lvlText w:val=""/>
      <w:lvlJc w:val="left"/>
      <w:pPr>
        <w:ind w:left="6545" w:hanging="360"/>
      </w:pPr>
      <w:rPr>
        <w:rFonts w:ascii="Wingdings" w:hAnsi="Wingdings" w:hint="default"/>
      </w:rPr>
    </w:lvl>
  </w:abstractNum>
  <w:abstractNum w:abstractNumId="184" w15:restartNumberingAfterBreak="0">
    <w:nsid w:val="67A56218"/>
    <w:multiLevelType w:val="hybridMultilevel"/>
    <w:tmpl w:val="0FA2F4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5" w15:restartNumberingAfterBreak="0">
    <w:nsid w:val="67D793A8"/>
    <w:multiLevelType w:val="hybridMultilevel"/>
    <w:tmpl w:val="549EBF40"/>
    <w:lvl w:ilvl="0" w:tplc="AB9AA92A">
      <w:start w:val="1"/>
      <w:numFmt w:val="bullet"/>
      <w:lvlText w:val="-"/>
      <w:lvlJc w:val="left"/>
      <w:pPr>
        <w:ind w:left="720" w:hanging="360"/>
      </w:pPr>
      <w:rPr>
        <w:rFonts w:ascii="Symbol" w:hAnsi="Symbol" w:hint="default"/>
      </w:rPr>
    </w:lvl>
    <w:lvl w:ilvl="1" w:tplc="4F54D686">
      <w:start w:val="1"/>
      <w:numFmt w:val="bullet"/>
      <w:lvlText w:val="o"/>
      <w:lvlJc w:val="left"/>
      <w:pPr>
        <w:ind w:left="1440" w:hanging="360"/>
      </w:pPr>
      <w:rPr>
        <w:rFonts w:ascii="Courier New" w:hAnsi="Courier New" w:hint="default"/>
      </w:rPr>
    </w:lvl>
    <w:lvl w:ilvl="2" w:tplc="76D8C25A">
      <w:start w:val="1"/>
      <w:numFmt w:val="bullet"/>
      <w:lvlText w:val=""/>
      <w:lvlJc w:val="left"/>
      <w:pPr>
        <w:ind w:left="2160" w:hanging="360"/>
      </w:pPr>
      <w:rPr>
        <w:rFonts w:ascii="Wingdings" w:hAnsi="Wingdings" w:hint="default"/>
      </w:rPr>
    </w:lvl>
    <w:lvl w:ilvl="3" w:tplc="793C517E">
      <w:start w:val="1"/>
      <w:numFmt w:val="bullet"/>
      <w:lvlText w:val=""/>
      <w:lvlJc w:val="left"/>
      <w:pPr>
        <w:ind w:left="2880" w:hanging="360"/>
      </w:pPr>
      <w:rPr>
        <w:rFonts w:ascii="Symbol" w:hAnsi="Symbol" w:hint="default"/>
      </w:rPr>
    </w:lvl>
    <w:lvl w:ilvl="4" w:tplc="B988386A">
      <w:start w:val="1"/>
      <w:numFmt w:val="bullet"/>
      <w:lvlText w:val="o"/>
      <w:lvlJc w:val="left"/>
      <w:pPr>
        <w:ind w:left="3600" w:hanging="360"/>
      </w:pPr>
      <w:rPr>
        <w:rFonts w:ascii="Courier New" w:hAnsi="Courier New" w:hint="default"/>
      </w:rPr>
    </w:lvl>
    <w:lvl w:ilvl="5" w:tplc="B1F6E286">
      <w:start w:val="1"/>
      <w:numFmt w:val="bullet"/>
      <w:lvlText w:val=""/>
      <w:lvlJc w:val="left"/>
      <w:pPr>
        <w:ind w:left="4320" w:hanging="360"/>
      </w:pPr>
      <w:rPr>
        <w:rFonts w:ascii="Wingdings" w:hAnsi="Wingdings" w:hint="default"/>
      </w:rPr>
    </w:lvl>
    <w:lvl w:ilvl="6" w:tplc="CD362FCA">
      <w:start w:val="1"/>
      <w:numFmt w:val="bullet"/>
      <w:lvlText w:val=""/>
      <w:lvlJc w:val="left"/>
      <w:pPr>
        <w:ind w:left="5040" w:hanging="360"/>
      </w:pPr>
      <w:rPr>
        <w:rFonts w:ascii="Symbol" w:hAnsi="Symbol" w:hint="default"/>
      </w:rPr>
    </w:lvl>
    <w:lvl w:ilvl="7" w:tplc="A1441F96">
      <w:start w:val="1"/>
      <w:numFmt w:val="bullet"/>
      <w:lvlText w:val="o"/>
      <w:lvlJc w:val="left"/>
      <w:pPr>
        <w:ind w:left="5760" w:hanging="360"/>
      </w:pPr>
      <w:rPr>
        <w:rFonts w:ascii="Courier New" w:hAnsi="Courier New" w:hint="default"/>
      </w:rPr>
    </w:lvl>
    <w:lvl w:ilvl="8" w:tplc="48008FCE">
      <w:start w:val="1"/>
      <w:numFmt w:val="bullet"/>
      <w:lvlText w:val=""/>
      <w:lvlJc w:val="left"/>
      <w:pPr>
        <w:ind w:left="6480" w:hanging="360"/>
      </w:pPr>
      <w:rPr>
        <w:rFonts w:ascii="Wingdings" w:hAnsi="Wingdings" w:hint="default"/>
      </w:rPr>
    </w:lvl>
  </w:abstractNum>
  <w:abstractNum w:abstractNumId="186" w15:restartNumberingAfterBreak="0">
    <w:nsid w:val="68764078"/>
    <w:multiLevelType w:val="hybridMultilevel"/>
    <w:tmpl w:val="5B2C1C5C"/>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7" w15:restartNumberingAfterBreak="0">
    <w:nsid w:val="69B87E69"/>
    <w:multiLevelType w:val="hybridMultilevel"/>
    <w:tmpl w:val="8C9820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8" w15:restartNumberingAfterBreak="0">
    <w:nsid w:val="6B11CFAF"/>
    <w:multiLevelType w:val="hybridMultilevel"/>
    <w:tmpl w:val="FFFFFFFF"/>
    <w:lvl w:ilvl="0" w:tplc="5D0CEB64">
      <w:start w:val="1"/>
      <w:numFmt w:val="bullet"/>
      <w:lvlText w:val="·"/>
      <w:lvlJc w:val="left"/>
      <w:pPr>
        <w:ind w:left="720" w:hanging="360"/>
      </w:pPr>
      <w:rPr>
        <w:rFonts w:ascii="Symbol" w:hAnsi="Symbol" w:hint="default"/>
      </w:rPr>
    </w:lvl>
    <w:lvl w:ilvl="1" w:tplc="06A2B15A">
      <w:start w:val="1"/>
      <w:numFmt w:val="bullet"/>
      <w:lvlText w:val="o"/>
      <w:lvlJc w:val="left"/>
      <w:pPr>
        <w:ind w:left="1440" w:hanging="360"/>
      </w:pPr>
      <w:rPr>
        <w:rFonts w:ascii="Courier New" w:hAnsi="Courier New" w:hint="default"/>
      </w:rPr>
    </w:lvl>
    <w:lvl w:ilvl="2" w:tplc="499C3790">
      <w:start w:val="1"/>
      <w:numFmt w:val="bullet"/>
      <w:lvlText w:val=""/>
      <w:lvlJc w:val="left"/>
      <w:pPr>
        <w:ind w:left="2160" w:hanging="360"/>
      </w:pPr>
      <w:rPr>
        <w:rFonts w:ascii="Wingdings" w:hAnsi="Wingdings" w:hint="default"/>
      </w:rPr>
    </w:lvl>
    <w:lvl w:ilvl="3" w:tplc="EBACE2BC">
      <w:start w:val="1"/>
      <w:numFmt w:val="bullet"/>
      <w:lvlText w:val=""/>
      <w:lvlJc w:val="left"/>
      <w:pPr>
        <w:ind w:left="2880" w:hanging="360"/>
      </w:pPr>
      <w:rPr>
        <w:rFonts w:ascii="Symbol" w:hAnsi="Symbol" w:hint="default"/>
      </w:rPr>
    </w:lvl>
    <w:lvl w:ilvl="4" w:tplc="0C208506">
      <w:start w:val="1"/>
      <w:numFmt w:val="bullet"/>
      <w:lvlText w:val="o"/>
      <w:lvlJc w:val="left"/>
      <w:pPr>
        <w:ind w:left="3600" w:hanging="360"/>
      </w:pPr>
      <w:rPr>
        <w:rFonts w:ascii="Courier New" w:hAnsi="Courier New" w:hint="default"/>
      </w:rPr>
    </w:lvl>
    <w:lvl w:ilvl="5" w:tplc="9ACAD3B6">
      <w:start w:val="1"/>
      <w:numFmt w:val="bullet"/>
      <w:lvlText w:val=""/>
      <w:lvlJc w:val="left"/>
      <w:pPr>
        <w:ind w:left="4320" w:hanging="360"/>
      </w:pPr>
      <w:rPr>
        <w:rFonts w:ascii="Wingdings" w:hAnsi="Wingdings" w:hint="default"/>
      </w:rPr>
    </w:lvl>
    <w:lvl w:ilvl="6" w:tplc="977A875C">
      <w:start w:val="1"/>
      <w:numFmt w:val="bullet"/>
      <w:lvlText w:val=""/>
      <w:lvlJc w:val="left"/>
      <w:pPr>
        <w:ind w:left="5040" w:hanging="360"/>
      </w:pPr>
      <w:rPr>
        <w:rFonts w:ascii="Symbol" w:hAnsi="Symbol" w:hint="default"/>
      </w:rPr>
    </w:lvl>
    <w:lvl w:ilvl="7" w:tplc="50F430F6">
      <w:start w:val="1"/>
      <w:numFmt w:val="bullet"/>
      <w:lvlText w:val="o"/>
      <w:lvlJc w:val="left"/>
      <w:pPr>
        <w:ind w:left="5760" w:hanging="360"/>
      </w:pPr>
      <w:rPr>
        <w:rFonts w:ascii="Courier New" w:hAnsi="Courier New" w:hint="default"/>
      </w:rPr>
    </w:lvl>
    <w:lvl w:ilvl="8" w:tplc="9F200D5C">
      <w:start w:val="1"/>
      <w:numFmt w:val="bullet"/>
      <w:lvlText w:val=""/>
      <w:lvlJc w:val="left"/>
      <w:pPr>
        <w:ind w:left="6480" w:hanging="360"/>
      </w:pPr>
      <w:rPr>
        <w:rFonts w:ascii="Wingdings" w:hAnsi="Wingdings" w:hint="default"/>
      </w:rPr>
    </w:lvl>
  </w:abstractNum>
  <w:abstractNum w:abstractNumId="189" w15:restartNumberingAfterBreak="0">
    <w:nsid w:val="6BE41A97"/>
    <w:multiLevelType w:val="hybridMultilevel"/>
    <w:tmpl w:val="FFFFFFFF"/>
    <w:lvl w:ilvl="0" w:tplc="559C9D1C">
      <w:start w:val="1"/>
      <w:numFmt w:val="bullet"/>
      <w:lvlText w:val="·"/>
      <w:lvlJc w:val="left"/>
      <w:pPr>
        <w:ind w:left="720" w:hanging="360"/>
      </w:pPr>
      <w:rPr>
        <w:rFonts w:ascii="Symbol" w:hAnsi="Symbol" w:hint="default"/>
      </w:rPr>
    </w:lvl>
    <w:lvl w:ilvl="1" w:tplc="EA7AE856">
      <w:start w:val="1"/>
      <w:numFmt w:val="bullet"/>
      <w:lvlText w:val="o"/>
      <w:lvlJc w:val="left"/>
      <w:pPr>
        <w:ind w:left="1440" w:hanging="360"/>
      </w:pPr>
      <w:rPr>
        <w:rFonts w:ascii="Courier New" w:hAnsi="Courier New" w:hint="default"/>
      </w:rPr>
    </w:lvl>
    <w:lvl w:ilvl="2" w:tplc="EC1A5FF2">
      <w:start w:val="1"/>
      <w:numFmt w:val="bullet"/>
      <w:lvlText w:val=""/>
      <w:lvlJc w:val="left"/>
      <w:pPr>
        <w:ind w:left="2160" w:hanging="360"/>
      </w:pPr>
      <w:rPr>
        <w:rFonts w:ascii="Wingdings" w:hAnsi="Wingdings" w:hint="default"/>
      </w:rPr>
    </w:lvl>
    <w:lvl w:ilvl="3" w:tplc="1B167A18">
      <w:start w:val="1"/>
      <w:numFmt w:val="bullet"/>
      <w:lvlText w:val=""/>
      <w:lvlJc w:val="left"/>
      <w:pPr>
        <w:ind w:left="2880" w:hanging="360"/>
      </w:pPr>
      <w:rPr>
        <w:rFonts w:ascii="Symbol" w:hAnsi="Symbol" w:hint="default"/>
      </w:rPr>
    </w:lvl>
    <w:lvl w:ilvl="4" w:tplc="4DAACBCE">
      <w:start w:val="1"/>
      <w:numFmt w:val="bullet"/>
      <w:lvlText w:val="o"/>
      <w:lvlJc w:val="left"/>
      <w:pPr>
        <w:ind w:left="3600" w:hanging="360"/>
      </w:pPr>
      <w:rPr>
        <w:rFonts w:ascii="Courier New" w:hAnsi="Courier New" w:hint="default"/>
      </w:rPr>
    </w:lvl>
    <w:lvl w:ilvl="5" w:tplc="4FB8CE82">
      <w:start w:val="1"/>
      <w:numFmt w:val="bullet"/>
      <w:lvlText w:val=""/>
      <w:lvlJc w:val="left"/>
      <w:pPr>
        <w:ind w:left="4320" w:hanging="360"/>
      </w:pPr>
      <w:rPr>
        <w:rFonts w:ascii="Wingdings" w:hAnsi="Wingdings" w:hint="default"/>
      </w:rPr>
    </w:lvl>
    <w:lvl w:ilvl="6" w:tplc="C770A7EC">
      <w:start w:val="1"/>
      <w:numFmt w:val="bullet"/>
      <w:lvlText w:val=""/>
      <w:lvlJc w:val="left"/>
      <w:pPr>
        <w:ind w:left="5040" w:hanging="360"/>
      </w:pPr>
      <w:rPr>
        <w:rFonts w:ascii="Symbol" w:hAnsi="Symbol" w:hint="default"/>
      </w:rPr>
    </w:lvl>
    <w:lvl w:ilvl="7" w:tplc="B030D7AC">
      <w:start w:val="1"/>
      <w:numFmt w:val="bullet"/>
      <w:lvlText w:val="o"/>
      <w:lvlJc w:val="left"/>
      <w:pPr>
        <w:ind w:left="5760" w:hanging="360"/>
      </w:pPr>
      <w:rPr>
        <w:rFonts w:ascii="Courier New" w:hAnsi="Courier New" w:hint="default"/>
      </w:rPr>
    </w:lvl>
    <w:lvl w:ilvl="8" w:tplc="8BC206E4">
      <w:start w:val="1"/>
      <w:numFmt w:val="bullet"/>
      <w:lvlText w:val=""/>
      <w:lvlJc w:val="left"/>
      <w:pPr>
        <w:ind w:left="6480" w:hanging="360"/>
      </w:pPr>
      <w:rPr>
        <w:rFonts w:ascii="Wingdings" w:hAnsi="Wingdings" w:hint="default"/>
      </w:rPr>
    </w:lvl>
  </w:abstractNum>
  <w:abstractNum w:abstractNumId="190" w15:restartNumberingAfterBreak="0">
    <w:nsid w:val="6C3B61E3"/>
    <w:multiLevelType w:val="hybridMultilevel"/>
    <w:tmpl w:val="846A40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1" w15:restartNumberingAfterBreak="0">
    <w:nsid w:val="6D81361A"/>
    <w:multiLevelType w:val="hybridMultilevel"/>
    <w:tmpl w:val="74E0450A"/>
    <w:lvl w:ilvl="0" w:tplc="18090001">
      <w:start w:val="1"/>
      <w:numFmt w:val="bullet"/>
      <w:lvlText w:val=""/>
      <w:lvlJc w:val="left"/>
      <w:pPr>
        <w:ind w:left="780" w:hanging="360"/>
      </w:pPr>
      <w:rPr>
        <w:rFonts w:ascii="Symbol" w:hAnsi="Symbol" w:hint="default"/>
      </w:rPr>
    </w:lvl>
    <w:lvl w:ilvl="1" w:tplc="18090003">
      <w:start w:val="1"/>
      <w:numFmt w:val="bullet"/>
      <w:lvlText w:val="o"/>
      <w:lvlJc w:val="left"/>
      <w:pPr>
        <w:ind w:left="1500" w:hanging="360"/>
      </w:pPr>
      <w:rPr>
        <w:rFonts w:ascii="Courier New" w:hAnsi="Courier New" w:cs="Courier New" w:hint="default"/>
      </w:rPr>
    </w:lvl>
    <w:lvl w:ilvl="2" w:tplc="18090005">
      <w:start w:val="1"/>
      <w:numFmt w:val="bullet"/>
      <w:lvlText w:val=""/>
      <w:lvlJc w:val="left"/>
      <w:pPr>
        <w:ind w:left="2220" w:hanging="360"/>
      </w:pPr>
      <w:rPr>
        <w:rFonts w:ascii="Wingdings" w:hAnsi="Wingdings" w:hint="default"/>
      </w:rPr>
    </w:lvl>
    <w:lvl w:ilvl="3" w:tplc="18090001">
      <w:start w:val="1"/>
      <w:numFmt w:val="bullet"/>
      <w:lvlText w:val=""/>
      <w:lvlJc w:val="left"/>
      <w:pPr>
        <w:ind w:left="2940" w:hanging="360"/>
      </w:pPr>
      <w:rPr>
        <w:rFonts w:ascii="Symbol" w:hAnsi="Symbol" w:hint="default"/>
      </w:rPr>
    </w:lvl>
    <w:lvl w:ilvl="4" w:tplc="18090003">
      <w:start w:val="1"/>
      <w:numFmt w:val="bullet"/>
      <w:lvlText w:val="o"/>
      <w:lvlJc w:val="left"/>
      <w:pPr>
        <w:ind w:left="3660" w:hanging="360"/>
      </w:pPr>
      <w:rPr>
        <w:rFonts w:ascii="Courier New" w:hAnsi="Courier New" w:cs="Courier New" w:hint="default"/>
      </w:rPr>
    </w:lvl>
    <w:lvl w:ilvl="5" w:tplc="18090005">
      <w:start w:val="1"/>
      <w:numFmt w:val="bullet"/>
      <w:lvlText w:val=""/>
      <w:lvlJc w:val="left"/>
      <w:pPr>
        <w:ind w:left="4380" w:hanging="360"/>
      </w:pPr>
      <w:rPr>
        <w:rFonts w:ascii="Wingdings" w:hAnsi="Wingdings" w:hint="default"/>
      </w:rPr>
    </w:lvl>
    <w:lvl w:ilvl="6" w:tplc="18090001">
      <w:start w:val="1"/>
      <w:numFmt w:val="bullet"/>
      <w:lvlText w:val=""/>
      <w:lvlJc w:val="left"/>
      <w:pPr>
        <w:ind w:left="5100" w:hanging="360"/>
      </w:pPr>
      <w:rPr>
        <w:rFonts w:ascii="Symbol" w:hAnsi="Symbol" w:hint="default"/>
      </w:rPr>
    </w:lvl>
    <w:lvl w:ilvl="7" w:tplc="18090003">
      <w:start w:val="1"/>
      <w:numFmt w:val="bullet"/>
      <w:lvlText w:val="o"/>
      <w:lvlJc w:val="left"/>
      <w:pPr>
        <w:ind w:left="5820" w:hanging="360"/>
      </w:pPr>
      <w:rPr>
        <w:rFonts w:ascii="Courier New" w:hAnsi="Courier New" w:cs="Courier New" w:hint="default"/>
      </w:rPr>
    </w:lvl>
    <w:lvl w:ilvl="8" w:tplc="18090005">
      <w:start w:val="1"/>
      <w:numFmt w:val="bullet"/>
      <w:lvlText w:val=""/>
      <w:lvlJc w:val="left"/>
      <w:pPr>
        <w:ind w:left="6540" w:hanging="360"/>
      </w:pPr>
      <w:rPr>
        <w:rFonts w:ascii="Wingdings" w:hAnsi="Wingdings" w:hint="default"/>
      </w:rPr>
    </w:lvl>
  </w:abstractNum>
  <w:abstractNum w:abstractNumId="192" w15:restartNumberingAfterBreak="0">
    <w:nsid w:val="6DA525C4"/>
    <w:multiLevelType w:val="multilevel"/>
    <w:tmpl w:val="2A4AB2D4"/>
    <w:lvl w:ilvl="0">
      <w:start w:val="1"/>
      <w:numFmt w:val="decimal"/>
      <w:lvlText w:val="%1"/>
      <w:lvlJc w:val="left"/>
      <w:pPr>
        <w:ind w:left="720" w:hanging="720"/>
      </w:pPr>
      <w:rPr>
        <w:rFonts w:eastAsiaTheme="minorHAnsi" w:hint="default"/>
        <w:b/>
      </w:rPr>
    </w:lvl>
    <w:lvl w:ilvl="1">
      <w:start w:val="1"/>
      <w:numFmt w:val="decimal"/>
      <w:lvlText w:val="%1.%2"/>
      <w:lvlJc w:val="left"/>
      <w:pPr>
        <w:ind w:left="720" w:hanging="72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193" w15:restartNumberingAfterBreak="0">
    <w:nsid w:val="6E086D8E"/>
    <w:multiLevelType w:val="hybridMultilevel"/>
    <w:tmpl w:val="3F74B4C0"/>
    <w:lvl w:ilvl="0" w:tplc="C4301C5C">
      <w:start w:val="1"/>
      <w:numFmt w:val="lowerRoman"/>
      <w:lvlText w:val="%1."/>
      <w:lvlJc w:val="right"/>
      <w:pPr>
        <w:ind w:left="720" w:hanging="360"/>
      </w:pPr>
    </w:lvl>
    <w:lvl w:ilvl="1" w:tplc="3F40CBC2">
      <w:start w:val="1"/>
      <w:numFmt w:val="lowerLetter"/>
      <w:lvlText w:val="%2."/>
      <w:lvlJc w:val="left"/>
      <w:pPr>
        <w:ind w:left="1440" w:hanging="360"/>
      </w:pPr>
    </w:lvl>
    <w:lvl w:ilvl="2" w:tplc="5C9658BC">
      <w:start w:val="1"/>
      <w:numFmt w:val="lowerRoman"/>
      <w:lvlText w:val="%3."/>
      <w:lvlJc w:val="right"/>
      <w:pPr>
        <w:ind w:left="2160" w:hanging="180"/>
      </w:pPr>
    </w:lvl>
    <w:lvl w:ilvl="3" w:tplc="9078E626">
      <w:start w:val="1"/>
      <w:numFmt w:val="decimal"/>
      <w:lvlText w:val="%4."/>
      <w:lvlJc w:val="left"/>
      <w:pPr>
        <w:ind w:left="2880" w:hanging="360"/>
      </w:pPr>
    </w:lvl>
    <w:lvl w:ilvl="4" w:tplc="E82A41C8">
      <w:start w:val="1"/>
      <w:numFmt w:val="lowerLetter"/>
      <w:lvlText w:val="%5."/>
      <w:lvlJc w:val="left"/>
      <w:pPr>
        <w:ind w:left="3600" w:hanging="360"/>
      </w:pPr>
    </w:lvl>
    <w:lvl w:ilvl="5" w:tplc="03320E54">
      <w:start w:val="1"/>
      <w:numFmt w:val="lowerRoman"/>
      <w:lvlText w:val="%6."/>
      <w:lvlJc w:val="right"/>
      <w:pPr>
        <w:ind w:left="4320" w:hanging="180"/>
      </w:pPr>
    </w:lvl>
    <w:lvl w:ilvl="6" w:tplc="2AD8E38C">
      <w:start w:val="1"/>
      <w:numFmt w:val="decimal"/>
      <w:lvlText w:val="%7."/>
      <w:lvlJc w:val="left"/>
      <w:pPr>
        <w:ind w:left="5040" w:hanging="360"/>
      </w:pPr>
    </w:lvl>
    <w:lvl w:ilvl="7" w:tplc="31365ABE">
      <w:start w:val="1"/>
      <w:numFmt w:val="lowerLetter"/>
      <w:lvlText w:val="%8."/>
      <w:lvlJc w:val="left"/>
      <w:pPr>
        <w:ind w:left="5760" w:hanging="360"/>
      </w:pPr>
    </w:lvl>
    <w:lvl w:ilvl="8" w:tplc="A9FCBA1A">
      <w:start w:val="1"/>
      <w:numFmt w:val="lowerRoman"/>
      <w:lvlText w:val="%9."/>
      <w:lvlJc w:val="right"/>
      <w:pPr>
        <w:ind w:left="6480" w:hanging="180"/>
      </w:pPr>
    </w:lvl>
  </w:abstractNum>
  <w:abstractNum w:abstractNumId="194" w15:restartNumberingAfterBreak="0">
    <w:nsid w:val="6E87AA4E"/>
    <w:multiLevelType w:val="hybridMultilevel"/>
    <w:tmpl w:val="FFFFFFFF"/>
    <w:lvl w:ilvl="0" w:tplc="1F2EA6CC">
      <w:start w:val="1"/>
      <w:numFmt w:val="bullet"/>
      <w:lvlText w:val="-"/>
      <w:lvlJc w:val="left"/>
      <w:pPr>
        <w:ind w:left="720" w:hanging="360"/>
      </w:pPr>
      <w:rPr>
        <w:rFonts w:ascii="Calibri" w:hAnsi="Calibri" w:cs="Times New Roman" w:hint="default"/>
      </w:rPr>
    </w:lvl>
    <w:lvl w:ilvl="1" w:tplc="4E48B47A">
      <w:start w:val="1"/>
      <w:numFmt w:val="bullet"/>
      <w:lvlText w:val="o"/>
      <w:lvlJc w:val="left"/>
      <w:pPr>
        <w:ind w:left="1440" w:hanging="360"/>
      </w:pPr>
      <w:rPr>
        <w:rFonts w:ascii="Courier New" w:hAnsi="Courier New" w:cs="Times New Roman" w:hint="default"/>
      </w:rPr>
    </w:lvl>
    <w:lvl w:ilvl="2" w:tplc="443AD752">
      <w:start w:val="1"/>
      <w:numFmt w:val="bullet"/>
      <w:lvlText w:val=""/>
      <w:lvlJc w:val="left"/>
      <w:pPr>
        <w:ind w:left="2160" w:hanging="360"/>
      </w:pPr>
      <w:rPr>
        <w:rFonts w:ascii="Wingdings" w:hAnsi="Wingdings" w:hint="default"/>
      </w:rPr>
    </w:lvl>
    <w:lvl w:ilvl="3" w:tplc="0FD6C7D0">
      <w:start w:val="1"/>
      <w:numFmt w:val="bullet"/>
      <w:lvlText w:val=""/>
      <w:lvlJc w:val="left"/>
      <w:pPr>
        <w:ind w:left="2880" w:hanging="360"/>
      </w:pPr>
      <w:rPr>
        <w:rFonts w:ascii="Symbol" w:hAnsi="Symbol" w:hint="default"/>
      </w:rPr>
    </w:lvl>
    <w:lvl w:ilvl="4" w:tplc="2B0CE402">
      <w:start w:val="1"/>
      <w:numFmt w:val="bullet"/>
      <w:lvlText w:val="o"/>
      <w:lvlJc w:val="left"/>
      <w:pPr>
        <w:ind w:left="3600" w:hanging="360"/>
      </w:pPr>
      <w:rPr>
        <w:rFonts w:ascii="Courier New" w:hAnsi="Courier New" w:cs="Times New Roman" w:hint="default"/>
      </w:rPr>
    </w:lvl>
    <w:lvl w:ilvl="5" w:tplc="CEDAFB2A">
      <w:start w:val="1"/>
      <w:numFmt w:val="bullet"/>
      <w:lvlText w:val=""/>
      <w:lvlJc w:val="left"/>
      <w:pPr>
        <w:ind w:left="4320" w:hanging="360"/>
      </w:pPr>
      <w:rPr>
        <w:rFonts w:ascii="Wingdings" w:hAnsi="Wingdings" w:hint="default"/>
      </w:rPr>
    </w:lvl>
    <w:lvl w:ilvl="6" w:tplc="0FEC1962">
      <w:start w:val="1"/>
      <w:numFmt w:val="bullet"/>
      <w:lvlText w:val=""/>
      <w:lvlJc w:val="left"/>
      <w:pPr>
        <w:ind w:left="5040" w:hanging="360"/>
      </w:pPr>
      <w:rPr>
        <w:rFonts w:ascii="Symbol" w:hAnsi="Symbol" w:hint="default"/>
      </w:rPr>
    </w:lvl>
    <w:lvl w:ilvl="7" w:tplc="4350ADF4">
      <w:start w:val="1"/>
      <w:numFmt w:val="bullet"/>
      <w:lvlText w:val="o"/>
      <w:lvlJc w:val="left"/>
      <w:pPr>
        <w:ind w:left="5760" w:hanging="360"/>
      </w:pPr>
      <w:rPr>
        <w:rFonts w:ascii="Courier New" w:hAnsi="Courier New" w:cs="Times New Roman" w:hint="default"/>
      </w:rPr>
    </w:lvl>
    <w:lvl w:ilvl="8" w:tplc="EEEC93B2">
      <w:start w:val="1"/>
      <w:numFmt w:val="bullet"/>
      <w:lvlText w:val=""/>
      <w:lvlJc w:val="left"/>
      <w:pPr>
        <w:ind w:left="6480" w:hanging="360"/>
      </w:pPr>
      <w:rPr>
        <w:rFonts w:ascii="Wingdings" w:hAnsi="Wingdings" w:hint="default"/>
      </w:rPr>
    </w:lvl>
  </w:abstractNum>
  <w:abstractNum w:abstractNumId="195" w15:restartNumberingAfterBreak="0">
    <w:nsid w:val="6EAA3DBB"/>
    <w:multiLevelType w:val="hybridMultilevel"/>
    <w:tmpl w:val="F14CB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6" w15:restartNumberingAfterBreak="0">
    <w:nsid w:val="6F112ECE"/>
    <w:multiLevelType w:val="hybridMultilevel"/>
    <w:tmpl w:val="F9FCD370"/>
    <w:lvl w:ilvl="0" w:tplc="18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6F304879"/>
    <w:multiLevelType w:val="hybridMultilevel"/>
    <w:tmpl w:val="37DE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F8E6469"/>
    <w:multiLevelType w:val="hybridMultilevel"/>
    <w:tmpl w:val="FFFFFFFF"/>
    <w:lvl w:ilvl="0" w:tplc="7C8A2D6A">
      <w:start w:val="1"/>
      <w:numFmt w:val="bullet"/>
      <w:lvlText w:val="·"/>
      <w:lvlJc w:val="left"/>
      <w:pPr>
        <w:ind w:left="720" w:hanging="360"/>
      </w:pPr>
      <w:rPr>
        <w:rFonts w:ascii="Symbol" w:hAnsi="Symbol" w:hint="default"/>
      </w:rPr>
    </w:lvl>
    <w:lvl w:ilvl="1" w:tplc="AAC85EA4">
      <w:start w:val="1"/>
      <w:numFmt w:val="bullet"/>
      <w:lvlText w:val="o"/>
      <w:lvlJc w:val="left"/>
      <w:pPr>
        <w:ind w:left="1440" w:hanging="360"/>
      </w:pPr>
      <w:rPr>
        <w:rFonts w:ascii="Courier New" w:hAnsi="Courier New" w:hint="default"/>
      </w:rPr>
    </w:lvl>
    <w:lvl w:ilvl="2" w:tplc="2D9C00B2">
      <w:start w:val="1"/>
      <w:numFmt w:val="bullet"/>
      <w:lvlText w:val=""/>
      <w:lvlJc w:val="left"/>
      <w:pPr>
        <w:ind w:left="2160" w:hanging="360"/>
      </w:pPr>
      <w:rPr>
        <w:rFonts w:ascii="Wingdings" w:hAnsi="Wingdings" w:hint="default"/>
      </w:rPr>
    </w:lvl>
    <w:lvl w:ilvl="3" w:tplc="0A744116">
      <w:start w:val="1"/>
      <w:numFmt w:val="bullet"/>
      <w:lvlText w:val=""/>
      <w:lvlJc w:val="left"/>
      <w:pPr>
        <w:ind w:left="2880" w:hanging="360"/>
      </w:pPr>
      <w:rPr>
        <w:rFonts w:ascii="Symbol" w:hAnsi="Symbol" w:hint="default"/>
      </w:rPr>
    </w:lvl>
    <w:lvl w:ilvl="4" w:tplc="3DFC52C2">
      <w:start w:val="1"/>
      <w:numFmt w:val="bullet"/>
      <w:lvlText w:val="o"/>
      <w:lvlJc w:val="left"/>
      <w:pPr>
        <w:ind w:left="3600" w:hanging="360"/>
      </w:pPr>
      <w:rPr>
        <w:rFonts w:ascii="Courier New" w:hAnsi="Courier New" w:hint="default"/>
      </w:rPr>
    </w:lvl>
    <w:lvl w:ilvl="5" w:tplc="6B4245E4">
      <w:start w:val="1"/>
      <w:numFmt w:val="bullet"/>
      <w:lvlText w:val=""/>
      <w:lvlJc w:val="left"/>
      <w:pPr>
        <w:ind w:left="4320" w:hanging="360"/>
      </w:pPr>
      <w:rPr>
        <w:rFonts w:ascii="Wingdings" w:hAnsi="Wingdings" w:hint="default"/>
      </w:rPr>
    </w:lvl>
    <w:lvl w:ilvl="6" w:tplc="9C167A22">
      <w:start w:val="1"/>
      <w:numFmt w:val="bullet"/>
      <w:lvlText w:val=""/>
      <w:lvlJc w:val="left"/>
      <w:pPr>
        <w:ind w:left="5040" w:hanging="360"/>
      </w:pPr>
      <w:rPr>
        <w:rFonts w:ascii="Symbol" w:hAnsi="Symbol" w:hint="default"/>
      </w:rPr>
    </w:lvl>
    <w:lvl w:ilvl="7" w:tplc="CB24E380">
      <w:start w:val="1"/>
      <w:numFmt w:val="bullet"/>
      <w:lvlText w:val="o"/>
      <w:lvlJc w:val="left"/>
      <w:pPr>
        <w:ind w:left="5760" w:hanging="360"/>
      </w:pPr>
      <w:rPr>
        <w:rFonts w:ascii="Courier New" w:hAnsi="Courier New" w:hint="default"/>
      </w:rPr>
    </w:lvl>
    <w:lvl w:ilvl="8" w:tplc="534C1524">
      <w:start w:val="1"/>
      <w:numFmt w:val="bullet"/>
      <w:lvlText w:val=""/>
      <w:lvlJc w:val="left"/>
      <w:pPr>
        <w:ind w:left="6480" w:hanging="360"/>
      </w:pPr>
      <w:rPr>
        <w:rFonts w:ascii="Wingdings" w:hAnsi="Wingdings" w:hint="default"/>
      </w:rPr>
    </w:lvl>
  </w:abstractNum>
  <w:abstractNum w:abstractNumId="199" w15:restartNumberingAfterBreak="0">
    <w:nsid w:val="6FBB26AC"/>
    <w:multiLevelType w:val="hybridMultilevel"/>
    <w:tmpl w:val="930A513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702E6340"/>
    <w:multiLevelType w:val="hybridMultilevel"/>
    <w:tmpl w:val="90185924"/>
    <w:lvl w:ilvl="0" w:tplc="4A80985C">
      <w:start w:val="1"/>
      <w:numFmt w:val="bullet"/>
      <w:lvlText w:val="-"/>
      <w:lvlJc w:val="left"/>
      <w:pPr>
        <w:ind w:left="1080" w:hanging="360"/>
      </w:pPr>
      <w:rPr>
        <w:rFonts w:ascii="Calibri" w:hAnsi="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1" w15:restartNumberingAfterBreak="0">
    <w:nsid w:val="71467086"/>
    <w:multiLevelType w:val="hybridMultilevel"/>
    <w:tmpl w:val="FFFFFFFF"/>
    <w:lvl w:ilvl="0" w:tplc="05E8E31E">
      <w:start w:val="1"/>
      <w:numFmt w:val="bullet"/>
      <w:lvlText w:val=""/>
      <w:lvlJc w:val="left"/>
      <w:pPr>
        <w:ind w:left="720" w:hanging="360"/>
      </w:pPr>
      <w:rPr>
        <w:rFonts w:ascii="Symbol" w:hAnsi="Symbol" w:hint="default"/>
      </w:rPr>
    </w:lvl>
    <w:lvl w:ilvl="1" w:tplc="87D0CA88">
      <w:start w:val="1"/>
      <w:numFmt w:val="bullet"/>
      <w:lvlText w:val="o"/>
      <w:lvlJc w:val="left"/>
      <w:pPr>
        <w:ind w:left="1440" w:hanging="360"/>
      </w:pPr>
      <w:rPr>
        <w:rFonts w:ascii="Courier New" w:hAnsi="Courier New" w:hint="default"/>
      </w:rPr>
    </w:lvl>
    <w:lvl w:ilvl="2" w:tplc="71E8332A">
      <w:start w:val="1"/>
      <w:numFmt w:val="bullet"/>
      <w:lvlText w:val=""/>
      <w:lvlJc w:val="left"/>
      <w:pPr>
        <w:ind w:left="2160" w:hanging="360"/>
      </w:pPr>
      <w:rPr>
        <w:rFonts w:ascii="Wingdings" w:hAnsi="Wingdings" w:hint="default"/>
      </w:rPr>
    </w:lvl>
    <w:lvl w:ilvl="3" w:tplc="2A0C7494">
      <w:start w:val="1"/>
      <w:numFmt w:val="bullet"/>
      <w:lvlText w:val=""/>
      <w:lvlJc w:val="left"/>
      <w:pPr>
        <w:ind w:left="2880" w:hanging="360"/>
      </w:pPr>
      <w:rPr>
        <w:rFonts w:ascii="Symbol" w:hAnsi="Symbol" w:hint="default"/>
      </w:rPr>
    </w:lvl>
    <w:lvl w:ilvl="4" w:tplc="CDF27026">
      <w:start w:val="1"/>
      <w:numFmt w:val="bullet"/>
      <w:lvlText w:val="o"/>
      <w:lvlJc w:val="left"/>
      <w:pPr>
        <w:ind w:left="3600" w:hanging="360"/>
      </w:pPr>
      <w:rPr>
        <w:rFonts w:ascii="Courier New" w:hAnsi="Courier New" w:hint="default"/>
      </w:rPr>
    </w:lvl>
    <w:lvl w:ilvl="5" w:tplc="F766CF90">
      <w:start w:val="1"/>
      <w:numFmt w:val="bullet"/>
      <w:lvlText w:val=""/>
      <w:lvlJc w:val="left"/>
      <w:pPr>
        <w:ind w:left="4320" w:hanging="360"/>
      </w:pPr>
      <w:rPr>
        <w:rFonts w:ascii="Wingdings" w:hAnsi="Wingdings" w:hint="default"/>
      </w:rPr>
    </w:lvl>
    <w:lvl w:ilvl="6" w:tplc="866EB42C">
      <w:start w:val="1"/>
      <w:numFmt w:val="bullet"/>
      <w:lvlText w:val=""/>
      <w:lvlJc w:val="left"/>
      <w:pPr>
        <w:ind w:left="5040" w:hanging="360"/>
      </w:pPr>
      <w:rPr>
        <w:rFonts w:ascii="Symbol" w:hAnsi="Symbol" w:hint="default"/>
      </w:rPr>
    </w:lvl>
    <w:lvl w:ilvl="7" w:tplc="8F4845C8">
      <w:start w:val="1"/>
      <w:numFmt w:val="bullet"/>
      <w:lvlText w:val="o"/>
      <w:lvlJc w:val="left"/>
      <w:pPr>
        <w:ind w:left="5760" w:hanging="360"/>
      </w:pPr>
      <w:rPr>
        <w:rFonts w:ascii="Courier New" w:hAnsi="Courier New" w:hint="default"/>
      </w:rPr>
    </w:lvl>
    <w:lvl w:ilvl="8" w:tplc="94C6106C">
      <w:start w:val="1"/>
      <w:numFmt w:val="bullet"/>
      <w:lvlText w:val=""/>
      <w:lvlJc w:val="left"/>
      <w:pPr>
        <w:ind w:left="6480" w:hanging="360"/>
      </w:pPr>
      <w:rPr>
        <w:rFonts w:ascii="Wingdings" w:hAnsi="Wingdings" w:hint="default"/>
      </w:rPr>
    </w:lvl>
  </w:abstractNum>
  <w:abstractNum w:abstractNumId="202" w15:restartNumberingAfterBreak="0">
    <w:nsid w:val="7191D3F8"/>
    <w:multiLevelType w:val="hybridMultilevel"/>
    <w:tmpl w:val="FFFFFFFF"/>
    <w:lvl w:ilvl="0" w:tplc="DB027AD2">
      <w:start w:val="1"/>
      <w:numFmt w:val="bullet"/>
      <w:lvlText w:val="-"/>
      <w:lvlJc w:val="left"/>
      <w:pPr>
        <w:ind w:left="720" w:hanging="360"/>
      </w:pPr>
      <w:rPr>
        <w:rFonts w:ascii="Calibri" w:hAnsi="Calibri" w:hint="default"/>
      </w:rPr>
    </w:lvl>
    <w:lvl w:ilvl="1" w:tplc="337CAD3C">
      <w:start w:val="1"/>
      <w:numFmt w:val="bullet"/>
      <w:lvlText w:val="o"/>
      <w:lvlJc w:val="left"/>
      <w:pPr>
        <w:ind w:left="1440" w:hanging="360"/>
      </w:pPr>
      <w:rPr>
        <w:rFonts w:ascii="Courier New" w:hAnsi="Courier New" w:hint="default"/>
      </w:rPr>
    </w:lvl>
    <w:lvl w:ilvl="2" w:tplc="5DCA6DD0">
      <w:start w:val="1"/>
      <w:numFmt w:val="bullet"/>
      <w:lvlText w:val=""/>
      <w:lvlJc w:val="left"/>
      <w:pPr>
        <w:ind w:left="2160" w:hanging="360"/>
      </w:pPr>
      <w:rPr>
        <w:rFonts w:ascii="Wingdings" w:hAnsi="Wingdings" w:hint="default"/>
      </w:rPr>
    </w:lvl>
    <w:lvl w:ilvl="3" w:tplc="45AAD6C0">
      <w:start w:val="1"/>
      <w:numFmt w:val="bullet"/>
      <w:lvlText w:val=""/>
      <w:lvlJc w:val="left"/>
      <w:pPr>
        <w:ind w:left="2880" w:hanging="360"/>
      </w:pPr>
      <w:rPr>
        <w:rFonts w:ascii="Symbol" w:hAnsi="Symbol" w:hint="default"/>
      </w:rPr>
    </w:lvl>
    <w:lvl w:ilvl="4" w:tplc="31F0111E">
      <w:start w:val="1"/>
      <w:numFmt w:val="bullet"/>
      <w:lvlText w:val="o"/>
      <w:lvlJc w:val="left"/>
      <w:pPr>
        <w:ind w:left="3600" w:hanging="360"/>
      </w:pPr>
      <w:rPr>
        <w:rFonts w:ascii="Courier New" w:hAnsi="Courier New" w:hint="default"/>
      </w:rPr>
    </w:lvl>
    <w:lvl w:ilvl="5" w:tplc="0E2871D8">
      <w:start w:val="1"/>
      <w:numFmt w:val="bullet"/>
      <w:lvlText w:val=""/>
      <w:lvlJc w:val="left"/>
      <w:pPr>
        <w:ind w:left="4320" w:hanging="360"/>
      </w:pPr>
      <w:rPr>
        <w:rFonts w:ascii="Wingdings" w:hAnsi="Wingdings" w:hint="default"/>
      </w:rPr>
    </w:lvl>
    <w:lvl w:ilvl="6" w:tplc="03C87652">
      <w:start w:val="1"/>
      <w:numFmt w:val="bullet"/>
      <w:lvlText w:val=""/>
      <w:lvlJc w:val="left"/>
      <w:pPr>
        <w:ind w:left="5040" w:hanging="360"/>
      </w:pPr>
      <w:rPr>
        <w:rFonts w:ascii="Symbol" w:hAnsi="Symbol" w:hint="default"/>
      </w:rPr>
    </w:lvl>
    <w:lvl w:ilvl="7" w:tplc="9062A42C">
      <w:start w:val="1"/>
      <w:numFmt w:val="bullet"/>
      <w:lvlText w:val="o"/>
      <w:lvlJc w:val="left"/>
      <w:pPr>
        <w:ind w:left="5760" w:hanging="360"/>
      </w:pPr>
      <w:rPr>
        <w:rFonts w:ascii="Courier New" w:hAnsi="Courier New" w:hint="default"/>
      </w:rPr>
    </w:lvl>
    <w:lvl w:ilvl="8" w:tplc="D3FE683E">
      <w:start w:val="1"/>
      <w:numFmt w:val="bullet"/>
      <w:lvlText w:val=""/>
      <w:lvlJc w:val="left"/>
      <w:pPr>
        <w:ind w:left="6480" w:hanging="360"/>
      </w:pPr>
      <w:rPr>
        <w:rFonts w:ascii="Wingdings" w:hAnsi="Wingdings" w:hint="default"/>
      </w:rPr>
    </w:lvl>
  </w:abstractNum>
  <w:abstractNum w:abstractNumId="203" w15:restartNumberingAfterBreak="0">
    <w:nsid w:val="719F4DCC"/>
    <w:multiLevelType w:val="hybridMultilevel"/>
    <w:tmpl w:val="FFFFFFFF"/>
    <w:lvl w:ilvl="0" w:tplc="E244F93E">
      <w:start w:val="1"/>
      <w:numFmt w:val="bullet"/>
      <w:lvlText w:val="·"/>
      <w:lvlJc w:val="left"/>
      <w:pPr>
        <w:ind w:left="720" w:hanging="360"/>
      </w:pPr>
      <w:rPr>
        <w:rFonts w:ascii="Symbol" w:hAnsi="Symbol" w:hint="default"/>
      </w:rPr>
    </w:lvl>
    <w:lvl w:ilvl="1" w:tplc="6F4E8A8C">
      <w:start w:val="1"/>
      <w:numFmt w:val="bullet"/>
      <w:lvlText w:val="o"/>
      <w:lvlJc w:val="left"/>
      <w:pPr>
        <w:ind w:left="1440" w:hanging="360"/>
      </w:pPr>
      <w:rPr>
        <w:rFonts w:ascii="Courier New" w:hAnsi="Courier New" w:hint="default"/>
      </w:rPr>
    </w:lvl>
    <w:lvl w:ilvl="2" w:tplc="BF3C01D2">
      <w:start w:val="1"/>
      <w:numFmt w:val="bullet"/>
      <w:lvlText w:val=""/>
      <w:lvlJc w:val="left"/>
      <w:pPr>
        <w:ind w:left="2160" w:hanging="360"/>
      </w:pPr>
      <w:rPr>
        <w:rFonts w:ascii="Wingdings" w:hAnsi="Wingdings" w:hint="default"/>
      </w:rPr>
    </w:lvl>
    <w:lvl w:ilvl="3" w:tplc="45F65074">
      <w:start w:val="1"/>
      <w:numFmt w:val="bullet"/>
      <w:lvlText w:val=""/>
      <w:lvlJc w:val="left"/>
      <w:pPr>
        <w:ind w:left="2880" w:hanging="360"/>
      </w:pPr>
      <w:rPr>
        <w:rFonts w:ascii="Symbol" w:hAnsi="Symbol" w:hint="default"/>
      </w:rPr>
    </w:lvl>
    <w:lvl w:ilvl="4" w:tplc="DED2A6F6">
      <w:start w:val="1"/>
      <w:numFmt w:val="bullet"/>
      <w:lvlText w:val="o"/>
      <w:lvlJc w:val="left"/>
      <w:pPr>
        <w:ind w:left="3600" w:hanging="360"/>
      </w:pPr>
      <w:rPr>
        <w:rFonts w:ascii="Courier New" w:hAnsi="Courier New" w:hint="default"/>
      </w:rPr>
    </w:lvl>
    <w:lvl w:ilvl="5" w:tplc="A5B6AE20">
      <w:start w:val="1"/>
      <w:numFmt w:val="bullet"/>
      <w:lvlText w:val=""/>
      <w:lvlJc w:val="left"/>
      <w:pPr>
        <w:ind w:left="4320" w:hanging="360"/>
      </w:pPr>
      <w:rPr>
        <w:rFonts w:ascii="Wingdings" w:hAnsi="Wingdings" w:hint="default"/>
      </w:rPr>
    </w:lvl>
    <w:lvl w:ilvl="6" w:tplc="8ADA66EE">
      <w:start w:val="1"/>
      <w:numFmt w:val="bullet"/>
      <w:lvlText w:val=""/>
      <w:lvlJc w:val="left"/>
      <w:pPr>
        <w:ind w:left="5040" w:hanging="360"/>
      </w:pPr>
      <w:rPr>
        <w:rFonts w:ascii="Symbol" w:hAnsi="Symbol" w:hint="default"/>
      </w:rPr>
    </w:lvl>
    <w:lvl w:ilvl="7" w:tplc="3DAEC5E8">
      <w:start w:val="1"/>
      <w:numFmt w:val="bullet"/>
      <w:lvlText w:val="o"/>
      <w:lvlJc w:val="left"/>
      <w:pPr>
        <w:ind w:left="5760" w:hanging="360"/>
      </w:pPr>
      <w:rPr>
        <w:rFonts w:ascii="Courier New" w:hAnsi="Courier New" w:hint="default"/>
      </w:rPr>
    </w:lvl>
    <w:lvl w:ilvl="8" w:tplc="046CF556">
      <w:start w:val="1"/>
      <w:numFmt w:val="bullet"/>
      <w:lvlText w:val=""/>
      <w:lvlJc w:val="left"/>
      <w:pPr>
        <w:ind w:left="6480" w:hanging="360"/>
      </w:pPr>
      <w:rPr>
        <w:rFonts w:ascii="Wingdings" w:hAnsi="Wingdings" w:hint="default"/>
      </w:rPr>
    </w:lvl>
  </w:abstractNum>
  <w:abstractNum w:abstractNumId="204" w15:restartNumberingAfterBreak="0">
    <w:nsid w:val="72B53B9D"/>
    <w:multiLevelType w:val="hybridMultilevel"/>
    <w:tmpl w:val="FFFFFFFF"/>
    <w:lvl w:ilvl="0" w:tplc="0BAC1340">
      <w:start w:val="1"/>
      <w:numFmt w:val="bullet"/>
      <w:lvlText w:val="-"/>
      <w:lvlJc w:val="left"/>
      <w:pPr>
        <w:ind w:left="720" w:hanging="360"/>
      </w:pPr>
      <w:rPr>
        <w:rFonts w:ascii="Calibri" w:hAnsi="Calibri" w:hint="default"/>
      </w:rPr>
    </w:lvl>
    <w:lvl w:ilvl="1" w:tplc="EC88CB1E">
      <w:start w:val="1"/>
      <w:numFmt w:val="bullet"/>
      <w:lvlText w:val="o"/>
      <w:lvlJc w:val="left"/>
      <w:pPr>
        <w:ind w:left="1440" w:hanging="360"/>
      </w:pPr>
      <w:rPr>
        <w:rFonts w:ascii="Courier New" w:hAnsi="Courier New" w:hint="default"/>
      </w:rPr>
    </w:lvl>
    <w:lvl w:ilvl="2" w:tplc="CD5AA7AC">
      <w:start w:val="1"/>
      <w:numFmt w:val="bullet"/>
      <w:lvlText w:val=""/>
      <w:lvlJc w:val="left"/>
      <w:pPr>
        <w:ind w:left="2160" w:hanging="360"/>
      </w:pPr>
      <w:rPr>
        <w:rFonts w:ascii="Wingdings" w:hAnsi="Wingdings" w:hint="default"/>
      </w:rPr>
    </w:lvl>
    <w:lvl w:ilvl="3" w:tplc="FD54231C">
      <w:start w:val="1"/>
      <w:numFmt w:val="bullet"/>
      <w:lvlText w:val=""/>
      <w:lvlJc w:val="left"/>
      <w:pPr>
        <w:ind w:left="2880" w:hanging="360"/>
      </w:pPr>
      <w:rPr>
        <w:rFonts w:ascii="Symbol" w:hAnsi="Symbol" w:hint="default"/>
      </w:rPr>
    </w:lvl>
    <w:lvl w:ilvl="4" w:tplc="4D645B74">
      <w:start w:val="1"/>
      <w:numFmt w:val="bullet"/>
      <w:lvlText w:val="o"/>
      <w:lvlJc w:val="left"/>
      <w:pPr>
        <w:ind w:left="3600" w:hanging="360"/>
      </w:pPr>
      <w:rPr>
        <w:rFonts w:ascii="Courier New" w:hAnsi="Courier New" w:hint="default"/>
      </w:rPr>
    </w:lvl>
    <w:lvl w:ilvl="5" w:tplc="F294DBC6">
      <w:start w:val="1"/>
      <w:numFmt w:val="bullet"/>
      <w:lvlText w:val=""/>
      <w:lvlJc w:val="left"/>
      <w:pPr>
        <w:ind w:left="4320" w:hanging="360"/>
      </w:pPr>
      <w:rPr>
        <w:rFonts w:ascii="Wingdings" w:hAnsi="Wingdings" w:hint="default"/>
      </w:rPr>
    </w:lvl>
    <w:lvl w:ilvl="6" w:tplc="DC4033DC">
      <w:start w:val="1"/>
      <w:numFmt w:val="bullet"/>
      <w:lvlText w:val=""/>
      <w:lvlJc w:val="left"/>
      <w:pPr>
        <w:ind w:left="5040" w:hanging="360"/>
      </w:pPr>
      <w:rPr>
        <w:rFonts w:ascii="Symbol" w:hAnsi="Symbol" w:hint="default"/>
      </w:rPr>
    </w:lvl>
    <w:lvl w:ilvl="7" w:tplc="F232305E">
      <w:start w:val="1"/>
      <w:numFmt w:val="bullet"/>
      <w:lvlText w:val="o"/>
      <w:lvlJc w:val="left"/>
      <w:pPr>
        <w:ind w:left="5760" w:hanging="360"/>
      </w:pPr>
      <w:rPr>
        <w:rFonts w:ascii="Courier New" w:hAnsi="Courier New" w:hint="default"/>
      </w:rPr>
    </w:lvl>
    <w:lvl w:ilvl="8" w:tplc="D1F2D354">
      <w:start w:val="1"/>
      <w:numFmt w:val="bullet"/>
      <w:lvlText w:val=""/>
      <w:lvlJc w:val="left"/>
      <w:pPr>
        <w:ind w:left="6480" w:hanging="360"/>
      </w:pPr>
      <w:rPr>
        <w:rFonts w:ascii="Wingdings" w:hAnsi="Wingdings" w:hint="default"/>
      </w:rPr>
    </w:lvl>
  </w:abstractNum>
  <w:abstractNum w:abstractNumId="205" w15:restartNumberingAfterBreak="0">
    <w:nsid w:val="73445965"/>
    <w:multiLevelType w:val="hybridMultilevel"/>
    <w:tmpl w:val="693A7110"/>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6" w15:restartNumberingAfterBreak="0">
    <w:nsid w:val="740A6C2F"/>
    <w:multiLevelType w:val="hybridMultilevel"/>
    <w:tmpl w:val="375627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7" w15:restartNumberingAfterBreak="0">
    <w:nsid w:val="7466509C"/>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8" w15:restartNumberingAfterBreak="0">
    <w:nsid w:val="75917D82"/>
    <w:multiLevelType w:val="hybridMultilevel"/>
    <w:tmpl w:val="7236F7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9" w15:restartNumberingAfterBreak="0">
    <w:nsid w:val="76027A00"/>
    <w:multiLevelType w:val="multilevel"/>
    <w:tmpl w:val="389E586C"/>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0" w15:restartNumberingAfterBreak="0">
    <w:nsid w:val="76270BB1"/>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1" w15:restartNumberingAfterBreak="0">
    <w:nsid w:val="77E0230E"/>
    <w:multiLevelType w:val="hybridMultilevel"/>
    <w:tmpl w:val="71E25188"/>
    <w:lvl w:ilvl="0" w:tplc="3672181E">
      <w:start w:val="1"/>
      <w:numFmt w:val="bullet"/>
      <w:lvlText w:val="·"/>
      <w:lvlJc w:val="left"/>
      <w:pPr>
        <w:ind w:left="720" w:hanging="360"/>
      </w:pPr>
      <w:rPr>
        <w:rFonts w:ascii="Symbol" w:hAnsi="Symbol" w:hint="default"/>
      </w:rPr>
    </w:lvl>
    <w:lvl w:ilvl="1" w:tplc="805CF1D8">
      <w:start w:val="1"/>
      <w:numFmt w:val="bullet"/>
      <w:lvlText w:val="o"/>
      <w:lvlJc w:val="left"/>
      <w:pPr>
        <w:ind w:left="1440" w:hanging="360"/>
      </w:pPr>
      <w:rPr>
        <w:rFonts w:ascii="Courier New" w:hAnsi="Courier New" w:hint="default"/>
      </w:rPr>
    </w:lvl>
    <w:lvl w:ilvl="2" w:tplc="702E15FE">
      <w:start w:val="1"/>
      <w:numFmt w:val="bullet"/>
      <w:lvlText w:val=""/>
      <w:lvlJc w:val="left"/>
      <w:pPr>
        <w:ind w:left="2160" w:hanging="360"/>
      </w:pPr>
      <w:rPr>
        <w:rFonts w:ascii="Wingdings" w:hAnsi="Wingdings" w:hint="default"/>
      </w:rPr>
    </w:lvl>
    <w:lvl w:ilvl="3" w:tplc="1D9E8A64">
      <w:start w:val="1"/>
      <w:numFmt w:val="bullet"/>
      <w:lvlText w:val=""/>
      <w:lvlJc w:val="left"/>
      <w:pPr>
        <w:ind w:left="2880" w:hanging="360"/>
      </w:pPr>
      <w:rPr>
        <w:rFonts w:ascii="Symbol" w:hAnsi="Symbol" w:hint="default"/>
      </w:rPr>
    </w:lvl>
    <w:lvl w:ilvl="4" w:tplc="B2C8189A">
      <w:start w:val="1"/>
      <w:numFmt w:val="bullet"/>
      <w:lvlText w:val="o"/>
      <w:lvlJc w:val="left"/>
      <w:pPr>
        <w:ind w:left="3600" w:hanging="360"/>
      </w:pPr>
      <w:rPr>
        <w:rFonts w:ascii="Courier New" w:hAnsi="Courier New" w:hint="default"/>
      </w:rPr>
    </w:lvl>
    <w:lvl w:ilvl="5" w:tplc="4B660198">
      <w:start w:val="1"/>
      <w:numFmt w:val="bullet"/>
      <w:lvlText w:val=""/>
      <w:lvlJc w:val="left"/>
      <w:pPr>
        <w:ind w:left="4320" w:hanging="360"/>
      </w:pPr>
      <w:rPr>
        <w:rFonts w:ascii="Wingdings" w:hAnsi="Wingdings" w:hint="default"/>
      </w:rPr>
    </w:lvl>
    <w:lvl w:ilvl="6" w:tplc="620CF47A">
      <w:start w:val="1"/>
      <w:numFmt w:val="bullet"/>
      <w:lvlText w:val=""/>
      <w:lvlJc w:val="left"/>
      <w:pPr>
        <w:ind w:left="5040" w:hanging="360"/>
      </w:pPr>
      <w:rPr>
        <w:rFonts w:ascii="Symbol" w:hAnsi="Symbol" w:hint="default"/>
      </w:rPr>
    </w:lvl>
    <w:lvl w:ilvl="7" w:tplc="A88EC522">
      <w:start w:val="1"/>
      <w:numFmt w:val="bullet"/>
      <w:lvlText w:val="o"/>
      <w:lvlJc w:val="left"/>
      <w:pPr>
        <w:ind w:left="5760" w:hanging="360"/>
      </w:pPr>
      <w:rPr>
        <w:rFonts w:ascii="Courier New" w:hAnsi="Courier New" w:hint="default"/>
      </w:rPr>
    </w:lvl>
    <w:lvl w:ilvl="8" w:tplc="66706E16">
      <w:start w:val="1"/>
      <w:numFmt w:val="bullet"/>
      <w:lvlText w:val=""/>
      <w:lvlJc w:val="left"/>
      <w:pPr>
        <w:ind w:left="6480" w:hanging="360"/>
      </w:pPr>
      <w:rPr>
        <w:rFonts w:ascii="Wingdings" w:hAnsi="Wingdings" w:hint="default"/>
      </w:rPr>
    </w:lvl>
  </w:abstractNum>
  <w:abstractNum w:abstractNumId="212" w15:restartNumberingAfterBreak="0">
    <w:nsid w:val="783C58C9"/>
    <w:multiLevelType w:val="hybridMultilevel"/>
    <w:tmpl w:val="E1200738"/>
    <w:lvl w:ilvl="0" w:tplc="1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3" w15:restartNumberingAfterBreak="0">
    <w:nsid w:val="784B1E5C"/>
    <w:multiLevelType w:val="multilevel"/>
    <w:tmpl w:val="9CEED1B8"/>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789E80D7"/>
    <w:multiLevelType w:val="hybridMultilevel"/>
    <w:tmpl w:val="FFFFFFFF"/>
    <w:lvl w:ilvl="0" w:tplc="1D28E364">
      <w:start w:val="1"/>
      <w:numFmt w:val="bullet"/>
      <w:lvlText w:val="·"/>
      <w:lvlJc w:val="left"/>
      <w:pPr>
        <w:ind w:left="720" w:hanging="360"/>
      </w:pPr>
      <w:rPr>
        <w:rFonts w:ascii="Symbol" w:hAnsi="Symbol" w:hint="default"/>
      </w:rPr>
    </w:lvl>
    <w:lvl w:ilvl="1" w:tplc="037CF388">
      <w:start w:val="1"/>
      <w:numFmt w:val="bullet"/>
      <w:lvlText w:val="o"/>
      <w:lvlJc w:val="left"/>
      <w:pPr>
        <w:ind w:left="1440" w:hanging="360"/>
      </w:pPr>
      <w:rPr>
        <w:rFonts w:ascii="Courier New" w:hAnsi="Courier New" w:hint="default"/>
      </w:rPr>
    </w:lvl>
    <w:lvl w:ilvl="2" w:tplc="3894CED2">
      <w:start w:val="1"/>
      <w:numFmt w:val="bullet"/>
      <w:lvlText w:val=""/>
      <w:lvlJc w:val="left"/>
      <w:pPr>
        <w:ind w:left="2160" w:hanging="360"/>
      </w:pPr>
      <w:rPr>
        <w:rFonts w:ascii="Wingdings" w:hAnsi="Wingdings" w:hint="default"/>
      </w:rPr>
    </w:lvl>
    <w:lvl w:ilvl="3" w:tplc="C98ED2A4">
      <w:start w:val="1"/>
      <w:numFmt w:val="bullet"/>
      <w:lvlText w:val=""/>
      <w:lvlJc w:val="left"/>
      <w:pPr>
        <w:ind w:left="2880" w:hanging="360"/>
      </w:pPr>
      <w:rPr>
        <w:rFonts w:ascii="Symbol" w:hAnsi="Symbol" w:hint="default"/>
      </w:rPr>
    </w:lvl>
    <w:lvl w:ilvl="4" w:tplc="831EAD6A">
      <w:start w:val="1"/>
      <w:numFmt w:val="bullet"/>
      <w:lvlText w:val="o"/>
      <w:lvlJc w:val="left"/>
      <w:pPr>
        <w:ind w:left="3600" w:hanging="360"/>
      </w:pPr>
      <w:rPr>
        <w:rFonts w:ascii="Courier New" w:hAnsi="Courier New" w:hint="default"/>
      </w:rPr>
    </w:lvl>
    <w:lvl w:ilvl="5" w:tplc="60CA7C2E">
      <w:start w:val="1"/>
      <w:numFmt w:val="bullet"/>
      <w:lvlText w:val=""/>
      <w:lvlJc w:val="left"/>
      <w:pPr>
        <w:ind w:left="4320" w:hanging="360"/>
      </w:pPr>
      <w:rPr>
        <w:rFonts w:ascii="Wingdings" w:hAnsi="Wingdings" w:hint="default"/>
      </w:rPr>
    </w:lvl>
    <w:lvl w:ilvl="6" w:tplc="55D66380">
      <w:start w:val="1"/>
      <w:numFmt w:val="bullet"/>
      <w:lvlText w:val=""/>
      <w:lvlJc w:val="left"/>
      <w:pPr>
        <w:ind w:left="5040" w:hanging="360"/>
      </w:pPr>
      <w:rPr>
        <w:rFonts w:ascii="Symbol" w:hAnsi="Symbol" w:hint="default"/>
      </w:rPr>
    </w:lvl>
    <w:lvl w:ilvl="7" w:tplc="8DA8E614">
      <w:start w:val="1"/>
      <w:numFmt w:val="bullet"/>
      <w:lvlText w:val="o"/>
      <w:lvlJc w:val="left"/>
      <w:pPr>
        <w:ind w:left="5760" w:hanging="360"/>
      </w:pPr>
      <w:rPr>
        <w:rFonts w:ascii="Courier New" w:hAnsi="Courier New" w:hint="default"/>
      </w:rPr>
    </w:lvl>
    <w:lvl w:ilvl="8" w:tplc="2CA64804">
      <w:start w:val="1"/>
      <w:numFmt w:val="bullet"/>
      <w:lvlText w:val=""/>
      <w:lvlJc w:val="left"/>
      <w:pPr>
        <w:ind w:left="6480" w:hanging="360"/>
      </w:pPr>
      <w:rPr>
        <w:rFonts w:ascii="Wingdings" w:hAnsi="Wingdings" w:hint="default"/>
      </w:rPr>
    </w:lvl>
  </w:abstractNum>
  <w:abstractNum w:abstractNumId="215" w15:restartNumberingAfterBreak="0">
    <w:nsid w:val="78C31466"/>
    <w:multiLevelType w:val="hybridMultilevel"/>
    <w:tmpl w:val="4BF2DF5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6" w15:restartNumberingAfterBreak="0">
    <w:nsid w:val="7977212D"/>
    <w:multiLevelType w:val="hybridMultilevel"/>
    <w:tmpl w:val="A81A804C"/>
    <w:lvl w:ilvl="0" w:tplc="6ED8EB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79BC7B46"/>
    <w:multiLevelType w:val="hybridMultilevel"/>
    <w:tmpl w:val="F58C996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8" w15:restartNumberingAfterBreak="0">
    <w:nsid w:val="79F3370D"/>
    <w:multiLevelType w:val="hybridMultilevel"/>
    <w:tmpl w:val="7AAA63CA"/>
    <w:lvl w:ilvl="0" w:tplc="2D0208F4">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9" w15:restartNumberingAfterBreak="0">
    <w:nsid w:val="7AA027C6"/>
    <w:multiLevelType w:val="hybridMultilevel"/>
    <w:tmpl w:val="40F2DF5C"/>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quot;Courier New&quot;" w:hAnsi="&quot;Courier New&quot;"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0" w15:restartNumberingAfterBreak="0">
    <w:nsid w:val="7C7D093E"/>
    <w:multiLevelType w:val="multilevel"/>
    <w:tmpl w:val="254889EC"/>
    <w:lvl w:ilvl="0">
      <w:start w:val="1"/>
      <w:numFmt w:val="decimal"/>
      <w:lvlText w:val="%1."/>
      <w:lvlJc w:val="left"/>
      <w:pPr>
        <w:tabs>
          <w:tab w:val="num" w:pos="720"/>
        </w:tabs>
        <w:ind w:left="720" w:hanging="360"/>
      </w:pPr>
    </w:lvl>
    <w:lvl w:ilvl="1">
      <w:start w:val="31"/>
      <w:numFmt w:val="decimal"/>
      <w:lvlText w:val="%2."/>
      <w:lvlJc w:val="left"/>
      <w:pPr>
        <w:ind w:left="1440" w:hanging="360"/>
      </w:pPr>
      <w:rPr>
        <w:rFonts w:eastAsia="Times New Roman"/>
        <w:i w:val="0"/>
        <w:color w:val="000000"/>
      </w:rPr>
    </w:lvl>
    <w:lvl w:ilvl="2">
      <w:start w:val="1"/>
      <w:numFmt w:val="lowerRoman"/>
      <w:lvlText w:val="%3)"/>
      <w:lvlJc w:val="left"/>
      <w:pPr>
        <w:ind w:left="2520" w:hanging="72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7D2B6B52"/>
    <w:multiLevelType w:val="hybridMultilevel"/>
    <w:tmpl w:val="FFFFFFFF"/>
    <w:lvl w:ilvl="0" w:tplc="BC02074A">
      <w:start w:val="1"/>
      <w:numFmt w:val="decimal"/>
      <w:lvlText w:val="%1-"/>
      <w:lvlJc w:val="left"/>
      <w:pPr>
        <w:ind w:left="720" w:hanging="360"/>
      </w:pPr>
    </w:lvl>
    <w:lvl w:ilvl="1" w:tplc="EAB48B84">
      <w:start w:val="1"/>
      <w:numFmt w:val="lowerLetter"/>
      <w:lvlText w:val="%2."/>
      <w:lvlJc w:val="left"/>
      <w:pPr>
        <w:ind w:left="1440" w:hanging="360"/>
      </w:pPr>
    </w:lvl>
    <w:lvl w:ilvl="2" w:tplc="EE6C6E88">
      <w:start w:val="1"/>
      <w:numFmt w:val="lowerRoman"/>
      <w:lvlText w:val="%3."/>
      <w:lvlJc w:val="right"/>
      <w:pPr>
        <w:ind w:left="2160" w:hanging="180"/>
      </w:pPr>
    </w:lvl>
    <w:lvl w:ilvl="3" w:tplc="F7A4EE04">
      <w:start w:val="1"/>
      <w:numFmt w:val="decimal"/>
      <w:lvlText w:val="%4."/>
      <w:lvlJc w:val="left"/>
      <w:pPr>
        <w:ind w:left="2880" w:hanging="360"/>
      </w:pPr>
    </w:lvl>
    <w:lvl w:ilvl="4" w:tplc="99B2D7B6">
      <w:start w:val="1"/>
      <w:numFmt w:val="lowerLetter"/>
      <w:lvlText w:val="%5."/>
      <w:lvlJc w:val="left"/>
      <w:pPr>
        <w:ind w:left="3600" w:hanging="360"/>
      </w:pPr>
    </w:lvl>
    <w:lvl w:ilvl="5" w:tplc="0928A7C2">
      <w:start w:val="1"/>
      <w:numFmt w:val="lowerRoman"/>
      <w:lvlText w:val="%6."/>
      <w:lvlJc w:val="right"/>
      <w:pPr>
        <w:ind w:left="4320" w:hanging="180"/>
      </w:pPr>
    </w:lvl>
    <w:lvl w:ilvl="6" w:tplc="2FCE733E">
      <w:start w:val="1"/>
      <w:numFmt w:val="decimal"/>
      <w:lvlText w:val="%7."/>
      <w:lvlJc w:val="left"/>
      <w:pPr>
        <w:ind w:left="5040" w:hanging="360"/>
      </w:pPr>
    </w:lvl>
    <w:lvl w:ilvl="7" w:tplc="8884B564">
      <w:start w:val="1"/>
      <w:numFmt w:val="lowerLetter"/>
      <w:lvlText w:val="%8."/>
      <w:lvlJc w:val="left"/>
      <w:pPr>
        <w:ind w:left="5760" w:hanging="360"/>
      </w:pPr>
    </w:lvl>
    <w:lvl w:ilvl="8" w:tplc="46BE5724">
      <w:start w:val="1"/>
      <w:numFmt w:val="lowerRoman"/>
      <w:lvlText w:val="%9."/>
      <w:lvlJc w:val="right"/>
      <w:pPr>
        <w:ind w:left="6480" w:hanging="180"/>
      </w:pPr>
    </w:lvl>
  </w:abstractNum>
  <w:abstractNum w:abstractNumId="222" w15:restartNumberingAfterBreak="0">
    <w:nsid w:val="7DB71CBA"/>
    <w:multiLevelType w:val="hybridMultilevel"/>
    <w:tmpl w:val="AF40B12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3" w15:restartNumberingAfterBreak="0">
    <w:nsid w:val="7FBACFDB"/>
    <w:multiLevelType w:val="hybridMultilevel"/>
    <w:tmpl w:val="FFFFFFFF"/>
    <w:lvl w:ilvl="0" w:tplc="693A49E8">
      <w:start w:val="1"/>
      <w:numFmt w:val="bullet"/>
      <w:lvlText w:val="·"/>
      <w:lvlJc w:val="left"/>
      <w:pPr>
        <w:ind w:left="720" w:hanging="360"/>
      </w:pPr>
      <w:rPr>
        <w:rFonts w:ascii="Symbol" w:hAnsi="Symbol" w:hint="default"/>
      </w:rPr>
    </w:lvl>
    <w:lvl w:ilvl="1" w:tplc="B98EFE92">
      <w:start w:val="1"/>
      <w:numFmt w:val="bullet"/>
      <w:lvlText w:val="o"/>
      <w:lvlJc w:val="left"/>
      <w:pPr>
        <w:ind w:left="1440" w:hanging="360"/>
      </w:pPr>
      <w:rPr>
        <w:rFonts w:ascii="Courier New" w:hAnsi="Courier New" w:hint="default"/>
      </w:rPr>
    </w:lvl>
    <w:lvl w:ilvl="2" w:tplc="BE8A3D08">
      <w:start w:val="1"/>
      <w:numFmt w:val="bullet"/>
      <w:lvlText w:val=""/>
      <w:lvlJc w:val="left"/>
      <w:pPr>
        <w:ind w:left="2160" w:hanging="360"/>
      </w:pPr>
      <w:rPr>
        <w:rFonts w:ascii="Wingdings" w:hAnsi="Wingdings" w:hint="default"/>
      </w:rPr>
    </w:lvl>
    <w:lvl w:ilvl="3" w:tplc="C33A2A20">
      <w:start w:val="1"/>
      <w:numFmt w:val="bullet"/>
      <w:lvlText w:val=""/>
      <w:lvlJc w:val="left"/>
      <w:pPr>
        <w:ind w:left="2880" w:hanging="360"/>
      </w:pPr>
      <w:rPr>
        <w:rFonts w:ascii="Symbol" w:hAnsi="Symbol" w:hint="default"/>
      </w:rPr>
    </w:lvl>
    <w:lvl w:ilvl="4" w:tplc="936C0728">
      <w:start w:val="1"/>
      <w:numFmt w:val="bullet"/>
      <w:lvlText w:val="o"/>
      <w:lvlJc w:val="left"/>
      <w:pPr>
        <w:ind w:left="3600" w:hanging="360"/>
      </w:pPr>
      <w:rPr>
        <w:rFonts w:ascii="Courier New" w:hAnsi="Courier New" w:hint="default"/>
      </w:rPr>
    </w:lvl>
    <w:lvl w:ilvl="5" w:tplc="FBF47B00">
      <w:start w:val="1"/>
      <w:numFmt w:val="bullet"/>
      <w:lvlText w:val=""/>
      <w:lvlJc w:val="left"/>
      <w:pPr>
        <w:ind w:left="4320" w:hanging="360"/>
      </w:pPr>
      <w:rPr>
        <w:rFonts w:ascii="Wingdings" w:hAnsi="Wingdings" w:hint="default"/>
      </w:rPr>
    </w:lvl>
    <w:lvl w:ilvl="6" w:tplc="4B2687FA">
      <w:start w:val="1"/>
      <w:numFmt w:val="bullet"/>
      <w:lvlText w:val=""/>
      <w:lvlJc w:val="left"/>
      <w:pPr>
        <w:ind w:left="5040" w:hanging="360"/>
      </w:pPr>
      <w:rPr>
        <w:rFonts w:ascii="Symbol" w:hAnsi="Symbol" w:hint="default"/>
      </w:rPr>
    </w:lvl>
    <w:lvl w:ilvl="7" w:tplc="16284F7E">
      <w:start w:val="1"/>
      <w:numFmt w:val="bullet"/>
      <w:lvlText w:val="o"/>
      <w:lvlJc w:val="left"/>
      <w:pPr>
        <w:ind w:left="5760" w:hanging="360"/>
      </w:pPr>
      <w:rPr>
        <w:rFonts w:ascii="Courier New" w:hAnsi="Courier New" w:hint="default"/>
      </w:rPr>
    </w:lvl>
    <w:lvl w:ilvl="8" w:tplc="F1DABDA4">
      <w:start w:val="1"/>
      <w:numFmt w:val="bullet"/>
      <w:lvlText w:val=""/>
      <w:lvlJc w:val="left"/>
      <w:pPr>
        <w:ind w:left="6480" w:hanging="360"/>
      </w:pPr>
      <w:rPr>
        <w:rFonts w:ascii="Wingdings" w:hAnsi="Wingdings" w:hint="default"/>
      </w:rPr>
    </w:lvl>
  </w:abstractNum>
  <w:num w:numId="1" w16cid:durableId="704406466">
    <w:abstractNumId w:val="55"/>
  </w:num>
  <w:num w:numId="2" w16cid:durableId="1923180649">
    <w:abstractNumId w:val="173"/>
  </w:num>
  <w:num w:numId="3" w16cid:durableId="231278464">
    <w:abstractNumId w:val="165"/>
  </w:num>
  <w:num w:numId="4" w16cid:durableId="949512683">
    <w:abstractNumId w:val="86"/>
  </w:num>
  <w:num w:numId="5" w16cid:durableId="293172644">
    <w:abstractNumId w:val="114"/>
  </w:num>
  <w:num w:numId="6" w16cid:durableId="1555114947">
    <w:abstractNumId w:val="66"/>
  </w:num>
  <w:num w:numId="7" w16cid:durableId="716859203">
    <w:abstractNumId w:val="25"/>
  </w:num>
  <w:num w:numId="8" w16cid:durableId="1618288813">
    <w:abstractNumId w:val="179"/>
  </w:num>
  <w:num w:numId="9" w16cid:durableId="2071145779">
    <w:abstractNumId w:val="79"/>
  </w:num>
  <w:num w:numId="10" w16cid:durableId="195388837">
    <w:abstractNumId w:val="131"/>
  </w:num>
  <w:num w:numId="11" w16cid:durableId="1314602735">
    <w:abstractNumId w:val="182"/>
  </w:num>
  <w:num w:numId="12" w16cid:durableId="542981493">
    <w:abstractNumId w:val="6"/>
  </w:num>
  <w:num w:numId="13" w16cid:durableId="2038314768">
    <w:abstractNumId w:val="188"/>
  </w:num>
  <w:num w:numId="14" w16cid:durableId="753669025">
    <w:abstractNumId w:val="189"/>
  </w:num>
  <w:num w:numId="15" w16cid:durableId="1416051548">
    <w:abstractNumId w:val="126"/>
  </w:num>
  <w:num w:numId="16" w16cid:durableId="173998769">
    <w:abstractNumId w:val="146"/>
  </w:num>
  <w:num w:numId="17" w16cid:durableId="2036882444">
    <w:abstractNumId w:val="17"/>
  </w:num>
  <w:num w:numId="18" w16cid:durableId="736902565">
    <w:abstractNumId w:val="214"/>
  </w:num>
  <w:num w:numId="19" w16cid:durableId="1841042844">
    <w:abstractNumId w:val="22"/>
  </w:num>
  <w:num w:numId="20" w16cid:durableId="989360483">
    <w:abstractNumId w:val="123"/>
  </w:num>
  <w:num w:numId="21" w16cid:durableId="845901194">
    <w:abstractNumId w:val="50"/>
  </w:num>
  <w:num w:numId="22" w16cid:durableId="2131972580">
    <w:abstractNumId w:val="5"/>
  </w:num>
  <w:num w:numId="23" w16cid:durableId="1035959740">
    <w:abstractNumId w:val="44"/>
  </w:num>
  <w:num w:numId="24" w16cid:durableId="1090931957">
    <w:abstractNumId w:val="102"/>
  </w:num>
  <w:num w:numId="25" w16cid:durableId="1453479012">
    <w:abstractNumId w:val="71"/>
  </w:num>
  <w:num w:numId="26" w16cid:durableId="1219052818">
    <w:abstractNumId w:val="115"/>
  </w:num>
  <w:num w:numId="27" w16cid:durableId="1062023430">
    <w:abstractNumId w:val="163"/>
  </w:num>
  <w:num w:numId="28" w16cid:durableId="564535077">
    <w:abstractNumId w:val="41"/>
  </w:num>
  <w:num w:numId="29" w16cid:durableId="918517688">
    <w:abstractNumId w:val="1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68421118">
    <w:abstractNumId w:val="216"/>
  </w:num>
  <w:num w:numId="31" w16cid:durableId="2043630251">
    <w:abstractNumId w:val="16"/>
  </w:num>
  <w:num w:numId="32" w16cid:durableId="904797752">
    <w:abstractNumId w:val="35"/>
  </w:num>
  <w:num w:numId="33" w16cid:durableId="478545192">
    <w:abstractNumId w:val="197"/>
  </w:num>
  <w:num w:numId="34" w16cid:durableId="1742024348">
    <w:abstractNumId w:val="194"/>
  </w:num>
  <w:num w:numId="35" w16cid:durableId="1830246549">
    <w:abstractNumId w:val="56"/>
  </w:num>
  <w:num w:numId="36" w16cid:durableId="1804080759">
    <w:abstractNumId w:val="175"/>
  </w:num>
  <w:num w:numId="37" w16cid:durableId="291131893">
    <w:abstractNumId w:val="29"/>
    <w:lvlOverride w:ilvl="0">
      <w:startOverride w:val="1"/>
    </w:lvlOverride>
    <w:lvlOverride w:ilvl="1"/>
    <w:lvlOverride w:ilvl="2"/>
    <w:lvlOverride w:ilvl="3"/>
    <w:lvlOverride w:ilvl="4"/>
    <w:lvlOverride w:ilvl="5"/>
    <w:lvlOverride w:ilvl="6"/>
    <w:lvlOverride w:ilvl="7"/>
    <w:lvlOverride w:ilvl="8"/>
  </w:num>
  <w:num w:numId="38" w16cid:durableId="867640683">
    <w:abstractNumId w:val="38"/>
  </w:num>
  <w:num w:numId="39" w16cid:durableId="990864953">
    <w:abstractNumId w:val="30"/>
  </w:num>
  <w:num w:numId="40" w16cid:durableId="572930509">
    <w:abstractNumId w:val="108"/>
  </w:num>
  <w:num w:numId="41" w16cid:durableId="635793544">
    <w:abstractNumId w:val="62"/>
  </w:num>
  <w:num w:numId="42" w16cid:durableId="161897452">
    <w:abstractNumId w:val="177"/>
  </w:num>
  <w:num w:numId="43" w16cid:durableId="1190145856">
    <w:abstractNumId w:val="36"/>
  </w:num>
  <w:num w:numId="44" w16cid:durableId="151992119">
    <w:abstractNumId w:val="193"/>
  </w:num>
  <w:num w:numId="45" w16cid:durableId="1242368575">
    <w:abstractNumId w:val="111"/>
  </w:num>
  <w:num w:numId="46" w16cid:durableId="68817939">
    <w:abstractNumId w:val="160"/>
  </w:num>
  <w:num w:numId="47" w16cid:durableId="1108812868">
    <w:abstractNumId w:val="171"/>
  </w:num>
  <w:num w:numId="48" w16cid:durableId="818886597">
    <w:abstractNumId w:val="207"/>
  </w:num>
  <w:num w:numId="49" w16cid:durableId="446122731">
    <w:abstractNumId w:val="213"/>
  </w:num>
  <w:num w:numId="50" w16cid:durableId="1788696097">
    <w:abstractNumId w:val="170"/>
  </w:num>
  <w:num w:numId="51" w16cid:durableId="181698919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55549278">
    <w:abstractNumId w:val="37"/>
  </w:num>
  <w:num w:numId="53" w16cid:durableId="615140290">
    <w:abstractNumId w:val="218"/>
  </w:num>
  <w:num w:numId="54" w16cid:durableId="903489810">
    <w:abstractNumId w:val="178"/>
  </w:num>
  <w:num w:numId="55" w16cid:durableId="939873795">
    <w:abstractNumId w:val="142"/>
  </w:num>
  <w:num w:numId="56" w16cid:durableId="328143885">
    <w:abstractNumId w:val="0"/>
  </w:num>
  <w:num w:numId="57" w16cid:durableId="781729739">
    <w:abstractNumId w:val="12"/>
  </w:num>
  <w:num w:numId="58" w16cid:durableId="1033503113">
    <w:abstractNumId w:val="195"/>
  </w:num>
  <w:num w:numId="59" w16cid:durableId="1132938692">
    <w:abstractNumId w:val="88"/>
  </w:num>
  <w:num w:numId="60" w16cid:durableId="561408284">
    <w:abstractNumId w:val="1"/>
  </w:num>
  <w:num w:numId="61" w16cid:durableId="1603953501">
    <w:abstractNumId w:val="48"/>
  </w:num>
  <w:num w:numId="62" w16cid:durableId="1491602942">
    <w:abstractNumId w:val="52"/>
  </w:num>
  <w:num w:numId="63" w16cid:durableId="1284533928">
    <w:abstractNumId w:val="14"/>
  </w:num>
  <w:num w:numId="64" w16cid:durableId="1313097774">
    <w:abstractNumId w:val="219"/>
  </w:num>
  <w:num w:numId="65" w16cid:durableId="861360192">
    <w:abstractNumId w:val="2"/>
  </w:num>
  <w:num w:numId="66" w16cid:durableId="1170025463">
    <w:abstractNumId w:val="87"/>
  </w:num>
  <w:num w:numId="67" w16cid:durableId="59721542">
    <w:abstractNumId w:val="47"/>
  </w:num>
  <w:num w:numId="68" w16cid:durableId="225843538">
    <w:abstractNumId w:val="208"/>
  </w:num>
  <w:num w:numId="69" w16cid:durableId="1573352305">
    <w:abstractNumId w:val="200"/>
  </w:num>
  <w:num w:numId="70" w16cid:durableId="638727547">
    <w:abstractNumId w:val="180"/>
  </w:num>
  <w:num w:numId="71" w16cid:durableId="2040543854">
    <w:abstractNumId w:val="3"/>
  </w:num>
  <w:num w:numId="72" w16cid:durableId="1316762823">
    <w:abstractNumId w:val="137"/>
  </w:num>
  <w:num w:numId="73" w16cid:durableId="856968260">
    <w:abstractNumId w:val="176"/>
  </w:num>
  <w:num w:numId="74" w16cid:durableId="691489979">
    <w:abstractNumId w:val="127"/>
  </w:num>
  <w:num w:numId="75" w16cid:durableId="812330797">
    <w:abstractNumId w:val="116"/>
  </w:num>
  <w:num w:numId="76" w16cid:durableId="1646157669">
    <w:abstractNumId w:val="77"/>
  </w:num>
  <w:num w:numId="77" w16cid:durableId="1422948873">
    <w:abstractNumId w:val="40"/>
  </w:num>
  <w:num w:numId="78" w16cid:durableId="162014010">
    <w:abstractNumId w:val="70"/>
  </w:num>
  <w:num w:numId="79" w16cid:durableId="1890988822">
    <w:abstractNumId w:val="109"/>
  </w:num>
  <w:num w:numId="80" w16cid:durableId="1709909268">
    <w:abstractNumId w:val="166"/>
  </w:num>
  <w:num w:numId="81" w16cid:durableId="338587600">
    <w:abstractNumId w:val="150"/>
  </w:num>
  <w:num w:numId="82" w16cid:durableId="1786653661">
    <w:abstractNumId w:val="100"/>
  </w:num>
  <w:num w:numId="83" w16cid:durableId="649753160">
    <w:abstractNumId w:val="121"/>
  </w:num>
  <w:num w:numId="84" w16cid:durableId="184948571">
    <w:abstractNumId w:val="61"/>
  </w:num>
  <w:num w:numId="85" w16cid:durableId="1477188020">
    <w:abstractNumId w:val="145"/>
  </w:num>
  <w:num w:numId="86" w16cid:durableId="441651446">
    <w:abstractNumId w:val="82"/>
  </w:num>
  <w:num w:numId="87" w16cid:durableId="1855457960">
    <w:abstractNumId w:val="60"/>
  </w:num>
  <w:num w:numId="88" w16cid:durableId="1414665026">
    <w:abstractNumId w:val="157"/>
  </w:num>
  <w:num w:numId="89" w16cid:durableId="2121414354">
    <w:abstractNumId w:val="211"/>
  </w:num>
  <w:num w:numId="90" w16cid:durableId="632640413">
    <w:abstractNumId w:val="43"/>
  </w:num>
  <w:num w:numId="91" w16cid:durableId="1377120227">
    <w:abstractNumId w:val="205"/>
  </w:num>
  <w:num w:numId="92" w16cid:durableId="263534804">
    <w:abstractNumId w:val="172"/>
  </w:num>
  <w:num w:numId="93" w16cid:durableId="1041438131">
    <w:abstractNumId w:val="174"/>
  </w:num>
  <w:num w:numId="94" w16cid:durableId="1536120879">
    <w:abstractNumId w:val="85"/>
  </w:num>
  <w:num w:numId="95" w16cid:durableId="1280525937">
    <w:abstractNumId w:val="34"/>
  </w:num>
  <w:num w:numId="96" w16cid:durableId="222378501">
    <w:abstractNumId w:val="80"/>
  </w:num>
  <w:num w:numId="97" w16cid:durableId="20135329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57854713">
    <w:abstractNumId w:val="97"/>
  </w:num>
  <w:num w:numId="99" w16cid:durableId="562639611">
    <w:abstractNumId w:val="167"/>
  </w:num>
  <w:num w:numId="100" w16cid:durableId="2009213511">
    <w:abstractNumId w:val="110"/>
  </w:num>
  <w:num w:numId="101" w16cid:durableId="1689603115">
    <w:abstractNumId w:val="23"/>
  </w:num>
  <w:num w:numId="102" w16cid:durableId="357244303">
    <w:abstractNumId w:val="73"/>
  </w:num>
  <w:num w:numId="103" w16cid:durableId="897665041">
    <w:abstractNumId w:val="161"/>
  </w:num>
  <w:num w:numId="104" w16cid:durableId="1849906594">
    <w:abstractNumId w:val="91"/>
  </w:num>
  <w:num w:numId="105" w16cid:durableId="898438505">
    <w:abstractNumId w:val="83"/>
  </w:num>
  <w:num w:numId="106" w16cid:durableId="1125275998">
    <w:abstractNumId w:val="11"/>
  </w:num>
  <w:num w:numId="107" w16cid:durableId="168764083">
    <w:abstractNumId w:val="103"/>
  </w:num>
  <w:num w:numId="108" w16cid:durableId="1175652184">
    <w:abstractNumId w:val="94"/>
  </w:num>
  <w:num w:numId="109" w16cid:durableId="267201444">
    <w:abstractNumId w:val="119"/>
  </w:num>
  <w:num w:numId="110" w16cid:durableId="325281778">
    <w:abstractNumId w:val="49"/>
  </w:num>
  <w:num w:numId="111" w16cid:durableId="1085806633">
    <w:abstractNumId w:val="154"/>
  </w:num>
  <w:num w:numId="112" w16cid:durableId="1086000992">
    <w:abstractNumId w:val="140"/>
  </w:num>
  <w:num w:numId="113" w16cid:durableId="1486773153">
    <w:abstractNumId w:val="20"/>
  </w:num>
  <w:num w:numId="114" w16cid:durableId="1950239492">
    <w:abstractNumId w:val="136"/>
  </w:num>
  <w:num w:numId="115" w16cid:durableId="104547412">
    <w:abstractNumId w:val="159"/>
  </w:num>
  <w:num w:numId="116" w16cid:durableId="1467506552">
    <w:abstractNumId w:val="31"/>
  </w:num>
  <w:num w:numId="117" w16cid:durableId="1477649478">
    <w:abstractNumId w:val="215"/>
  </w:num>
  <w:num w:numId="118" w16cid:durableId="199437955">
    <w:abstractNumId w:val="54"/>
  </w:num>
  <w:num w:numId="119" w16cid:durableId="1740906078">
    <w:abstractNumId w:val="199"/>
  </w:num>
  <w:num w:numId="120" w16cid:durableId="1300381067">
    <w:abstractNumId w:val="51"/>
  </w:num>
  <w:num w:numId="121" w16cid:durableId="1138717517">
    <w:abstractNumId w:val="212"/>
  </w:num>
  <w:num w:numId="122" w16cid:durableId="2121756856">
    <w:abstractNumId w:val="33"/>
  </w:num>
  <w:num w:numId="123" w16cid:durableId="1657420650">
    <w:abstractNumId w:val="133"/>
  </w:num>
  <w:num w:numId="124" w16cid:durableId="922687860">
    <w:abstractNumId w:val="196"/>
  </w:num>
  <w:num w:numId="125" w16cid:durableId="152259794">
    <w:abstractNumId w:val="8"/>
  </w:num>
  <w:num w:numId="126" w16cid:durableId="512301420">
    <w:abstractNumId w:val="76"/>
  </w:num>
  <w:num w:numId="127" w16cid:durableId="108134928">
    <w:abstractNumId w:val="151"/>
  </w:num>
  <w:num w:numId="128" w16cid:durableId="843325863">
    <w:abstractNumId w:val="192"/>
  </w:num>
  <w:num w:numId="129" w16cid:durableId="414085783">
    <w:abstractNumId w:val="99"/>
  </w:num>
  <w:num w:numId="130" w16cid:durableId="2093622731">
    <w:abstractNumId w:val="96"/>
  </w:num>
  <w:num w:numId="131" w16cid:durableId="1022048441">
    <w:abstractNumId w:val="201"/>
  </w:num>
  <w:num w:numId="132" w16cid:durableId="806240100">
    <w:abstractNumId w:val="132"/>
  </w:num>
  <w:num w:numId="133" w16cid:durableId="123232026">
    <w:abstractNumId w:val="143"/>
  </w:num>
  <w:num w:numId="134" w16cid:durableId="866680263">
    <w:abstractNumId w:val="155"/>
  </w:num>
  <w:num w:numId="135" w16cid:durableId="1091465248">
    <w:abstractNumId w:val="138"/>
  </w:num>
  <w:num w:numId="136" w16cid:durableId="17037041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5614012">
    <w:abstractNumId w:val="42"/>
  </w:num>
  <w:num w:numId="138" w16cid:durableId="1671132392">
    <w:abstractNumId w:val="156"/>
  </w:num>
  <w:num w:numId="139" w16cid:durableId="111705235">
    <w:abstractNumId w:val="64"/>
  </w:num>
  <w:num w:numId="140" w16cid:durableId="670451705">
    <w:abstractNumId w:val="89"/>
  </w:num>
  <w:num w:numId="141" w16cid:durableId="1505583586">
    <w:abstractNumId w:val="39"/>
  </w:num>
  <w:num w:numId="142" w16cid:durableId="1804038138">
    <w:abstractNumId w:val="74"/>
  </w:num>
  <w:num w:numId="143" w16cid:durableId="1759447185">
    <w:abstractNumId w:val="28"/>
  </w:num>
  <w:num w:numId="144" w16cid:durableId="1842039042">
    <w:abstractNumId w:val="217"/>
  </w:num>
  <w:num w:numId="145" w16cid:durableId="689646365">
    <w:abstractNumId w:val="186"/>
  </w:num>
  <w:num w:numId="146" w16cid:durableId="1933970542">
    <w:abstractNumId w:val="158"/>
    <w:lvlOverride w:ilvl="0">
      <w:startOverride w:val="1"/>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292978779">
    <w:abstractNumId w:val="220"/>
    <w:lvlOverride w:ilvl="0">
      <w:startOverride w:val="1"/>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7091790">
    <w:abstractNumId w:val="221"/>
  </w:num>
  <w:num w:numId="149" w16cid:durableId="1256524117">
    <w:abstractNumId w:val="181"/>
  </w:num>
  <w:num w:numId="150" w16cid:durableId="503084948">
    <w:abstractNumId w:val="191"/>
  </w:num>
  <w:num w:numId="151" w16cid:durableId="900871822">
    <w:abstractNumId w:val="122"/>
  </w:num>
  <w:num w:numId="152" w16cid:durableId="1574197791">
    <w:abstractNumId w:val="117"/>
  </w:num>
  <w:num w:numId="153" w16cid:durableId="1711224709">
    <w:abstractNumId w:val="15"/>
  </w:num>
  <w:num w:numId="154" w16cid:durableId="101610305">
    <w:abstractNumId w:val="118"/>
  </w:num>
  <w:num w:numId="155" w16cid:durableId="665399637">
    <w:abstractNumId w:val="185"/>
  </w:num>
  <w:num w:numId="156" w16cid:durableId="33041442">
    <w:abstractNumId w:val="128"/>
  </w:num>
  <w:num w:numId="157" w16cid:durableId="1199658986">
    <w:abstractNumId w:val="191"/>
  </w:num>
  <w:num w:numId="158" w16cid:durableId="1526597735">
    <w:abstractNumId w:val="181"/>
  </w:num>
  <w:num w:numId="159" w16cid:durableId="1778136187">
    <w:abstractNumId w:val="184"/>
  </w:num>
  <w:num w:numId="160" w16cid:durableId="1815222978">
    <w:abstractNumId w:val="210"/>
  </w:num>
  <w:num w:numId="161" w16cid:durableId="261840282">
    <w:abstractNumId w:val="58"/>
  </w:num>
  <w:num w:numId="162" w16cid:durableId="1302078311">
    <w:abstractNumId w:val="59"/>
  </w:num>
  <w:num w:numId="163" w16cid:durableId="1689410036">
    <w:abstractNumId w:val="125"/>
  </w:num>
  <w:num w:numId="164" w16cid:durableId="280460335">
    <w:abstractNumId w:val="46"/>
  </w:num>
  <w:num w:numId="165" w16cid:durableId="2038582400">
    <w:abstractNumId w:val="45"/>
  </w:num>
  <w:num w:numId="166" w16cid:durableId="1437677525">
    <w:abstractNumId w:val="135"/>
  </w:num>
  <w:num w:numId="167" w16cid:durableId="1586573737">
    <w:abstractNumId w:val="124"/>
  </w:num>
  <w:num w:numId="168" w16cid:durableId="1749036037">
    <w:abstractNumId w:val="90"/>
  </w:num>
  <w:num w:numId="169" w16cid:durableId="843474940">
    <w:abstractNumId w:val="93"/>
  </w:num>
  <w:num w:numId="170" w16cid:durableId="1171528962">
    <w:abstractNumId w:val="169"/>
  </w:num>
  <w:num w:numId="171" w16cid:durableId="1623610205">
    <w:abstractNumId w:val="32"/>
  </w:num>
  <w:num w:numId="172" w16cid:durableId="757679937">
    <w:abstractNumId w:val="105"/>
  </w:num>
  <w:num w:numId="173" w16cid:durableId="688524834">
    <w:abstractNumId w:val="67"/>
  </w:num>
  <w:num w:numId="174" w16cid:durableId="210306199">
    <w:abstractNumId w:val="162"/>
  </w:num>
  <w:num w:numId="175" w16cid:durableId="2042704735">
    <w:abstractNumId w:val="144"/>
  </w:num>
  <w:num w:numId="176" w16cid:durableId="1641571042">
    <w:abstractNumId w:val="18"/>
  </w:num>
  <w:num w:numId="177" w16cid:durableId="642658914">
    <w:abstractNumId w:val="222"/>
  </w:num>
  <w:num w:numId="178" w16cid:durableId="1217474663">
    <w:abstractNumId w:val="141"/>
  </w:num>
  <w:num w:numId="179" w16cid:durableId="102388640">
    <w:abstractNumId w:val="147"/>
  </w:num>
  <w:num w:numId="180" w16cid:durableId="417874709">
    <w:abstractNumId w:val="78"/>
  </w:num>
  <w:num w:numId="181" w16cid:durableId="1998801425">
    <w:abstractNumId w:val="113"/>
  </w:num>
  <w:num w:numId="182" w16cid:durableId="911349883">
    <w:abstractNumId w:val="130"/>
  </w:num>
  <w:num w:numId="183" w16cid:durableId="44188258">
    <w:abstractNumId w:val="183"/>
  </w:num>
  <w:num w:numId="184" w16cid:durableId="219830986">
    <w:abstractNumId w:val="13"/>
  </w:num>
  <w:num w:numId="185" w16cid:durableId="1125350394">
    <w:abstractNumId w:val="21"/>
  </w:num>
  <w:num w:numId="186" w16cid:durableId="345790612">
    <w:abstractNumId w:val="168"/>
  </w:num>
  <w:num w:numId="187" w16cid:durableId="1504011573">
    <w:abstractNumId w:val="190"/>
  </w:num>
  <w:num w:numId="188" w16cid:durableId="544412790">
    <w:abstractNumId w:val="95"/>
  </w:num>
  <w:num w:numId="189" w16cid:durableId="1355883358">
    <w:abstractNumId w:val="206"/>
  </w:num>
  <w:num w:numId="190" w16cid:durableId="2118286553">
    <w:abstractNumId w:val="153"/>
  </w:num>
  <w:num w:numId="191" w16cid:durableId="1316449519">
    <w:abstractNumId w:val="101"/>
  </w:num>
  <w:num w:numId="192" w16cid:durableId="1762876419">
    <w:abstractNumId w:val="107"/>
  </w:num>
  <w:num w:numId="193" w16cid:durableId="1574659731">
    <w:abstractNumId w:val="75"/>
  </w:num>
  <w:num w:numId="194" w16cid:durableId="745304091">
    <w:abstractNumId w:val="164"/>
  </w:num>
  <w:num w:numId="195" w16cid:durableId="981734630">
    <w:abstractNumId w:val="106"/>
  </w:num>
  <w:num w:numId="196" w16cid:durableId="852453134">
    <w:abstractNumId w:val="148"/>
  </w:num>
  <w:num w:numId="197" w16cid:durableId="2045400513">
    <w:abstractNumId w:val="26"/>
  </w:num>
  <w:num w:numId="198" w16cid:durableId="845167412">
    <w:abstractNumId w:val="57"/>
  </w:num>
  <w:num w:numId="199" w16cid:durableId="1027634908">
    <w:abstractNumId w:val="75"/>
  </w:num>
  <w:num w:numId="200" w16cid:durableId="743647038">
    <w:abstractNumId w:val="106"/>
  </w:num>
  <w:num w:numId="201" w16cid:durableId="761872689">
    <w:abstractNumId w:val="209"/>
  </w:num>
  <w:num w:numId="202" w16cid:durableId="1260679804">
    <w:abstractNumId w:val="120"/>
  </w:num>
  <w:num w:numId="203" w16cid:durableId="97139096">
    <w:abstractNumId w:val="98"/>
  </w:num>
  <w:num w:numId="204" w16cid:durableId="160705776">
    <w:abstractNumId w:val="53"/>
  </w:num>
  <w:num w:numId="205" w16cid:durableId="1151404418">
    <w:abstractNumId w:val="72"/>
  </w:num>
  <w:num w:numId="206" w16cid:durableId="997616701">
    <w:abstractNumId w:val="63"/>
  </w:num>
  <w:num w:numId="207" w16cid:durableId="1689257142">
    <w:abstractNumId w:val="198"/>
  </w:num>
  <w:num w:numId="208" w16cid:durableId="1139614412">
    <w:abstractNumId w:val="104"/>
  </w:num>
  <w:num w:numId="209" w16cid:durableId="322051122">
    <w:abstractNumId w:val="112"/>
  </w:num>
  <w:num w:numId="210" w16cid:durableId="1209801911">
    <w:abstractNumId w:val="4"/>
  </w:num>
  <w:num w:numId="211" w16cid:durableId="952326150">
    <w:abstractNumId w:val="69"/>
  </w:num>
  <w:num w:numId="212" w16cid:durableId="1931544559">
    <w:abstractNumId w:val="203"/>
  </w:num>
  <w:num w:numId="213" w16cid:durableId="1591963747">
    <w:abstractNumId w:val="223"/>
  </w:num>
  <w:num w:numId="214" w16cid:durableId="1557737673">
    <w:abstractNumId w:val="139"/>
  </w:num>
  <w:num w:numId="215" w16cid:durableId="561602073">
    <w:abstractNumId w:val="24"/>
  </w:num>
  <w:num w:numId="216" w16cid:durableId="225266570">
    <w:abstractNumId w:val="7"/>
  </w:num>
  <w:num w:numId="217" w16cid:durableId="1708723671">
    <w:abstractNumId w:val="92"/>
  </w:num>
  <w:num w:numId="218" w16cid:durableId="1834102940">
    <w:abstractNumId w:val="202"/>
  </w:num>
  <w:num w:numId="219" w16cid:durableId="2023390694">
    <w:abstractNumId w:val="204"/>
  </w:num>
  <w:num w:numId="220" w16cid:durableId="302469317">
    <w:abstractNumId w:val="27"/>
  </w:num>
  <w:num w:numId="221" w16cid:durableId="1845364726">
    <w:abstractNumId w:val="84"/>
  </w:num>
  <w:num w:numId="222" w16cid:durableId="1669019111">
    <w:abstractNumId w:val="129"/>
  </w:num>
  <w:num w:numId="223" w16cid:durableId="1499494951">
    <w:abstractNumId w:val="10"/>
  </w:num>
  <w:num w:numId="224" w16cid:durableId="1149126742">
    <w:abstractNumId w:val="81"/>
  </w:num>
  <w:num w:numId="225" w16cid:durableId="1910119082">
    <w:abstractNumId w:val="9"/>
  </w:num>
  <w:num w:numId="226" w16cid:durableId="115948494">
    <w:abstractNumId w:val="187"/>
  </w:num>
  <w:num w:numId="227" w16cid:durableId="141967964">
    <w:abstractNumId w:val="149"/>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de-DE" w:vendorID="64" w:dllVersion="6" w:nlCheck="1" w:checkStyle="0"/>
  <w:activeWritingStyle w:appName="MSWord" w:lang="en-IE" w:vendorID="64" w:dllVersion="0" w:nlCheck="1" w:checkStyle="0"/>
  <w:activeWritingStyle w:appName="MSWord" w:lang="es-ES" w:vendorID="64" w:dllVersion="0" w:nlCheck="1" w:checkStyle="0"/>
  <w:activeWritingStyle w:appName="MSWord" w:lang="fr-BE"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uncil" w:val="true"/>
    <w:docVar w:name="CoverPageOnWordDoc" w:val="true"/>
    <w:docVar w:name="DocStatus" w:val="Green"/>
    <w:docVar w:name="DocuWriteMetaData" w:val="&lt;metadataset docuwriteversion=&quot;4.8.2&quot; technicalblockguid=&quot;499851333364417995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7-07&lt;/text&gt;_x000d__x000a_  &lt;/metadata&gt;_x000d__x000a_  &lt;metadata key=&quot;md_Prefix&quot;&gt;_x000d__x000a_    &lt;text&gt;&lt;/text&gt;_x000d__x000a_  &lt;/metadata&gt;_x000d__x000a_  &lt;metadata key=&quot;md_DocumentNumber&quot;&gt;_x000d__x000a_    &lt;text&gt;11624&lt;/text&gt;_x000d__x000a_  &lt;/metadata&gt;_x000d__x000a_  &lt;metadata key=&quot;md_YearDocumentNumber&quot;&gt;_x000d__x000a_    &lt;text&gt;2023&lt;/text&gt;_x000d__x000a_  &lt;/metadata&gt;_x000d__x000a_  &lt;metadata key=&quot;md_Suffixes&quot;&gt;_x000d__x000a_    &lt;text&gt;ADD 4&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NV 826&lt;/text&gt;_x000d__x000a_      &lt;text&gt;COMPET 739&lt;/text&gt;_x000d__x000a_      &lt;text&gt;SAN 448&lt;/text&gt;_x000d__x000a_      &lt;text&gt;MI 600&lt;/text&gt;_x000d__x000a_      &lt;text&gt;IND 374&lt;/text&gt;_x000d__x000a_      &lt;text&gt;CONSOM 267&lt;/text&gt;_x000d__x000a_      &lt;text&gt;ENT 158&lt;/text&gt;_x000d__x000a_      &lt;text&gt;FOOD 57&lt;/text&gt;_x000d__x000a_      &lt;text&gt;AGRI 383&lt;/text&gt;_x000d__x000a_      &lt;text&gt;CODEC 1320&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234(COD)&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7-06&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23) 421 final - part 2/4&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COMMISSION STAFF WORKING DOCUMENT  IMPACT ASSESSMENT REPORT Accompanying the document Directive of the European Parliament and of the Council amending Directive 2008/98/EC on waste&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 xml:space=&quot;preserve&quot;&amp;gt;COMMISSION STAFF WORKING DOCUMENT &amp;lt;/Paragraph&amp;gt;&amp;lt;Paragraph&amp;gt;IMPACT ASSESSMENT REPORT Accompanying the document Directive of the European Parliament and of the Council amending Directive 2008/98/EC on waste&amp;lt;/Paragraph&amp;gt;&amp;lt;/FlowDocument&amp;gt;&lt;/xaml&gt;_x000d__x000a_  &lt;/metadata&gt;_x000d__x000a_  &lt;metadata key=&quot;md_SubjectFootnote&quot; /&gt;_x000d__x000a_  &lt;metadata key=&quot;md_DG&quot;&gt;_x000d__x000a_    &lt;text&gt;TREE.1.A&lt;/text&gt;_x000d__x000a_  &lt;/metadata&gt;_x000d__x000a_  &lt;metadata key=&quot;md_Initials&quot;&gt;_x000d__x000a_    &lt;text&gt;PHL/bsl&lt;/text&gt;_x000d__x000a_  &lt;/metadata&gt;_x000d__x000a_  &lt;metadata key=&quot;md_SensitivityLabel&quot;&gt;_x000d__x000a_    &lt;basicdatatype&gt;_x000d__x000a_      &lt;sensitivity_label key=&quot;senslabel_01&quot; text=&quot;PUBLIC&quot; labelid=&quot;af60b174-6478-47f9-866e-33f097bb6603&quot; siteid=&quot;03ad1c97-0a4d-4e82-8f93-27291a6a0767&quot; isdefault=&quot;fals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_x000d__x000a__x000d__x000a_IMPACT ASSESSMENT REPORT_x000d__x000a_&lt;/text&gt;_x000d__x000a_  &lt;/metadata&gt;_x000d__x000a_  &lt;metadata key=&quot;md_SourceDocTitle&quot;&gt;_x000d__x000a_    &lt;text&gt;Accompanying the document _x000d__x000a_Directive of the European Parliament and of the Council _x000d__x000a_amending Directive 2008/98/EC on waste&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No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ACCOMPAGNANT.CP" w:val="Accompanying the document"/>
    <w:docVar w:name="LW_CORRIGENDUM" w:val="&lt;UNUSED&gt;"/>
    <w:docVar w:name="LW_COVERPAGE_EXISTS" w:val="True"/>
    <w:docVar w:name="LW_COVERPAGE_GUID" w:val="A9738DF2-EF65-42AD-B9F3-C099E6434FE0"/>
    <w:docVar w:name="LW_COVERPAGE_TYPE" w:val="1"/>
    <w:docVar w:name="LW_CROSSREFERENCE" w:val="{COM(2023) 420 final} - {SEC(2023) 420 final} - {SWD(2023) 420 final} - {SWD(2023) 422 final}"/>
    <w:docVar w:name="LW_DocType" w:val="NORMAL"/>
    <w:docVar w:name="LW_EMISSION" w:val="5.7.2023"/>
    <w:docVar w:name="LW_EMISSION_ISODATE" w:val="2023-07-05"/>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Directive 2008/98/EC on waste"/>
    <w:docVar w:name="LW_PART_NBR" w:val="2"/>
    <w:docVar w:name="LW_PART_NBR_TOTAL" w:val="4"/>
    <w:docVar w:name="LW_REF.INST.NEW" w:val="SWD"/>
    <w:docVar w:name="LW_REF.INST.NEW_ADOPTED" w:val="final"/>
    <w:docVar w:name="LW_REF.INST.NEW_TEXT" w:val="(2023) 4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Directive of the European Parliament and of the Council"/>
    <w:docVar w:name="LwApiVersions" w:val="LW4CoDe 1.23.2.0; LW 8.0, Build 20211117"/>
  </w:docVars>
  <w:rsids>
    <w:rsidRoot w:val="006B087E"/>
    <w:rsid w:val="00000077"/>
    <w:rsid w:val="000000E4"/>
    <w:rsid w:val="0000013C"/>
    <w:rsid w:val="000002CC"/>
    <w:rsid w:val="00000327"/>
    <w:rsid w:val="0000043B"/>
    <w:rsid w:val="000005C2"/>
    <w:rsid w:val="0000068E"/>
    <w:rsid w:val="000006A2"/>
    <w:rsid w:val="0000070A"/>
    <w:rsid w:val="0000076B"/>
    <w:rsid w:val="0000080E"/>
    <w:rsid w:val="00000935"/>
    <w:rsid w:val="000009F9"/>
    <w:rsid w:val="00000B78"/>
    <w:rsid w:val="00000C80"/>
    <w:rsid w:val="00000CB9"/>
    <w:rsid w:val="00000FBF"/>
    <w:rsid w:val="000010A7"/>
    <w:rsid w:val="000010F2"/>
    <w:rsid w:val="000011F9"/>
    <w:rsid w:val="000012B5"/>
    <w:rsid w:val="000014BD"/>
    <w:rsid w:val="00001602"/>
    <w:rsid w:val="0000170B"/>
    <w:rsid w:val="00001812"/>
    <w:rsid w:val="0000193C"/>
    <w:rsid w:val="00001B3A"/>
    <w:rsid w:val="00001BCD"/>
    <w:rsid w:val="00001CFC"/>
    <w:rsid w:val="00001D06"/>
    <w:rsid w:val="00001D16"/>
    <w:rsid w:val="00001D37"/>
    <w:rsid w:val="00001D44"/>
    <w:rsid w:val="00001D4C"/>
    <w:rsid w:val="00001EFB"/>
    <w:rsid w:val="00001F66"/>
    <w:rsid w:val="0000229C"/>
    <w:rsid w:val="000025B7"/>
    <w:rsid w:val="00002614"/>
    <w:rsid w:val="00002685"/>
    <w:rsid w:val="0000276E"/>
    <w:rsid w:val="000028C7"/>
    <w:rsid w:val="00002A80"/>
    <w:rsid w:val="00002AC9"/>
    <w:rsid w:val="00002BC1"/>
    <w:rsid w:val="00002C3D"/>
    <w:rsid w:val="00002C4D"/>
    <w:rsid w:val="00002CA0"/>
    <w:rsid w:val="00002D06"/>
    <w:rsid w:val="00002DBE"/>
    <w:rsid w:val="00002E0C"/>
    <w:rsid w:val="00002E26"/>
    <w:rsid w:val="00002EB3"/>
    <w:rsid w:val="00003074"/>
    <w:rsid w:val="0000317C"/>
    <w:rsid w:val="000031A7"/>
    <w:rsid w:val="00003255"/>
    <w:rsid w:val="00003265"/>
    <w:rsid w:val="00003384"/>
    <w:rsid w:val="000033EF"/>
    <w:rsid w:val="0000352B"/>
    <w:rsid w:val="000036AF"/>
    <w:rsid w:val="00003916"/>
    <w:rsid w:val="00003A5E"/>
    <w:rsid w:val="00003D02"/>
    <w:rsid w:val="00003EAC"/>
    <w:rsid w:val="00003ED1"/>
    <w:rsid w:val="000040C0"/>
    <w:rsid w:val="0000435E"/>
    <w:rsid w:val="0000466B"/>
    <w:rsid w:val="000046EA"/>
    <w:rsid w:val="0000473F"/>
    <w:rsid w:val="0000475E"/>
    <w:rsid w:val="000048A0"/>
    <w:rsid w:val="000048F8"/>
    <w:rsid w:val="00004902"/>
    <w:rsid w:val="00004918"/>
    <w:rsid w:val="00004A51"/>
    <w:rsid w:val="00004A5A"/>
    <w:rsid w:val="00004A9C"/>
    <w:rsid w:val="00004B68"/>
    <w:rsid w:val="00004B7F"/>
    <w:rsid w:val="00004B8E"/>
    <w:rsid w:val="00004BDA"/>
    <w:rsid w:val="00004BF0"/>
    <w:rsid w:val="00004CAE"/>
    <w:rsid w:val="00004D69"/>
    <w:rsid w:val="00004E8D"/>
    <w:rsid w:val="00004ED8"/>
    <w:rsid w:val="00004F3D"/>
    <w:rsid w:val="00004F53"/>
    <w:rsid w:val="00004F78"/>
    <w:rsid w:val="00004FFD"/>
    <w:rsid w:val="0000525D"/>
    <w:rsid w:val="000053AE"/>
    <w:rsid w:val="00005497"/>
    <w:rsid w:val="0000571D"/>
    <w:rsid w:val="000057AC"/>
    <w:rsid w:val="000059CE"/>
    <w:rsid w:val="00005C4D"/>
    <w:rsid w:val="00005C75"/>
    <w:rsid w:val="00005CBB"/>
    <w:rsid w:val="00005CDB"/>
    <w:rsid w:val="00005EEF"/>
    <w:rsid w:val="00005F04"/>
    <w:rsid w:val="00005F3D"/>
    <w:rsid w:val="00006089"/>
    <w:rsid w:val="0000611F"/>
    <w:rsid w:val="00006127"/>
    <w:rsid w:val="0000623E"/>
    <w:rsid w:val="000062C2"/>
    <w:rsid w:val="000062E1"/>
    <w:rsid w:val="0000634A"/>
    <w:rsid w:val="000063D0"/>
    <w:rsid w:val="0000671E"/>
    <w:rsid w:val="00006750"/>
    <w:rsid w:val="00006762"/>
    <w:rsid w:val="000067A4"/>
    <w:rsid w:val="00006824"/>
    <w:rsid w:val="00006879"/>
    <w:rsid w:val="00006A46"/>
    <w:rsid w:val="00006AE4"/>
    <w:rsid w:val="00006AE7"/>
    <w:rsid w:val="00006B81"/>
    <w:rsid w:val="00006C90"/>
    <w:rsid w:val="00006D1C"/>
    <w:rsid w:val="00006F83"/>
    <w:rsid w:val="0000706B"/>
    <w:rsid w:val="00007146"/>
    <w:rsid w:val="00007284"/>
    <w:rsid w:val="0000728F"/>
    <w:rsid w:val="0000746D"/>
    <w:rsid w:val="000074AF"/>
    <w:rsid w:val="00007712"/>
    <w:rsid w:val="000078BE"/>
    <w:rsid w:val="000078C0"/>
    <w:rsid w:val="00007998"/>
    <w:rsid w:val="00007A71"/>
    <w:rsid w:val="00007B56"/>
    <w:rsid w:val="00007DD1"/>
    <w:rsid w:val="00007DFC"/>
    <w:rsid w:val="00007E08"/>
    <w:rsid w:val="00007EE4"/>
    <w:rsid w:val="00007FC0"/>
    <w:rsid w:val="0001000B"/>
    <w:rsid w:val="000100CE"/>
    <w:rsid w:val="000100DB"/>
    <w:rsid w:val="000101A5"/>
    <w:rsid w:val="000101A7"/>
    <w:rsid w:val="00010317"/>
    <w:rsid w:val="000103F9"/>
    <w:rsid w:val="00010400"/>
    <w:rsid w:val="00010488"/>
    <w:rsid w:val="000105D5"/>
    <w:rsid w:val="00010744"/>
    <w:rsid w:val="00010849"/>
    <w:rsid w:val="0001089D"/>
    <w:rsid w:val="00010902"/>
    <w:rsid w:val="00010AC0"/>
    <w:rsid w:val="00010C7D"/>
    <w:rsid w:val="00010D76"/>
    <w:rsid w:val="00010FE9"/>
    <w:rsid w:val="0001107A"/>
    <w:rsid w:val="0001110D"/>
    <w:rsid w:val="00011161"/>
    <w:rsid w:val="000111E8"/>
    <w:rsid w:val="000111FE"/>
    <w:rsid w:val="0001132E"/>
    <w:rsid w:val="000113B9"/>
    <w:rsid w:val="00011422"/>
    <w:rsid w:val="0001148E"/>
    <w:rsid w:val="000114F0"/>
    <w:rsid w:val="00011621"/>
    <w:rsid w:val="000117E1"/>
    <w:rsid w:val="00011927"/>
    <w:rsid w:val="00011B77"/>
    <w:rsid w:val="00011C6C"/>
    <w:rsid w:val="00011D8C"/>
    <w:rsid w:val="00011DBE"/>
    <w:rsid w:val="00011F61"/>
    <w:rsid w:val="00011F99"/>
    <w:rsid w:val="00011FBD"/>
    <w:rsid w:val="00012042"/>
    <w:rsid w:val="00012086"/>
    <w:rsid w:val="000121CD"/>
    <w:rsid w:val="0001234C"/>
    <w:rsid w:val="00012366"/>
    <w:rsid w:val="000123A6"/>
    <w:rsid w:val="000125CF"/>
    <w:rsid w:val="000125EA"/>
    <w:rsid w:val="000126B3"/>
    <w:rsid w:val="000127E6"/>
    <w:rsid w:val="00012890"/>
    <w:rsid w:val="000128C1"/>
    <w:rsid w:val="0001295C"/>
    <w:rsid w:val="00012A12"/>
    <w:rsid w:val="00012B02"/>
    <w:rsid w:val="00012BE3"/>
    <w:rsid w:val="00012C41"/>
    <w:rsid w:val="00012C93"/>
    <w:rsid w:val="00012D62"/>
    <w:rsid w:val="00012E24"/>
    <w:rsid w:val="00013082"/>
    <w:rsid w:val="00013098"/>
    <w:rsid w:val="000130C2"/>
    <w:rsid w:val="000130EF"/>
    <w:rsid w:val="00013143"/>
    <w:rsid w:val="00013169"/>
    <w:rsid w:val="000131EB"/>
    <w:rsid w:val="00013204"/>
    <w:rsid w:val="000132F6"/>
    <w:rsid w:val="00013366"/>
    <w:rsid w:val="000133C0"/>
    <w:rsid w:val="0001351C"/>
    <w:rsid w:val="000137CB"/>
    <w:rsid w:val="00013842"/>
    <w:rsid w:val="00013AFE"/>
    <w:rsid w:val="00013B44"/>
    <w:rsid w:val="00013BDC"/>
    <w:rsid w:val="00013E13"/>
    <w:rsid w:val="00013EC3"/>
    <w:rsid w:val="00013F21"/>
    <w:rsid w:val="00013F34"/>
    <w:rsid w:val="00014097"/>
    <w:rsid w:val="0001416B"/>
    <w:rsid w:val="0001420C"/>
    <w:rsid w:val="00014397"/>
    <w:rsid w:val="000143DD"/>
    <w:rsid w:val="0001442C"/>
    <w:rsid w:val="000144AC"/>
    <w:rsid w:val="0001450E"/>
    <w:rsid w:val="00014543"/>
    <w:rsid w:val="00014606"/>
    <w:rsid w:val="0001460B"/>
    <w:rsid w:val="00014675"/>
    <w:rsid w:val="00014A37"/>
    <w:rsid w:val="00014AA1"/>
    <w:rsid w:val="00014B2A"/>
    <w:rsid w:val="00014B33"/>
    <w:rsid w:val="00014B9B"/>
    <w:rsid w:val="00014BFB"/>
    <w:rsid w:val="00014C23"/>
    <w:rsid w:val="00014C26"/>
    <w:rsid w:val="00014DA9"/>
    <w:rsid w:val="00014DD2"/>
    <w:rsid w:val="00014EBA"/>
    <w:rsid w:val="00014EC6"/>
    <w:rsid w:val="00014ECA"/>
    <w:rsid w:val="000150A4"/>
    <w:rsid w:val="00015208"/>
    <w:rsid w:val="000153E5"/>
    <w:rsid w:val="00015586"/>
    <w:rsid w:val="000155F6"/>
    <w:rsid w:val="00015652"/>
    <w:rsid w:val="00015990"/>
    <w:rsid w:val="00015A6F"/>
    <w:rsid w:val="00015B0F"/>
    <w:rsid w:val="00015E43"/>
    <w:rsid w:val="000160E9"/>
    <w:rsid w:val="00016106"/>
    <w:rsid w:val="0001637B"/>
    <w:rsid w:val="00016497"/>
    <w:rsid w:val="00016855"/>
    <w:rsid w:val="0001687C"/>
    <w:rsid w:val="00016926"/>
    <w:rsid w:val="0001699E"/>
    <w:rsid w:val="000169C8"/>
    <w:rsid w:val="000169E3"/>
    <w:rsid w:val="00016B38"/>
    <w:rsid w:val="00016BB8"/>
    <w:rsid w:val="00016C7E"/>
    <w:rsid w:val="00017275"/>
    <w:rsid w:val="000172B5"/>
    <w:rsid w:val="00017354"/>
    <w:rsid w:val="0001736B"/>
    <w:rsid w:val="00017476"/>
    <w:rsid w:val="000174B2"/>
    <w:rsid w:val="00017625"/>
    <w:rsid w:val="00017636"/>
    <w:rsid w:val="0001794E"/>
    <w:rsid w:val="00017BB6"/>
    <w:rsid w:val="00017C4E"/>
    <w:rsid w:val="00017D2B"/>
    <w:rsid w:val="00017D8A"/>
    <w:rsid w:val="00017D9D"/>
    <w:rsid w:val="0001EEA7"/>
    <w:rsid w:val="00020040"/>
    <w:rsid w:val="000202A2"/>
    <w:rsid w:val="00020425"/>
    <w:rsid w:val="00020523"/>
    <w:rsid w:val="000205AE"/>
    <w:rsid w:val="000206CA"/>
    <w:rsid w:val="000207FA"/>
    <w:rsid w:val="00020A6B"/>
    <w:rsid w:val="00020BAA"/>
    <w:rsid w:val="00020C30"/>
    <w:rsid w:val="00020E54"/>
    <w:rsid w:val="00020F08"/>
    <w:rsid w:val="00020F8C"/>
    <w:rsid w:val="00020FD5"/>
    <w:rsid w:val="00021115"/>
    <w:rsid w:val="0002122C"/>
    <w:rsid w:val="0002132A"/>
    <w:rsid w:val="00021367"/>
    <w:rsid w:val="0002139B"/>
    <w:rsid w:val="000213B9"/>
    <w:rsid w:val="000213C7"/>
    <w:rsid w:val="00021464"/>
    <w:rsid w:val="000215A9"/>
    <w:rsid w:val="0002167A"/>
    <w:rsid w:val="0002168D"/>
    <w:rsid w:val="000216BB"/>
    <w:rsid w:val="00021726"/>
    <w:rsid w:val="000217D2"/>
    <w:rsid w:val="00021983"/>
    <w:rsid w:val="00021A68"/>
    <w:rsid w:val="00021AA3"/>
    <w:rsid w:val="00021D0F"/>
    <w:rsid w:val="00021EB2"/>
    <w:rsid w:val="000222C2"/>
    <w:rsid w:val="000223F3"/>
    <w:rsid w:val="00022481"/>
    <w:rsid w:val="000225AE"/>
    <w:rsid w:val="0002263F"/>
    <w:rsid w:val="000226C2"/>
    <w:rsid w:val="0002288C"/>
    <w:rsid w:val="0002289D"/>
    <w:rsid w:val="0002295F"/>
    <w:rsid w:val="00022A43"/>
    <w:rsid w:val="00022D79"/>
    <w:rsid w:val="00022DE1"/>
    <w:rsid w:val="00022DF0"/>
    <w:rsid w:val="00022DF7"/>
    <w:rsid w:val="00022E83"/>
    <w:rsid w:val="00022FA1"/>
    <w:rsid w:val="0002302B"/>
    <w:rsid w:val="0002307A"/>
    <w:rsid w:val="00023094"/>
    <w:rsid w:val="000231CD"/>
    <w:rsid w:val="0002337B"/>
    <w:rsid w:val="00023393"/>
    <w:rsid w:val="00023488"/>
    <w:rsid w:val="00023549"/>
    <w:rsid w:val="00023600"/>
    <w:rsid w:val="00023618"/>
    <w:rsid w:val="0002382E"/>
    <w:rsid w:val="0002388C"/>
    <w:rsid w:val="0002398D"/>
    <w:rsid w:val="000239E0"/>
    <w:rsid w:val="00023A30"/>
    <w:rsid w:val="00023BFB"/>
    <w:rsid w:val="00023D6F"/>
    <w:rsid w:val="00023DAE"/>
    <w:rsid w:val="00023FFF"/>
    <w:rsid w:val="000241DD"/>
    <w:rsid w:val="00024217"/>
    <w:rsid w:val="000242CC"/>
    <w:rsid w:val="00024302"/>
    <w:rsid w:val="00024578"/>
    <w:rsid w:val="000247C2"/>
    <w:rsid w:val="000247F8"/>
    <w:rsid w:val="000248CD"/>
    <w:rsid w:val="0002492A"/>
    <w:rsid w:val="000249E4"/>
    <w:rsid w:val="00024B24"/>
    <w:rsid w:val="00024C3F"/>
    <w:rsid w:val="00024C80"/>
    <w:rsid w:val="00024D0A"/>
    <w:rsid w:val="00024D2D"/>
    <w:rsid w:val="00024D35"/>
    <w:rsid w:val="00024E05"/>
    <w:rsid w:val="00024E6E"/>
    <w:rsid w:val="000252E5"/>
    <w:rsid w:val="00025534"/>
    <w:rsid w:val="000255E3"/>
    <w:rsid w:val="000255EB"/>
    <w:rsid w:val="00025760"/>
    <w:rsid w:val="00025795"/>
    <w:rsid w:val="00025911"/>
    <w:rsid w:val="00025977"/>
    <w:rsid w:val="000259B4"/>
    <w:rsid w:val="00025B70"/>
    <w:rsid w:val="00026154"/>
    <w:rsid w:val="000261A3"/>
    <w:rsid w:val="00026378"/>
    <w:rsid w:val="0002641D"/>
    <w:rsid w:val="0002648C"/>
    <w:rsid w:val="000264BE"/>
    <w:rsid w:val="0002652A"/>
    <w:rsid w:val="000266DD"/>
    <w:rsid w:val="00026705"/>
    <w:rsid w:val="000268DE"/>
    <w:rsid w:val="00026A9F"/>
    <w:rsid w:val="00026B4B"/>
    <w:rsid w:val="00026C25"/>
    <w:rsid w:val="00026CAE"/>
    <w:rsid w:val="00026D64"/>
    <w:rsid w:val="00026DE5"/>
    <w:rsid w:val="00026E66"/>
    <w:rsid w:val="00026F79"/>
    <w:rsid w:val="00026F9F"/>
    <w:rsid w:val="00026FE5"/>
    <w:rsid w:val="00027026"/>
    <w:rsid w:val="00027137"/>
    <w:rsid w:val="000271DC"/>
    <w:rsid w:val="0002722B"/>
    <w:rsid w:val="0002728D"/>
    <w:rsid w:val="00027321"/>
    <w:rsid w:val="000274D0"/>
    <w:rsid w:val="000275B1"/>
    <w:rsid w:val="00027730"/>
    <w:rsid w:val="00027785"/>
    <w:rsid w:val="000277DE"/>
    <w:rsid w:val="0002785C"/>
    <w:rsid w:val="000278E8"/>
    <w:rsid w:val="00027A9B"/>
    <w:rsid w:val="00027BA2"/>
    <w:rsid w:val="00027C83"/>
    <w:rsid w:val="00027D28"/>
    <w:rsid w:val="00027D52"/>
    <w:rsid w:val="00027D7F"/>
    <w:rsid w:val="00027E35"/>
    <w:rsid w:val="00027E75"/>
    <w:rsid w:val="00027E7C"/>
    <w:rsid w:val="000300B7"/>
    <w:rsid w:val="00030172"/>
    <w:rsid w:val="00030241"/>
    <w:rsid w:val="00030324"/>
    <w:rsid w:val="00030616"/>
    <w:rsid w:val="000306CD"/>
    <w:rsid w:val="0003077A"/>
    <w:rsid w:val="00030784"/>
    <w:rsid w:val="00030803"/>
    <w:rsid w:val="00030859"/>
    <w:rsid w:val="000308F8"/>
    <w:rsid w:val="00030C08"/>
    <w:rsid w:val="00030D4D"/>
    <w:rsid w:val="0003113F"/>
    <w:rsid w:val="0003133F"/>
    <w:rsid w:val="00031378"/>
    <w:rsid w:val="000313ED"/>
    <w:rsid w:val="000314CE"/>
    <w:rsid w:val="000314DB"/>
    <w:rsid w:val="00031507"/>
    <w:rsid w:val="00031537"/>
    <w:rsid w:val="0003153A"/>
    <w:rsid w:val="00031679"/>
    <w:rsid w:val="0003170B"/>
    <w:rsid w:val="00031873"/>
    <w:rsid w:val="00031984"/>
    <w:rsid w:val="00031A7F"/>
    <w:rsid w:val="00031B2D"/>
    <w:rsid w:val="00031CC1"/>
    <w:rsid w:val="00031DF2"/>
    <w:rsid w:val="00031ED8"/>
    <w:rsid w:val="000320CA"/>
    <w:rsid w:val="000321BD"/>
    <w:rsid w:val="00032314"/>
    <w:rsid w:val="0003233F"/>
    <w:rsid w:val="00032811"/>
    <w:rsid w:val="00032856"/>
    <w:rsid w:val="00032B2C"/>
    <w:rsid w:val="00032B60"/>
    <w:rsid w:val="00032B74"/>
    <w:rsid w:val="00032BA9"/>
    <w:rsid w:val="00032CE6"/>
    <w:rsid w:val="00032D68"/>
    <w:rsid w:val="00032D97"/>
    <w:rsid w:val="00032EB8"/>
    <w:rsid w:val="00032F3C"/>
    <w:rsid w:val="00032FDB"/>
    <w:rsid w:val="0003308C"/>
    <w:rsid w:val="00033143"/>
    <w:rsid w:val="00033164"/>
    <w:rsid w:val="000331B8"/>
    <w:rsid w:val="0003323D"/>
    <w:rsid w:val="000332D5"/>
    <w:rsid w:val="00033361"/>
    <w:rsid w:val="0003350C"/>
    <w:rsid w:val="00033630"/>
    <w:rsid w:val="000337E0"/>
    <w:rsid w:val="0003388A"/>
    <w:rsid w:val="00033A2B"/>
    <w:rsid w:val="00033A43"/>
    <w:rsid w:val="00033C38"/>
    <w:rsid w:val="00033E63"/>
    <w:rsid w:val="00033EBD"/>
    <w:rsid w:val="00033EC3"/>
    <w:rsid w:val="00033FE7"/>
    <w:rsid w:val="000341C3"/>
    <w:rsid w:val="000341E2"/>
    <w:rsid w:val="00034328"/>
    <w:rsid w:val="0003435E"/>
    <w:rsid w:val="000343E1"/>
    <w:rsid w:val="000344D1"/>
    <w:rsid w:val="000345FD"/>
    <w:rsid w:val="00034735"/>
    <w:rsid w:val="00034AF9"/>
    <w:rsid w:val="00034B17"/>
    <w:rsid w:val="00034B6C"/>
    <w:rsid w:val="00034DB5"/>
    <w:rsid w:val="00035066"/>
    <w:rsid w:val="0003522E"/>
    <w:rsid w:val="0003525E"/>
    <w:rsid w:val="000353E7"/>
    <w:rsid w:val="000353F1"/>
    <w:rsid w:val="000354C7"/>
    <w:rsid w:val="000358DA"/>
    <w:rsid w:val="00035909"/>
    <w:rsid w:val="0003597A"/>
    <w:rsid w:val="00035AB4"/>
    <w:rsid w:val="00035B0F"/>
    <w:rsid w:val="00035C64"/>
    <w:rsid w:val="00035E42"/>
    <w:rsid w:val="00035E4B"/>
    <w:rsid w:val="00035ED5"/>
    <w:rsid w:val="00035F9B"/>
    <w:rsid w:val="00035FC5"/>
    <w:rsid w:val="00035FF5"/>
    <w:rsid w:val="00036106"/>
    <w:rsid w:val="00036183"/>
    <w:rsid w:val="00036269"/>
    <w:rsid w:val="00036319"/>
    <w:rsid w:val="00036384"/>
    <w:rsid w:val="000363BC"/>
    <w:rsid w:val="000364AA"/>
    <w:rsid w:val="0003659A"/>
    <w:rsid w:val="0003679E"/>
    <w:rsid w:val="000368FB"/>
    <w:rsid w:val="00036927"/>
    <w:rsid w:val="00036AA5"/>
    <w:rsid w:val="00036B23"/>
    <w:rsid w:val="00036B61"/>
    <w:rsid w:val="00036CE4"/>
    <w:rsid w:val="00036DA0"/>
    <w:rsid w:val="00036FCD"/>
    <w:rsid w:val="00037027"/>
    <w:rsid w:val="00037468"/>
    <w:rsid w:val="00037628"/>
    <w:rsid w:val="000376AF"/>
    <w:rsid w:val="000376BF"/>
    <w:rsid w:val="0003775C"/>
    <w:rsid w:val="00037829"/>
    <w:rsid w:val="000379F0"/>
    <w:rsid w:val="00037AAA"/>
    <w:rsid w:val="00037B04"/>
    <w:rsid w:val="00037E89"/>
    <w:rsid w:val="00037ED2"/>
    <w:rsid w:val="00037FAB"/>
    <w:rsid w:val="0004002A"/>
    <w:rsid w:val="0004012E"/>
    <w:rsid w:val="00040197"/>
    <w:rsid w:val="0004022E"/>
    <w:rsid w:val="000402E4"/>
    <w:rsid w:val="00040302"/>
    <w:rsid w:val="00040319"/>
    <w:rsid w:val="00040358"/>
    <w:rsid w:val="0004045E"/>
    <w:rsid w:val="000404F0"/>
    <w:rsid w:val="00040536"/>
    <w:rsid w:val="00040541"/>
    <w:rsid w:val="00040594"/>
    <w:rsid w:val="000405CB"/>
    <w:rsid w:val="000405EF"/>
    <w:rsid w:val="0004067F"/>
    <w:rsid w:val="00040695"/>
    <w:rsid w:val="0004074D"/>
    <w:rsid w:val="000407BA"/>
    <w:rsid w:val="000409DC"/>
    <w:rsid w:val="00040AB9"/>
    <w:rsid w:val="00040AC8"/>
    <w:rsid w:val="00040B25"/>
    <w:rsid w:val="00040C3E"/>
    <w:rsid w:val="00040C6E"/>
    <w:rsid w:val="00040DA0"/>
    <w:rsid w:val="00040F28"/>
    <w:rsid w:val="000410C5"/>
    <w:rsid w:val="00041112"/>
    <w:rsid w:val="000411C4"/>
    <w:rsid w:val="00041210"/>
    <w:rsid w:val="00041519"/>
    <w:rsid w:val="00041697"/>
    <w:rsid w:val="000416F6"/>
    <w:rsid w:val="00041704"/>
    <w:rsid w:val="00041731"/>
    <w:rsid w:val="00041AC8"/>
    <w:rsid w:val="00041BF7"/>
    <w:rsid w:val="00041C74"/>
    <w:rsid w:val="00041DC2"/>
    <w:rsid w:val="00041DDA"/>
    <w:rsid w:val="00041F1A"/>
    <w:rsid w:val="00041F95"/>
    <w:rsid w:val="00042001"/>
    <w:rsid w:val="00042070"/>
    <w:rsid w:val="0004219A"/>
    <w:rsid w:val="00042314"/>
    <w:rsid w:val="000423A4"/>
    <w:rsid w:val="00042537"/>
    <w:rsid w:val="000427BC"/>
    <w:rsid w:val="000428FB"/>
    <w:rsid w:val="0004295B"/>
    <w:rsid w:val="00042980"/>
    <w:rsid w:val="00042A14"/>
    <w:rsid w:val="00042B1C"/>
    <w:rsid w:val="00042BC4"/>
    <w:rsid w:val="00042C70"/>
    <w:rsid w:val="00042CC0"/>
    <w:rsid w:val="00042CD1"/>
    <w:rsid w:val="00042ECF"/>
    <w:rsid w:val="00042FD6"/>
    <w:rsid w:val="000431D8"/>
    <w:rsid w:val="000433B2"/>
    <w:rsid w:val="000433D4"/>
    <w:rsid w:val="000436C8"/>
    <w:rsid w:val="0004371A"/>
    <w:rsid w:val="00043755"/>
    <w:rsid w:val="00043921"/>
    <w:rsid w:val="000439A6"/>
    <w:rsid w:val="00043A5D"/>
    <w:rsid w:val="00043BC6"/>
    <w:rsid w:val="00043C37"/>
    <w:rsid w:val="00043C93"/>
    <w:rsid w:val="00043CA5"/>
    <w:rsid w:val="00043CD1"/>
    <w:rsid w:val="00043D07"/>
    <w:rsid w:val="00043E7E"/>
    <w:rsid w:val="00043FE0"/>
    <w:rsid w:val="000440AB"/>
    <w:rsid w:val="000440E6"/>
    <w:rsid w:val="00044297"/>
    <w:rsid w:val="00044309"/>
    <w:rsid w:val="00044347"/>
    <w:rsid w:val="000443BC"/>
    <w:rsid w:val="000443EC"/>
    <w:rsid w:val="0004440F"/>
    <w:rsid w:val="00044691"/>
    <w:rsid w:val="0004470C"/>
    <w:rsid w:val="00044950"/>
    <w:rsid w:val="00044980"/>
    <w:rsid w:val="000449AC"/>
    <w:rsid w:val="00044A57"/>
    <w:rsid w:val="00044B11"/>
    <w:rsid w:val="00044B4D"/>
    <w:rsid w:val="00044C65"/>
    <w:rsid w:val="00044D6C"/>
    <w:rsid w:val="00044E48"/>
    <w:rsid w:val="00044EDA"/>
    <w:rsid w:val="00044FF4"/>
    <w:rsid w:val="0004510C"/>
    <w:rsid w:val="000456EA"/>
    <w:rsid w:val="00045882"/>
    <w:rsid w:val="0004596B"/>
    <w:rsid w:val="000459C1"/>
    <w:rsid w:val="00045B1D"/>
    <w:rsid w:val="00045BDD"/>
    <w:rsid w:val="00045C38"/>
    <w:rsid w:val="00045EBE"/>
    <w:rsid w:val="00046048"/>
    <w:rsid w:val="000460BA"/>
    <w:rsid w:val="00046146"/>
    <w:rsid w:val="0004615D"/>
    <w:rsid w:val="000462C6"/>
    <w:rsid w:val="00046392"/>
    <w:rsid w:val="00046555"/>
    <w:rsid w:val="00046729"/>
    <w:rsid w:val="00046757"/>
    <w:rsid w:val="0004675A"/>
    <w:rsid w:val="00046808"/>
    <w:rsid w:val="00046A81"/>
    <w:rsid w:val="00046BC0"/>
    <w:rsid w:val="00046D35"/>
    <w:rsid w:val="00046D5B"/>
    <w:rsid w:val="00046D6F"/>
    <w:rsid w:val="00046EF6"/>
    <w:rsid w:val="000471EC"/>
    <w:rsid w:val="00047531"/>
    <w:rsid w:val="000477FE"/>
    <w:rsid w:val="00047878"/>
    <w:rsid w:val="00047887"/>
    <w:rsid w:val="000479B6"/>
    <w:rsid w:val="00047B33"/>
    <w:rsid w:val="00047BDA"/>
    <w:rsid w:val="00047C8E"/>
    <w:rsid w:val="00047CBD"/>
    <w:rsid w:val="00047D0A"/>
    <w:rsid w:val="00047E55"/>
    <w:rsid w:val="00047EB4"/>
    <w:rsid w:val="00047FD8"/>
    <w:rsid w:val="0005000C"/>
    <w:rsid w:val="0005051C"/>
    <w:rsid w:val="000506AF"/>
    <w:rsid w:val="00050713"/>
    <w:rsid w:val="0005078F"/>
    <w:rsid w:val="00050B1E"/>
    <w:rsid w:val="00050B58"/>
    <w:rsid w:val="00050E64"/>
    <w:rsid w:val="00050EDF"/>
    <w:rsid w:val="000512E9"/>
    <w:rsid w:val="00051316"/>
    <w:rsid w:val="0005143F"/>
    <w:rsid w:val="0005176E"/>
    <w:rsid w:val="000517E9"/>
    <w:rsid w:val="00051864"/>
    <w:rsid w:val="000519E4"/>
    <w:rsid w:val="00051A22"/>
    <w:rsid w:val="00051A4D"/>
    <w:rsid w:val="00051B71"/>
    <w:rsid w:val="00051C8D"/>
    <w:rsid w:val="00051C9C"/>
    <w:rsid w:val="00051DA5"/>
    <w:rsid w:val="00051FBC"/>
    <w:rsid w:val="00052082"/>
    <w:rsid w:val="000522A2"/>
    <w:rsid w:val="00052327"/>
    <w:rsid w:val="00052332"/>
    <w:rsid w:val="00052362"/>
    <w:rsid w:val="00052367"/>
    <w:rsid w:val="0005239A"/>
    <w:rsid w:val="00052496"/>
    <w:rsid w:val="000526C0"/>
    <w:rsid w:val="0005290C"/>
    <w:rsid w:val="000529FE"/>
    <w:rsid w:val="00052C7C"/>
    <w:rsid w:val="00052D3E"/>
    <w:rsid w:val="00052E3D"/>
    <w:rsid w:val="00052E7F"/>
    <w:rsid w:val="00052EB2"/>
    <w:rsid w:val="00052F6C"/>
    <w:rsid w:val="00053061"/>
    <w:rsid w:val="00053088"/>
    <w:rsid w:val="00053188"/>
    <w:rsid w:val="0005323E"/>
    <w:rsid w:val="00053475"/>
    <w:rsid w:val="0005347F"/>
    <w:rsid w:val="000534A2"/>
    <w:rsid w:val="000537F1"/>
    <w:rsid w:val="00053B55"/>
    <w:rsid w:val="00053B58"/>
    <w:rsid w:val="00053B5C"/>
    <w:rsid w:val="00053BAF"/>
    <w:rsid w:val="00053C45"/>
    <w:rsid w:val="00053C4D"/>
    <w:rsid w:val="00053F2D"/>
    <w:rsid w:val="00053FE9"/>
    <w:rsid w:val="00054019"/>
    <w:rsid w:val="00054196"/>
    <w:rsid w:val="00054460"/>
    <w:rsid w:val="000544E8"/>
    <w:rsid w:val="000545DF"/>
    <w:rsid w:val="00054633"/>
    <w:rsid w:val="00054644"/>
    <w:rsid w:val="0005471D"/>
    <w:rsid w:val="000547FE"/>
    <w:rsid w:val="0005482C"/>
    <w:rsid w:val="0005489A"/>
    <w:rsid w:val="000548D6"/>
    <w:rsid w:val="00054979"/>
    <w:rsid w:val="000549F7"/>
    <w:rsid w:val="00054A9F"/>
    <w:rsid w:val="00054C06"/>
    <w:rsid w:val="00054C34"/>
    <w:rsid w:val="00054C48"/>
    <w:rsid w:val="00054C88"/>
    <w:rsid w:val="00054CC6"/>
    <w:rsid w:val="00054EA8"/>
    <w:rsid w:val="00055053"/>
    <w:rsid w:val="00055122"/>
    <w:rsid w:val="00055211"/>
    <w:rsid w:val="000552AB"/>
    <w:rsid w:val="000552CA"/>
    <w:rsid w:val="0005560F"/>
    <w:rsid w:val="00055831"/>
    <w:rsid w:val="00055895"/>
    <w:rsid w:val="00055946"/>
    <w:rsid w:val="00055A30"/>
    <w:rsid w:val="00055B3B"/>
    <w:rsid w:val="00055C23"/>
    <w:rsid w:val="00055C42"/>
    <w:rsid w:val="000560A8"/>
    <w:rsid w:val="00056204"/>
    <w:rsid w:val="00056244"/>
    <w:rsid w:val="00056273"/>
    <w:rsid w:val="00056313"/>
    <w:rsid w:val="00056343"/>
    <w:rsid w:val="000563F3"/>
    <w:rsid w:val="000563FA"/>
    <w:rsid w:val="00056512"/>
    <w:rsid w:val="000565BE"/>
    <w:rsid w:val="0005678F"/>
    <w:rsid w:val="00056B2A"/>
    <w:rsid w:val="00056E4F"/>
    <w:rsid w:val="00056E85"/>
    <w:rsid w:val="0005718A"/>
    <w:rsid w:val="000571DA"/>
    <w:rsid w:val="00057238"/>
    <w:rsid w:val="00057344"/>
    <w:rsid w:val="00057471"/>
    <w:rsid w:val="00057553"/>
    <w:rsid w:val="000575E9"/>
    <w:rsid w:val="00057785"/>
    <w:rsid w:val="00057970"/>
    <w:rsid w:val="00057978"/>
    <w:rsid w:val="00057A26"/>
    <w:rsid w:val="00057A45"/>
    <w:rsid w:val="00057B73"/>
    <w:rsid w:val="00057DE3"/>
    <w:rsid w:val="00057E38"/>
    <w:rsid w:val="00057E77"/>
    <w:rsid w:val="00057E81"/>
    <w:rsid w:val="00058CFD"/>
    <w:rsid w:val="00060459"/>
    <w:rsid w:val="00060543"/>
    <w:rsid w:val="000605D9"/>
    <w:rsid w:val="000605E3"/>
    <w:rsid w:val="0006066D"/>
    <w:rsid w:val="0006068D"/>
    <w:rsid w:val="000606B3"/>
    <w:rsid w:val="000608BB"/>
    <w:rsid w:val="00060B15"/>
    <w:rsid w:val="00060E5A"/>
    <w:rsid w:val="00061057"/>
    <w:rsid w:val="0006126C"/>
    <w:rsid w:val="0006134F"/>
    <w:rsid w:val="0006137C"/>
    <w:rsid w:val="0006154E"/>
    <w:rsid w:val="000615AA"/>
    <w:rsid w:val="000615B6"/>
    <w:rsid w:val="000617FB"/>
    <w:rsid w:val="000618B9"/>
    <w:rsid w:val="00061AC5"/>
    <w:rsid w:val="00061B51"/>
    <w:rsid w:val="00061D62"/>
    <w:rsid w:val="00061D91"/>
    <w:rsid w:val="00061DE8"/>
    <w:rsid w:val="00061E06"/>
    <w:rsid w:val="00061E4A"/>
    <w:rsid w:val="00061F76"/>
    <w:rsid w:val="0006200E"/>
    <w:rsid w:val="000620F7"/>
    <w:rsid w:val="0006223F"/>
    <w:rsid w:val="000622A9"/>
    <w:rsid w:val="00062456"/>
    <w:rsid w:val="000624D6"/>
    <w:rsid w:val="000624E9"/>
    <w:rsid w:val="000624F6"/>
    <w:rsid w:val="000626FD"/>
    <w:rsid w:val="00062723"/>
    <w:rsid w:val="00062899"/>
    <w:rsid w:val="0006289F"/>
    <w:rsid w:val="00062967"/>
    <w:rsid w:val="00062A65"/>
    <w:rsid w:val="00062B84"/>
    <w:rsid w:val="00062BA1"/>
    <w:rsid w:val="00062BD4"/>
    <w:rsid w:val="00062BDA"/>
    <w:rsid w:val="00062D5B"/>
    <w:rsid w:val="00062F61"/>
    <w:rsid w:val="00063065"/>
    <w:rsid w:val="000630B3"/>
    <w:rsid w:val="000632FB"/>
    <w:rsid w:val="000634AB"/>
    <w:rsid w:val="000635A8"/>
    <w:rsid w:val="0006388D"/>
    <w:rsid w:val="0006397B"/>
    <w:rsid w:val="0006398B"/>
    <w:rsid w:val="000639CD"/>
    <w:rsid w:val="00063BCD"/>
    <w:rsid w:val="00063C79"/>
    <w:rsid w:val="00063CF9"/>
    <w:rsid w:val="00063E43"/>
    <w:rsid w:val="0006403F"/>
    <w:rsid w:val="00064051"/>
    <w:rsid w:val="0006413C"/>
    <w:rsid w:val="00064250"/>
    <w:rsid w:val="00064280"/>
    <w:rsid w:val="0006439E"/>
    <w:rsid w:val="000644C1"/>
    <w:rsid w:val="00064514"/>
    <w:rsid w:val="00064610"/>
    <w:rsid w:val="000646C7"/>
    <w:rsid w:val="00064A21"/>
    <w:rsid w:val="00064BF4"/>
    <w:rsid w:val="00064CB2"/>
    <w:rsid w:val="00064DAD"/>
    <w:rsid w:val="00064E37"/>
    <w:rsid w:val="00064E3D"/>
    <w:rsid w:val="00064E65"/>
    <w:rsid w:val="00064EAF"/>
    <w:rsid w:val="00064F35"/>
    <w:rsid w:val="00064F85"/>
    <w:rsid w:val="00065036"/>
    <w:rsid w:val="000650A6"/>
    <w:rsid w:val="00065120"/>
    <w:rsid w:val="00065145"/>
    <w:rsid w:val="000654AD"/>
    <w:rsid w:val="00065525"/>
    <w:rsid w:val="00065529"/>
    <w:rsid w:val="00065646"/>
    <w:rsid w:val="000656D4"/>
    <w:rsid w:val="00065726"/>
    <w:rsid w:val="00065A28"/>
    <w:rsid w:val="00065C27"/>
    <w:rsid w:val="00065C39"/>
    <w:rsid w:val="00065DAA"/>
    <w:rsid w:val="00065EA3"/>
    <w:rsid w:val="00065F3F"/>
    <w:rsid w:val="00065FA7"/>
    <w:rsid w:val="000660B6"/>
    <w:rsid w:val="0006617C"/>
    <w:rsid w:val="00066282"/>
    <w:rsid w:val="00066439"/>
    <w:rsid w:val="000665AB"/>
    <w:rsid w:val="0006672C"/>
    <w:rsid w:val="0006678B"/>
    <w:rsid w:val="0006685A"/>
    <w:rsid w:val="00066957"/>
    <w:rsid w:val="00066AA9"/>
    <w:rsid w:val="00066B0C"/>
    <w:rsid w:val="00066B22"/>
    <w:rsid w:val="00066E5A"/>
    <w:rsid w:val="00066F0C"/>
    <w:rsid w:val="00066F98"/>
    <w:rsid w:val="00067017"/>
    <w:rsid w:val="00067066"/>
    <w:rsid w:val="00067212"/>
    <w:rsid w:val="00067558"/>
    <w:rsid w:val="000675BF"/>
    <w:rsid w:val="0006785B"/>
    <w:rsid w:val="0006796C"/>
    <w:rsid w:val="0006798E"/>
    <w:rsid w:val="00067CA5"/>
    <w:rsid w:val="00067D1D"/>
    <w:rsid w:val="00067D61"/>
    <w:rsid w:val="00067E06"/>
    <w:rsid w:val="00067E1E"/>
    <w:rsid w:val="00067E20"/>
    <w:rsid w:val="00067EE3"/>
    <w:rsid w:val="00067F6E"/>
    <w:rsid w:val="00068EE2"/>
    <w:rsid w:val="0007003F"/>
    <w:rsid w:val="000700EE"/>
    <w:rsid w:val="0007038A"/>
    <w:rsid w:val="00070403"/>
    <w:rsid w:val="000705DE"/>
    <w:rsid w:val="00070769"/>
    <w:rsid w:val="000709CB"/>
    <w:rsid w:val="00070AE9"/>
    <w:rsid w:val="00070B0E"/>
    <w:rsid w:val="00070B1A"/>
    <w:rsid w:val="00070B49"/>
    <w:rsid w:val="00070C31"/>
    <w:rsid w:val="00070D0A"/>
    <w:rsid w:val="00070E05"/>
    <w:rsid w:val="00070F2A"/>
    <w:rsid w:val="00070F42"/>
    <w:rsid w:val="00070F47"/>
    <w:rsid w:val="00071001"/>
    <w:rsid w:val="00071034"/>
    <w:rsid w:val="000712C3"/>
    <w:rsid w:val="000712D1"/>
    <w:rsid w:val="00071397"/>
    <w:rsid w:val="0007160E"/>
    <w:rsid w:val="000716BE"/>
    <w:rsid w:val="000716DE"/>
    <w:rsid w:val="00071772"/>
    <w:rsid w:val="0007186D"/>
    <w:rsid w:val="0007193F"/>
    <w:rsid w:val="0007194F"/>
    <w:rsid w:val="00071AAD"/>
    <w:rsid w:val="00071AE1"/>
    <w:rsid w:val="00071BE5"/>
    <w:rsid w:val="00071D47"/>
    <w:rsid w:val="00071ECB"/>
    <w:rsid w:val="00071F5C"/>
    <w:rsid w:val="00071FCF"/>
    <w:rsid w:val="000720B1"/>
    <w:rsid w:val="00072288"/>
    <w:rsid w:val="000723A2"/>
    <w:rsid w:val="000723DA"/>
    <w:rsid w:val="00072512"/>
    <w:rsid w:val="0007259C"/>
    <w:rsid w:val="00072697"/>
    <w:rsid w:val="000727FB"/>
    <w:rsid w:val="000728D1"/>
    <w:rsid w:val="00072A4D"/>
    <w:rsid w:val="00072B06"/>
    <w:rsid w:val="00072BFB"/>
    <w:rsid w:val="00072C6B"/>
    <w:rsid w:val="00072C9A"/>
    <w:rsid w:val="00072D57"/>
    <w:rsid w:val="00072D9D"/>
    <w:rsid w:val="00072E65"/>
    <w:rsid w:val="00072FA4"/>
    <w:rsid w:val="00073115"/>
    <w:rsid w:val="0007312C"/>
    <w:rsid w:val="00073196"/>
    <w:rsid w:val="00073410"/>
    <w:rsid w:val="00073698"/>
    <w:rsid w:val="00073742"/>
    <w:rsid w:val="000737D5"/>
    <w:rsid w:val="000737F3"/>
    <w:rsid w:val="000738EC"/>
    <w:rsid w:val="0007399D"/>
    <w:rsid w:val="00073A0F"/>
    <w:rsid w:val="00073AAA"/>
    <w:rsid w:val="00073ADE"/>
    <w:rsid w:val="00073B2F"/>
    <w:rsid w:val="00073C1A"/>
    <w:rsid w:val="00073C67"/>
    <w:rsid w:val="00073CC8"/>
    <w:rsid w:val="00073D3B"/>
    <w:rsid w:val="00073DCF"/>
    <w:rsid w:val="00073E39"/>
    <w:rsid w:val="00073F1B"/>
    <w:rsid w:val="0007405F"/>
    <w:rsid w:val="000740F1"/>
    <w:rsid w:val="00074127"/>
    <w:rsid w:val="00074162"/>
    <w:rsid w:val="000742B8"/>
    <w:rsid w:val="00074430"/>
    <w:rsid w:val="0007468E"/>
    <w:rsid w:val="000746BA"/>
    <w:rsid w:val="00074714"/>
    <w:rsid w:val="00074890"/>
    <w:rsid w:val="00074A12"/>
    <w:rsid w:val="00074AD4"/>
    <w:rsid w:val="00074BCC"/>
    <w:rsid w:val="00074DE1"/>
    <w:rsid w:val="00074F5B"/>
    <w:rsid w:val="00074F83"/>
    <w:rsid w:val="00074FB3"/>
    <w:rsid w:val="0007518D"/>
    <w:rsid w:val="000751B5"/>
    <w:rsid w:val="000751F8"/>
    <w:rsid w:val="0007523D"/>
    <w:rsid w:val="00075293"/>
    <w:rsid w:val="0007539D"/>
    <w:rsid w:val="000753A0"/>
    <w:rsid w:val="000757C3"/>
    <w:rsid w:val="000758E5"/>
    <w:rsid w:val="00075BA9"/>
    <w:rsid w:val="00075D20"/>
    <w:rsid w:val="00075D3B"/>
    <w:rsid w:val="00075DCD"/>
    <w:rsid w:val="00075E0C"/>
    <w:rsid w:val="00075E63"/>
    <w:rsid w:val="00076070"/>
    <w:rsid w:val="000760C7"/>
    <w:rsid w:val="0007610E"/>
    <w:rsid w:val="00076270"/>
    <w:rsid w:val="00076286"/>
    <w:rsid w:val="000766DF"/>
    <w:rsid w:val="00076851"/>
    <w:rsid w:val="000768AA"/>
    <w:rsid w:val="000768CA"/>
    <w:rsid w:val="00076A4D"/>
    <w:rsid w:val="00076C96"/>
    <w:rsid w:val="00076F1B"/>
    <w:rsid w:val="00077004"/>
    <w:rsid w:val="000771E3"/>
    <w:rsid w:val="00077486"/>
    <w:rsid w:val="00077495"/>
    <w:rsid w:val="000774F5"/>
    <w:rsid w:val="0007760F"/>
    <w:rsid w:val="00077614"/>
    <w:rsid w:val="0007765D"/>
    <w:rsid w:val="00077673"/>
    <w:rsid w:val="000776B2"/>
    <w:rsid w:val="00077773"/>
    <w:rsid w:val="00077821"/>
    <w:rsid w:val="00077B9F"/>
    <w:rsid w:val="00077C29"/>
    <w:rsid w:val="00077EFA"/>
    <w:rsid w:val="00077FD3"/>
    <w:rsid w:val="0007FAB2"/>
    <w:rsid w:val="00080149"/>
    <w:rsid w:val="00080181"/>
    <w:rsid w:val="00080211"/>
    <w:rsid w:val="000805DC"/>
    <w:rsid w:val="00080604"/>
    <w:rsid w:val="0008061A"/>
    <w:rsid w:val="000809F1"/>
    <w:rsid w:val="00080A5D"/>
    <w:rsid w:val="00080AB0"/>
    <w:rsid w:val="00080AD9"/>
    <w:rsid w:val="00080CFB"/>
    <w:rsid w:val="00080E5A"/>
    <w:rsid w:val="00080E95"/>
    <w:rsid w:val="00080EAC"/>
    <w:rsid w:val="00080F28"/>
    <w:rsid w:val="00080F6A"/>
    <w:rsid w:val="00080FF0"/>
    <w:rsid w:val="0008104B"/>
    <w:rsid w:val="000814C4"/>
    <w:rsid w:val="0008151C"/>
    <w:rsid w:val="0008152B"/>
    <w:rsid w:val="000815A5"/>
    <w:rsid w:val="000815F5"/>
    <w:rsid w:val="000816AE"/>
    <w:rsid w:val="000818A7"/>
    <w:rsid w:val="00081934"/>
    <w:rsid w:val="00081980"/>
    <w:rsid w:val="00081AF8"/>
    <w:rsid w:val="00081BBA"/>
    <w:rsid w:val="00081CCC"/>
    <w:rsid w:val="00081D60"/>
    <w:rsid w:val="00081DAD"/>
    <w:rsid w:val="0008210A"/>
    <w:rsid w:val="00082364"/>
    <w:rsid w:val="00082383"/>
    <w:rsid w:val="000823B3"/>
    <w:rsid w:val="00082459"/>
    <w:rsid w:val="0008246A"/>
    <w:rsid w:val="0008246C"/>
    <w:rsid w:val="00082477"/>
    <w:rsid w:val="00082492"/>
    <w:rsid w:val="000824F8"/>
    <w:rsid w:val="00082574"/>
    <w:rsid w:val="0008257B"/>
    <w:rsid w:val="0008259C"/>
    <w:rsid w:val="0008263D"/>
    <w:rsid w:val="00082644"/>
    <w:rsid w:val="00082908"/>
    <w:rsid w:val="00082932"/>
    <w:rsid w:val="00082B00"/>
    <w:rsid w:val="00082BE3"/>
    <w:rsid w:val="00082C90"/>
    <w:rsid w:val="00082DF4"/>
    <w:rsid w:val="00082DF5"/>
    <w:rsid w:val="00082EA2"/>
    <w:rsid w:val="00082F0B"/>
    <w:rsid w:val="00082F7B"/>
    <w:rsid w:val="00082FA7"/>
    <w:rsid w:val="0008327C"/>
    <w:rsid w:val="000832C9"/>
    <w:rsid w:val="000832ED"/>
    <w:rsid w:val="00083331"/>
    <w:rsid w:val="00083365"/>
    <w:rsid w:val="00083372"/>
    <w:rsid w:val="000833B4"/>
    <w:rsid w:val="000834F3"/>
    <w:rsid w:val="00083943"/>
    <w:rsid w:val="00083966"/>
    <w:rsid w:val="00083B54"/>
    <w:rsid w:val="00083C29"/>
    <w:rsid w:val="00083C83"/>
    <w:rsid w:val="00083CE9"/>
    <w:rsid w:val="00083D40"/>
    <w:rsid w:val="00083E2B"/>
    <w:rsid w:val="000840B3"/>
    <w:rsid w:val="00084136"/>
    <w:rsid w:val="0008419D"/>
    <w:rsid w:val="000842FE"/>
    <w:rsid w:val="00084307"/>
    <w:rsid w:val="000843E3"/>
    <w:rsid w:val="000843F2"/>
    <w:rsid w:val="00084408"/>
    <w:rsid w:val="0008466E"/>
    <w:rsid w:val="00084730"/>
    <w:rsid w:val="000847BC"/>
    <w:rsid w:val="000848F8"/>
    <w:rsid w:val="000849AE"/>
    <w:rsid w:val="00084A66"/>
    <w:rsid w:val="00084CCB"/>
    <w:rsid w:val="00084E48"/>
    <w:rsid w:val="00084FD1"/>
    <w:rsid w:val="000851B0"/>
    <w:rsid w:val="000852C0"/>
    <w:rsid w:val="000853A1"/>
    <w:rsid w:val="00085422"/>
    <w:rsid w:val="00085445"/>
    <w:rsid w:val="000856C1"/>
    <w:rsid w:val="000856F5"/>
    <w:rsid w:val="0008575C"/>
    <w:rsid w:val="00085923"/>
    <w:rsid w:val="00085983"/>
    <w:rsid w:val="00085A1E"/>
    <w:rsid w:val="00085A74"/>
    <w:rsid w:val="00085B4D"/>
    <w:rsid w:val="00085B7F"/>
    <w:rsid w:val="00085D06"/>
    <w:rsid w:val="00085D1B"/>
    <w:rsid w:val="00085D86"/>
    <w:rsid w:val="00085EC5"/>
    <w:rsid w:val="00085EE7"/>
    <w:rsid w:val="00085F4D"/>
    <w:rsid w:val="00085F64"/>
    <w:rsid w:val="0008614A"/>
    <w:rsid w:val="000861DD"/>
    <w:rsid w:val="000861FD"/>
    <w:rsid w:val="000863F8"/>
    <w:rsid w:val="000864EE"/>
    <w:rsid w:val="0008650C"/>
    <w:rsid w:val="00086586"/>
    <w:rsid w:val="000865E9"/>
    <w:rsid w:val="000866A6"/>
    <w:rsid w:val="00086B2B"/>
    <w:rsid w:val="00086BE1"/>
    <w:rsid w:val="00086C7E"/>
    <w:rsid w:val="0008709D"/>
    <w:rsid w:val="00087197"/>
    <w:rsid w:val="00087255"/>
    <w:rsid w:val="00087293"/>
    <w:rsid w:val="000873A5"/>
    <w:rsid w:val="0008751D"/>
    <w:rsid w:val="0008754F"/>
    <w:rsid w:val="00087625"/>
    <w:rsid w:val="000878B8"/>
    <w:rsid w:val="000879B0"/>
    <w:rsid w:val="00087A7C"/>
    <w:rsid w:val="00087BF8"/>
    <w:rsid w:val="00087C51"/>
    <w:rsid w:val="00087DB8"/>
    <w:rsid w:val="00087EBF"/>
    <w:rsid w:val="00087ED8"/>
    <w:rsid w:val="0008F501"/>
    <w:rsid w:val="0009009F"/>
    <w:rsid w:val="0009048C"/>
    <w:rsid w:val="00090535"/>
    <w:rsid w:val="00090550"/>
    <w:rsid w:val="00090559"/>
    <w:rsid w:val="0009067F"/>
    <w:rsid w:val="000906DE"/>
    <w:rsid w:val="000907DB"/>
    <w:rsid w:val="000908ED"/>
    <w:rsid w:val="0009093C"/>
    <w:rsid w:val="00090A52"/>
    <w:rsid w:val="00090B7B"/>
    <w:rsid w:val="00090CAA"/>
    <w:rsid w:val="00090DCC"/>
    <w:rsid w:val="00090ECA"/>
    <w:rsid w:val="00090EDB"/>
    <w:rsid w:val="00090F57"/>
    <w:rsid w:val="000911D1"/>
    <w:rsid w:val="00091313"/>
    <w:rsid w:val="00091389"/>
    <w:rsid w:val="00091619"/>
    <w:rsid w:val="00091796"/>
    <w:rsid w:val="000917ED"/>
    <w:rsid w:val="00091867"/>
    <w:rsid w:val="000919DF"/>
    <w:rsid w:val="00091A0A"/>
    <w:rsid w:val="00091C50"/>
    <w:rsid w:val="00091C92"/>
    <w:rsid w:val="00091E51"/>
    <w:rsid w:val="00091E5C"/>
    <w:rsid w:val="0009210C"/>
    <w:rsid w:val="00092258"/>
    <w:rsid w:val="000922CB"/>
    <w:rsid w:val="000924AD"/>
    <w:rsid w:val="0009258B"/>
    <w:rsid w:val="00092781"/>
    <w:rsid w:val="000927F7"/>
    <w:rsid w:val="000928F0"/>
    <w:rsid w:val="00092995"/>
    <w:rsid w:val="00092B86"/>
    <w:rsid w:val="00092DB2"/>
    <w:rsid w:val="00092FC8"/>
    <w:rsid w:val="00092FDC"/>
    <w:rsid w:val="00092FEB"/>
    <w:rsid w:val="0009314C"/>
    <w:rsid w:val="00093207"/>
    <w:rsid w:val="000932D1"/>
    <w:rsid w:val="000932E4"/>
    <w:rsid w:val="0009359E"/>
    <w:rsid w:val="000935D7"/>
    <w:rsid w:val="0009361A"/>
    <w:rsid w:val="0009362B"/>
    <w:rsid w:val="00093785"/>
    <w:rsid w:val="000937E8"/>
    <w:rsid w:val="000937F9"/>
    <w:rsid w:val="0009391B"/>
    <w:rsid w:val="00093923"/>
    <w:rsid w:val="00093924"/>
    <w:rsid w:val="00093A6A"/>
    <w:rsid w:val="00093B05"/>
    <w:rsid w:val="00093C88"/>
    <w:rsid w:val="00093FA9"/>
    <w:rsid w:val="00094084"/>
    <w:rsid w:val="000940F4"/>
    <w:rsid w:val="00094263"/>
    <w:rsid w:val="00094411"/>
    <w:rsid w:val="000945AD"/>
    <w:rsid w:val="00094695"/>
    <w:rsid w:val="00094701"/>
    <w:rsid w:val="000947F1"/>
    <w:rsid w:val="00094882"/>
    <w:rsid w:val="00094B24"/>
    <w:rsid w:val="00094B27"/>
    <w:rsid w:val="00094B61"/>
    <w:rsid w:val="00094B72"/>
    <w:rsid w:val="00094E75"/>
    <w:rsid w:val="00094F6C"/>
    <w:rsid w:val="000950C3"/>
    <w:rsid w:val="000951FB"/>
    <w:rsid w:val="00095235"/>
    <w:rsid w:val="00095259"/>
    <w:rsid w:val="00095285"/>
    <w:rsid w:val="0009533C"/>
    <w:rsid w:val="0009535C"/>
    <w:rsid w:val="0009536A"/>
    <w:rsid w:val="000953C9"/>
    <w:rsid w:val="000955F6"/>
    <w:rsid w:val="000957C1"/>
    <w:rsid w:val="00095A94"/>
    <w:rsid w:val="00095C39"/>
    <w:rsid w:val="00095F78"/>
    <w:rsid w:val="00095FD1"/>
    <w:rsid w:val="00096014"/>
    <w:rsid w:val="00096065"/>
    <w:rsid w:val="00096093"/>
    <w:rsid w:val="000960BF"/>
    <w:rsid w:val="0009614D"/>
    <w:rsid w:val="000961D1"/>
    <w:rsid w:val="00096212"/>
    <w:rsid w:val="00096395"/>
    <w:rsid w:val="00096410"/>
    <w:rsid w:val="0009644E"/>
    <w:rsid w:val="00096474"/>
    <w:rsid w:val="0009663F"/>
    <w:rsid w:val="00096659"/>
    <w:rsid w:val="00096765"/>
    <w:rsid w:val="00096817"/>
    <w:rsid w:val="00096843"/>
    <w:rsid w:val="0009686E"/>
    <w:rsid w:val="000968A5"/>
    <w:rsid w:val="00096908"/>
    <w:rsid w:val="00096B25"/>
    <w:rsid w:val="00096B7D"/>
    <w:rsid w:val="00096D0F"/>
    <w:rsid w:val="00096EAE"/>
    <w:rsid w:val="00096EDE"/>
    <w:rsid w:val="0009717D"/>
    <w:rsid w:val="000971F0"/>
    <w:rsid w:val="00097218"/>
    <w:rsid w:val="0009756B"/>
    <w:rsid w:val="00097579"/>
    <w:rsid w:val="000975FF"/>
    <w:rsid w:val="000976C7"/>
    <w:rsid w:val="000977D3"/>
    <w:rsid w:val="00097991"/>
    <w:rsid w:val="00097A00"/>
    <w:rsid w:val="00097A34"/>
    <w:rsid w:val="00097BA0"/>
    <w:rsid w:val="00097CAE"/>
    <w:rsid w:val="00097FA9"/>
    <w:rsid w:val="000A0185"/>
    <w:rsid w:val="000A03BC"/>
    <w:rsid w:val="000A062E"/>
    <w:rsid w:val="000A0645"/>
    <w:rsid w:val="000A066B"/>
    <w:rsid w:val="000A0704"/>
    <w:rsid w:val="000A081B"/>
    <w:rsid w:val="000A0856"/>
    <w:rsid w:val="000A090C"/>
    <w:rsid w:val="000A0953"/>
    <w:rsid w:val="000A0956"/>
    <w:rsid w:val="000A0B2F"/>
    <w:rsid w:val="000A0C2A"/>
    <w:rsid w:val="000A0C62"/>
    <w:rsid w:val="000A0F2C"/>
    <w:rsid w:val="000A0F7F"/>
    <w:rsid w:val="000A1128"/>
    <w:rsid w:val="000A1148"/>
    <w:rsid w:val="000A1239"/>
    <w:rsid w:val="000A127A"/>
    <w:rsid w:val="000A12F6"/>
    <w:rsid w:val="000A1304"/>
    <w:rsid w:val="000A14B9"/>
    <w:rsid w:val="000A17A1"/>
    <w:rsid w:val="000A17C7"/>
    <w:rsid w:val="000A181B"/>
    <w:rsid w:val="000A1CD8"/>
    <w:rsid w:val="000A1DA0"/>
    <w:rsid w:val="000A1DE8"/>
    <w:rsid w:val="000A2113"/>
    <w:rsid w:val="000A22A2"/>
    <w:rsid w:val="000A23A4"/>
    <w:rsid w:val="000A23F8"/>
    <w:rsid w:val="000A2574"/>
    <w:rsid w:val="000A25AD"/>
    <w:rsid w:val="000A25C5"/>
    <w:rsid w:val="000A26F6"/>
    <w:rsid w:val="000A274A"/>
    <w:rsid w:val="000A2CFE"/>
    <w:rsid w:val="000A2E89"/>
    <w:rsid w:val="000A2EE7"/>
    <w:rsid w:val="000A3069"/>
    <w:rsid w:val="000A30A2"/>
    <w:rsid w:val="000A3169"/>
    <w:rsid w:val="000A31A9"/>
    <w:rsid w:val="000A31BD"/>
    <w:rsid w:val="000A3359"/>
    <w:rsid w:val="000A3639"/>
    <w:rsid w:val="000A378E"/>
    <w:rsid w:val="000A3799"/>
    <w:rsid w:val="000A394C"/>
    <w:rsid w:val="000A39B9"/>
    <w:rsid w:val="000A3BFC"/>
    <w:rsid w:val="000A3CE2"/>
    <w:rsid w:val="000A3E15"/>
    <w:rsid w:val="000A3F1D"/>
    <w:rsid w:val="000A3F27"/>
    <w:rsid w:val="000A3F94"/>
    <w:rsid w:val="000A4941"/>
    <w:rsid w:val="000A4CF6"/>
    <w:rsid w:val="000A4D87"/>
    <w:rsid w:val="000A4E2E"/>
    <w:rsid w:val="000A4EA3"/>
    <w:rsid w:val="000A51CD"/>
    <w:rsid w:val="000A5209"/>
    <w:rsid w:val="000A52F1"/>
    <w:rsid w:val="000A56EB"/>
    <w:rsid w:val="000A589D"/>
    <w:rsid w:val="000A58CC"/>
    <w:rsid w:val="000A5A76"/>
    <w:rsid w:val="000A5C7C"/>
    <w:rsid w:val="000A5C85"/>
    <w:rsid w:val="000A5CEA"/>
    <w:rsid w:val="000A5E4A"/>
    <w:rsid w:val="000A5F17"/>
    <w:rsid w:val="000A601E"/>
    <w:rsid w:val="000A604E"/>
    <w:rsid w:val="000A626D"/>
    <w:rsid w:val="000A627A"/>
    <w:rsid w:val="000A627E"/>
    <w:rsid w:val="000A628D"/>
    <w:rsid w:val="000A699C"/>
    <w:rsid w:val="000A6A7C"/>
    <w:rsid w:val="000A6AB6"/>
    <w:rsid w:val="000A6B4A"/>
    <w:rsid w:val="000A6BF1"/>
    <w:rsid w:val="000A6D02"/>
    <w:rsid w:val="000A6D32"/>
    <w:rsid w:val="000A6DC0"/>
    <w:rsid w:val="000A6E1B"/>
    <w:rsid w:val="000A6F44"/>
    <w:rsid w:val="000A6FB7"/>
    <w:rsid w:val="000A7240"/>
    <w:rsid w:val="000A72C7"/>
    <w:rsid w:val="000A72EF"/>
    <w:rsid w:val="000A7382"/>
    <w:rsid w:val="000A73F3"/>
    <w:rsid w:val="000A748D"/>
    <w:rsid w:val="000A755A"/>
    <w:rsid w:val="000A757A"/>
    <w:rsid w:val="000A765F"/>
    <w:rsid w:val="000A7677"/>
    <w:rsid w:val="000A7776"/>
    <w:rsid w:val="000A7790"/>
    <w:rsid w:val="000A7861"/>
    <w:rsid w:val="000A7872"/>
    <w:rsid w:val="000A7C7A"/>
    <w:rsid w:val="000A7F52"/>
    <w:rsid w:val="000A7FAD"/>
    <w:rsid w:val="000B0010"/>
    <w:rsid w:val="000B0034"/>
    <w:rsid w:val="000B0218"/>
    <w:rsid w:val="000B03C1"/>
    <w:rsid w:val="000B04B0"/>
    <w:rsid w:val="000B04F9"/>
    <w:rsid w:val="000B058F"/>
    <w:rsid w:val="000B060F"/>
    <w:rsid w:val="000B0861"/>
    <w:rsid w:val="000B0D09"/>
    <w:rsid w:val="000B0D2C"/>
    <w:rsid w:val="000B0DE0"/>
    <w:rsid w:val="000B0E72"/>
    <w:rsid w:val="000B0F5E"/>
    <w:rsid w:val="000B1090"/>
    <w:rsid w:val="000B1252"/>
    <w:rsid w:val="000B1337"/>
    <w:rsid w:val="000B138F"/>
    <w:rsid w:val="000B1421"/>
    <w:rsid w:val="000B145A"/>
    <w:rsid w:val="000B1507"/>
    <w:rsid w:val="000B155F"/>
    <w:rsid w:val="000B1606"/>
    <w:rsid w:val="000B1633"/>
    <w:rsid w:val="000B1A2D"/>
    <w:rsid w:val="000B1AB6"/>
    <w:rsid w:val="000B1AF8"/>
    <w:rsid w:val="000B1C86"/>
    <w:rsid w:val="000B1E6D"/>
    <w:rsid w:val="000B1F51"/>
    <w:rsid w:val="000B1F84"/>
    <w:rsid w:val="000B20A1"/>
    <w:rsid w:val="000B2113"/>
    <w:rsid w:val="000B21F4"/>
    <w:rsid w:val="000B2234"/>
    <w:rsid w:val="000B227A"/>
    <w:rsid w:val="000B22B9"/>
    <w:rsid w:val="000B2586"/>
    <w:rsid w:val="000B2736"/>
    <w:rsid w:val="000B27FC"/>
    <w:rsid w:val="000B2872"/>
    <w:rsid w:val="000B2B89"/>
    <w:rsid w:val="000B2C7A"/>
    <w:rsid w:val="000B2CCC"/>
    <w:rsid w:val="000B2E09"/>
    <w:rsid w:val="000B2EEB"/>
    <w:rsid w:val="000B2FCC"/>
    <w:rsid w:val="000B30C1"/>
    <w:rsid w:val="000B3278"/>
    <w:rsid w:val="000B3395"/>
    <w:rsid w:val="000B33A0"/>
    <w:rsid w:val="000B355F"/>
    <w:rsid w:val="000B358D"/>
    <w:rsid w:val="000B3646"/>
    <w:rsid w:val="000B3665"/>
    <w:rsid w:val="000B3713"/>
    <w:rsid w:val="000B3880"/>
    <w:rsid w:val="000B3940"/>
    <w:rsid w:val="000B39B3"/>
    <w:rsid w:val="000B39C9"/>
    <w:rsid w:val="000B3B74"/>
    <w:rsid w:val="000B40C1"/>
    <w:rsid w:val="000B40F9"/>
    <w:rsid w:val="000B4119"/>
    <w:rsid w:val="000B4122"/>
    <w:rsid w:val="000B4136"/>
    <w:rsid w:val="000B4150"/>
    <w:rsid w:val="000B42A5"/>
    <w:rsid w:val="000B42BE"/>
    <w:rsid w:val="000B432F"/>
    <w:rsid w:val="000B4401"/>
    <w:rsid w:val="000B451C"/>
    <w:rsid w:val="000B457B"/>
    <w:rsid w:val="000B4666"/>
    <w:rsid w:val="000B46DA"/>
    <w:rsid w:val="000B4763"/>
    <w:rsid w:val="000B4945"/>
    <w:rsid w:val="000B4BB8"/>
    <w:rsid w:val="000B4DAB"/>
    <w:rsid w:val="000B4E48"/>
    <w:rsid w:val="000B4E90"/>
    <w:rsid w:val="000B4EF9"/>
    <w:rsid w:val="000B508D"/>
    <w:rsid w:val="000B53CA"/>
    <w:rsid w:val="000B5546"/>
    <w:rsid w:val="000B5650"/>
    <w:rsid w:val="000B5658"/>
    <w:rsid w:val="000B5691"/>
    <w:rsid w:val="000B57A8"/>
    <w:rsid w:val="000B57F3"/>
    <w:rsid w:val="000B5801"/>
    <w:rsid w:val="000B5862"/>
    <w:rsid w:val="000B5AAB"/>
    <w:rsid w:val="000B5AFA"/>
    <w:rsid w:val="000B5B4D"/>
    <w:rsid w:val="000B5D52"/>
    <w:rsid w:val="000B5E7D"/>
    <w:rsid w:val="000B5FAC"/>
    <w:rsid w:val="000B600E"/>
    <w:rsid w:val="000B60A6"/>
    <w:rsid w:val="000B63BE"/>
    <w:rsid w:val="000B63F7"/>
    <w:rsid w:val="000B652F"/>
    <w:rsid w:val="000B66AD"/>
    <w:rsid w:val="000B66C2"/>
    <w:rsid w:val="000B66F1"/>
    <w:rsid w:val="000B68A1"/>
    <w:rsid w:val="000B68A3"/>
    <w:rsid w:val="000B698B"/>
    <w:rsid w:val="000B6A11"/>
    <w:rsid w:val="000B6C09"/>
    <w:rsid w:val="000B6C80"/>
    <w:rsid w:val="000B6DC1"/>
    <w:rsid w:val="000B6F38"/>
    <w:rsid w:val="000B6F51"/>
    <w:rsid w:val="000B6F65"/>
    <w:rsid w:val="000B7103"/>
    <w:rsid w:val="000B7117"/>
    <w:rsid w:val="000B72AC"/>
    <w:rsid w:val="000B73F5"/>
    <w:rsid w:val="000B7438"/>
    <w:rsid w:val="000B751E"/>
    <w:rsid w:val="000B75DF"/>
    <w:rsid w:val="000B76C1"/>
    <w:rsid w:val="000B76F9"/>
    <w:rsid w:val="000B773F"/>
    <w:rsid w:val="000B77BA"/>
    <w:rsid w:val="000B7A5D"/>
    <w:rsid w:val="000B7B0A"/>
    <w:rsid w:val="000B7B8C"/>
    <w:rsid w:val="000B7CD2"/>
    <w:rsid w:val="000B7D55"/>
    <w:rsid w:val="000B7D65"/>
    <w:rsid w:val="000B7D6D"/>
    <w:rsid w:val="000B7E24"/>
    <w:rsid w:val="000BD096"/>
    <w:rsid w:val="000C000F"/>
    <w:rsid w:val="000C015E"/>
    <w:rsid w:val="000C023D"/>
    <w:rsid w:val="000C0387"/>
    <w:rsid w:val="000C044F"/>
    <w:rsid w:val="000C046C"/>
    <w:rsid w:val="000C0559"/>
    <w:rsid w:val="000C059B"/>
    <w:rsid w:val="000C05E3"/>
    <w:rsid w:val="000C0B66"/>
    <w:rsid w:val="000C0DDC"/>
    <w:rsid w:val="000C0E95"/>
    <w:rsid w:val="000C127A"/>
    <w:rsid w:val="000C1467"/>
    <w:rsid w:val="000C14B7"/>
    <w:rsid w:val="000C155F"/>
    <w:rsid w:val="000C1729"/>
    <w:rsid w:val="000C174E"/>
    <w:rsid w:val="000C17AD"/>
    <w:rsid w:val="000C18D8"/>
    <w:rsid w:val="000C1B1E"/>
    <w:rsid w:val="000C1B30"/>
    <w:rsid w:val="000C1CEB"/>
    <w:rsid w:val="000C1D18"/>
    <w:rsid w:val="000C1E44"/>
    <w:rsid w:val="000C1EE7"/>
    <w:rsid w:val="000C1F29"/>
    <w:rsid w:val="000C207F"/>
    <w:rsid w:val="000C2143"/>
    <w:rsid w:val="000C2147"/>
    <w:rsid w:val="000C2197"/>
    <w:rsid w:val="000C22B2"/>
    <w:rsid w:val="000C2493"/>
    <w:rsid w:val="000C251F"/>
    <w:rsid w:val="000C2978"/>
    <w:rsid w:val="000C2D9F"/>
    <w:rsid w:val="000C2E1B"/>
    <w:rsid w:val="000C2EC5"/>
    <w:rsid w:val="000C2FA4"/>
    <w:rsid w:val="000C2FD3"/>
    <w:rsid w:val="000C304E"/>
    <w:rsid w:val="000C32DC"/>
    <w:rsid w:val="000C336E"/>
    <w:rsid w:val="000C3410"/>
    <w:rsid w:val="000C3606"/>
    <w:rsid w:val="000C3652"/>
    <w:rsid w:val="000C37B4"/>
    <w:rsid w:val="000C38E3"/>
    <w:rsid w:val="000C3926"/>
    <w:rsid w:val="000C393F"/>
    <w:rsid w:val="000C3A73"/>
    <w:rsid w:val="000C3D78"/>
    <w:rsid w:val="000C3E99"/>
    <w:rsid w:val="000C3FF7"/>
    <w:rsid w:val="000C40A8"/>
    <w:rsid w:val="000C417D"/>
    <w:rsid w:val="000C417F"/>
    <w:rsid w:val="000C41A5"/>
    <w:rsid w:val="000C41CB"/>
    <w:rsid w:val="000C41F8"/>
    <w:rsid w:val="000C441C"/>
    <w:rsid w:val="000C4522"/>
    <w:rsid w:val="000C4552"/>
    <w:rsid w:val="000C45AA"/>
    <w:rsid w:val="000C45BF"/>
    <w:rsid w:val="000C470E"/>
    <w:rsid w:val="000C4736"/>
    <w:rsid w:val="000C48B2"/>
    <w:rsid w:val="000C4A5B"/>
    <w:rsid w:val="000C4CD4"/>
    <w:rsid w:val="000C4D47"/>
    <w:rsid w:val="000C5319"/>
    <w:rsid w:val="000C540E"/>
    <w:rsid w:val="000C5601"/>
    <w:rsid w:val="000C5783"/>
    <w:rsid w:val="000C5982"/>
    <w:rsid w:val="000C59FE"/>
    <w:rsid w:val="000C5A89"/>
    <w:rsid w:val="000C5B83"/>
    <w:rsid w:val="000C5CB3"/>
    <w:rsid w:val="000C5CFC"/>
    <w:rsid w:val="000C6002"/>
    <w:rsid w:val="000C6231"/>
    <w:rsid w:val="000C6267"/>
    <w:rsid w:val="000C62D3"/>
    <w:rsid w:val="000C6664"/>
    <w:rsid w:val="000C6678"/>
    <w:rsid w:val="000C66BB"/>
    <w:rsid w:val="000C6751"/>
    <w:rsid w:val="000C67B0"/>
    <w:rsid w:val="000C67DA"/>
    <w:rsid w:val="000C6C47"/>
    <w:rsid w:val="000C6D21"/>
    <w:rsid w:val="000C6EFB"/>
    <w:rsid w:val="000C6F98"/>
    <w:rsid w:val="000C7004"/>
    <w:rsid w:val="000C704F"/>
    <w:rsid w:val="000C70B7"/>
    <w:rsid w:val="000C7172"/>
    <w:rsid w:val="000C71F0"/>
    <w:rsid w:val="000C727A"/>
    <w:rsid w:val="000C7392"/>
    <w:rsid w:val="000C739C"/>
    <w:rsid w:val="000C73BA"/>
    <w:rsid w:val="000C7471"/>
    <w:rsid w:val="000C773E"/>
    <w:rsid w:val="000C7BC3"/>
    <w:rsid w:val="000C7D77"/>
    <w:rsid w:val="000C7F5F"/>
    <w:rsid w:val="000C7FF6"/>
    <w:rsid w:val="000C9290"/>
    <w:rsid w:val="000CBE9B"/>
    <w:rsid w:val="000CD108"/>
    <w:rsid w:val="000D0016"/>
    <w:rsid w:val="000D00B8"/>
    <w:rsid w:val="000D0346"/>
    <w:rsid w:val="000D054B"/>
    <w:rsid w:val="000D0551"/>
    <w:rsid w:val="000D055E"/>
    <w:rsid w:val="000D0662"/>
    <w:rsid w:val="000D0696"/>
    <w:rsid w:val="000D07D4"/>
    <w:rsid w:val="000D09C6"/>
    <w:rsid w:val="000D09EF"/>
    <w:rsid w:val="000D0B3E"/>
    <w:rsid w:val="000D0B48"/>
    <w:rsid w:val="000D0C2C"/>
    <w:rsid w:val="000D0C32"/>
    <w:rsid w:val="000D0D4E"/>
    <w:rsid w:val="000D0ECC"/>
    <w:rsid w:val="000D0FBC"/>
    <w:rsid w:val="000D110A"/>
    <w:rsid w:val="000D1187"/>
    <w:rsid w:val="000D11FB"/>
    <w:rsid w:val="000D14D6"/>
    <w:rsid w:val="000D1507"/>
    <w:rsid w:val="000D15F9"/>
    <w:rsid w:val="000D16FE"/>
    <w:rsid w:val="000D194D"/>
    <w:rsid w:val="000D19C4"/>
    <w:rsid w:val="000D1A6E"/>
    <w:rsid w:val="000D1ACC"/>
    <w:rsid w:val="000D1BFC"/>
    <w:rsid w:val="000D1CCB"/>
    <w:rsid w:val="000D1E36"/>
    <w:rsid w:val="000D1E70"/>
    <w:rsid w:val="000D1EED"/>
    <w:rsid w:val="000D218F"/>
    <w:rsid w:val="000D233C"/>
    <w:rsid w:val="000D2400"/>
    <w:rsid w:val="000D2402"/>
    <w:rsid w:val="000D2524"/>
    <w:rsid w:val="000D2538"/>
    <w:rsid w:val="000D2577"/>
    <w:rsid w:val="000D2584"/>
    <w:rsid w:val="000D25CB"/>
    <w:rsid w:val="000D26EB"/>
    <w:rsid w:val="000D270E"/>
    <w:rsid w:val="000D2714"/>
    <w:rsid w:val="000D2741"/>
    <w:rsid w:val="000D296E"/>
    <w:rsid w:val="000D29C0"/>
    <w:rsid w:val="000D2B03"/>
    <w:rsid w:val="000D2C96"/>
    <w:rsid w:val="000D2DC4"/>
    <w:rsid w:val="000D2E85"/>
    <w:rsid w:val="000D2F16"/>
    <w:rsid w:val="000D2F2F"/>
    <w:rsid w:val="000D2FF2"/>
    <w:rsid w:val="000D305E"/>
    <w:rsid w:val="000D3370"/>
    <w:rsid w:val="000D36AE"/>
    <w:rsid w:val="000D36E8"/>
    <w:rsid w:val="000D37DF"/>
    <w:rsid w:val="000D3AF5"/>
    <w:rsid w:val="000D3AF9"/>
    <w:rsid w:val="000D3BD0"/>
    <w:rsid w:val="000D3C99"/>
    <w:rsid w:val="000D3E67"/>
    <w:rsid w:val="000D3FB8"/>
    <w:rsid w:val="000D40D5"/>
    <w:rsid w:val="000D42E6"/>
    <w:rsid w:val="000D4365"/>
    <w:rsid w:val="000D43F6"/>
    <w:rsid w:val="000D4491"/>
    <w:rsid w:val="000D48D9"/>
    <w:rsid w:val="000D4997"/>
    <w:rsid w:val="000D4A21"/>
    <w:rsid w:val="000D4AF2"/>
    <w:rsid w:val="000D4AFE"/>
    <w:rsid w:val="000D4C3F"/>
    <w:rsid w:val="000D4C8F"/>
    <w:rsid w:val="000D4DF2"/>
    <w:rsid w:val="000D4F8A"/>
    <w:rsid w:val="000D4FA9"/>
    <w:rsid w:val="000D5104"/>
    <w:rsid w:val="000D52AA"/>
    <w:rsid w:val="000D5306"/>
    <w:rsid w:val="000D54C8"/>
    <w:rsid w:val="000D5852"/>
    <w:rsid w:val="000D5A0B"/>
    <w:rsid w:val="000D5B3D"/>
    <w:rsid w:val="000D5B4B"/>
    <w:rsid w:val="000D5C8E"/>
    <w:rsid w:val="000D5CFF"/>
    <w:rsid w:val="000D5D48"/>
    <w:rsid w:val="000D5DEE"/>
    <w:rsid w:val="000D5F3C"/>
    <w:rsid w:val="000D6090"/>
    <w:rsid w:val="000D60CB"/>
    <w:rsid w:val="000D61DA"/>
    <w:rsid w:val="000D6223"/>
    <w:rsid w:val="000D62EA"/>
    <w:rsid w:val="000D62FC"/>
    <w:rsid w:val="000D64D7"/>
    <w:rsid w:val="000D64EA"/>
    <w:rsid w:val="000D65A3"/>
    <w:rsid w:val="000D6745"/>
    <w:rsid w:val="000D6780"/>
    <w:rsid w:val="000D6818"/>
    <w:rsid w:val="000D68DF"/>
    <w:rsid w:val="000D6A1A"/>
    <w:rsid w:val="000D6A51"/>
    <w:rsid w:val="000D6CB8"/>
    <w:rsid w:val="000D6E1E"/>
    <w:rsid w:val="000D6F0F"/>
    <w:rsid w:val="000D70FB"/>
    <w:rsid w:val="000D722A"/>
    <w:rsid w:val="000D7265"/>
    <w:rsid w:val="000D7385"/>
    <w:rsid w:val="000D73CB"/>
    <w:rsid w:val="000D74C8"/>
    <w:rsid w:val="000D761D"/>
    <w:rsid w:val="000D763D"/>
    <w:rsid w:val="000D763E"/>
    <w:rsid w:val="000D76CF"/>
    <w:rsid w:val="000D79B3"/>
    <w:rsid w:val="000D79C5"/>
    <w:rsid w:val="000D7C53"/>
    <w:rsid w:val="000D7CE6"/>
    <w:rsid w:val="000E00EB"/>
    <w:rsid w:val="000E0154"/>
    <w:rsid w:val="000E01BE"/>
    <w:rsid w:val="000E01D9"/>
    <w:rsid w:val="000E021F"/>
    <w:rsid w:val="000E02C3"/>
    <w:rsid w:val="000E02CE"/>
    <w:rsid w:val="000E0385"/>
    <w:rsid w:val="000E03A9"/>
    <w:rsid w:val="000E05A2"/>
    <w:rsid w:val="000E05B1"/>
    <w:rsid w:val="000E073E"/>
    <w:rsid w:val="000E08E8"/>
    <w:rsid w:val="000E09F2"/>
    <w:rsid w:val="000E0A54"/>
    <w:rsid w:val="000E0B7C"/>
    <w:rsid w:val="000E0B9C"/>
    <w:rsid w:val="000E0BCF"/>
    <w:rsid w:val="000E0D00"/>
    <w:rsid w:val="000E0D8B"/>
    <w:rsid w:val="000E0F3E"/>
    <w:rsid w:val="000E0F48"/>
    <w:rsid w:val="000E107F"/>
    <w:rsid w:val="000E1136"/>
    <w:rsid w:val="000E1194"/>
    <w:rsid w:val="000E1242"/>
    <w:rsid w:val="000E14B1"/>
    <w:rsid w:val="000E153B"/>
    <w:rsid w:val="000E160E"/>
    <w:rsid w:val="000E1679"/>
    <w:rsid w:val="000E18B0"/>
    <w:rsid w:val="000E1932"/>
    <w:rsid w:val="000E196C"/>
    <w:rsid w:val="000E1A05"/>
    <w:rsid w:val="000E1BBE"/>
    <w:rsid w:val="000E1C5A"/>
    <w:rsid w:val="000E1C98"/>
    <w:rsid w:val="000E1E72"/>
    <w:rsid w:val="000E1EA6"/>
    <w:rsid w:val="000E1FCC"/>
    <w:rsid w:val="000E2075"/>
    <w:rsid w:val="000E20C2"/>
    <w:rsid w:val="000E23E1"/>
    <w:rsid w:val="000E24FA"/>
    <w:rsid w:val="000E26D8"/>
    <w:rsid w:val="000E290D"/>
    <w:rsid w:val="000E29D8"/>
    <w:rsid w:val="000E2C54"/>
    <w:rsid w:val="000E2D13"/>
    <w:rsid w:val="000E2D1F"/>
    <w:rsid w:val="000E2D46"/>
    <w:rsid w:val="000E2D98"/>
    <w:rsid w:val="000E2F73"/>
    <w:rsid w:val="000E304E"/>
    <w:rsid w:val="000E3086"/>
    <w:rsid w:val="000E30C4"/>
    <w:rsid w:val="000E3112"/>
    <w:rsid w:val="000E3119"/>
    <w:rsid w:val="000E345B"/>
    <w:rsid w:val="000E34A0"/>
    <w:rsid w:val="000E350C"/>
    <w:rsid w:val="000E357F"/>
    <w:rsid w:val="000E358A"/>
    <w:rsid w:val="000E383A"/>
    <w:rsid w:val="000E38EF"/>
    <w:rsid w:val="000E3929"/>
    <w:rsid w:val="000E3AA6"/>
    <w:rsid w:val="000E3D96"/>
    <w:rsid w:val="000E3E20"/>
    <w:rsid w:val="000E3F01"/>
    <w:rsid w:val="000E3F26"/>
    <w:rsid w:val="000E400B"/>
    <w:rsid w:val="000E40B2"/>
    <w:rsid w:val="000E41BA"/>
    <w:rsid w:val="000E4469"/>
    <w:rsid w:val="000E449C"/>
    <w:rsid w:val="000E45A8"/>
    <w:rsid w:val="000E460D"/>
    <w:rsid w:val="000E471E"/>
    <w:rsid w:val="000E48A3"/>
    <w:rsid w:val="000E49C6"/>
    <w:rsid w:val="000E4BEF"/>
    <w:rsid w:val="000E4C16"/>
    <w:rsid w:val="000E4C5A"/>
    <w:rsid w:val="000E4D6D"/>
    <w:rsid w:val="000E5075"/>
    <w:rsid w:val="000E5184"/>
    <w:rsid w:val="000E5188"/>
    <w:rsid w:val="000E5290"/>
    <w:rsid w:val="000E53FF"/>
    <w:rsid w:val="000E548B"/>
    <w:rsid w:val="000E5600"/>
    <w:rsid w:val="000E5609"/>
    <w:rsid w:val="000E5657"/>
    <w:rsid w:val="000E5773"/>
    <w:rsid w:val="000E5965"/>
    <w:rsid w:val="000E59AD"/>
    <w:rsid w:val="000E5A74"/>
    <w:rsid w:val="000E5B59"/>
    <w:rsid w:val="000E5B64"/>
    <w:rsid w:val="000E5C75"/>
    <w:rsid w:val="000E5C92"/>
    <w:rsid w:val="000E5E48"/>
    <w:rsid w:val="000E5E6B"/>
    <w:rsid w:val="000E5ED5"/>
    <w:rsid w:val="000E609B"/>
    <w:rsid w:val="000E6242"/>
    <w:rsid w:val="000E62AA"/>
    <w:rsid w:val="000E62C5"/>
    <w:rsid w:val="000E64DF"/>
    <w:rsid w:val="000E65EB"/>
    <w:rsid w:val="000E69D1"/>
    <w:rsid w:val="000E69E7"/>
    <w:rsid w:val="000E6A53"/>
    <w:rsid w:val="000E6A5C"/>
    <w:rsid w:val="000E6C59"/>
    <w:rsid w:val="000E6D02"/>
    <w:rsid w:val="000E6F0B"/>
    <w:rsid w:val="000E70C6"/>
    <w:rsid w:val="000E72B4"/>
    <w:rsid w:val="000E72EE"/>
    <w:rsid w:val="000E7334"/>
    <w:rsid w:val="000E7372"/>
    <w:rsid w:val="000E73AC"/>
    <w:rsid w:val="000E7463"/>
    <w:rsid w:val="000E74F4"/>
    <w:rsid w:val="000E7551"/>
    <w:rsid w:val="000E7569"/>
    <w:rsid w:val="000E762C"/>
    <w:rsid w:val="000E7697"/>
    <w:rsid w:val="000E775B"/>
    <w:rsid w:val="000E7DD2"/>
    <w:rsid w:val="000E7F5E"/>
    <w:rsid w:val="000E7F83"/>
    <w:rsid w:val="000E7FD1"/>
    <w:rsid w:val="000F0108"/>
    <w:rsid w:val="000F0223"/>
    <w:rsid w:val="000F0227"/>
    <w:rsid w:val="000F02ED"/>
    <w:rsid w:val="000F0375"/>
    <w:rsid w:val="000F05B6"/>
    <w:rsid w:val="000F06AC"/>
    <w:rsid w:val="000F0722"/>
    <w:rsid w:val="000F072E"/>
    <w:rsid w:val="000F07F6"/>
    <w:rsid w:val="000F07FA"/>
    <w:rsid w:val="000F0965"/>
    <w:rsid w:val="000F0A6D"/>
    <w:rsid w:val="000F0CEA"/>
    <w:rsid w:val="000F0D9F"/>
    <w:rsid w:val="000F0E1E"/>
    <w:rsid w:val="000F0EBA"/>
    <w:rsid w:val="000F0EFE"/>
    <w:rsid w:val="000F0FE0"/>
    <w:rsid w:val="000F11D5"/>
    <w:rsid w:val="000F11E2"/>
    <w:rsid w:val="000F1337"/>
    <w:rsid w:val="000F1394"/>
    <w:rsid w:val="000F13E0"/>
    <w:rsid w:val="000F157C"/>
    <w:rsid w:val="000F160B"/>
    <w:rsid w:val="000F179C"/>
    <w:rsid w:val="000F1838"/>
    <w:rsid w:val="000F190F"/>
    <w:rsid w:val="000F1936"/>
    <w:rsid w:val="000F1B37"/>
    <w:rsid w:val="000F1D02"/>
    <w:rsid w:val="000F1D4B"/>
    <w:rsid w:val="000F1D74"/>
    <w:rsid w:val="000F1F6B"/>
    <w:rsid w:val="000F1FC9"/>
    <w:rsid w:val="000F2255"/>
    <w:rsid w:val="000F22FF"/>
    <w:rsid w:val="000F230C"/>
    <w:rsid w:val="000F2526"/>
    <w:rsid w:val="000F27EA"/>
    <w:rsid w:val="000F2CBB"/>
    <w:rsid w:val="000F2CDA"/>
    <w:rsid w:val="000F2DB6"/>
    <w:rsid w:val="000F304C"/>
    <w:rsid w:val="000F309B"/>
    <w:rsid w:val="000F327B"/>
    <w:rsid w:val="000F3346"/>
    <w:rsid w:val="000F337F"/>
    <w:rsid w:val="000F349D"/>
    <w:rsid w:val="000F34B3"/>
    <w:rsid w:val="000F3655"/>
    <w:rsid w:val="000F375E"/>
    <w:rsid w:val="000F3AC4"/>
    <w:rsid w:val="000F3AE8"/>
    <w:rsid w:val="000F3B0B"/>
    <w:rsid w:val="000F3DB9"/>
    <w:rsid w:val="000F3FD4"/>
    <w:rsid w:val="000F410A"/>
    <w:rsid w:val="000F436E"/>
    <w:rsid w:val="000F438F"/>
    <w:rsid w:val="000F43E9"/>
    <w:rsid w:val="000F440D"/>
    <w:rsid w:val="000F4599"/>
    <w:rsid w:val="000F45F5"/>
    <w:rsid w:val="000F4613"/>
    <w:rsid w:val="000F4A51"/>
    <w:rsid w:val="000F4AEF"/>
    <w:rsid w:val="000F4C12"/>
    <w:rsid w:val="000F4F32"/>
    <w:rsid w:val="000F4F7F"/>
    <w:rsid w:val="000F4F81"/>
    <w:rsid w:val="000F4FBC"/>
    <w:rsid w:val="000F5247"/>
    <w:rsid w:val="000F529C"/>
    <w:rsid w:val="000F52A7"/>
    <w:rsid w:val="000F5313"/>
    <w:rsid w:val="000F5450"/>
    <w:rsid w:val="000F54A5"/>
    <w:rsid w:val="000F554B"/>
    <w:rsid w:val="000F55B2"/>
    <w:rsid w:val="000F55C0"/>
    <w:rsid w:val="000F56DE"/>
    <w:rsid w:val="000F5737"/>
    <w:rsid w:val="000F5915"/>
    <w:rsid w:val="000F5919"/>
    <w:rsid w:val="000F5A0C"/>
    <w:rsid w:val="000F5B31"/>
    <w:rsid w:val="000F5C57"/>
    <w:rsid w:val="000F5D70"/>
    <w:rsid w:val="000F5DFB"/>
    <w:rsid w:val="000F5E0E"/>
    <w:rsid w:val="000F61AF"/>
    <w:rsid w:val="000F625E"/>
    <w:rsid w:val="000F63EC"/>
    <w:rsid w:val="000F658A"/>
    <w:rsid w:val="000F664D"/>
    <w:rsid w:val="000F673E"/>
    <w:rsid w:val="000F6749"/>
    <w:rsid w:val="000F675D"/>
    <w:rsid w:val="000F679A"/>
    <w:rsid w:val="000F67A7"/>
    <w:rsid w:val="000F67AB"/>
    <w:rsid w:val="000F6800"/>
    <w:rsid w:val="000F689D"/>
    <w:rsid w:val="000F68A8"/>
    <w:rsid w:val="000F69DB"/>
    <w:rsid w:val="000F6A25"/>
    <w:rsid w:val="000F6CC5"/>
    <w:rsid w:val="000F6D3D"/>
    <w:rsid w:val="000F6E57"/>
    <w:rsid w:val="000F6EE4"/>
    <w:rsid w:val="000F6F61"/>
    <w:rsid w:val="000F706C"/>
    <w:rsid w:val="000F7113"/>
    <w:rsid w:val="000F722A"/>
    <w:rsid w:val="000F727F"/>
    <w:rsid w:val="000F74E0"/>
    <w:rsid w:val="000F7773"/>
    <w:rsid w:val="000F788D"/>
    <w:rsid w:val="000F7A4B"/>
    <w:rsid w:val="000F7A83"/>
    <w:rsid w:val="000F7C5D"/>
    <w:rsid w:val="000F7C65"/>
    <w:rsid w:val="000F7CAE"/>
    <w:rsid w:val="000F7D40"/>
    <w:rsid w:val="000F7E0C"/>
    <w:rsid w:val="000F7E29"/>
    <w:rsid w:val="000F7E49"/>
    <w:rsid w:val="000F7E5E"/>
    <w:rsid w:val="000F7F1B"/>
    <w:rsid w:val="000F7F76"/>
    <w:rsid w:val="000FC71D"/>
    <w:rsid w:val="000FF0E6"/>
    <w:rsid w:val="001000E8"/>
    <w:rsid w:val="00100198"/>
    <w:rsid w:val="001003FB"/>
    <w:rsid w:val="0010045E"/>
    <w:rsid w:val="00100487"/>
    <w:rsid w:val="00100514"/>
    <w:rsid w:val="00100618"/>
    <w:rsid w:val="00100682"/>
    <w:rsid w:val="00100902"/>
    <w:rsid w:val="00100ADD"/>
    <w:rsid w:val="00100AF8"/>
    <w:rsid w:val="00100B4A"/>
    <w:rsid w:val="00100CF5"/>
    <w:rsid w:val="00100CF7"/>
    <w:rsid w:val="00100E73"/>
    <w:rsid w:val="0010122D"/>
    <w:rsid w:val="00101442"/>
    <w:rsid w:val="00101498"/>
    <w:rsid w:val="001016B8"/>
    <w:rsid w:val="001016D7"/>
    <w:rsid w:val="00101833"/>
    <w:rsid w:val="0010187C"/>
    <w:rsid w:val="00101C17"/>
    <w:rsid w:val="00101C68"/>
    <w:rsid w:val="00101D13"/>
    <w:rsid w:val="00101D6D"/>
    <w:rsid w:val="00101D95"/>
    <w:rsid w:val="00101DBD"/>
    <w:rsid w:val="00101E45"/>
    <w:rsid w:val="00101E85"/>
    <w:rsid w:val="00101EFA"/>
    <w:rsid w:val="00101F17"/>
    <w:rsid w:val="001021F6"/>
    <w:rsid w:val="0010245F"/>
    <w:rsid w:val="0010257A"/>
    <w:rsid w:val="0010274F"/>
    <w:rsid w:val="00102780"/>
    <w:rsid w:val="001028A0"/>
    <w:rsid w:val="00102A48"/>
    <w:rsid w:val="00102A6B"/>
    <w:rsid w:val="00102C0A"/>
    <w:rsid w:val="00102C64"/>
    <w:rsid w:val="00102CD4"/>
    <w:rsid w:val="00102DCF"/>
    <w:rsid w:val="00102EDC"/>
    <w:rsid w:val="0010321D"/>
    <w:rsid w:val="0010334D"/>
    <w:rsid w:val="00103420"/>
    <w:rsid w:val="001034CE"/>
    <w:rsid w:val="001034FB"/>
    <w:rsid w:val="00103521"/>
    <w:rsid w:val="00103563"/>
    <w:rsid w:val="001036D9"/>
    <w:rsid w:val="00103761"/>
    <w:rsid w:val="00103762"/>
    <w:rsid w:val="00103871"/>
    <w:rsid w:val="001038D6"/>
    <w:rsid w:val="00103A27"/>
    <w:rsid w:val="00103A9C"/>
    <w:rsid w:val="00103B0E"/>
    <w:rsid w:val="00103B6B"/>
    <w:rsid w:val="00103C9F"/>
    <w:rsid w:val="00104133"/>
    <w:rsid w:val="00104200"/>
    <w:rsid w:val="001043FA"/>
    <w:rsid w:val="00104535"/>
    <w:rsid w:val="00104562"/>
    <w:rsid w:val="0010469F"/>
    <w:rsid w:val="001046BB"/>
    <w:rsid w:val="00104775"/>
    <w:rsid w:val="00104982"/>
    <w:rsid w:val="001049B0"/>
    <w:rsid w:val="001049C7"/>
    <w:rsid w:val="00104AF4"/>
    <w:rsid w:val="00104C7E"/>
    <w:rsid w:val="001050CE"/>
    <w:rsid w:val="00105158"/>
    <w:rsid w:val="00105201"/>
    <w:rsid w:val="00105346"/>
    <w:rsid w:val="00105447"/>
    <w:rsid w:val="0010560A"/>
    <w:rsid w:val="0010561D"/>
    <w:rsid w:val="0010561F"/>
    <w:rsid w:val="00105629"/>
    <w:rsid w:val="001057C3"/>
    <w:rsid w:val="001057F8"/>
    <w:rsid w:val="0010582D"/>
    <w:rsid w:val="001058B3"/>
    <w:rsid w:val="00105AE8"/>
    <w:rsid w:val="00105C6B"/>
    <w:rsid w:val="00105F96"/>
    <w:rsid w:val="00105FF1"/>
    <w:rsid w:val="001061A8"/>
    <w:rsid w:val="00106258"/>
    <w:rsid w:val="0010631F"/>
    <w:rsid w:val="001063D7"/>
    <w:rsid w:val="0010641F"/>
    <w:rsid w:val="00106438"/>
    <w:rsid w:val="00106440"/>
    <w:rsid w:val="00106491"/>
    <w:rsid w:val="001065F0"/>
    <w:rsid w:val="00106A19"/>
    <w:rsid w:val="00106C58"/>
    <w:rsid w:val="00106CE9"/>
    <w:rsid w:val="00106D19"/>
    <w:rsid w:val="00106E5C"/>
    <w:rsid w:val="00106FC7"/>
    <w:rsid w:val="00106FD6"/>
    <w:rsid w:val="00107270"/>
    <w:rsid w:val="001072BE"/>
    <w:rsid w:val="00107329"/>
    <w:rsid w:val="0010737B"/>
    <w:rsid w:val="00107448"/>
    <w:rsid w:val="00107474"/>
    <w:rsid w:val="00107644"/>
    <w:rsid w:val="001077AC"/>
    <w:rsid w:val="00107915"/>
    <w:rsid w:val="00107978"/>
    <w:rsid w:val="00107A97"/>
    <w:rsid w:val="00107B3D"/>
    <w:rsid w:val="00107B68"/>
    <w:rsid w:val="00107C7D"/>
    <w:rsid w:val="00107D0B"/>
    <w:rsid w:val="00107DA7"/>
    <w:rsid w:val="00107E9C"/>
    <w:rsid w:val="00107F46"/>
    <w:rsid w:val="00107F48"/>
    <w:rsid w:val="00107F7B"/>
    <w:rsid w:val="00107FAE"/>
    <w:rsid w:val="00107FE6"/>
    <w:rsid w:val="0011001D"/>
    <w:rsid w:val="001101B1"/>
    <w:rsid w:val="001101B2"/>
    <w:rsid w:val="00110227"/>
    <w:rsid w:val="0011059C"/>
    <w:rsid w:val="001105E7"/>
    <w:rsid w:val="00110761"/>
    <w:rsid w:val="001108F7"/>
    <w:rsid w:val="00110946"/>
    <w:rsid w:val="00110A87"/>
    <w:rsid w:val="00110C08"/>
    <w:rsid w:val="00110DC0"/>
    <w:rsid w:val="00110EA3"/>
    <w:rsid w:val="001111FA"/>
    <w:rsid w:val="00111209"/>
    <w:rsid w:val="001112AA"/>
    <w:rsid w:val="001112D0"/>
    <w:rsid w:val="0011136D"/>
    <w:rsid w:val="0011137B"/>
    <w:rsid w:val="001113B5"/>
    <w:rsid w:val="0011156A"/>
    <w:rsid w:val="0011197F"/>
    <w:rsid w:val="00111B5B"/>
    <w:rsid w:val="00111B7E"/>
    <w:rsid w:val="00111C64"/>
    <w:rsid w:val="00111D09"/>
    <w:rsid w:val="00111E07"/>
    <w:rsid w:val="00111E82"/>
    <w:rsid w:val="00111F35"/>
    <w:rsid w:val="00111F53"/>
    <w:rsid w:val="00112287"/>
    <w:rsid w:val="0011229E"/>
    <w:rsid w:val="00112519"/>
    <w:rsid w:val="0011254B"/>
    <w:rsid w:val="001125B4"/>
    <w:rsid w:val="0011264F"/>
    <w:rsid w:val="00112785"/>
    <w:rsid w:val="00112880"/>
    <w:rsid w:val="001128C1"/>
    <w:rsid w:val="00112906"/>
    <w:rsid w:val="0011290A"/>
    <w:rsid w:val="00112C59"/>
    <w:rsid w:val="00112D84"/>
    <w:rsid w:val="00112FD1"/>
    <w:rsid w:val="00112FF2"/>
    <w:rsid w:val="0011300E"/>
    <w:rsid w:val="00113156"/>
    <w:rsid w:val="001131E7"/>
    <w:rsid w:val="00113257"/>
    <w:rsid w:val="00113362"/>
    <w:rsid w:val="001134C4"/>
    <w:rsid w:val="00113508"/>
    <w:rsid w:val="00113597"/>
    <w:rsid w:val="0011365F"/>
    <w:rsid w:val="00113671"/>
    <w:rsid w:val="001136D0"/>
    <w:rsid w:val="001137EF"/>
    <w:rsid w:val="00113B50"/>
    <w:rsid w:val="00113CEB"/>
    <w:rsid w:val="00113CFF"/>
    <w:rsid w:val="00113FA8"/>
    <w:rsid w:val="00113FBA"/>
    <w:rsid w:val="0011402C"/>
    <w:rsid w:val="001142DD"/>
    <w:rsid w:val="001144FD"/>
    <w:rsid w:val="0011462C"/>
    <w:rsid w:val="0011474E"/>
    <w:rsid w:val="0011481C"/>
    <w:rsid w:val="00114A15"/>
    <w:rsid w:val="00114A61"/>
    <w:rsid w:val="00114CCC"/>
    <w:rsid w:val="00114F1D"/>
    <w:rsid w:val="00114F5D"/>
    <w:rsid w:val="001150E3"/>
    <w:rsid w:val="001151D2"/>
    <w:rsid w:val="0011529A"/>
    <w:rsid w:val="0011535C"/>
    <w:rsid w:val="001153BE"/>
    <w:rsid w:val="001153ED"/>
    <w:rsid w:val="0011562C"/>
    <w:rsid w:val="001156BA"/>
    <w:rsid w:val="0011578A"/>
    <w:rsid w:val="001157AD"/>
    <w:rsid w:val="00115A1E"/>
    <w:rsid w:val="00115B0F"/>
    <w:rsid w:val="00115B32"/>
    <w:rsid w:val="00115E9B"/>
    <w:rsid w:val="00115F86"/>
    <w:rsid w:val="00116245"/>
    <w:rsid w:val="00116251"/>
    <w:rsid w:val="001163C4"/>
    <w:rsid w:val="0011646B"/>
    <w:rsid w:val="00116499"/>
    <w:rsid w:val="001164F9"/>
    <w:rsid w:val="00116536"/>
    <w:rsid w:val="001166F3"/>
    <w:rsid w:val="001167EC"/>
    <w:rsid w:val="00116D2D"/>
    <w:rsid w:val="00116DD2"/>
    <w:rsid w:val="00116E71"/>
    <w:rsid w:val="00116F6F"/>
    <w:rsid w:val="00116F96"/>
    <w:rsid w:val="001171D9"/>
    <w:rsid w:val="001172F3"/>
    <w:rsid w:val="001173F3"/>
    <w:rsid w:val="0011755A"/>
    <w:rsid w:val="001175E2"/>
    <w:rsid w:val="0011766E"/>
    <w:rsid w:val="00117678"/>
    <w:rsid w:val="00117890"/>
    <w:rsid w:val="001178E4"/>
    <w:rsid w:val="0011790A"/>
    <w:rsid w:val="00117AB4"/>
    <w:rsid w:val="00117CDE"/>
    <w:rsid w:val="00117D3D"/>
    <w:rsid w:val="00117D95"/>
    <w:rsid w:val="00117FC6"/>
    <w:rsid w:val="00120100"/>
    <w:rsid w:val="00120214"/>
    <w:rsid w:val="00120263"/>
    <w:rsid w:val="00120530"/>
    <w:rsid w:val="00120668"/>
    <w:rsid w:val="001206B3"/>
    <w:rsid w:val="001206CB"/>
    <w:rsid w:val="00120707"/>
    <w:rsid w:val="001207EA"/>
    <w:rsid w:val="001208BC"/>
    <w:rsid w:val="001208EC"/>
    <w:rsid w:val="001209C6"/>
    <w:rsid w:val="00120A18"/>
    <w:rsid w:val="00120A2D"/>
    <w:rsid w:val="00120B2C"/>
    <w:rsid w:val="00120BB6"/>
    <w:rsid w:val="00120D0A"/>
    <w:rsid w:val="00120D67"/>
    <w:rsid w:val="00120D7F"/>
    <w:rsid w:val="00120DC5"/>
    <w:rsid w:val="00120EC6"/>
    <w:rsid w:val="00120EE8"/>
    <w:rsid w:val="00120EF1"/>
    <w:rsid w:val="00120EF7"/>
    <w:rsid w:val="00120FC8"/>
    <w:rsid w:val="001210DF"/>
    <w:rsid w:val="0012118E"/>
    <w:rsid w:val="001211B1"/>
    <w:rsid w:val="001212D1"/>
    <w:rsid w:val="001213A9"/>
    <w:rsid w:val="001215A2"/>
    <w:rsid w:val="001217E3"/>
    <w:rsid w:val="001218AA"/>
    <w:rsid w:val="00121953"/>
    <w:rsid w:val="001219A4"/>
    <w:rsid w:val="001219F5"/>
    <w:rsid w:val="00121AB6"/>
    <w:rsid w:val="00121ACD"/>
    <w:rsid w:val="00121AFF"/>
    <w:rsid w:val="00121C33"/>
    <w:rsid w:val="00121C78"/>
    <w:rsid w:val="00121CB6"/>
    <w:rsid w:val="00121F4E"/>
    <w:rsid w:val="00121FCD"/>
    <w:rsid w:val="00122562"/>
    <w:rsid w:val="00122662"/>
    <w:rsid w:val="001226F8"/>
    <w:rsid w:val="00122790"/>
    <w:rsid w:val="0012289B"/>
    <w:rsid w:val="00122988"/>
    <w:rsid w:val="00122A00"/>
    <w:rsid w:val="00122A9E"/>
    <w:rsid w:val="00122AFF"/>
    <w:rsid w:val="00122B95"/>
    <w:rsid w:val="00123083"/>
    <w:rsid w:val="001230B2"/>
    <w:rsid w:val="001230B6"/>
    <w:rsid w:val="0012311B"/>
    <w:rsid w:val="001231F8"/>
    <w:rsid w:val="0012322D"/>
    <w:rsid w:val="001233D9"/>
    <w:rsid w:val="00123421"/>
    <w:rsid w:val="00123470"/>
    <w:rsid w:val="001234F5"/>
    <w:rsid w:val="00123587"/>
    <w:rsid w:val="0012360E"/>
    <w:rsid w:val="00123615"/>
    <w:rsid w:val="00123625"/>
    <w:rsid w:val="001236E0"/>
    <w:rsid w:val="00123717"/>
    <w:rsid w:val="0012374B"/>
    <w:rsid w:val="001238E8"/>
    <w:rsid w:val="00123AB2"/>
    <w:rsid w:val="00123C06"/>
    <w:rsid w:val="00123C99"/>
    <w:rsid w:val="00123E09"/>
    <w:rsid w:val="00123EBE"/>
    <w:rsid w:val="00123FAF"/>
    <w:rsid w:val="0012405C"/>
    <w:rsid w:val="001244BB"/>
    <w:rsid w:val="00124558"/>
    <w:rsid w:val="00124649"/>
    <w:rsid w:val="0012475B"/>
    <w:rsid w:val="00124803"/>
    <w:rsid w:val="001248D9"/>
    <w:rsid w:val="00124AB2"/>
    <w:rsid w:val="00124ABE"/>
    <w:rsid w:val="00124DA9"/>
    <w:rsid w:val="00124E2E"/>
    <w:rsid w:val="00124E5F"/>
    <w:rsid w:val="00124ECD"/>
    <w:rsid w:val="00124F0F"/>
    <w:rsid w:val="00124FAF"/>
    <w:rsid w:val="00125003"/>
    <w:rsid w:val="0012500C"/>
    <w:rsid w:val="00125018"/>
    <w:rsid w:val="00125094"/>
    <w:rsid w:val="001250EC"/>
    <w:rsid w:val="00125178"/>
    <w:rsid w:val="001253FA"/>
    <w:rsid w:val="001255EE"/>
    <w:rsid w:val="00125686"/>
    <w:rsid w:val="001256F2"/>
    <w:rsid w:val="001257EE"/>
    <w:rsid w:val="001257F3"/>
    <w:rsid w:val="001257F6"/>
    <w:rsid w:val="00125831"/>
    <w:rsid w:val="00125878"/>
    <w:rsid w:val="0012587E"/>
    <w:rsid w:val="00125894"/>
    <w:rsid w:val="00125B2D"/>
    <w:rsid w:val="00125BFC"/>
    <w:rsid w:val="00125C07"/>
    <w:rsid w:val="00125F49"/>
    <w:rsid w:val="00125FB0"/>
    <w:rsid w:val="0012603E"/>
    <w:rsid w:val="00126215"/>
    <w:rsid w:val="0012628F"/>
    <w:rsid w:val="00126293"/>
    <w:rsid w:val="001263B8"/>
    <w:rsid w:val="0012661F"/>
    <w:rsid w:val="0012663F"/>
    <w:rsid w:val="00126647"/>
    <w:rsid w:val="00126733"/>
    <w:rsid w:val="001267E3"/>
    <w:rsid w:val="0012698F"/>
    <w:rsid w:val="001269D7"/>
    <w:rsid w:val="00126A73"/>
    <w:rsid w:val="00126B11"/>
    <w:rsid w:val="00126D23"/>
    <w:rsid w:val="00126D4A"/>
    <w:rsid w:val="00126E19"/>
    <w:rsid w:val="00126E64"/>
    <w:rsid w:val="00126FAE"/>
    <w:rsid w:val="00127061"/>
    <w:rsid w:val="001270DC"/>
    <w:rsid w:val="00127249"/>
    <w:rsid w:val="001273EB"/>
    <w:rsid w:val="001273F1"/>
    <w:rsid w:val="00127543"/>
    <w:rsid w:val="001275B1"/>
    <w:rsid w:val="00127691"/>
    <w:rsid w:val="0012774C"/>
    <w:rsid w:val="00127767"/>
    <w:rsid w:val="0012776D"/>
    <w:rsid w:val="0012778B"/>
    <w:rsid w:val="0012778F"/>
    <w:rsid w:val="00127801"/>
    <w:rsid w:val="0012789C"/>
    <w:rsid w:val="001279C9"/>
    <w:rsid w:val="001279D0"/>
    <w:rsid w:val="00127B87"/>
    <w:rsid w:val="00127EEA"/>
    <w:rsid w:val="00127F06"/>
    <w:rsid w:val="0013022A"/>
    <w:rsid w:val="001302C7"/>
    <w:rsid w:val="0013038D"/>
    <w:rsid w:val="00130402"/>
    <w:rsid w:val="0013052F"/>
    <w:rsid w:val="00130566"/>
    <w:rsid w:val="001305A6"/>
    <w:rsid w:val="00130605"/>
    <w:rsid w:val="00130655"/>
    <w:rsid w:val="0013065D"/>
    <w:rsid w:val="001306BA"/>
    <w:rsid w:val="001306DA"/>
    <w:rsid w:val="001306FD"/>
    <w:rsid w:val="0013073E"/>
    <w:rsid w:val="0013096E"/>
    <w:rsid w:val="0013098D"/>
    <w:rsid w:val="00130AA9"/>
    <w:rsid w:val="00130BB4"/>
    <w:rsid w:val="00130FE2"/>
    <w:rsid w:val="00131360"/>
    <w:rsid w:val="001314AE"/>
    <w:rsid w:val="00131554"/>
    <w:rsid w:val="00131578"/>
    <w:rsid w:val="001315BE"/>
    <w:rsid w:val="0013160E"/>
    <w:rsid w:val="00131743"/>
    <w:rsid w:val="00131752"/>
    <w:rsid w:val="00131A43"/>
    <w:rsid w:val="00131C80"/>
    <w:rsid w:val="00131CCB"/>
    <w:rsid w:val="00131E8D"/>
    <w:rsid w:val="00131EE0"/>
    <w:rsid w:val="00131F73"/>
    <w:rsid w:val="001321C0"/>
    <w:rsid w:val="001322AA"/>
    <w:rsid w:val="00132422"/>
    <w:rsid w:val="0013252D"/>
    <w:rsid w:val="00132582"/>
    <w:rsid w:val="001325B9"/>
    <w:rsid w:val="00132767"/>
    <w:rsid w:val="00132859"/>
    <w:rsid w:val="00132945"/>
    <w:rsid w:val="001329F9"/>
    <w:rsid w:val="00132B77"/>
    <w:rsid w:val="00132C00"/>
    <w:rsid w:val="00132C62"/>
    <w:rsid w:val="00132D59"/>
    <w:rsid w:val="00132DB8"/>
    <w:rsid w:val="00132EB1"/>
    <w:rsid w:val="00132EB6"/>
    <w:rsid w:val="00133145"/>
    <w:rsid w:val="0013317F"/>
    <w:rsid w:val="001331A8"/>
    <w:rsid w:val="001331D9"/>
    <w:rsid w:val="00133242"/>
    <w:rsid w:val="001332EF"/>
    <w:rsid w:val="0013333F"/>
    <w:rsid w:val="001334B7"/>
    <w:rsid w:val="00133610"/>
    <w:rsid w:val="00133700"/>
    <w:rsid w:val="001337B1"/>
    <w:rsid w:val="00133A2D"/>
    <w:rsid w:val="00133CFF"/>
    <w:rsid w:val="00133E9C"/>
    <w:rsid w:val="00133FB9"/>
    <w:rsid w:val="00133FFC"/>
    <w:rsid w:val="00134120"/>
    <w:rsid w:val="001341AB"/>
    <w:rsid w:val="001341B3"/>
    <w:rsid w:val="0013427C"/>
    <w:rsid w:val="00134344"/>
    <w:rsid w:val="00134549"/>
    <w:rsid w:val="001346B1"/>
    <w:rsid w:val="00134711"/>
    <w:rsid w:val="0013482B"/>
    <w:rsid w:val="00134A5E"/>
    <w:rsid w:val="00134AB9"/>
    <w:rsid w:val="00134B4B"/>
    <w:rsid w:val="00134BE0"/>
    <w:rsid w:val="00134C56"/>
    <w:rsid w:val="00134CC1"/>
    <w:rsid w:val="00134D1E"/>
    <w:rsid w:val="00134DA2"/>
    <w:rsid w:val="00134E52"/>
    <w:rsid w:val="00134E81"/>
    <w:rsid w:val="00135041"/>
    <w:rsid w:val="0013517C"/>
    <w:rsid w:val="0013529E"/>
    <w:rsid w:val="0013534F"/>
    <w:rsid w:val="001353BA"/>
    <w:rsid w:val="0013555A"/>
    <w:rsid w:val="001355EC"/>
    <w:rsid w:val="00135715"/>
    <w:rsid w:val="0013578A"/>
    <w:rsid w:val="001357B1"/>
    <w:rsid w:val="001357D5"/>
    <w:rsid w:val="00135922"/>
    <w:rsid w:val="0013592C"/>
    <w:rsid w:val="00135965"/>
    <w:rsid w:val="00135BB0"/>
    <w:rsid w:val="00135C1A"/>
    <w:rsid w:val="00135CDC"/>
    <w:rsid w:val="00135D3C"/>
    <w:rsid w:val="00135E4B"/>
    <w:rsid w:val="00135E9A"/>
    <w:rsid w:val="00135F08"/>
    <w:rsid w:val="00135FFB"/>
    <w:rsid w:val="001360DF"/>
    <w:rsid w:val="001364B0"/>
    <w:rsid w:val="00136543"/>
    <w:rsid w:val="0013660A"/>
    <w:rsid w:val="00136755"/>
    <w:rsid w:val="001367AA"/>
    <w:rsid w:val="00136870"/>
    <w:rsid w:val="001369C2"/>
    <w:rsid w:val="001369FC"/>
    <w:rsid w:val="00136C2E"/>
    <w:rsid w:val="00136EC2"/>
    <w:rsid w:val="00137577"/>
    <w:rsid w:val="0013759A"/>
    <w:rsid w:val="001375B2"/>
    <w:rsid w:val="001375E5"/>
    <w:rsid w:val="00137609"/>
    <w:rsid w:val="001376E5"/>
    <w:rsid w:val="001376F1"/>
    <w:rsid w:val="001378BD"/>
    <w:rsid w:val="001378FA"/>
    <w:rsid w:val="00137AB4"/>
    <w:rsid w:val="00137B03"/>
    <w:rsid w:val="00137B97"/>
    <w:rsid w:val="00137BAB"/>
    <w:rsid w:val="00137C06"/>
    <w:rsid w:val="00137C33"/>
    <w:rsid w:val="00137D3F"/>
    <w:rsid w:val="00137DFD"/>
    <w:rsid w:val="00137FF3"/>
    <w:rsid w:val="00140059"/>
    <w:rsid w:val="001401E0"/>
    <w:rsid w:val="00140246"/>
    <w:rsid w:val="0014028D"/>
    <w:rsid w:val="001402A3"/>
    <w:rsid w:val="00140502"/>
    <w:rsid w:val="00140568"/>
    <w:rsid w:val="00140624"/>
    <w:rsid w:val="00140726"/>
    <w:rsid w:val="00140763"/>
    <w:rsid w:val="001408EF"/>
    <w:rsid w:val="00140A50"/>
    <w:rsid w:val="00140AC6"/>
    <w:rsid w:val="00140ACA"/>
    <w:rsid w:val="00140B3E"/>
    <w:rsid w:val="00140BDD"/>
    <w:rsid w:val="00140C6D"/>
    <w:rsid w:val="00140C87"/>
    <w:rsid w:val="00140DB5"/>
    <w:rsid w:val="00140DD3"/>
    <w:rsid w:val="00140F2D"/>
    <w:rsid w:val="0014102F"/>
    <w:rsid w:val="00141133"/>
    <w:rsid w:val="00141163"/>
    <w:rsid w:val="001411FD"/>
    <w:rsid w:val="001413E6"/>
    <w:rsid w:val="001417A4"/>
    <w:rsid w:val="00141845"/>
    <w:rsid w:val="00141887"/>
    <w:rsid w:val="0014188B"/>
    <w:rsid w:val="0014192D"/>
    <w:rsid w:val="00141A80"/>
    <w:rsid w:val="00141C98"/>
    <w:rsid w:val="00141F70"/>
    <w:rsid w:val="00142023"/>
    <w:rsid w:val="0014205B"/>
    <w:rsid w:val="001420E8"/>
    <w:rsid w:val="00142170"/>
    <w:rsid w:val="0014221C"/>
    <w:rsid w:val="001424D3"/>
    <w:rsid w:val="0014256A"/>
    <w:rsid w:val="00142588"/>
    <w:rsid w:val="00142642"/>
    <w:rsid w:val="0014266B"/>
    <w:rsid w:val="00142677"/>
    <w:rsid w:val="001428DA"/>
    <w:rsid w:val="00142A12"/>
    <w:rsid w:val="00142ADA"/>
    <w:rsid w:val="00142B7A"/>
    <w:rsid w:val="00142CE0"/>
    <w:rsid w:val="00142DA9"/>
    <w:rsid w:val="00142DE0"/>
    <w:rsid w:val="00142E50"/>
    <w:rsid w:val="00142F27"/>
    <w:rsid w:val="00142F55"/>
    <w:rsid w:val="0014309F"/>
    <w:rsid w:val="001432DD"/>
    <w:rsid w:val="0014332C"/>
    <w:rsid w:val="0014344F"/>
    <w:rsid w:val="00143517"/>
    <w:rsid w:val="001436C1"/>
    <w:rsid w:val="00143702"/>
    <w:rsid w:val="00143710"/>
    <w:rsid w:val="0014384B"/>
    <w:rsid w:val="001439CD"/>
    <w:rsid w:val="00143A3C"/>
    <w:rsid w:val="00143A7B"/>
    <w:rsid w:val="00143AFB"/>
    <w:rsid w:val="00143C44"/>
    <w:rsid w:val="00143CDF"/>
    <w:rsid w:val="00143D07"/>
    <w:rsid w:val="00143E71"/>
    <w:rsid w:val="00143ED7"/>
    <w:rsid w:val="00143EE5"/>
    <w:rsid w:val="00144342"/>
    <w:rsid w:val="00144384"/>
    <w:rsid w:val="00144393"/>
    <w:rsid w:val="001445E6"/>
    <w:rsid w:val="001448A8"/>
    <w:rsid w:val="00144900"/>
    <w:rsid w:val="00144C26"/>
    <w:rsid w:val="00144C80"/>
    <w:rsid w:val="00144D8A"/>
    <w:rsid w:val="00144E67"/>
    <w:rsid w:val="00144E95"/>
    <w:rsid w:val="00144F50"/>
    <w:rsid w:val="00145034"/>
    <w:rsid w:val="00145496"/>
    <w:rsid w:val="001454D1"/>
    <w:rsid w:val="0014563D"/>
    <w:rsid w:val="0014587D"/>
    <w:rsid w:val="0014590E"/>
    <w:rsid w:val="0014593A"/>
    <w:rsid w:val="00145970"/>
    <w:rsid w:val="00145971"/>
    <w:rsid w:val="0014599E"/>
    <w:rsid w:val="00145AFA"/>
    <w:rsid w:val="00145C5E"/>
    <w:rsid w:val="00145D9B"/>
    <w:rsid w:val="00145F8D"/>
    <w:rsid w:val="00146186"/>
    <w:rsid w:val="00146283"/>
    <w:rsid w:val="001464CB"/>
    <w:rsid w:val="0014654C"/>
    <w:rsid w:val="001466A9"/>
    <w:rsid w:val="00146717"/>
    <w:rsid w:val="001467A5"/>
    <w:rsid w:val="0014702E"/>
    <w:rsid w:val="00147119"/>
    <w:rsid w:val="0014715A"/>
    <w:rsid w:val="0014722D"/>
    <w:rsid w:val="00147291"/>
    <w:rsid w:val="001472F6"/>
    <w:rsid w:val="0014738B"/>
    <w:rsid w:val="0014743E"/>
    <w:rsid w:val="00147497"/>
    <w:rsid w:val="001475BE"/>
    <w:rsid w:val="00147603"/>
    <w:rsid w:val="001477D0"/>
    <w:rsid w:val="001479C2"/>
    <w:rsid w:val="00147A8B"/>
    <w:rsid w:val="00147B0D"/>
    <w:rsid w:val="00147C2C"/>
    <w:rsid w:val="00147D6D"/>
    <w:rsid w:val="00147E19"/>
    <w:rsid w:val="00147F06"/>
    <w:rsid w:val="00147F25"/>
    <w:rsid w:val="0014F346"/>
    <w:rsid w:val="00150261"/>
    <w:rsid w:val="0015029A"/>
    <w:rsid w:val="001502C1"/>
    <w:rsid w:val="001503F7"/>
    <w:rsid w:val="001504D9"/>
    <w:rsid w:val="0015062A"/>
    <w:rsid w:val="001506EC"/>
    <w:rsid w:val="001509B3"/>
    <w:rsid w:val="00150A4D"/>
    <w:rsid w:val="00150B1F"/>
    <w:rsid w:val="00150CB4"/>
    <w:rsid w:val="00150D42"/>
    <w:rsid w:val="00150FDA"/>
    <w:rsid w:val="00151031"/>
    <w:rsid w:val="00151050"/>
    <w:rsid w:val="001511F0"/>
    <w:rsid w:val="0015125D"/>
    <w:rsid w:val="0015125F"/>
    <w:rsid w:val="00151261"/>
    <w:rsid w:val="0015127A"/>
    <w:rsid w:val="00151293"/>
    <w:rsid w:val="001512D9"/>
    <w:rsid w:val="001513DD"/>
    <w:rsid w:val="00151649"/>
    <w:rsid w:val="001516A8"/>
    <w:rsid w:val="00151754"/>
    <w:rsid w:val="00151AB0"/>
    <w:rsid w:val="00151BA5"/>
    <w:rsid w:val="00151BA8"/>
    <w:rsid w:val="00151BE5"/>
    <w:rsid w:val="00151EE2"/>
    <w:rsid w:val="00152058"/>
    <w:rsid w:val="00152168"/>
    <w:rsid w:val="0015217B"/>
    <w:rsid w:val="001521CA"/>
    <w:rsid w:val="001522F9"/>
    <w:rsid w:val="00152323"/>
    <w:rsid w:val="00152386"/>
    <w:rsid w:val="00152399"/>
    <w:rsid w:val="00152502"/>
    <w:rsid w:val="001525DB"/>
    <w:rsid w:val="001526E8"/>
    <w:rsid w:val="001527DB"/>
    <w:rsid w:val="001528A7"/>
    <w:rsid w:val="001529C5"/>
    <w:rsid w:val="00152A34"/>
    <w:rsid w:val="00152B8E"/>
    <w:rsid w:val="00152BB4"/>
    <w:rsid w:val="00152CDA"/>
    <w:rsid w:val="00152FAF"/>
    <w:rsid w:val="00152FC6"/>
    <w:rsid w:val="00153131"/>
    <w:rsid w:val="001532FF"/>
    <w:rsid w:val="001533BB"/>
    <w:rsid w:val="00153500"/>
    <w:rsid w:val="00153590"/>
    <w:rsid w:val="001535DE"/>
    <w:rsid w:val="00153624"/>
    <w:rsid w:val="00153641"/>
    <w:rsid w:val="001536A6"/>
    <w:rsid w:val="001536AE"/>
    <w:rsid w:val="0015380D"/>
    <w:rsid w:val="00153940"/>
    <w:rsid w:val="00153A0F"/>
    <w:rsid w:val="00153A69"/>
    <w:rsid w:val="00153B47"/>
    <w:rsid w:val="00153C69"/>
    <w:rsid w:val="00153D4B"/>
    <w:rsid w:val="00154181"/>
    <w:rsid w:val="001543A3"/>
    <w:rsid w:val="00154404"/>
    <w:rsid w:val="00154478"/>
    <w:rsid w:val="0015447D"/>
    <w:rsid w:val="0015453B"/>
    <w:rsid w:val="00154756"/>
    <w:rsid w:val="0015475E"/>
    <w:rsid w:val="00154766"/>
    <w:rsid w:val="00154785"/>
    <w:rsid w:val="00154789"/>
    <w:rsid w:val="001547D8"/>
    <w:rsid w:val="00154957"/>
    <w:rsid w:val="001549BE"/>
    <w:rsid w:val="00154A92"/>
    <w:rsid w:val="00154AC5"/>
    <w:rsid w:val="00154B4B"/>
    <w:rsid w:val="00154D21"/>
    <w:rsid w:val="00154D72"/>
    <w:rsid w:val="00154DCF"/>
    <w:rsid w:val="00154FBC"/>
    <w:rsid w:val="00155080"/>
    <w:rsid w:val="001551A5"/>
    <w:rsid w:val="001551CB"/>
    <w:rsid w:val="00155263"/>
    <w:rsid w:val="001552BE"/>
    <w:rsid w:val="001552E9"/>
    <w:rsid w:val="00155404"/>
    <w:rsid w:val="0015544B"/>
    <w:rsid w:val="001554AD"/>
    <w:rsid w:val="00155565"/>
    <w:rsid w:val="0015557A"/>
    <w:rsid w:val="0015560F"/>
    <w:rsid w:val="00155686"/>
    <w:rsid w:val="001556DA"/>
    <w:rsid w:val="001557BF"/>
    <w:rsid w:val="001557DD"/>
    <w:rsid w:val="00155856"/>
    <w:rsid w:val="00155923"/>
    <w:rsid w:val="00155994"/>
    <w:rsid w:val="00155B1A"/>
    <w:rsid w:val="00155B96"/>
    <w:rsid w:val="00155BB2"/>
    <w:rsid w:val="00155D9B"/>
    <w:rsid w:val="00155E1A"/>
    <w:rsid w:val="00155E74"/>
    <w:rsid w:val="00155F18"/>
    <w:rsid w:val="00155F20"/>
    <w:rsid w:val="00155FEB"/>
    <w:rsid w:val="00156207"/>
    <w:rsid w:val="00156560"/>
    <w:rsid w:val="001565E0"/>
    <w:rsid w:val="001565F6"/>
    <w:rsid w:val="00156634"/>
    <w:rsid w:val="0015666D"/>
    <w:rsid w:val="0015668A"/>
    <w:rsid w:val="001566AB"/>
    <w:rsid w:val="0015674A"/>
    <w:rsid w:val="001569FF"/>
    <w:rsid w:val="00156A6E"/>
    <w:rsid w:val="00156A86"/>
    <w:rsid w:val="00156DA2"/>
    <w:rsid w:val="00156E03"/>
    <w:rsid w:val="00156F01"/>
    <w:rsid w:val="00157156"/>
    <w:rsid w:val="00157270"/>
    <w:rsid w:val="001572A2"/>
    <w:rsid w:val="0015754E"/>
    <w:rsid w:val="0015778A"/>
    <w:rsid w:val="00157878"/>
    <w:rsid w:val="00157BFF"/>
    <w:rsid w:val="00157D1A"/>
    <w:rsid w:val="00157F65"/>
    <w:rsid w:val="0015ADC8"/>
    <w:rsid w:val="0016002F"/>
    <w:rsid w:val="0016010C"/>
    <w:rsid w:val="001601D2"/>
    <w:rsid w:val="001601F7"/>
    <w:rsid w:val="00160233"/>
    <w:rsid w:val="001603D5"/>
    <w:rsid w:val="0016055D"/>
    <w:rsid w:val="0016063C"/>
    <w:rsid w:val="00160662"/>
    <w:rsid w:val="0016080F"/>
    <w:rsid w:val="00160A3C"/>
    <w:rsid w:val="00160A61"/>
    <w:rsid w:val="00160C86"/>
    <w:rsid w:val="00160D26"/>
    <w:rsid w:val="00160E2A"/>
    <w:rsid w:val="00160EC7"/>
    <w:rsid w:val="001611B1"/>
    <w:rsid w:val="001611CF"/>
    <w:rsid w:val="00161259"/>
    <w:rsid w:val="001612FF"/>
    <w:rsid w:val="00161495"/>
    <w:rsid w:val="0016149A"/>
    <w:rsid w:val="00161551"/>
    <w:rsid w:val="00161753"/>
    <w:rsid w:val="0016179E"/>
    <w:rsid w:val="00161845"/>
    <w:rsid w:val="001618AB"/>
    <w:rsid w:val="001619CA"/>
    <w:rsid w:val="00161B62"/>
    <w:rsid w:val="00161C74"/>
    <w:rsid w:val="00161C81"/>
    <w:rsid w:val="00161CCC"/>
    <w:rsid w:val="00161DF3"/>
    <w:rsid w:val="00161E94"/>
    <w:rsid w:val="00161EAB"/>
    <w:rsid w:val="00161F2B"/>
    <w:rsid w:val="00161FC9"/>
    <w:rsid w:val="00162056"/>
    <w:rsid w:val="00162093"/>
    <w:rsid w:val="001622CD"/>
    <w:rsid w:val="00162366"/>
    <w:rsid w:val="001623C8"/>
    <w:rsid w:val="001624C4"/>
    <w:rsid w:val="0016253A"/>
    <w:rsid w:val="0016285C"/>
    <w:rsid w:val="00162873"/>
    <w:rsid w:val="00162A79"/>
    <w:rsid w:val="00162AB2"/>
    <w:rsid w:val="00162B75"/>
    <w:rsid w:val="00162C71"/>
    <w:rsid w:val="00162E37"/>
    <w:rsid w:val="00163457"/>
    <w:rsid w:val="001635BD"/>
    <w:rsid w:val="0016360F"/>
    <w:rsid w:val="00163621"/>
    <w:rsid w:val="001636A8"/>
    <w:rsid w:val="001637BC"/>
    <w:rsid w:val="001637BE"/>
    <w:rsid w:val="00163839"/>
    <w:rsid w:val="001638AC"/>
    <w:rsid w:val="001638E8"/>
    <w:rsid w:val="0016395E"/>
    <w:rsid w:val="00163A7C"/>
    <w:rsid w:val="00163A84"/>
    <w:rsid w:val="00163B9B"/>
    <w:rsid w:val="00163C16"/>
    <w:rsid w:val="00163E99"/>
    <w:rsid w:val="00163FCE"/>
    <w:rsid w:val="00164094"/>
    <w:rsid w:val="00164175"/>
    <w:rsid w:val="001643EA"/>
    <w:rsid w:val="001644C9"/>
    <w:rsid w:val="001644DD"/>
    <w:rsid w:val="00164574"/>
    <w:rsid w:val="00164596"/>
    <w:rsid w:val="00164650"/>
    <w:rsid w:val="001646FD"/>
    <w:rsid w:val="001649C5"/>
    <w:rsid w:val="001649F9"/>
    <w:rsid w:val="00164A52"/>
    <w:rsid w:val="00164A78"/>
    <w:rsid w:val="00164AFA"/>
    <w:rsid w:val="00164E54"/>
    <w:rsid w:val="00164E57"/>
    <w:rsid w:val="00164E95"/>
    <w:rsid w:val="00164ED3"/>
    <w:rsid w:val="0016521C"/>
    <w:rsid w:val="0016532A"/>
    <w:rsid w:val="0016532C"/>
    <w:rsid w:val="00165420"/>
    <w:rsid w:val="001654E1"/>
    <w:rsid w:val="0016562D"/>
    <w:rsid w:val="0016563D"/>
    <w:rsid w:val="00165842"/>
    <w:rsid w:val="001659D2"/>
    <w:rsid w:val="001659ED"/>
    <w:rsid w:val="00165B9E"/>
    <w:rsid w:val="00165D0A"/>
    <w:rsid w:val="00165D4F"/>
    <w:rsid w:val="00165DA3"/>
    <w:rsid w:val="00165DE6"/>
    <w:rsid w:val="00165FB9"/>
    <w:rsid w:val="001660D7"/>
    <w:rsid w:val="0016621F"/>
    <w:rsid w:val="00166369"/>
    <w:rsid w:val="00166647"/>
    <w:rsid w:val="0016669E"/>
    <w:rsid w:val="00166B79"/>
    <w:rsid w:val="00166BC6"/>
    <w:rsid w:val="00166DED"/>
    <w:rsid w:val="00166E80"/>
    <w:rsid w:val="00166E9D"/>
    <w:rsid w:val="00166FC9"/>
    <w:rsid w:val="00166FF5"/>
    <w:rsid w:val="00166FFB"/>
    <w:rsid w:val="00167055"/>
    <w:rsid w:val="00167100"/>
    <w:rsid w:val="00167171"/>
    <w:rsid w:val="00167299"/>
    <w:rsid w:val="001673A6"/>
    <w:rsid w:val="00167449"/>
    <w:rsid w:val="001675EA"/>
    <w:rsid w:val="00167848"/>
    <w:rsid w:val="0016787E"/>
    <w:rsid w:val="0016790D"/>
    <w:rsid w:val="00167935"/>
    <w:rsid w:val="00167B9B"/>
    <w:rsid w:val="00167BEE"/>
    <w:rsid w:val="00167D9F"/>
    <w:rsid w:val="00170063"/>
    <w:rsid w:val="00170372"/>
    <w:rsid w:val="0017045B"/>
    <w:rsid w:val="001704B7"/>
    <w:rsid w:val="0017072A"/>
    <w:rsid w:val="0017073F"/>
    <w:rsid w:val="0017074B"/>
    <w:rsid w:val="00170868"/>
    <w:rsid w:val="0017094E"/>
    <w:rsid w:val="00170A95"/>
    <w:rsid w:val="00170B95"/>
    <w:rsid w:val="00170C85"/>
    <w:rsid w:val="00170E0E"/>
    <w:rsid w:val="00170F7E"/>
    <w:rsid w:val="00171073"/>
    <w:rsid w:val="0017121F"/>
    <w:rsid w:val="001712C9"/>
    <w:rsid w:val="001712DD"/>
    <w:rsid w:val="00171588"/>
    <w:rsid w:val="00171643"/>
    <w:rsid w:val="001716E7"/>
    <w:rsid w:val="00171730"/>
    <w:rsid w:val="00171752"/>
    <w:rsid w:val="0017185F"/>
    <w:rsid w:val="001718E4"/>
    <w:rsid w:val="001718FE"/>
    <w:rsid w:val="0017192C"/>
    <w:rsid w:val="00171B0F"/>
    <w:rsid w:val="00171BE3"/>
    <w:rsid w:val="00171C0A"/>
    <w:rsid w:val="00171C8D"/>
    <w:rsid w:val="00171CE8"/>
    <w:rsid w:val="00171D3E"/>
    <w:rsid w:val="00171DBA"/>
    <w:rsid w:val="00171DEA"/>
    <w:rsid w:val="00171E8F"/>
    <w:rsid w:val="00171F33"/>
    <w:rsid w:val="00171FC7"/>
    <w:rsid w:val="0017204F"/>
    <w:rsid w:val="00172055"/>
    <w:rsid w:val="00172499"/>
    <w:rsid w:val="00172515"/>
    <w:rsid w:val="001727F6"/>
    <w:rsid w:val="00172882"/>
    <w:rsid w:val="00172B9F"/>
    <w:rsid w:val="00172D0B"/>
    <w:rsid w:val="00172E87"/>
    <w:rsid w:val="00172E97"/>
    <w:rsid w:val="00172F6F"/>
    <w:rsid w:val="00173048"/>
    <w:rsid w:val="001730B8"/>
    <w:rsid w:val="00173250"/>
    <w:rsid w:val="00173283"/>
    <w:rsid w:val="001732D9"/>
    <w:rsid w:val="001732E6"/>
    <w:rsid w:val="001734BE"/>
    <w:rsid w:val="00173536"/>
    <w:rsid w:val="0017363C"/>
    <w:rsid w:val="00173739"/>
    <w:rsid w:val="001737FC"/>
    <w:rsid w:val="00173932"/>
    <w:rsid w:val="0017399B"/>
    <w:rsid w:val="001739AE"/>
    <w:rsid w:val="001739B4"/>
    <w:rsid w:val="00173D39"/>
    <w:rsid w:val="00173E82"/>
    <w:rsid w:val="00173F51"/>
    <w:rsid w:val="00173F69"/>
    <w:rsid w:val="00173FA5"/>
    <w:rsid w:val="001741C3"/>
    <w:rsid w:val="001742B8"/>
    <w:rsid w:val="00174459"/>
    <w:rsid w:val="0017449E"/>
    <w:rsid w:val="001744C3"/>
    <w:rsid w:val="001747AE"/>
    <w:rsid w:val="00174A46"/>
    <w:rsid w:val="00174BA6"/>
    <w:rsid w:val="00174DAA"/>
    <w:rsid w:val="00174E96"/>
    <w:rsid w:val="00174ED3"/>
    <w:rsid w:val="0017514C"/>
    <w:rsid w:val="001753F7"/>
    <w:rsid w:val="001754C5"/>
    <w:rsid w:val="001754D7"/>
    <w:rsid w:val="001754DB"/>
    <w:rsid w:val="001754F1"/>
    <w:rsid w:val="001754F3"/>
    <w:rsid w:val="001755BE"/>
    <w:rsid w:val="00175635"/>
    <w:rsid w:val="0017588D"/>
    <w:rsid w:val="00175B4F"/>
    <w:rsid w:val="00175BEE"/>
    <w:rsid w:val="00175CA3"/>
    <w:rsid w:val="00175DBF"/>
    <w:rsid w:val="00175F5E"/>
    <w:rsid w:val="00175FA5"/>
    <w:rsid w:val="00176015"/>
    <w:rsid w:val="001762CD"/>
    <w:rsid w:val="0017631B"/>
    <w:rsid w:val="00176322"/>
    <w:rsid w:val="00176450"/>
    <w:rsid w:val="00176598"/>
    <w:rsid w:val="00176645"/>
    <w:rsid w:val="00176806"/>
    <w:rsid w:val="00176895"/>
    <w:rsid w:val="00176926"/>
    <w:rsid w:val="00176A92"/>
    <w:rsid w:val="00176ADD"/>
    <w:rsid w:val="00176B56"/>
    <w:rsid w:val="00176BCA"/>
    <w:rsid w:val="00176CA8"/>
    <w:rsid w:val="00176F98"/>
    <w:rsid w:val="00176F99"/>
    <w:rsid w:val="001770FE"/>
    <w:rsid w:val="00177200"/>
    <w:rsid w:val="001772B1"/>
    <w:rsid w:val="001773C4"/>
    <w:rsid w:val="0017747F"/>
    <w:rsid w:val="001774AA"/>
    <w:rsid w:val="001774F6"/>
    <w:rsid w:val="001775B5"/>
    <w:rsid w:val="00177712"/>
    <w:rsid w:val="00177740"/>
    <w:rsid w:val="0017786A"/>
    <w:rsid w:val="001778CD"/>
    <w:rsid w:val="00177A6B"/>
    <w:rsid w:val="00177B41"/>
    <w:rsid w:val="00177C6E"/>
    <w:rsid w:val="00177D1A"/>
    <w:rsid w:val="00177D1E"/>
    <w:rsid w:val="00177D7E"/>
    <w:rsid w:val="00177E74"/>
    <w:rsid w:val="00177EB9"/>
    <w:rsid w:val="00177FA3"/>
    <w:rsid w:val="0017F7A7"/>
    <w:rsid w:val="00180075"/>
    <w:rsid w:val="0018022E"/>
    <w:rsid w:val="00180391"/>
    <w:rsid w:val="001804FF"/>
    <w:rsid w:val="00180599"/>
    <w:rsid w:val="0018073A"/>
    <w:rsid w:val="001807A8"/>
    <w:rsid w:val="001807AC"/>
    <w:rsid w:val="001807B2"/>
    <w:rsid w:val="0018080F"/>
    <w:rsid w:val="00180891"/>
    <w:rsid w:val="00180913"/>
    <w:rsid w:val="0018094D"/>
    <w:rsid w:val="00180A11"/>
    <w:rsid w:val="00180B13"/>
    <w:rsid w:val="00180BAA"/>
    <w:rsid w:val="00180C68"/>
    <w:rsid w:val="00180D17"/>
    <w:rsid w:val="00180D3C"/>
    <w:rsid w:val="00180D46"/>
    <w:rsid w:val="00180FBF"/>
    <w:rsid w:val="001810E4"/>
    <w:rsid w:val="001811CD"/>
    <w:rsid w:val="001816FC"/>
    <w:rsid w:val="00181738"/>
    <w:rsid w:val="001819B3"/>
    <w:rsid w:val="00181A80"/>
    <w:rsid w:val="00181B83"/>
    <w:rsid w:val="00181C23"/>
    <w:rsid w:val="00181DF4"/>
    <w:rsid w:val="00181EB3"/>
    <w:rsid w:val="00182014"/>
    <w:rsid w:val="0018209D"/>
    <w:rsid w:val="00182125"/>
    <w:rsid w:val="00182209"/>
    <w:rsid w:val="0018236C"/>
    <w:rsid w:val="0018238B"/>
    <w:rsid w:val="0018246B"/>
    <w:rsid w:val="00182644"/>
    <w:rsid w:val="0018267F"/>
    <w:rsid w:val="00182A10"/>
    <w:rsid w:val="00182A6B"/>
    <w:rsid w:val="00182AFA"/>
    <w:rsid w:val="00182BAA"/>
    <w:rsid w:val="00182BD4"/>
    <w:rsid w:val="00182D39"/>
    <w:rsid w:val="00182D58"/>
    <w:rsid w:val="00182E2B"/>
    <w:rsid w:val="00182E5B"/>
    <w:rsid w:val="00183141"/>
    <w:rsid w:val="00183200"/>
    <w:rsid w:val="00183218"/>
    <w:rsid w:val="001832DC"/>
    <w:rsid w:val="0018332F"/>
    <w:rsid w:val="001833FF"/>
    <w:rsid w:val="001834F8"/>
    <w:rsid w:val="0018364B"/>
    <w:rsid w:val="001837A7"/>
    <w:rsid w:val="00183829"/>
    <w:rsid w:val="00183A06"/>
    <w:rsid w:val="00183A75"/>
    <w:rsid w:val="00183CDA"/>
    <w:rsid w:val="00183EB8"/>
    <w:rsid w:val="00184023"/>
    <w:rsid w:val="00184059"/>
    <w:rsid w:val="001841D8"/>
    <w:rsid w:val="00184316"/>
    <w:rsid w:val="00184448"/>
    <w:rsid w:val="0018448D"/>
    <w:rsid w:val="001844A7"/>
    <w:rsid w:val="001845D4"/>
    <w:rsid w:val="001846EA"/>
    <w:rsid w:val="001847C9"/>
    <w:rsid w:val="001847F7"/>
    <w:rsid w:val="00184BC9"/>
    <w:rsid w:val="00184C1B"/>
    <w:rsid w:val="00184D1F"/>
    <w:rsid w:val="00184D6A"/>
    <w:rsid w:val="00184EC0"/>
    <w:rsid w:val="00184EE1"/>
    <w:rsid w:val="00185068"/>
    <w:rsid w:val="001852E7"/>
    <w:rsid w:val="00185489"/>
    <w:rsid w:val="001854C9"/>
    <w:rsid w:val="001855AA"/>
    <w:rsid w:val="001855EF"/>
    <w:rsid w:val="001856B7"/>
    <w:rsid w:val="0018585A"/>
    <w:rsid w:val="0018589F"/>
    <w:rsid w:val="001858EB"/>
    <w:rsid w:val="00185942"/>
    <w:rsid w:val="00185AC0"/>
    <w:rsid w:val="00185B5A"/>
    <w:rsid w:val="00185CA1"/>
    <w:rsid w:val="00185E06"/>
    <w:rsid w:val="00186486"/>
    <w:rsid w:val="001866D0"/>
    <w:rsid w:val="001868D1"/>
    <w:rsid w:val="0018695F"/>
    <w:rsid w:val="00186987"/>
    <w:rsid w:val="00186A94"/>
    <w:rsid w:val="00186AD3"/>
    <w:rsid w:val="00186EF8"/>
    <w:rsid w:val="00187186"/>
    <w:rsid w:val="00187230"/>
    <w:rsid w:val="001873A9"/>
    <w:rsid w:val="00187431"/>
    <w:rsid w:val="001874AF"/>
    <w:rsid w:val="001876A9"/>
    <w:rsid w:val="001876F9"/>
    <w:rsid w:val="0018799F"/>
    <w:rsid w:val="00187A1C"/>
    <w:rsid w:val="00187B88"/>
    <w:rsid w:val="00187BD6"/>
    <w:rsid w:val="00187BE8"/>
    <w:rsid w:val="00187D3A"/>
    <w:rsid w:val="00187D3F"/>
    <w:rsid w:val="00187E4F"/>
    <w:rsid w:val="00187E99"/>
    <w:rsid w:val="00187F4E"/>
    <w:rsid w:val="0019000A"/>
    <w:rsid w:val="00190154"/>
    <w:rsid w:val="00190181"/>
    <w:rsid w:val="00190240"/>
    <w:rsid w:val="0019035B"/>
    <w:rsid w:val="001903F4"/>
    <w:rsid w:val="00190471"/>
    <w:rsid w:val="001904AD"/>
    <w:rsid w:val="00190589"/>
    <w:rsid w:val="001906DF"/>
    <w:rsid w:val="0019072A"/>
    <w:rsid w:val="001907DE"/>
    <w:rsid w:val="0019096C"/>
    <w:rsid w:val="00190D1B"/>
    <w:rsid w:val="00190D2F"/>
    <w:rsid w:val="00190E4F"/>
    <w:rsid w:val="00190ED9"/>
    <w:rsid w:val="00191030"/>
    <w:rsid w:val="001910CD"/>
    <w:rsid w:val="001910EA"/>
    <w:rsid w:val="0019114F"/>
    <w:rsid w:val="00191193"/>
    <w:rsid w:val="00191264"/>
    <w:rsid w:val="001913BF"/>
    <w:rsid w:val="001914E0"/>
    <w:rsid w:val="001916BA"/>
    <w:rsid w:val="00191752"/>
    <w:rsid w:val="00191777"/>
    <w:rsid w:val="0019177C"/>
    <w:rsid w:val="00191883"/>
    <w:rsid w:val="00191B40"/>
    <w:rsid w:val="00191C15"/>
    <w:rsid w:val="00191C75"/>
    <w:rsid w:val="00191CF7"/>
    <w:rsid w:val="00191E28"/>
    <w:rsid w:val="00191E34"/>
    <w:rsid w:val="00191F63"/>
    <w:rsid w:val="001920C9"/>
    <w:rsid w:val="001921AB"/>
    <w:rsid w:val="001921BD"/>
    <w:rsid w:val="00192278"/>
    <w:rsid w:val="0019227F"/>
    <w:rsid w:val="001922EA"/>
    <w:rsid w:val="0019239E"/>
    <w:rsid w:val="001923B3"/>
    <w:rsid w:val="00192895"/>
    <w:rsid w:val="00192973"/>
    <w:rsid w:val="00192A67"/>
    <w:rsid w:val="00192AC6"/>
    <w:rsid w:val="00192D1F"/>
    <w:rsid w:val="00192D46"/>
    <w:rsid w:val="00192D4E"/>
    <w:rsid w:val="00192DA7"/>
    <w:rsid w:val="00192DE8"/>
    <w:rsid w:val="00192E43"/>
    <w:rsid w:val="00192E82"/>
    <w:rsid w:val="001930DC"/>
    <w:rsid w:val="0019317A"/>
    <w:rsid w:val="0019329F"/>
    <w:rsid w:val="00193402"/>
    <w:rsid w:val="0019341C"/>
    <w:rsid w:val="00193499"/>
    <w:rsid w:val="001934FE"/>
    <w:rsid w:val="00193605"/>
    <w:rsid w:val="00193629"/>
    <w:rsid w:val="001936EB"/>
    <w:rsid w:val="00193769"/>
    <w:rsid w:val="00193778"/>
    <w:rsid w:val="00193B73"/>
    <w:rsid w:val="00193C2E"/>
    <w:rsid w:val="00193CD9"/>
    <w:rsid w:val="00193D10"/>
    <w:rsid w:val="00193E0E"/>
    <w:rsid w:val="00193F2C"/>
    <w:rsid w:val="00193FF1"/>
    <w:rsid w:val="00194020"/>
    <w:rsid w:val="0019417A"/>
    <w:rsid w:val="00194257"/>
    <w:rsid w:val="001942C1"/>
    <w:rsid w:val="001942C9"/>
    <w:rsid w:val="001942E2"/>
    <w:rsid w:val="00194387"/>
    <w:rsid w:val="001943BA"/>
    <w:rsid w:val="001945CD"/>
    <w:rsid w:val="001946BE"/>
    <w:rsid w:val="001949BC"/>
    <w:rsid w:val="001949E4"/>
    <w:rsid w:val="00194A3F"/>
    <w:rsid w:val="00194B3A"/>
    <w:rsid w:val="00194B3D"/>
    <w:rsid w:val="00194D11"/>
    <w:rsid w:val="00194E59"/>
    <w:rsid w:val="0019502C"/>
    <w:rsid w:val="001951FE"/>
    <w:rsid w:val="00195482"/>
    <w:rsid w:val="0019566E"/>
    <w:rsid w:val="0019585C"/>
    <w:rsid w:val="00195998"/>
    <w:rsid w:val="001959B2"/>
    <w:rsid w:val="00195AD2"/>
    <w:rsid w:val="00195BAA"/>
    <w:rsid w:val="00195F41"/>
    <w:rsid w:val="001960BB"/>
    <w:rsid w:val="001961B5"/>
    <w:rsid w:val="00196288"/>
    <w:rsid w:val="0019631E"/>
    <w:rsid w:val="00196353"/>
    <w:rsid w:val="001964D9"/>
    <w:rsid w:val="00196537"/>
    <w:rsid w:val="001965C2"/>
    <w:rsid w:val="00196955"/>
    <w:rsid w:val="00196975"/>
    <w:rsid w:val="00196A0A"/>
    <w:rsid w:val="00196A13"/>
    <w:rsid w:val="00196C7A"/>
    <w:rsid w:val="0019707E"/>
    <w:rsid w:val="0019710C"/>
    <w:rsid w:val="001972FD"/>
    <w:rsid w:val="00197361"/>
    <w:rsid w:val="00197376"/>
    <w:rsid w:val="00197548"/>
    <w:rsid w:val="001975D4"/>
    <w:rsid w:val="00197705"/>
    <w:rsid w:val="00197A1E"/>
    <w:rsid w:val="00197A8C"/>
    <w:rsid w:val="00197F9A"/>
    <w:rsid w:val="001A0090"/>
    <w:rsid w:val="001A00C9"/>
    <w:rsid w:val="001A0465"/>
    <w:rsid w:val="001A0474"/>
    <w:rsid w:val="001A076C"/>
    <w:rsid w:val="001A08C2"/>
    <w:rsid w:val="001A0A56"/>
    <w:rsid w:val="001A0BD8"/>
    <w:rsid w:val="001A0DCF"/>
    <w:rsid w:val="001A0FA4"/>
    <w:rsid w:val="001A104D"/>
    <w:rsid w:val="001A1121"/>
    <w:rsid w:val="001A1363"/>
    <w:rsid w:val="001A1373"/>
    <w:rsid w:val="001A13D5"/>
    <w:rsid w:val="001A13E9"/>
    <w:rsid w:val="001A15B6"/>
    <w:rsid w:val="001A193A"/>
    <w:rsid w:val="001A19D8"/>
    <w:rsid w:val="001A1A58"/>
    <w:rsid w:val="001A1A6A"/>
    <w:rsid w:val="001A1B4D"/>
    <w:rsid w:val="001A1B4E"/>
    <w:rsid w:val="001A1CD9"/>
    <w:rsid w:val="001A1D4C"/>
    <w:rsid w:val="001A1D98"/>
    <w:rsid w:val="001A1FA7"/>
    <w:rsid w:val="001A1FD3"/>
    <w:rsid w:val="001A1FFD"/>
    <w:rsid w:val="001A2077"/>
    <w:rsid w:val="001A2082"/>
    <w:rsid w:val="001A2089"/>
    <w:rsid w:val="001A213A"/>
    <w:rsid w:val="001A218D"/>
    <w:rsid w:val="001A22AF"/>
    <w:rsid w:val="001A23F9"/>
    <w:rsid w:val="001A2532"/>
    <w:rsid w:val="001A2589"/>
    <w:rsid w:val="001A25B1"/>
    <w:rsid w:val="001A272A"/>
    <w:rsid w:val="001A2782"/>
    <w:rsid w:val="001A2931"/>
    <w:rsid w:val="001A2A14"/>
    <w:rsid w:val="001A2A2C"/>
    <w:rsid w:val="001A2ABA"/>
    <w:rsid w:val="001A2AFB"/>
    <w:rsid w:val="001A2C21"/>
    <w:rsid w:val="001A2C8F"/>
    <w:rsid w:val="001A2C98"/>
    <w:rsid w:val="001A2D43"/>
    <w:rsid w:val="001A2DD6"/>
    <w:rsid w:val="001A2EE8"/>
    <w:rsid w:val="001A2FC0"/>
    <w:rsid w:val="001A303A"/>
    <w:rsid w:val="001A30F8"/>
    <w:rsid w:val="001A317E"/>
    <w:rsid w:val="001A355E"/>
    <w:rsid w:val="001A36C3"/>
    <w:rsid w:val="001A36FB"/>
    <w:rsid w:val="001A377A"/>
    <w:rsid w:val="001A37DD"/>
    <w:rsid w:val="001A386A"/>
    <w:rsid w:val="001A3A24"/>
    <w:rsid w:val="001A3B5D"/>
    <w:rsid w:val="001A3C2E"/>
    <w:rsid w:val="001A3CB6"/>
    <w:rsid w:val="001A3CEB"/>
    <w:rsid w:val="001A3D7F"/>
    <w:rsid w:val="001A3E72"/>
    <w:rsid w:val="001A3E9D"/>
    <w:rsid w:val="001A3F85"/>
    <w:rsid w:val="001A4068"/>
    <w:rsid w:val="001A41D5"/>
    <w:rsid w:val="001A426C"/>
    <w:rsid w:val="001A458F"/>
    <w:rsid w:val="001A45FA"/>
    <w:rsid w:val="001A4713"/>
    <w:rsid w:val="001A47F2"/>
    <w:rsid w:val="001A4931"/>
    <w:rsid w:val="001A494C"/>
    <w:rsid w:val="001A4A08"/>
    <w:rsid w:val="001A4BD9"/>
    <w:rsid w:val="001A4C15"/>
    <w:rsid w:val="001A4E96"/>
    <w:rsid w:val="001A4EA8"/>
    <w:rsid w:val="001A4F8D"/>
    <w:rsid w:val="001A5025"/>
    <w:rsid w:val="001A5075"/>
    <w:rsid w:val="001A5110"/>
    <w:rsid w:val="001A51C1"/>
    <w:rsid w:val="001A5345"/>
    <w:rsid w:val="001A540F"/>
    <w:rsid w:val="001A5547"/>
    <w:rsid w:val="001A5559"/>
    <w:rsid w:val="001A56B7"/>
    <w:rsid w:val="001A576E"/>
    <w:rsid w:val="001A5AA3"/>
    <w:rsid w:val="001A5B55"/>
    <w:rsid w:val="001A5CC1"/>
    <w:rsid w:val="001A5CE3"/>
    <w:rsid w:val="001A5D18"/>
    <w:rsid w:val="001A5FDB"/>
    <w:rsid w:val="001A606E"/>
    <w:rsid w:val="001A60AC"/>
    <w:rsid w:val="001A6164"/>
    <w:rsid w:val="001A6238"/>
    <w:rsid w:val="001A6276"/>
    <w:rsid w:val="001A6546"/>
    <w:rsid w:val="001A65F3"/>
    <w:rsid w:val="001A65F5"/>
    <w:rsid w:val="001A6636"/>
    <w:rsid w:val="001A66FF"/>
    <w:rsid w:val="001A673E"/>
    <w:rsid w:val="001A67AB"/>
    <w:rsid w:val="001A68A4"/>
    <w:rsid w:val="001A68FD"/>
    <w:rsid w:val="001A696C"/>
    <w:rsid w:val="001A69DF"/>
    <w:rsid w:val="001A6AE7"/>
    <w:rsid w:val="001A6BA9"/>
    <w:rsid w:val="001A6C4E"/>
    <w:rsid w:val="001A6E33"/>
    <w:rsid w:val="001A6F00"/>
    <w:rsid w:val="001A7018"/>
    <w:rsid w:val="001A70B8"/>
    <w:rsid w:val="001A712F"/>
    <w:rsid w:val="001A717D"/>
    <w:rsid w:val="001A7350"/>
    <w:rsid w:val="001A7373"/>
    <w:rsid w:val="001A7452"/>
    <w:rsid w:val="001A7642"/>
    <w:rsid w:val="001A769A"/>
    <w:rsid w:val="001A76EC"/>
    <w:rsid w:val="001A7783"/>
    <w:rsid w:val="001A7888"/>
    <w:rsid w:val="001A7903"/>
    <w:rsid w:val="001A7B0A"/>
    <w:rsid w:val="001A7C40"/>
    <w:rsid w:val="001A7FAF"/>
    <w:rsid w:val="001A7FBA"/>
    <w:rsid w:val="001ABBA0"/>
    <w:rsid w:val="001B002E"/>
    <w:rsid w:val="001B00A7"/>
    <w:rsid w:val="001B0161"/>
    <w:rsid w:val="001B016F"/>
    <w:rsid w:val="001B0185"/>
    <w:rsid w:val="001B035E"/>
    <w:rsid w:val="001B046B"/>
    <w:rsid w:val="001B0474"/>
    <w:rsid w:val="001B0723"/>
    <w:rsid w:val="001B0760"/>
    <w:rsid w:val="001B077A"/>
    <w:rsid w:val="001B07A8"/>
    <w:rsid w:val="001B0831"/>
    <w:rsid w:val="001B091E"/>
    <w:rsid w:val="001B09DF"/>
    <w:rsid w:val="001B0A68"/>
    <w:rsid w:val="001B0DE2"/>
    <w:rsid w:val="001B0EDB"/>
    <w:rsid w:val="001B0FDE"/>
    <w:rsid w:val="001B1059"/>
    <w:rsid w:val="001B110A"/>
    <w:rsid w:val="001B1132"/>
    <w:rsid w:val="001B11B3"/>
    <w:rsid w:val="001B130E"/>
    <w:rsid w:val="001B1364"/>
    <w:rsid w:val="001B13CE"/>
    <w:rsid w:val="001B1477"/>
    <w:rsid w:val="001B15EA"/>
    <w:rsid w:val="001B18BD"/>
    <w:rsid w:val="001B1922"/>
    <w:rsid w:val="001B1958"/>
    <w:rsid w:val="001B19CB"/>
    <w:rsid w:val="001B1A04"/>
    <w:rsid w:val="001B1A50"/>
    <w:rsid w:val="001B1AA4"/>
    <w:rsid w:val="001B1AC9"/>
    <w:rsid w:val="001B1B38"/>
    <w:rsid w:val="001B1E6E"/>
    <w:rsid w:val="001B1EC0"/>
    <w:rsid w:val="001B2172"/>
    <w:rsid w:val="001B21EB"/>
    <w:rsid w:val="001B21ED"/>
    <w:rsid w:val="001B254C"/>
    <w:rsid w:val="001B255E"/>
    <w:rsid w:val="001B25F7"/>
    <w:rsid w:val="001B2610"/>
    <w:rsid w:val="001B26B7"/>
    <w:rsid w:val="001B2712"/>
    <w:rsid w:val="001B28F4"/>
    <w:rsid w:val="001B290F"/>
    <w:rsid w:val="001B2AA5"/>
    <w:rsid w:val="001B2AFE"/>
    <w:rsid w:val="001B2BB7"/>
    <w:rsid w:val="001B2EC7"/>
    <w:rsid w:val="001B311D"/>
    <w:rsid w:val="001B316A"/>
    <w:rsid w:val="001B3383"/>
    <w:rsid w:val="001B338B"/>
    <w:rsid w:val="001B33F7"/>
    <w:rsid w:val="001B34C1"/>
    <w:rsid w:val="001B35E8"/>
    <w:rsid w:val="001B368B"/>
    <w:rsid w:val="001B38D8"/>
    <w:rsid w:val="001B399E"/>
    <w:rsid w:val="001B39A3"/>
    <w:rsid w:val="001B39E1"/>
    <w:rsid w:val="001B3AF8"/>
    <w:rsid w:val="001B3B52"/>
    <w:rsid w:val="001B3C63"/>
    <w:rsid w:val="001B3D14"/>
    <w:rsid w:val="001B3D55"/>
    <w:rsid w:val="001B3DE9"/>
    <w:rsid w:val="001B3E1E"/>
    <w:rsid w:val="001B3F64"/>
    <w:rsid w:val="001B4090"/>
    <w:rsid w:val="001B416D"/>
    <w:rsid w:val="001B4488"/>
    <w:rsid w:val="001B4545"/>
    <w:rsid w:val="001B4674"/>
    <w:rsid w:val="001B475F"/>
    <w:rsid w:val="001B4898"/>
    <w:rsid w:val="001B494E"/>
    <w:rsid w:val="001B49E0"/>
    <w:rsid w:val="001B4BC5"/>
    <w:rsid w:val="001B4C76"/>
    <w:rsid w:val="001B4CAE"/>
    <w:rsid w:val="001B4D5A"/>
    <w:rsid w:val="001B4F34"/>
    <w:rsid w:val="001B5136"/>
    <w:rsid w:val="001B51D0"/>
    <w:rsid w:val="001B524C"/>
    <w:rsid w:val="001B52B0"/>
    <w:rsid w:val="001B549D"/>
    <w:rsid w:val="001B54A0"/>
    <w:rsid w:val="001B54C6"/>
    <w:rsid w:val="001B552C"/>
    <w:rsid w:val="001B59E2"/>
    <w:rsid w:val="001B5B43"/>
    <w:rsid w:val="001B5BA9"/>
    <w:rsid w:val="001B5C3C"/>
    <w:rsid w:val="001B5CF6"/>
    <w:rsid w:val="001B5D09"/>
    <w:rsid w:val="001B5E66"/>
    <w:rsid w:val="001B5ED2"/>
    <w:rsid w:val="001B5FDE"/>
    <w:rsid w:val="001B60DA"/>
    <w:rsid w:val="001B6199"/>
    <w:rsid w:val="001B6369"/>
    <w:rsid w:val="001B6459"/>
    <w:rsid w:val="001B67E3"/>
    <w:rsid w:val="001B6811"/>
    <w:rsid w:val="001B68BE"/>
    <w:rsid w:val="001B68C7"/>
    <w:rsid w:val="001B6ACE"/>
    <w:rsid w:val="001B6B46"/>
    <w:rsid w:val="001B6B7B"/>
    <w:rsid w:val="001B6CBB"/>
    <w:rsid w:val="001B6F86"/>
    <w:rsid w:val="001B6FCA"/>
    <w:rsid w:val="001B7286"/>
    <w:rsid w:val="001B7370"/>
    <w:rsid w:val="001B737E"/>
    <w:rsid w:val="001B73BF"/>
    <w:rsid w:val="001B741F"/>
    <w:rsid w:val="001B743B"/>
    <w:rsid w:val="001B7490"/>
    <w:rsid w:val="001B77A6"/>
    <w:rsid w:val="001B79E4"/>
    <w:rsid w:val="001B7A27"/>
    <w:rsid w:val="001B7B83"/>
    <w:rsid w:val="001B7C99"/>
    <w:rsid w:val="001B7D61"/>
    <w:rsid w:val="001B7DC6"/>
    <w:rsid w:val="001B7E58"/>
    <w:rsid w:val="001B7EFC"/>
    <w:rsid w:val="001B7F6A"/>
    <w:rsid w:val="001C02CD"/>
    <w:rsid w:val="001C039E"/>
    <w:rsid w:val="001C03F8"/>
    <w:rsid w:val="001C04BB"/>
    <w:rsid w:val="001C06B7"/>
    <w:rsid w:val="001C07A5"/>
    <w:rsid w:val="001C07CF"/>
    <w:rsid w:val="001C082A"/>
    <w:rsid w:val="001C0912"/>
    <w:rsid w:val="001C0930"/>
    <w:rsid w:val="001C0A10"/>
    <w:rsid w:val="001C0A8C"/>
    <w:rsid w:val="001C0D88"/>
    <w:rsid w:val="001C0DFD"/>
    <w:rsid w:val="001C0E5A"/>
    <w:rsid w:val="001C0EDB"/>
    <w:rsid w:val="001C0FF0"/>
    <w:rsid w:val="001C1303"/>
    <w:rsid w:val="001C1343"/>
    <w:rsid w:val="001C13C2"/>
    <w:rsid w:val="001C144D"/>
    <w:rsid w:val="001C14C6"/>
    <w:rsid w:val="001C151F"/>
    <w:rsid w:val="001C171E"/>
    <w:rsid w:val="001C1736"/>
    <w:rsid w:val="001C174B"/>
    <w:rsid w:val="001C17EC"/>
    <w:rsid w:val="001C1832"/>
    <w:rsid w:val="001C1C39"/>
    <w:rsid w:val="001C1D4B"/>
    <w:rsid w:val="001C1DAB"/>
    <w:rsid w:val="001C207A"/>
    <w:rsid w:val="001C2155"/>
    <w:rsid w:val="001C2569"/>
    <w:rsid w:val="001C25A0"/>
    <w:rsid w:val="001C25E5"/>
    <w:rsid w:val="001C26B9"/>
    <w:rsid w:val="001C273D"/>
    <w:rsid w:val="001C284B"/>
    <w:rsid w:val="001C2969"/>
    <w:rsid w:val="001C29AF"/>
    <w:rsid w:val="001C29C6"/>
    <w:rsid w:val="001C2D2B"/>
    <w:rsid w:val="001C2D35"/>
    <w:rsid w:val="001C2FB3"/>
    <w:rsid w:val="001C3137"/>
    <w:rsid w:val="001C31B3"/>
    <w:rsid w:val="001C31CB"/>
    <w:rsid w:val="001C31DC"/>
    <w:rsid w:val="001C32F8"/>
    <w:rsid w:val="001C3374"/>
    <w:rsid w:val="001C3432"/>
    <w:rsid w:val="001C368E"/>
    <w:rsid w:val="001C36F3"/>
    <w:rsid w:val="001C3749"/>
    <w:rsid w:val="001C3DD7"/>
    <w:rsid w:val="001C3E90"/>
    <w:rsid w:val="001C3EA8"/>
    <w:rsid w:val="001C4284"/>
    <w:rsid w:val="001C428D"/>
    <w:rsid w:val="001C4390"/>
    <w:rsid w:val="001C458E"/>
    <w:rsid w:val="001C4988"/>
    <w:rsid w:val="001C49CC"/>
    <w:rsid w:val="001C49F1"/>
    <w:rsid w:val="001C4C06"/>
    <w:rsid w:val="001C4C7D"/>
    <w:rsid w:val="001C4CEF"/>
    <w:rsid w:val="001C4DC7"/>
    <w:rsid w:val="001C4F0A"/>
    <w:rsid w:val="001C5126"/>
    <w:rsid w:val="001C51A2"/>
    <w:rsid w:val="001C51AF"/>
    <w:rsid w:val="001C53AA"/>
    <w:rsid w:val="001C559C"/>
    <w:rsid w:val="001C5616"/>
    <w:rsid w:val="001C56A6"/>
    <w:rsid w:val="001C57A1"/>
    <w:rsid w:val="001C5959"/>
    <w:rsid w:val="001C5C3C"/>
    <w:rsid w:val="001C5D22"/>
    <w:rsid w:val="001C5F6C"/>
    <w:rsid w:val="001C6023"/>
    <w:rsid w:val="001C6033"/>
    <w:rsid w:val="001C6065"/>
    <w:rsid w:val="001C61FE"/>
    <w:rsid w:val="001C6222"/>
    <w:rsid w:val="001C6299"/>
    <w:rsid w:val="001C642F"/>
    <w:rsid w:val="001C64BD"/>
    <w:rsid w:val="001C653A"/>
    <w:rsid w:val="001C68BB"/>
    <w:rsid w:val="001C6982"/>
    <w:rsid w:val="001C6D80"/>
    <w:rsid w:val="001C6D8D"/>
    <w:rsid w:val="001C6DE0"/>
    <w:rsid w:val="001C6EFA"/>
    <w:rsid w:val="001C707C"/>
    <w:rsid w:val="001C7235"/>
    <w:rsid w:val="001C723E"/>
    <w:rsid w:val="001C7266"/>
    <w:rsid w:val="001C72B3"/>
    <w:rsid w:val="001C756B"/>
    <w:rsid w:val="001C767E"/>
    <w:rsid w:val="001C781D"/>
    <w:rsid w:val="001C7912"/>
    <w:rsid w:val="001C7968"/>
    <w:rsid w:val="001C7BCE"/>
    <w:rsid w:val="001C7E65"/>
    <w:rsid w:val="001C7F1B"/>
    <w:rsid w:val="001D0486"/>
    <w:rsid w:val="001D049F"/>
    <w:rsid w:val="001D0557"/>
    <w:rsid w:val="001D05E2"/>
    <w:rsid w:val="001D06A1"/>
    <w:rsid w:val="001D06FB"/>
    <w:rsid w:val="001D08FD"/>
    <w:rsid w:val="001D0AAC"/>
    <w:rsid w:val="001D0AE5"/>
    <w:rsid w:val="001D0B75"/>
    <w:rsid w:val="001D0C71"/>
    <w:rsid w:val="001D0D54"/>
    <w:rsid w:val="001D0F00"/>
    <w:rsid w:val="001D107A"/>
    <w:rsid w:val="001D10F5"/>
    <w:rsid w:val="001D1430"/>
    <w:rsid w:val="001D14A1"/>
    <w:rsid w:val="001D170C"/>
    <w:rsid w:val="001D176B"/>
    <w:rsid w:val="001D1786"/>
    <w:rsid w:val="001D1A2B"/>
    <w:rsid w:val="001D1A31"/>
    <w:rsid w:val="001D1A35"/>
    <w:rsid w:val="001D1A3F"/>
    <w:rsid w:val="001D1BDF"/>
    <w:rsid w:val="001D1D55"/>
    <w:rsid w:val="001D1D76"/>
    <w:rsid w:val="001D1DD7"/>
    <w:rsid w:val="001D1E21"/>
    <w:rsid w:val="001D1E44"/>
    <w:rsid w:val="001D1E54"/>
    <w:rsid w:val="001D202A"/>
    <w:rsid w:val="001D20A1"/>
    <w:rsid w:val="001D21EB"/>
    <w:rsid w:val="001D2295"/>
    <w:rsid w:val="001D2395"/>
    <w:rsid w:val="001D2699"/>
    <w:rsid w:val="001D2788"/>
    <w:rsid w:val="001D27B2"/>
    <w:rsid w:val="001D2975"/>
    <w:rsid w:val="001D2B22"/>
    <w:rsid w:val="001D2B7F"/>
    <w:rsid w:val="001D2BAC"/>
    <w:rsid w:val="001D2D17"/>
    <w:rsid w:val="001D2DB2"/>
    <w:rsid w:val="001D2DB7"/>
    <w:rsid w:val="001D2EE1"/>
    <w:rsid w:val="001D2F5E"/>
    <w:rsid w:val="001D30B1"/>
    <w:rsid w:val="001D3630"/>
    <w:rsid w:val="001D370B"/>
    <w:rsid w:val="001D37B5"/>
    <w:rsid w:val="001D37B7"/>
    <w:rsid w:val="001D3935"/>
    <w:rsid w:val="001D39EA"/>
    <w:rsid w:val="001D3A05"/>
    <w:rsid w:val="001D3A54"/>
    <w:rsid w:val="001D3ACE"/>
    <w:rsid w:val="001D3CA9"/>
    <w:rsid w:val="001D3DB2"/>
    <w:rsid w:val="001D3E84"/>
    <w:rsid w:val="001D3E96"/>
    <w:rsid w:val="001D3F4A"/>
    <w:rsid w:val="001D3F70"/>
    <w:rsid w:val="001D3F95"/>
    <w:rsid w:val="001D3FB4"/>
    <w:rsid w:val="001D4082"/>
    <w:rsid w:val="001D4190"/>
    <w:rsid w:val="001D4326"/>
    <w:rsid w:val="001D454D"/>
    <w:rsid w:val="001D457F"/>
    <w:rsid w:val="001D47F7"/>
    <w:rsid w:val="001D4A0B"/>
    <w:rsid w:val="001D4B18"/>
    <w:rsid w:val="001D4B1B"/>
    <w:rsid w:val="001D4FEA"/>
    <w:rsid w:val="001D508D"/>
    <w:rsid w:val="001D523A"/>
    <w:rsid w:val="001D5270"/>
    <w:rsid w:val="001D5398"/>
    <w:rsid w:val="001D53AA"/>
    <w:rsid w:val="001D5561"/>
    <w:rsid w:val="001D59C0"/>
    <w:rsid w:val="001D5A9A"/>
    <w:rsid w:val="001D5B18"/>
    <w:rsid w:val="001D5B3E"/>
    <w:rsid w:val="001D5E76"/>
    <w:rsid w:val="001D5EDD"/>
    <w:rsid w:val="001D5F3D"/>
    <w:rsid w:val="001D608D"/>
    <w:rsid w:val="001D618F"/>
    <w:rsid w:val="001D64B1"/>
    <w:rsid w:val="001D652E"/>
    <w:rsid w:val="001D65BA"/>
    <w:rsid w:val="001D66A6"/>
    <w:rsid w:val="001D6710"/>
    <w:rsid w:val="001D67E7"/>
    <w:rsid w:val="001D68E0"/>
    <w:rsid w:val="001D6945"/>
    <w:rsid w:val="001D6AE8"/>
    <w:rsid w:val="001D6B46"/>
    <w:rsid w:val="001D6E2B"/>
    <w:rsid w:val="001D7074"/>
    <w:rsid w:val="001D708D"/>
    <w:rsid w:val="001D70E1"/>
    <w:rsid w:val="001D70E4"/>
    <w:rsid w:val="001D71AB"/>
    <w:rsid w:val="001D71D3"/>
    <w:rsid w:val="001D72DE"/>
    <w:rsid w:val="001D748D"/>
    <w:rsid w:val="001D7559"/>
    <w:rsid w:val="001D756A"/>
    <w:rsid w:val="001D7592"/>
    <w:rsid w:val="001D76AC"/>
    <w:rsid w:val="001D76EC"/>
    <w:rsid w:val="001D77DA"/>
    <w:rsid w:val="001D7811"/>
    <w:rsid w:val="001D7939"/>
    <w:rsid w:val="001D79F3"/>
    <w:rsid w:val="001D7B82"/>
    <w:rsid w:val="001D7C27"/>
    <w:rsid w:val="001D7E66"/>
    <w:rsid w:val="001D7FF6"/>
    <w:rsid w:val="001E0015"/>
    <w:rsid w:val="001E0242"/>
    <w:rsid w:val="001E02DF"/>
    <w:rsid w:val="001E03A3"/>
    <w:rsid w:val="001E04CF"/>
    <w:rsid w:val="001E0635"/>
    <w:rsid w:val="001E066D"/>
    <w:rsid w:val="001E06CE"/>
    <w:rsid w:val="001E078E"/>
    <w:rsid w:val="001E0801"/>
    <w:rsid w:val="001E08F4"/>
    <w:rsid w:val="001E0A5F"/>
    <w:rsid w:val="001E0BAD"/>
    <w:rsid w:val="001E0BCA"/>
    <w:rsid w:val="001E0CD8"/>
    <w:rsid w:val="001E0E77"/>
    <w:rsid w:val="001E0EC1"/>
    <w:rsid w:val="001E100A"/>
    <w:rsid w:val="001E1021"/>
    <w:rsid w:val="001E103C"/>
    <w:rsid w:val="001E107F"/>
    <w:rsid w:val="001E10BC"/>
    <w:rsid w:val="001E128E"/>
    <w:rsid w:val="001E12E4"/>
    <w:rsid w:val="001E137F"/>
    <w:rsid w:val="001E1446"/>
    <w:rsid w:val="001E1448"/>
    <w:rsid w:val="001E1493"/>
    <w:rsid w:val="001E14B1"/>
    <w:rsid w:val="001E161C"/>
    <w:rsid w:val="001E1712"/>
    <w:rsid w:val="001E17A5"/>
    <w:rsid w:val="001E194D"/>
    <w:rsid w:val="001E19F1"/>
    <w:rsid w:val="001E1A31"/>
    <w:rsid w:val="001E1B2B"/>
    <w:rsid w:val="001E1B5A"/>
    <w:rsid w:val="001E1C15"/>
    <w:rsid w:val="001E1C5D"/>
    <w:rsid w:val="001E1D9A"/>
    <w:rsid w:val="001E1E54"/>
    <w:rsid w:val="001E1FC3"/>
    <w:rsid w:val="001E2274"/>
    <w:rsid w:val="001E2399"/>
    <w:rsid w:val="001E2521"/>
    <w:rsid w:val="001E2551"/>
    <w:rsid w:val="001E25C4"/>
    <w:rsid w:val="001E2707"/>
    <w:rsid w:val="001E270C"/>
    <w:rsid w:val="001E283C"/>
    <w:rsid w:val="001E287A"/>
    <w:rsid w:val="001E2A0C"/>
    <w:rsid w:val="001E2B4A"/>
    <w:rsid w:val="001E2B66"/>
    <w:rsid w:val="001E2B6B"/>
    <w:rsid w:val="001E2D67"/>
    <w:rsid w:val="001E2EB8"/>
    <w:rsid w:val="001E2EB9"/>
    <w:rsid w:val="001E3019"/>
    <w:rsid w:val="001E302D"/>
    <w:rsid w:val="001E3178"/>
    <w:rsid w:val="001E32D6"/>
    <w:rsid w:val="001E3353"/>
    <w:rsid w:val="001E344E"/>
    <w:rsid w:val="001E34BE"/>
    <w:rsid w:val="001E3588"/>
    <w:rsid w:val="001E37EA"/>
    <w:rsid w:val="001E3815"/>
    <w:rsid w:val="001E3BB0"/>
    <w:rsid w:val="001E3CDF"/>
    <w:rsid w:val="001E3E34"/>
    <w:rsid w:val="001E3FD6"/>
    <w:rsid w:val="001E408D"/>
    <w:rsid w:val="001E41A5"/>
    <w:rsid w:val="001E41E3"/>
    <w:rsid w:val="001E423F"/>
    <w:rsid w:val="001E43DB"/>
    <w:rsid w:val="001E44E0"/>
    <w:rsid w:val="001E44FC"/>
    <w:rsid w:val="001E4507"/>
    <w:rsid w:val="001E4574"/>
    <w:rsid w:val="001E4694"/>
    <w:rsid w:val="001E46EF"/>
    <w:rsid w:val="001E4741"/>
    <w:rsid w:val="001E47FB"/>
    <w:rsid w:val="001E4902"/>
    <w:rsid w:val="001E4966"/>
    <w:rsid w:val="001E4C2A"/>
    <w:rsid w:val="001E4D5C"/>
    <w:rsid w:val="001E4DD0"/>
    <w:rsid w:val="001E4E11"/>
    <w:rsid w:val="001E4E50"/>
    <w:rsid w:val="001E4E6B"/>
    <w:rsid w:val="001E4F44"/>
    <w:rsid w:val="001E4F71"/>
    <w:rsid w:val="001E5023"/>
    <w:rsid w:val="001E518F"/>
    <w:rsid w:val="001E51FC"/>
    <w:rsid w:val="001E5211"/>
    <w:rsid w:val="001E538E"/>
    <w:rsid w:val="001E5900"/>
    <w:rsid w:val="001E5A19"/>
    <w:rsid w:val="001E5A7C"/>
    <w:rsid w:val="001E5AE7"/>
    <w:rsid w:val="001E5BCA"/>
    <w:rsid w:val="001E5C2A"/>
    <w:rsid w:val="001E5C58"/>
    <w:rsid w:val="001E5CD5"/>
    <w:rsid w:val="001E5E46"/>
    <w:rsid w:val="001E5E4F"/>
    <w:rsid w:val="001E5EBB"/>
    <w:rsid w:val="001E5F53"/>
    <w:rsid w:val="001E5FB9"/>
    <w:rsid w:val="001E601F"/>
    <w:rsid w:val="001E62F9"/>
    <w:rsid w:val="001E6496"/>
    <w:rsid w:val="001E659E"/>
    <w:rsid w:val="001E6703"/>
    <w:rsid w:val="001E674D"/>
    <w:rsid w:val="001E69FE"/>
    <w:rsid w:val="001E6AB5"/>
    <w:rsid w:val="001E6BDB"/>
    <w:rsid w:val="001E6C76"/>
    <w:rsid w:val="001E6C85"/>
    <w:rsid w:val="001E6D34"/>
    <w:rsid w:val="001E6E83"/>
    <w:rsid w:val="001E6EF2"/>
    <w:rsid w:val="001E6F1F"/>
    <w:rsid w:val="001E6F78"/>
    <w:rsid w:val="001E70BD"/>
    <w:rsid w:val="001E710E"/>
    <w:rsid w:val="001E71D9"/>
    <w:rsid w:val="001E729D"/>
    <w:rsid w:val="001E7356"/>
    <w:rsid w:val="001E7376"/>
    <w:rsid w:val="001E743A"/>
    <w:rsid w:val="001E7569"/>
    <w:rsid w:val="001E7626"/>
    <w:rsid w:val="001E7653"/>
    <w:rsid w:val="001E77B2"/>
    <w:rsid w:val="001E7937"/>
    <w:rsid w:val="001E7AAC"/>
    <w:rsid w:val="001E7CBE"/>
    <w:rsid w:val="001E7FF3"/>
    <w:rsid w:val="001ED4E2"/>
    <w:rsid w:val="001EDF0A"/>
    <w:rsid w:val="001F0120"/>
    <w:rsid w:val="001F01F7"/>
    <w:rsid w:val="001F0267"/>
    <w:rsid w:val="001F0387"/>
    <w:rsid w:val="001F03A2"/>
    <w:rsid w:val="001F0407"/>
    <w:rsid w:val="001F0635"/>
    <w:rsid w:val="001F0749"/>
    <w:rsid w:val="001F07E1"/>
    <w:rsid w:val="001F0894"/>
    <w:rsid w:val="001F097C"/>
    <w:rsid w:val="001F0A7F"/>
    <w:rsid w:val="001F0ABA"/>
    <w:rsid w:val="001F0D00"/>
    <w:rsid w:val="001F0D20"/>
    <w:rsid w:val="001F0EFF"/>
    <w:rsid w:val="001F0FA1"/>
    <w:rsid w:val="001F1168"/>
    <w:rsid w:val="001F128A"/>
    <w:rsid w:val="001F12CA"/>
    <w:rsid w:val="001F1350"/>
    <w:rsid w:val="001F151F"/>
    <w:rsid w:val="001F15FD"/>
    <w:rsid w:val="001F1666"/>
    <w:rsid w:val="001F185B"/>
    <w:rsid w:val="001F188E"/>
    <w:rsid w:val="001F1AE9"/>
    <w:rsid w:val="001F1AFC"/>
    <w:rsid w:val="001F1E8B"/>
    <w:rsid w:val="001F1ECE"/>
    <w:rsid w:val="001F1F68"/>
    <w:rsid w:val="001F1FCA"/>
    <w:rsid w:val="001F20A7"/>
    <w:rsid w:val="001F2225"/>
    <w:rsid w:val="001F23C0"/>
    <w:rsid w:val="001F2516"/>
    <w:rsid w:val="001F26F6"/>
    <w:rsid w:val="001F2A5C"/>
    <w:rsid w:val="001F2B11"/>
    <w:rsid w:val="001F2B53"/>
    <w:rsid w:val="001F2C71"/>
    <w:rsid w:val="001F2D74"/>
    <w:rsid w:val="001F2DDC"/>
    <w:rsid w:val="001F2E19"/>
    <w:rsid w:val="001F2E46"/>
    <w:rsid w:val="001F2E96"/>
    <w:rsid w:val="001F2F23"/>
    <w:rsid w:val="001F31D3"/>
    <w:rsid w:val="001F320E"/>
    <w:rsid w:val="001F3263"/>
    <w:rsid w:val="001F340D"/>
    <w:rsid w:val="001F359B"/>
    <w:rsid w:val="001F39C5"/>
    <w:rsid w:val="001F39DD"/>
    <w:rsid w:val="001F3BF7"/>
    <w:rsid w:val="001F3D52"/>
    <w:rsid w:val="001F3D53"/>
    <w:rsid w:val="001F3E8D"/>
    <w:rsid w:val="001F41C0"/>
    <w:rsid w:val="001F4298"/>
    <w:rsid w:val="001F42D7"/>
    <w:rsid w:val="001F4439"/>
    <w:rsid w:val="001F4457"/>
    <w:rsid w:val="001F449A"/>
    <w:rsid w:val="001F45D5"/>
    <w:rsid w:val="001F4636"/>
    <w:rsid w:val="001F4672"/>
    <w:rsid w:val="001F47E1"/>
    <w:rsid w:val="001F47EE"/>
    <w:rsid w:val="001F4A66"/>
    <w:rsid w:val="001F4A8C"/>
    <w:rsid w:val="001F4B5A"/>
    <w:rsid w:val="001F4BD6"/>
    <w:rsid w:val="001F4C32"/>
    <w:rsid w:val="001F4C3E"/>
    <w:rsid w:val="001F4C4B"/>
    <w:rsid w:val="001F4D97"/>
    <w:rsid w:val="001F4DE9"/>
    <w:rsid w:val="001F4FC3"/>
    <w:rsid w:val="001F50DC"/>
    <w:rsid w:val="001F512C"/>
    <w:rsid w:val="001F5160"/>
    <w:rsid w:val="001F51A4"/>
    <w:rsid w:val="001F51AE"/>
    <w:rsid w:val="001F52B9"/>
    <w:rsid w:val="001F5321"/>
    <w:rsid w:val="001F53B7"/>
    <w:rsid w:val="001F53C0"/>
    <w:rsid w:val="001F53C4"/>
    <w:rsid w:val="001F5447"/>
    <w:rsid w:val="001F5553"/>
    <w:rsid w:val="001F555E"/>
    <w:rsid w:val="001F558D"/>
    <w:rsid w:val="001F5742"/>
    <w:rsid w:val="001F5A46"/>
    <w:rsid w:val="001F5C47"/>
    <w:rsid w:val="001F5E95"/>
    <w:rsid w:val="001F5F3B"/>
    <w:rsid w:val="001F5F57"/>
    <w:rsid w:val="001F61D1"/>
    <w:rsid w:val="001F6203"/>
    <w:rsid w:val="001F62CE"/>
    <w:rsid w:val="001F6465"/>
    <w:rsid w:val="001F6482"/>
    <w:rsid w:val="001F64DE"/>
    <w:rsid w:val="001F652B"/>
    <w:rsid w:val="001F6600"/>
    <w:rsid w:val="001F6609"/>
    <w:rsid w:val="001F68EB"/>
    <w:rsid w:val="001F6AB8"/>
    <w:rsid w:val="001F6B81"/>
    <w:rsid w:val="001F6CAB"/>
    <w:rsid w:val="001F6CF0"/>
    <w:rsid w:val="001F6DCD"/>
    <w:rsid w:val="001F6E3C"/>
    <w:rsid w:val="001F6FF8"/>
    <w:rsid w:val="001F7073"/>
    <w:rsid w:val="001F72B0"/>
    <w:rsid w:val="001F74ED"/>
    <w:rsid w:val="001F7599"/>
    <w:rsid w:val="001F75AA"/>
    <w:rsid w:val="001F76EA"/>
    <w:rsid w:val="001F7A99"/>
    <w:rsid w:val="001F7AB2"/>
    <w:rsid w:val="001F7C53"/>
    <w:rsid w:val="001F7DAB"/>
    <w:rsid w:val="001F7E98"/>
    <w:rsid w:val="001F7E9C"/>
    <w:rsid w:val="001F7F6F"/>
    <w:rsid w:val="00200171"/>
    <w:rsid w:val="00200232"/>
    <w:rsid w:val="0020041E"/>
    <w:rsid w:val="0020045F"/>
    <w:rsid w:val="0020052F"/>
    <w:rsid w:val="002005ED"/>
    <w:rsid w:val="00200924"/>
    <w:rsid w:val="002009EC"/>
    <w:rsid w:val="002009FA"/>
    <w:rsid w:val="00200A1B"/>
    <w:rsid w:val="00200A22"/>
    <w:rsid w:val="00200B47"/>
    <w:rsid w:val="00200D0D"/>
    <w:rsid w:val="00200D6F"/>
    <w:rsid w:val="00200E41"/>
    <w:rsid w:val="002010B6"/>
    <w:rsid w:val="0020112C"/>
    <w:rsid w:val="00201141"/>
    <w:rsid w:val="0020140D"/>
    <w:rsid w:val="0020156B"/>
    <w:rsid w:val="00201693"/>
    <w:rsid w:val="0020175D"/>
    <w:rsid w:val="002017AF"/>
    <w:rsid w:val="002018B1"/>
    <w:rsid w:val="002018B8"/>
    <w:rsid w:val="00201BE3"/>
    <w:rsid w:val="00201C3F"/>
    <w:rsid w:val="00201D44"/>
    <w:rsid w:val="00201E98"/>
    <w:rsid w:val="00201E9F"/>
    <w:rsid w:val="00201FB7"/>
    <w:rsid w:val="00201FE1"/>
    <w:rsid w:val="0020206E"/>
    <w:rsid w:val="00202134"/>
    <w:rsid w:val="00202260"/>
    <w:rsid w:val="002023A7"/>
    <w:rsid w:val="00202423"/>
    <w:rsid w:val="00202474"/>
    <w:rsid w:val="002026D5"/>
    <w:rsid w:val="002026E6"/>
    <w:rsid w:val="00202770"/>
    <w:rsid w:val="002027B7"/>
    <w:rsid w:val="00202883"/>
    <w:rsid w:val="002029D9"/>
    <w:rsid w:val="00202BDB"/>
    <w:rsid w:val="00202E19"/>
    <w:rsid w:val="00202FAD"/>
    <w:rsid w:val="00203079"/>
    <w:rsid w:val="0020317A"/>
    <w:rsid w:val="00203249"/>
    <w:rsid w:val="00203253"/>
    <w:rsid w:val="0020329B"/>
    <w:rsid w:val="002032EB"/>
    <w:rsid w:val="002032FA"/>
    <w:rsid w:val="00203324"/>
    <w:rsid w:val="002034E9"/>
    <w:rsid w:val="002035A2"/>
    <w:rsid w:val="002035DF"/>
    <w:rsid w:val="002039EB"/>
    <w:rsid w:val="00203A42"/>
    <w:rsid w:val="00203BCA"/>
    <w:rsid w:val="00203BD1"/>
    <w:rsid w:val="00203BE4"/>
    <w:rsid w:val="00203C36"/>
    <w:rsid w:val="00203CA9"/>
    <w:rsid w:val="00203D71"/>
    <w:rsid w:val="00203DC2"/>
    <w:rsid w:val="00203FCE"/>
    <w:rsid w:val="00204030"/>
    <w:rsid w:val="002040C7"/>
    <w:rsid w:val="00204208"/>
    <w:rsid w:val="0020421C"/>
    <w:rsid w:val="0020421F"/>
    <w:rsid w:val="002042FB"/>
    <w:rsid w:val="00204401"/>
    <w:rsid w:val="0020441F"/>
    <w:rsid w:val="002045A1"/>
    <w:rsid w:val="002046B2"/>
    <w:rsid w:val="00204737"/>
    <w:rsid w:val="00204783"/>
    <w:rsid w:val="002048C9"/>
    <w:rsid w:val="002048DC"/>
    <w:rsid w:val="002048E2"/>
    <w:rsid w:val="0020495A"/>
    <w:rsid w:val="00204BC0"/>
    <w:rsid w:val="00204C71"/>
    <w:rsid w:val="00204D01"/>
    <w:rsid w:val="00204D33"/>
    <w:rsid w:val="00204E2A"/>
    <w:rsid w:val="00204E2C"/>
    <w:rsid w:val="00204E82"/>
    <w:rsid w:val="00204EBF"/>
    <w:rsid w:val="00204FE0"/>
    <w:rsid w:val="0020530D"/>
    <w:rsid w:val="00205314"/>
    <w:rsid w:val="002055B0"/>
    <w:rsid w:val="002058C0"/>
    <w:rsid w:val="00205903"/>
    <w:rsid w:val="00205C59"/>
    <w:rsid w:val="00205C60"/>
    <w:rsid w:val="00205CCC"/>
    <w:rsid w:val="00205E58"/>
    <w:rsid w:val="00205E83"/>
    <w:rsid w:val="00206094"/>
    <w:rsid w:val="0020617B"/>
    <w:rsid w:val="002062BD"/>
    <w:rsid w:val="002062EA"/>
    <w:rsid w:val="002063F4"/>
    <w:rsid w:val="002065EA"/>
    <w:rsid w:val="00206683"/>
    <w:rsid w:val="002067FD"/>
    <w:rsid w:val="00206945"/>
    <w:rsid w:val="00206A5E"/>
    <w:rsid w:val="00206A92"/>
    <w:rsid w:val="00206C14"/>
    <w:rsid w:val="00206E24"/>
    <w:rsid w:val="00207215"/>
    <w:rsid w:val="00207241"/>
    <w:rsid w:val="00207353"/>
    <w:rsid w:val="002075E3"/>
    <w:rsid w:val="002078CA"/>
    <w:rsid w:val="0020790D"/>
    <w:rsid w:val="00207920"/>
    <w:rsid w:val="00207ABE"/>
    <w:rsid w:val="00207AE5"/>
    <w:rsid w:val="00207B8A"/>
    <w:rsid w:val="00207CEC"/>
    <w:rsid w:val="00207D76"/>
    <w:rsid w:val="00207E41"/>
    <w:rsid w:val="00207E6E"/>
    <w:rsid w:val="00207EA1"/>
    <w:rsid w:val="00207EB2"/>
    <w:rsid w:val="00207F8A"/>
    <w:rsid w:val="0020E5D4"/>
    <w:rsid w:val="0020F559"/>
    <w:rsid w:val="00210152"/>
    <w:rsid w:val="002101B6"/>
    <w:rsid w:val="0021028B"/>
    <w:rsid w:val="0021037E"/>
    <w:rsid w:val="0021051F"/>
    <w:rsid w:val="0021052C"/>
    <w:rsid w:val="00210558"/>
    <w:rsid w:val="002105EB"/>
    <w:rsid w:val="00210668"/>
    <w:rsid w:val="002106AC"/>
    <w:rsid w:val="002107B2"/>
    <w:rsid w:val="0021085D"/>
    <w:rsid w:val="002108FB"/>
    <w:rsid w:val="002109BA"/>
    <w:rsid w:val="00210A18"/>
    <w:rsid w:val="00210A69"/>
    <w:rsid w:val="00210C53"/>
    <w:rsid w:val="00210D0A"/>
    <w:rsid w:val="00210D7C"/>
    <w:rsid w:val="00210D9D"/>
    <w:rsid w:val="00210DED"/>
    <w:rsid w:val="00210DFA"/>
    <w:rsid w:val="00210E36"/>
    <w:rsid w:val="00210E41"/>
    <w:rsid w:val="00210F18"/>
    <w:rsid w:val="00210F83"/>
    <w:rsid w:val="00211000"/>
    <w:rsid w:val="0021103F"/>
    <w:rsid w:val="002111E6"/>
    <w:rsid w:val="002111F5"/>
    <w:rsid w:val="00211424"/>
    <w:rsid w:val="002115B1"/>
    <w:rsid w:val="00211609"/>
    <w:rsid w:val="00211619"/>
    <w:rsid w:val="002116B7"/>
    <w:rsid w:val="00211716"/>
    <w:rsid w:val="00211785"/>
    <w:rsid w:val="0021194A"/>
    <w:rsid w:val="00211A49"/>
    <w:rsid w:val="00211AA8"/>
    <w:rsid w:val="00211B4F"/>
    <w:rsid w:val="002123F3"/>
    <w:rsid w:val="00212404"/>
    <w:rsid w:val="00212564"/>
    <w:rsid w:val="0021265B"/>
    <w:rsid w:val="0021266C"/>
    <w:rsid w:val="0021272F"/>
    <w:rsid w:val="00212790"/>
    <w:rsid w:val="00212852"/>
    <w:rsid w:val="00212898"/>
    <w:rsid w:val="002129FE"/>
    <w:rsid w:val="00212BFC"/>
    <w:rsid w:val="00212F8E"/>
    <w:rsid w:val="00213001"/>
    <w:rsid w:val="00213036"/>
    <w:rsid w:val="0021307A"/>
    <w:rsid w:val="002130B2"/>
    <w:rsid w:val="00213152"/>
    <w:rsid w:val="00213399"/>
    <w:rsid w:val="00213405"/>
    <w:rsid w:val="00213537"/>
    <w:rsid w:val="0021360D"/>
    <w:rsid w:val="002136CA"/>
    <w:rsid w:val="0021387E"/>
    <w:rsid w:val="0021394C"/>
    <w:rsid w:val="00213AB8"/>
    <w:rsid w:val="00213B0B"/>
    <w:rsid w:val="00213B28"/>
    <w:rsid w:val="00213B57"/>
    <w:rsid w:val="00213D51"/>
    <w:rsid w:val="00213EC6"/>
    <w:rsid w:val="00213F11"/>
    <w:rsid w:val="00213FE2"/>
    <w:rsid w:val="00214142"/>
    <w:rsid w:val="0021430E"/>
    <w:rsid w:val="00214326"/>
    <w:rsid w:val="002145DA"/>
    <w:rsid w:val="002146A2"/>
    <w:rsid w:val="002147E5"/>
    <w:rsid w:val="002147EF"/>
    <w:rsid w:val="00214850"/>
    <w:rsid w:val="00214869"/>
    <w:rsid w:val="00214987"/>
    <w:rsid w:val="002149FA"/>
    <w:rsid w:val="00214A94"/>
    <w:rsid w:val="00214BF5"/>
    <w:rsid w:val="00214C3B"/>
    <w:rsid w:val="00214C72"/>
    <w:rsid w:val="00214D01"/>
    <w:rsid w:val="00214DCB"/>
    <w:rsid w:val="00214FA9"/>
    <w:rsid w:val="0021507D"/>
    <w:rsid w:val="002150DC"/>
    <w:rsid w:val="0021514C"/>
    <w:rsid w:val="00215160"/>
    <w:rsid w:val="00215245"/>
    <w:rsid w:val="002152C6"/>
    <w:rsid w:val="0021558C"/>
    <w:rsid w:val="00215691"/>
    <w:rsid w:val="002157CD"/>
    <w:rsid w:val="002157D5"/>
    <w:rsid w:val="002158B1"/>
    <w:rsid w:val="00215947"/>
    <w:rsid w:val="00215A5B"/>
    <w:rsid w:val="00215ACF"/>
    <w:rsid w:val="00215B1A"/>
    <w:rsid w:val="00215C01"/>
    <w:rsid w:val="00215D16"/>
    <w:rsid w:val="00215F17"/>
    <w:rsid w:val="00215F92"/>
    <w:rsid w:val="00216062"/>
    <w:rsid w:val="002160FF"/>
    <w:rsid w:val="00216223"/>
    <w:rsid w:val="00216379"/>
    <w:rsid w:val="002163A2"/>
    <w:rsid w:val="00216451"/>
    <w:rsid w:val="002165C4"/>
    <w:rsid w:val="002167E4"/>
    <w:rsid w:val="00216A83"/>
    <w:rsid w:val="00216C58"/>
    <w:rsid w:val="00216DAC"/>
    <w:rsid w:val="00216F3F"/>
    <w:rsid w:val="002173A7"/>
    <w:rsid w:val="002173B9"/>
    <w:rsid w:val="002176F3"/>
    <w:rsid w:val="00217747"/>
    <w:rsid w:val="00217802"/>
    <w:rsid w:val="00217AF0"/>
    <w:rsid w:val="00217C0F"/>
    <w:rsid w:val="00217C11"/>
    <w:rsid w:val="00217C98"/>
    <w:rsid w:val="00217D34"/>
    <w:rsid w:val="00217E17"/>
    <w:rsid w:val="00218143"/>
    <w:rsid w:val="00220173"/>
    <w:rsid w:val="0022017C"/>
    <w:rsid w:val="00220200"/>
    <w:rsid w:val="00220257"/>
    <w:rsid w:val="0022039B"/>
    <w:rsid w:val="00220504"/>
    <w:rsid w:val="00220537"/>
    <w:rsid w:val="00220630"/>
    <w:rsid w:val="00220645"/>
    <w:rsid w:val="002209EC"/>
    <w:rsid w:val="00220A11"/>
    <w:rsid w:val="00220B52"/>
    <w:rsid w:val="00220B84"/>
    <w:rsid w:val="00220FB7"/>
    <w:rsid w:val="00220FC0"/>
    <w:rsid w:val="00220FD9"/>
    <w:rsid w:val="00221008"/>
    <w:rsid w:val="00221062"/>
    <w:rsid w:val="0022110D"/>
    <w:rsid w:val="0022149A"/>
    <w:rsid w:val="002214C8"/>
    <w:rsid w:val="0022152B"/>
    <w:rsid w:val="002216A8"/>
    <w:rsid w:val="00221735"/>
    <w:rsid w:val="002217FF"/>
    <w:rsid w:val="0022188F"/>
    <w:rsid w:val="00221980"/>
    <w:rsid w:val="00221BCF"/>
    <w:rsid w:val="00221CA3"/>
    <w:rsid w:val="00221D75"/>
    <w:rsid w:val="00221DCF"/>
    <w:rsid w:val="00221E2E"/>
    <w:rsid w:val="00221E4E"/>
    <w:rsid w:val="00221E9E"/>
    <w:rsid w:val="00221EA7"/>
    <w:rsid w:val="00221EC1"/>
    <w:rsid w:val="002220C2"/>
    <w:rsid w:val="002220F5"/>
    <w:rsid w:val="0022212E"/>
    <w:rsid w:val="00222194"/>
    <w:rsid w:val="002221F8"/>
    <w:rsid w:val="002222B4"/>
    <w:rsid w:val="00222406"/>
    <w:rsid w:val="0022244A"/>
    <w:rsid w:val="00222596"/>
    <w:rsid w:val="002225D1"/>
    <w:rsid w:val="002225DA"/>
    <w:rsid w:val="002229CF"/>
    <w:rsid w:val="00222A91"/>
    <w:rsid w:val="00222CD6"/>
    <w:rsid w:val="00222D3A"/>
    <w:rsid w:val="00222FB4"/>
    <w:rsid w:val="002231F5"/>
    <w:rsid w:val="002232CB"/>
    <w:rsid w:val="002233D1"/>
    <w:rsid w:val="002233EC"/>
    <w:rsid w:val="0022344A"/>
    <w:rsid w:val="002235D3"/>
    <w:rsid w:val="0022364B"/>
    <w:rsid w:val="002236A2"/>
    <w:rsid w:val="00223750"/>
    <w:rsid w:val="00223836"/>
    <w:rsid w:val="00223A36"/>
    <w:rsid w:val="00223A61"/>
    <w:rsid w:val="00223AAB"/>
    <w:rsid w:val="00223CD3"/>
    <w:rsid w:val="00223D47"/>
    <w:rsid w:val="00223DDE"/>
    <w:rsid w:val="00223EC1"/>
    <w:rsid w:val="00223F20"/>
    <w:rsid w:val="00224187"/>
    <w:rsid w:val="0022421C"/>
    <w:rsid w:val="002242BF"/>
    <w:rsid w:val="00224311"/>
    <w:rsid w:val="002243DE"/>
    <w:rsid w:val="0022441F"/>
    <w:rsid w:val="0022445B"/>
    <w:rsid w:val="00224537"/>
    <w:rsid w:val="002248A4"/>
    <w:rsid w:val="0022496A"/>
    <w:rsid w:val="002249F3"/>
    <w:rsid w:val="002249FD"/>
    <w:rsid w:val="00224A0A"/>
    <w:rsid w:val="00224B60"/>
    <w:rsid w:val="00224B85"/>
    <w:rsid w:val="00224BFA"/>
    <w:rsid w:val="00224CC5"/>
    <w:rsid w:val="00224EFD"/>
    <w:rsid w:val="00225042"/>
    <w:rsid w:val="0022516E"/>
    <w:rsid w:val="00225200"/>
    <w:rsid w:val="002252CF"/>
    <w:rsid w:val="00225375"/>
    <w:rsid w:val="00225449"/>
    <w:rsid w:val="00225724"/>
    <w:rsid w:val="002257A6"/>
    <w:rsid w:val="0022586F"/>
    <w:rsid w:val="0022591F"/>
    <w:rsid w:val="00225A4C"/>
    <w:rsid w:val="00225ACB"/>
    <w:rsid w:val="00225C35"/>
    <w:rsid w:val="00225D0B"/>
    <w:rsid w:val="002260C9"/>
    <w:rsid w:val="0022613A"/>
    <w:rsid w:val="002261AC"/>
    <w:rsid w:val="00226329"/>
    <w:rsid w:val="0022639E"/>
    <w:rsid w:val="0022680D"/>
    <w:rsid w:val="00226A37"/>
    <w:rsid w:val="00226A96"/>
    <w:rsid w:val="00226AE8"/>
    <w:rsid w:val="0022737A"/>
    <w:rsid w:val="0022766F"/>
    <w:rsid w:val="0022770C"/>
    <w:rsid w:val="002277EC"/>
    <w:rsid w:val="00227C69"/>
    <w:rsid w:val="00227CCA"/>
    <w:rsid w:val="00227D90"/>
    <w:rsid w:val="00227F89"/>
    <w:rsid w:val="0022C268"/>
    <w:rsid w:val="00230144"/>
    <w:rsid w:val="00230354"/>
    <w:rsid w:val="002304BA"/>
    <w:rsid w:val="002304DF"/>
    <w:rsid w:val="0023068F"/>
    <w:rsid w:val="002306A9"/>
    <w:rsid w:val="00230BEF"/>
    <w:rsid w:val="00230C61"/>
    <w:rsid w:val="00230D64"/>
    <w:rsid w:val="00230DA0"/>
    <w:rsid w:val="00230DDE"/>
    <w:rsid w:val="00231010"/>
    <w:rsid w:val="0023101D"/>
    <w:rsid w:val="00231272"/>
    <w:rsid w:val="0023134E"/>
    <w:rsid w:val="002313B8"/>
    <w:rsid w:val="00231419"/>
    <w:rsid w:val="002315B4"/>
    <w:rsid w:val="002316FA"/>
    <w:rsid w:val="00231787"/>
    <w:rsid w:val="00231B01"/>
    <w:rsid w:val="00231D55"/>
    <w:rsid w:val="00231E06"/>
    <w:rsid w:val="00231E27"/>
    <w:rsid w:val="00231E2B"/>
    <w:rsid w:val="00231EAE"/>
    <w:rsid w:val="00231EC5"/>
    <w:rsid w:val="00231F12"/>
    <w:rsid w:val="00231F3B"/>
    <w:rsid w:val="00231FA8"/>
    <w:rsid w:val="00232063"/>
    <w:rsid w:val="002320D8"/>
    <w:rsid w:val="002320FF"/>
    <w:rsid w:val="002322B0"/>
    <w:rsid w:val="002322B5"/>
    <w:rsid w:val="00232365"/>
    <w:rsid w:val="0023258D"/>
    <w:rsid w:val="002325A2"/>
    <w:rsid w:val="002325D2"/>
    <w:rsid w:val="00232693"/>
    <w:rsid w:val="002326E7"/>
    <w:rsid w:val="0023270A"/>
    <w:rsid w:val="00232751"/>
    <w:rsid w:val="00232771"/>
    <w:rsid w:val="00232AA1"/>
    <w:rsid w:val="00232AB7"/>
    <w:rsid w:val="00232C5F"/>
    <w:rsid w:val="00232D43"/>
    <w:rsid w:val="00232FAE"/>
    <w:rsid w:val="00232FB9"/>
    <w:rsid w:val="00233091"/>
    <w:rsid w:val="00233296"/>
    <w:rsid w:val="002332F0"/>
    <w:rsid w:val="00233406"/>
    <w:rsid w:val="0023373C"/>
    <w:rsid w:val="002337F6"/>
    <w:rsid w:val="002338AA"/>
    <w:rsid w:val="00233B21"/>
    <w:rsid w:val="00233B3A"/>
    <w:rsid w:val="00233BD2"/>
    <w:rsid w:val="00233C22"/>
    <w:rsid w:val="00233C47"/>
    <w:rsid w:val="00233CC7"/>
    <w:rsid w:val="0023405F"/>
    <w:rsid w:val="0023407F"/>
    <w:rsid w:val="0023411E"/>
    <w:rsid w:val="002341D1"/>
    <w:rsid w:val="00234489"/>
    <w:rsid w:val="0023478A"/>
    <w:rsid w:val="002347C5"/>
    <w:rsid w:val="002349E8"/>
    <w:rsid w:val="00234C7A"/>
    <w:rsid w:val="00234DB0"/>
    <w:rsid w:val="00234FAC"/>
    <w:rsid w:val="00234FB2"/>
    <w:rsid w:val="0023505E"/>
    <w:rsid w:val="00235258"/>
    <w:rsid w:val="00235269"/>
    <w:rsid w:val="002352D9"/>
    <w:rsid w:val="00235424"/>
    <w:rsid w:val="00235432"/>
    <w:rsid w:val="00235476"/>
    <w:rsid w:val="0023562C"/>
    <w:rsid w:val="002357D9"/>
    <w:rsid w:val="0023581B"/>
    <w:rsid w:val="00235824"/>
    <w:rsid w:val="00235915"/>
    <w:rsid w:val="00235966"/>
    <w:rsid w:val="00235968"/>
    <w:rsid w:val="00235A40"/>
    <w:rsid w:val="00235AA1"/>
    <w:rsid w:val="00235B39"/>
    <w:rsid w:val="00235B68"/>
    <w:rsid w:val="00235CE7"/>
    <w:rsid w:val="00235EAA"/>
    <w:rsid w:val="00235FB0"/>
    <w:rsid w:val="00235FBF"/>
    <w:rsid w:val="0023609B"/>
    <w:rsid w:val="002363A4"/>
    <w:rsid w:val="002363C7"/>
    <w:rsid w:val="002366C6"/>
    <w:rsid w:val="0023698B"/>
    <w:rsid w:val="002369AD"/>
    <w:rsid w:val="00236ACD"/>
    <w:rsid w:val="00236AF2"/>
    <w:rsid w:val="00236AFA"/>
    <w:rsid w:val="00236B44"/>
    <w:rsid w:val="00236BD7"/>
    <w:rsid w:val="00236F14"/>
    <w:rsid w:val="0023710C"/>
    <w:rsid w:val="002371E6"/>
    <w:rsid w:val="00237208"/>
    <w:rsid w:val="002373DC"/>
    <w:rsid w:val="0023741B"/>
    <w:rsid w:val="002374A4"/>
    <w:rsid w:val="002375A7"/>
    <w:rsid w:val="0023790D"/>
    <w:rsid w:val="0023794B"/>
    <w:rsid w:val="0023797E"/>
    <w:rsid w:val="002379B0"/>
    <w:rsid w:val="002379DF"/>
    <w:rsid w:val="00237A5C"/>
    <w:rsid w:val="00237B08"/>
    <w:rsid w:val="00237B50"/>
    <w:rsid w:val="00237C3E"/>
    <w:rsid w:val="00237C88"/>
    <w:rsid w:val="00237E91"/>
    <w:rsid w:val="00237EA5"/>
    <w:rsid w:val="00237F41"/>
    <w:rsid w:val="00237F58"/>
    <w:rsid w:val="002400D5"/>
    <w:rsid w:val="00240159"/>
    <w:rsid w:val="002401D5"/>
    <w:rsid w:val="002401D9"/>
    <w:rsid w:val="002401FD"/>
    <w:rsid w:val="00240216"/>
    <w:rsid w:val="0024039A"/>
    <w:rsid w:val="00240488"/>
    <w:rsid w:val="002405D1"/>
    <w:rsid w:val="0024065E"/>
    <w:rsid w:val="0024092E"/>
    <w:rsid w:val="00240BA8"/>
    <w:rsid w:val="00240C28"/>
    <w:rsid w:val="00240C6E"/>
    <w:rsid w:val="00240C8A"/>
    <w:rsid w:val="002413FE"/>
    <w:rsid w:val="0024167C"/>
    <w:rsid w:val="0024169C"/>
    <w:rsid w:val="00241760"/>
    <w:rsid w:val="00241866"/>
    <w:rsid w:val="00241CEE"/>
    <w:rsid w:val="00241E57"/>
    <w:rsid w:val="00242228"/>
    <w:rsid w:val="00242319"/>
    <w:rsid w:val="00242444"/>
    <w:rsid w:val="00242473"/>
    <w:rsid w:val="002424A6"/>
    <w:rsid w:val="002425CD"/>
    <w:rsid w:val="00242628"/>
    <w:rsid w:val="002426E1"/>
    <w:rsid w:val="00242739"/>
    <w:rsid w:val="0024282E"/>
    <w:rsid w:val="002428F9"/>
    <w:rsid w:val="00242C08"/>
    <w:rsid w:val="00242D63"/>
    <w:rsid w:val="00242DD0"/>
    <w:rsid w:val="00242E4F"/>
    <w:rsid w:val="00242E76"/>
    <w:rsid w:val="00242F54"/>
    <w:rsid w:val="00243081"/>
    <w:rsid w:val="002431C5"/>
    <w:rsid w:val="002431D6"/>
    <w:rsid w:val="00243234"/>
    <w:rsid w:val="00243406"/>
    <w:rsid w:val="0024340A"/>
    <w:rsid w:val="00243447"/>
    <w:rsid w:val="0024363B"/>
    <w:rsid w:val="00243735"/>
    <w:rsid w:val="00243774"/>
    <w:rsid w:val="0024378A"/>
    <w:rsid w:val="00243850"/>
    <w:rsid w:val="00243890"/>
    <w:rsid w:val="00243CAD"/>
    <w:rsid w:val="00243CD3"/>
    <w:rsid w:val="00243D0C"/>
    <w:rsid w:val="00243DA8"/>
    <w:rsid w:val="00243DE0"/>
    <w:rsid w:val="00243F44"/>
    <w:rsid w:val="00243F82"/>
    <w:rsid w:val="00243FD8"/>
    <w:rsid w:val="00244058"/>
    <w:rsid w:val="0024407D"/>
    <w:rsid w:val="002440A5"/>
    <w:rsid w:val="002441BF"/>
    <w:rsid w:val="0024427B"/>
    <w:rsid w:val="002442FA"/>
    <w:rsid w:val="002442FB"/>
    <w:rsid w:val="00244314"/>
    <w:rsid w:val="0024436A"/>
    <w:rsid w:val="00244514"/>
    <w:rsid w:val="00244970"/>
    <w:rsid w:val="00244AD6"/>
    <w:rsid w:val="00244B62"/>
    <w:rsid w:val="00244DE0"/>
    <w:rsid w:val="00244E02"/>
    <w:rsid w:val="00244E47"/>
    <w:rsid w:val="00244E4E"/>
    <w:rsid w:val="00244F1F"/>
    <w:rsid w:val="00244F6C"/>
    <w:rsid w:val="00245008"/>
    <w:rsid w:val="002450FA"/>
    <w:rsid w:val="0024566A"/>
    <w:rsid w:val="00245720"/>
    <w:rsid w:val="00245826"/>
    <w:rsid w:val="002458A3"/>
    <w:rsid w:val="00245907"/>
    <w:rsid w:val="002459C7"/>
    <w:rsid w:val="00245AAD"/>
    <w:rsid w:val="00245B61"/>
    <w:rsid w:val="00245BCC"/>
    <w:rsid w:val="00245C8C"/>
    <w:rsid w:val="00245FBE"/>
    <w:rsid w:val="0024608E"/>
    <w:rsid w:val="002460CF"/>
    <w:rsid w:val="002461D1"/>
    <w:rsid w:val="002464BD"/>
    <w:rsid w:val="002464DE"/>
    <w:rsid w:val="0024671E"/>
    <w:rsid w:val="002468DA"/>
    <w:rsid w:val="002469F7"/>
    <w:rsid w:val="00246A36"/>
    <w:rsid w:val="00246A45"/>
    <w:rsid w:val="00246EEC"/>
    <w:rsid w:val="00247042"/>
    <w:rsid w:val="002472AE"/>
    <w:rsid w:val="00247575"/>
    <w:rsid w:val="00247585"/>
    <w:rsid w:val="0024758A"/>
    <w:rsid w:val="002476F0"/>
    <w:rsid w:val="00247746"/>
    <w:rsid w:val="00247770"/>
    <w:rsid w:val="00247779"/>
    <w:rsid w:val="00247978"/>
    <w:rsid w:val="002479F5"/>
    <w:rsid w:val="00247BDE"/>
    <w:rsid w:val="00247BE0"/>
    <w:rsid w:val="00247D2B"/>
    <w:rsid w:val="00247D9F"/>
    <w:rsid w:val="00247E5D"/>
    <w:rsid w:val="0024A293"/>
    <w:rsid w:val="002501A8"/>
    <w:rsid w:val="002502EE"/>
    <w:rsid w:val="00250405"/>
    <w:rsid w:val="0025048A"/>
    <w:rsid w:val="002504D5"/>
    <w:rsid w:val="002505D3"/>
    <w:rsid w:val="0025091E"/>
    <w:rsid w:val="00250AB8"/>
    <w:rsid w:val="00250B36"/>
    <w:rsid w:val="00250BC2"/>
    <w:rsid w:val="00250D18"/>
    <w:rsid w:val="00250D5F"/>
    <w:rsid w:val="00250D65"/>
    <w:rsid w:val="00250D7E"/>
    <w:rsid w:val="00250DC5"/>
    <w:rsid w:val="00250F0E"/>
    <w:rsid w:val="00250F9C"/>
    <w:rsid w:val="00251002"/>
    <w:rsid w:val="00251006"/>
    <w:rsid w:val="00251067"/>
    <w:rsid w:val="00251187"/>
    <w:rsid w:val="002511AB"/>
    <w:rsid w:val="002512A9"/>
    <w:rsid w:val="0025136B"/>
    <w:rsid w:val="00251399"/>
    <w:rsid w:val="002513A0"/>
    <w:rsid w:val="00251441"/>
    <w:rsid w:val="002518B6"/>
    <w:rsid w:val="002519E4"/>
    <w:rsid w:val="00251A16"/>
    <w:rsid w:val="00251A5F"/>
    <w:rsid w:val="00251AB3"/>
    <w:rsid w:val="00251C08"/>
    <w:rsid w:val="00251DFC"/>
    <w:rsid w:val="00251EC7"/>
    <w:rsid w:val="00251EE9"/>
    <w:rsid w:val="00251F1A"/>
    <w:rsid w:val="00251F6C"/>
    <w:rsid w:val="00251FEB"/>
    <w:rsid w:val="00251FED"/>
    <w:rsid w:val="00252143"/>
    <w:rsid w:val="002521A7"/>
    <w:rsid w:val="002521B6"/>
    <w:rsid w:val="0025227C"/>
    <w:rsid w:val="002522E4"/>
    <w:rsid w:val="00252339"/>
    <w:rsid w:val="0025234A"/>
    <w:rsid w:val="002523E9"/>
    <w:rsid w:val="0025240E"/>
    <w:rsid w:val="002524E7"/>
    <w:rsid w:val="00252532"/>
    <w:rsid w:val="002525D5"/>
    <w:rsid w:val="002525FE"/>
    <w:rsid w:val="00252758"/>
    <w:rsid w:val="0025276C"/>
    <w:rsid w:val="0025280C"/>
    <w:rsid w:val="00252A9E"/>
    <w:rsid w:val="00252AD4"/>
    <w:rsid w:val="00252E65"/>
    <w:rsid w:val="00252E7C"/>
    <w:rsid w:val="00252FED"/>
    <w:rsid w:val="00252FF2"/>
    <w:rsid w:val="00253158"/>
    <w:rsid w:val="00253255"/>
    <w:rsid w:val="002535DA"/>
    <w:rsid w:val="002536DA"/>
    <w:rsid w:val="002537AC"/>
    <w:rsid w:val="002538B0"/>
    <w:rsid w:val="0025390B"/>
    <w:rsid w:val="00253AA7"/>
    <w:rsid w:val="00253B2B"/>
    <w:rsid w:val="00253C45"/>
    <w:rsid w:val="00253E2D"/>
    <w:rsid w:val="00254102"/>
    <w:rsid w:val="002541E0"/>
    <w:rsid w:val="00254273"/>
    <w:rsid w:val="002543FA"/>
    <w:rsid w:val="00254433"/>
    <w:rsid w:val="002546BA"/>
    <w:rsid w:val="002546BC"/>
    <w:rsid w:val="00254930"/>
    <w:rsid w:val="0025494C"/>
    <w:rsid w:val="00254995"/>
    <w:rsid w:val="002549A8"/>
    <w:rsid w:val="00254CE0"/>
    <w:rsid w:val="00254D8C"/>
    <w:rsid w:val="002550F3"/>
    <w:rsid w:val="002551EC"/>
    <w:rsid w:val="002552CE"/>
    <w:rsid w:val="002553D1"/>
    <w:rsid w:val="00255402"/>
    <w:rsid w:val="00255411"/>
    <w:rsid w:val="00255540"/>
    <w:rsid w:val="00255591"/>
    <w:rsid w:val="002555A4"/>
    <w:rsid w:val="00255605"/>
    <w:rsid w:val="0025569B"/>
    <w:rsid w:val="00255898"/>
    <w:rsid w:val="00255934"/>
    <w:rsid w:val="00255A45"/>
    <w:rsid w:val="00255AD8"/>
    <w:rsid w:val="00255B54"/>
    <w:rsid w:val="00255C94"/>
    <w:rsid w:val="00255D68"/>
    <w:rsid w:val="00255F4D"/>
    <w:rsid w:val="00255FA1"/>
    <w:rsid w:val="00255FDD"/>
    <w:rsid w:val="00256049"/>
    <w:rsid w:val="00256185"/>
    <w:rsid w:val="00256196"/>
    <w:rsid w:val="002561DE"/>
    <w:rsid w:val="002561F2"/>
    <w:rsid w:val="00256304"/>
    <w:rsid w:val="0025640B"/>
    <w:rsid w:val="00256723"/>
    <w:rsid w:val="002567B0"/>
    <w:rsid w:val="002567F8"/>
    <w:rsid w:val="00256899"/>
    <w:rsid w:val="0025693C"/>
    <w:rsid w:val="00256949"/>
    <w:rsid w:val="00256A05"/>
    <w:rsid w:val="00256CF1"/>
    <w:rsid w:val="00256D70"/>
    <w:rsid w:val="00256DF4"/>
    <w:rsid w:val="0025704A"/>
    <w:rsid w:val="00257117"/>
    <w:rsid w:val="0025716F"/>
    <w:rsid w:val="002575EC"/>
    <w:rsid w:val="00257747"/>
    <w:rsid w:val="0025774F"/>
    <w:rsid w:val="002577DF"/>
    <w:rsid w:val="0025788A"/>
    <w:rsid w:val="00257943"/>
    <w:rsid w:val="00257956"/>
    <w:rsid w:val="00257CCE"/>
    <w:rsid w:val="00257F41"/>
    <w:rsid w:val="00257F45"/>
    <w:rsid w:val="00257F7B"/>
    <w:rsid w:val="0025E079"/>
    <w:rsid w:val="002600C5"/>
    <w:rsid w:val="002601C9"/>
    <w:rsid w:val="0026047E"/>
    <w:rsid w:val="002604D9"/>
    <w:rsid w:val="00260645"/>
    <w:rsid w:val="002606D4"/>
    <w:rsid w:val="0026098A"/>
    <w:rsid w:val="00260B1E"/>
    <w:rsid w:val="00260B4B"/>
    <w:rsid w:val="00260B78"/>
    <w:rsid w:val="00260D47"/>
    <w:rsid w:val="00260F84"/>
    <w:rsid w:val="002612A1"/>
    <w:rsid w:val="002612F1"/>
    <w:rsid w:val="00261307"/>
    <w:rsid w:val="002613BB"/>
    <w:rsid w:val="002613C8"/>
    <w:rsid w:val="0026155E"/>
    <w:rsid w:val="002616B2"/>
    <w:rsid w:val="002616B8"/>
    <w:rsid w:val="002618FC"/>
    <w:rsid w:val="00261963"/>
    <w:rsid w:val="002619FA"/>
    <w:rsid w:val="00261A84"/>
    <w:rsid w:val="00261AE6"/>
    <w:rsid w:val="00261B1A"/>
    <w:rsid w:val="00261EF7"/>
    <w:rsid w:val="00261F22"/>
    <w:rsid w:val="00261FCD"/>
    <w:rsid w:val="002622EE"/>
    <w:rsid w:val="0026244E"/>
    <w:rsid w:val="00262519"/>
    <w:rsid w:val="00262880"/>
    <w:rsid w:val="00262910"/>
    <w:rsid w:val="00262918"/>
    <w:rsid w:val="0026294F"/>
    <w:rsid w:val="00262990"/>
    <w:rsid w:val="00262C36"/>
    <w:rsid w:val="00262CD5"/>
    <w:rsid w:val="00262D3C"/>
    <w:rsid w:val="00262DF6"/>
    <w:rsid w:val="00263244"/>
    <w:rsid w:val="002632DD"/>
    <w:rsid w:val="00263694"/>
    <w:rsid w:val="002636BF"/>
    <w:rsid w:val="002636D1"/>
    <w:rsid w:val="0026381F"/>
    <w:rsid w:val="002638B9"/>
    <w:rsid w:val="0026390F"/>
    <w:rsid w:val="00263AC5"/>
    <w:rsid w:val="00263B50"/>
    <w:rsid w:val="00263C2F"/>
    <w:rsid w:val="00263D07"/>
    <w:rsid w:val="00263D14"/>
    <w:rsid w:val="00263F3A"/>
    <w:rsid w:val="00264040"/>
    <w:rsid w:val="00264090"/>
    <w:rsid w:val="00264117"/>
    <w:rsid w:val="0026428C"/>
    <w:rsid w:val="0026431B"/>
    <w:rsid w:val="0026434F"/>
    <w:rsid w:val="00264374"/>
    <w:rsid w:val="00264424"/>
    <w:rsid w:val="00264442"/>
    <w:rsid w:val="002644CA"/>
    <w:rsid w:val="0026452C"/>
    <w:rsid w:val="00264565"/>
    <w:rsid w:val="00264650"/>
    <w:rsid w:val="00264660"/>
    <w:rsid w:val="00264678"/>
    <w:rsid w:val="0026469D"/>
    <w:rsid w:val="00264788"/>
    <w:rsid w:val="00264822"/>
    <w:rsid w:val="0026482E"/>
    <w:rsid w:val="0026491D"/>
    <w:rsid w:val="00264A6A"/>
    <w:rsid w:val="00264B82"/>
    <w:rsid w:val="00264C12"/>
    <w:rsid w:val="00264D37"/>
    <w:rsid w:val="00264D88"/>
    <w:rsid w:val="00264EE1"/>
    <w:rsid w:val="00264F8C"/>
    <w:rsid w:val="00264FA6"/>
    <w:rsid w:val="00264FF7"/>
    <w:rsid w:val="0026501F"/>
    <w:rsid w:val="00265387"/>
    <w:rsid w:val="0026538B"/>
    <w:rsid w:val="002654DC"/>
    <w:rsid w:val="002654F5"/>
    <w:rsid w:val="002654FC"/>
    <w:rsid w:val="00265668"/>
    <w:rsid w:val="002656F6"/>
    <w:rsid w:val="00265821"/>
    <w:rsid w:val="002659E3"/>
    <w:rsid w:val="00265D23"/>
    <w:rsid w:val="00265D78"/>
    <w:rsid w:val="002660E9"/>
    <w:rsid w:val="002662B4"/>
    <w:rsid w:val="0026655A"/>
    <w:rsid w:val="00266791"/>
    <w:rsid w:val="00266828"/>
    <w:rsid w:val="0026684D"/>
    <w:rsid w:val="002669CF"/>
    <w:rsid w:val="002669FF"/>
    <w:rsid w:val="00266EB5"/>
    <w:rsid w:val="00266F5F"/>
    <w:rsid w:val="00267011"/>
    <w:rsid w:val="00267061"/>
    <w:rsid w:val="0026710B"/>
    <w:rsid w:val="002672BA"/>
    <w:rsid w:val="0026734B"/>
    <w:rsid w:val="002673C8"/>
    <w:rsid w:val="00267425"/>
    <w:rsid w:val="00267649"/>
    <w:rsid w:val="00267FA7"/>
    <w:rsid w:val="00269719"/>
    <w:rsid w:val="0026D097"/>
    <w:rsid w:val="002701A9"/>
    <w:rsid w:val="0027023C"/>
    <w:rsid w:val="002705A3"/>
    <w:rsid w:val="002705EA"/>
    <w:rsid w:val="00270657"/>
    <w:rsid w:val="002706AA"/>
    <w:rsid w:val="00270727"/>
    <w:rsid w:val="0027079B"/>
    <w:rsid w:val="002709B9"/>
    <w:rsid w:val="00270A3C"/>
    <w:rsid w:val="00270A69"/>
    <w:rsid w:val="00270B31"/>
    <w:rsid w:val="00270C35"/>
    <w:rsid w:val="00270C75"/>
    <w:rsid w:val="00270C83"/>
    <w:rsid w:val="00270D66"/>
    <w:rsid w:val="00270F0F"/>
    <w:rsid w:val="00270FF2"/>
    <w:rsid w:val="0027108E"/>
    <w:rsid w:val="00271166"/>
    <w:rsid w:val="0027125A"/>
    <w:rsid w:val="00271308"/>
    <w:rsid w:val="0027147D"/>
    <w:rsid w:val="002714E9"/>
    <w:rsid w:val="00271502"/>
    <w:rsid w:val="00271567"/>
    <w:rsid w:val="0027156D"/>
    <w:rsid w:val="00271854"/>
    <w:rsid w:val="00271A04"/>
    <w:rsid w:val="00271B73"/>
    <w:rsid w:val="00271BC6"/>
    <w:rsid w:val="00271BEC"/>
    <w:rsid w:val="00271C01"/>
    <w:rsid w:val="00271DD9"/>
    <w:rsid w:val="00271DED"/>
    <w:rsid w:val="00271DF6"/>
    <w:rsid w:val="00271F96"/>
    <w:rsid w:val="00271FA4"/>
    <w:rsid w:val="00271FD6"/>
    <w:rsid w:val="00271FDD"/>
    <w:rsid w:val="00272088"/>
    <w:rsid w:val="002720D6"/>
    <w:rsid w:val="002722C0"/>
    <w:rsid w:val="002723D1"/>
    <w:rsid w:val="00272630"/>
    <w:rsid w:val="00272939"/>
    <w:rsid w:val="00272C97"/>
    <w:rsid w:val="00272E42"/>
    <w:rsid w:val="00272E6E"/>
    <w:rsid w:val="00272E8C"/>
    <w:rsid w:val="00272F6F"/>
    <w:rsid w:val="0027305C"/>
    <w:rsid w:val="002730F7"/>
    <w:rsid w:val="00273124"/>
    <w:rsid w:val="00273181"/>
    <w:rsid w:val="002731A2"/>
    <w:rsid w:val="002732B5"/>
    <w:rsid w:val="00273339"/>
    <w:rsid w:val="002733AE"/>
    <w:rsid w:val="002735A6"/>
    <w:rsid w:val="002737BB"/>
    <w:rsid w:val="0027381B"/>
    <w:rsid w:val="002739F1"/>
    <w:rsid w:val="00273AC3"/>
    <w:rsid w:val="00273B5F"/>
    <w:rsid w:val="00273C9C"/>
    <w:rsid w:val="00273D28"/>
    <w:rsid w:val="00273FD7"/>
    <w:rsid w:val="00273FDA"/>
    <w:rsid w:val="00273FDD"/>
    <w:rsid w:val="00274047"/>
    <w:rsid w:val="002740EC"/>
    <w:rsid w:val="0027419F"/>
    <w:rsid w:val="002741B4"/>
    <w:rsid w:val="0027421F"/>
    <w:rsid w:val="002742E7"/>
    <w:rsid w:val="00274319"/>
    <w:rsid w:val="0027449B"/>
    <w:rsid w:val="00274556"/>
    <w:rsid w:val="0027473C"/>
    <w:rsid w:val="002747B0"/>
    <w:rsid w:val="00274821"/>
    <w:rsid w:val="00274918"/>
    <w:rsid w:val="002749D1"/>
    <w:rsid w:val="00274B6C"/>
    <w:rsid w:val="00274BB8"/>
    <w:rsid w:val="00274E76"/>
    <w:rsid w:val="00274F21"/>
    <w:rsid w:val="00274FBC"/>
    <w:rsid w:val="00275002"/>
    <w:rsid w:val="00275052"/>
    <w:rsid w:val="0027505C"/>
    <w:rsid w:val="00275068"/>
    <w:rsid w:val="002750AB"/>
    <w:rsid w:val="002750C7"/>
    <w:rsid w:val="002751B5"/>
    <w:rsid w:val="002752FA"/>
    <w:rsid w:val="00275379"/>
    <w:rsid w:val="0027552B"/>
    <w:rsid w:val="0027570B"/>
    <w:rsid w:val="00275918"/>
    <w:rsid w:val="00275929"/>
    <w:rsid w:val="00275A12"/>
    <w:rsid w:val="00275A63"/>
    <w:rsid w:val="00275C22"/>
    <w:rsid w:val="00275C29"/>
    <w:rsid w:val="00275C5E"/>
    <w:rsid w:val="00275CF9"/>
    <w:rsid w:val="00275D39"/>
    <w:rsid w:val="00275D5D"/>
    <w:rsid w:val="00275E7B"/>
    <w:rsid w:val="00275FBC"/>
    <w:rsid w:val="002760A0"/>
    <w:rsid w:val="00276195"/>
    <w:rsid w:val="002761A7"/>
    <w:rsid w:val="0027628D"/>
    <w:rsid w:val="00276377"/>
    <w:rsid w:val="0027649A"/>
    <w:rsid w:val="00276549"/>
    <w:rsid w:val="00276592"/>
    <w:rsid w:val="002765DE"/>
    <w:rsid w:val="002766CD"/>
    <w:rsid w:val="0027677E"/>
    <w:rsid w:val="00276869"/>
    <w:rsid w:val="00276872"/>
    <w:rsid w:val="00276A45"/>
    <w:rsid w:val="00276A52"/>
    <w:rsid w:val="00276B28"/>
    <w:rsid w:val="00276BD8"/>
    <w:rsid w:val="00276CBB"/>
    <w:rsid w:val="00277041"/>
    <w:rsid w:val="00277129"/>
    <w:rsid w:val="002772B4"/>
    <w:rsid w:val="002772C2"/>
    <w:rsid w:val="00277358"/>
    <w:rsid w:val="002773E7"/>
    <w:rsid w:val="00277440"/>
    <w:rsid w:val="002774D5"/>
    <w:rsid w:val="00277587"/>
    <w:rsid w:val="00277661"/>
    <w:rsid w:val="0027782E"/>
    <w:rsid w:val="00277A96"/>
    <w:rsid w:val="00277BF8"/>
    <w:rsid w:val="00277E2D"/>
    <w:rsid w:val="00277F45"/>
    <w:rsid w:val="0027DF2C"/>
    <w:rsid w:val="00280188"/>
    <w:rsid w:val="00280468"/>
    <w:rsid w:val="00280479"/>
    <w:rsid w:val="00280480"/>
    <w:rsid w:val="00280497"/>
    <w:rsid w:val="002804AC"/>
    <w:rsid w:val="00280579"/>
    <w:rsid w:val="002807A4"/>
    <w:rsid w:val="00280808"/>
    <w:rsid w:val="00280848"/>
    <w:rsid w:val="0028086F"/>
    <w:rsid w:val="00280917"/>
    <w:rsid w:val="00280947"/>
    <w:rsid w:val="00280965"/>
    <w:rsid w:val="002809B1"/>
    <w:rsid w:val="002809CE"/>
    <w:rsid w:val="00280AE9"/>
    <w:rsid w:val="00280AFC"/>
    <w:rsid w:val="00280C63"/>
    <w:rsid w:val="00280C98"/>
    <w:rsid w:val="00280CF0"/>
    <w:rsid w:val="00280D22"/>
    <w:rsid w:val="00280E26"/>
    <w:rsid w:val="00280EB4"/>
    <w:rsid w:val="0028130C"/>
    <w:rsid w:val="0028138A"/>
    <w:rsid w:val="00281434"/>
    <w:rsid w:val="00281573"/>
    <w:rsid w:val="002817B3"/>
    <w:rsid w:val="00281A87"/>
    <w:rsid w:val="00281BB5"/>
    <w:rsid w:val="00281DB7"/>
    <w:rsid w:val="00281E99"/>
    <w:rsid w:val="00281EDD"/>
    <w:rsid w:val="00281F8E"/>
    <w:rsid w:val="002822E8"/>
    <w:rsid w:val="00282370"/>
    <w:rsid w:val="00282392"/>
    <w:rsid w:val="00282570"/>
    <w:rsid w:val="00282583"/>
    <w:rsid w:val="00282587"/>
    <w:rsid w:val="0028295E"/>
    <w:rsid w:val="002829D5"/>
    <w:rsid w:val="00282AF3"/>
    <w:rsid w:val="00282BBD"/>
    <w:rsid w:val="00282CDB"/>
    <w:rsid w:val="00282E5F"/>
    <w:rsid w:val="00282E75"/>
    <w:rsid w:val="002830D7"/>
    <w:rsid w:val="002831C9"/>
    <w:rsid w:val="0028322E"/>
    <w:rsid w:val="0028332F"/>
    <w:rsid w:val="002833E1"/>
    <w:rsid w:val="002837E0"/>
    <w:rsid w:val="00283800"/>
    <w:rsid w:val="00283825"/>
    <w:rsid w:val="00283884"/>
    <w:rsid w:val="002838D6"/>
    <w:rsid w:val="00283914"/>
    <w:rsid w:val="002839A4"/>
    <w:rsid w:val="00283A6B"/>
    <w:rsid w:val="00283AC3"/>
    <w:rsid w:val="00283D72"/>
    <w:rsid w:val="00283EEB"/>
    <w:rsid w:val="00283FB8"/>
    <w:rsid w:val="00284020"/>
    <w:rsid w:val="00284168"/>
    <w:rsid w:val="00284188"/>
    <w:rsid w:val="00284192"/>
    <w:rsid w:val="0028427B"/>
    <w:rsid w:val="00284334"/>
    <w:rsid w:val="002844B8"/>
    <w:rsid w:val="002844D2"/>
    <w:rsid w:val="00284546"/>
    <w:rsid w:val="002848A1"/>
    <w:rsid w:val="00284908"/>
    <w:rsid w:val="00284ABF"/>
    <w:rsid w:val="00284B68"/>
    <w:rsid w:val="00284BD0"/>
    <w:rsid w:val="00284C07"/>
    <w:rsid w:val="00284C79"/>
    <w:rsid w:val="00284DA0"/>
    <w:rsid w:val="00284E36"/>
    <w:rsid w:val="00284E67"/>
    <w:rsid w:val="00284E9C"/>
    <w:rsid w:val="00284F7A"/>
    <w:rsid w:val="00285019"/>
    <w:rsid w:val="0028510F"/>
    <w:rsid w:val="0028523E"/>
    <w:rsid w:val="002852A7"/>
    <w:rsid w:val="002852AC"/>
    <w:rsid w:val="002852E3"/>
    <w:rsid w:val="0028537D"/>
    <w:rsid w:val="0028566B"/>
    <w:rsid w:val="0028567D"/>
    <w:rsid w:val="0028571C"/>
    <w:rsid w:val="0028582C"/>
    <w:rsid w:val="00285871"/>
    <w:rsid w:val="002858DD"/>
    <w:rsid w:val="00285911"/>
    <w:rsid w:val="00285960"/>
    <w:rsid w:val="00285A5C"/>
    <w:rsid w:val="00285AA5"/>
    <w:rsid w:val="00285D2D"/>
    <w:rsid w:val="00285D76"/>
    <w:rsid w:val="00285E0C"/>
    <w:rsid w:val="00285E74"/>
    <w:rsid w:val="0028618E"/>
    <w:rsid w:val="00286237"/>
    <w:rsid w:val="002863F9"/>
    <w:rsid w:val="0028652A"/>
    <w:rsid w:val="0028657A"/>
    <w:rsid w:val="00286859"/>
    <w:rsid w:val="002868CB"/>
    <w:rsid w:val="002869F5"/>
    <w:rsid w:val="00286B39"/>
    <w:rsid w:val="00286B8D"/>
    <w:rsid w:val="00286C8C"/>
    <w:rsid w:val="00286CD8"/>
    <w:rsid w:val="00286EE6"/>
    <w:rsid w:val="002873CD"/>
    <w:rsid w:val="0028754D"/>
    <w:rsid w:val="0028764B"/>
    <w:rsid w:val="002877E1"/>
    <w:rsid w:val="00287A3F"/>
    <w:rsid w:val="00287AD6"/>
    <w:rsid w:val="00287B41"/>
    <w:rsid w:val="00287C80"/>
    <w:rsid w:val="00287D39"/>
    <w:rsid w:val="00287EB4"/>
    <w:rsid w:val="00287F0E"/>
    <w:rsid w:val="00287F74"/>
    <w:rsid w:val="00288FA9"/>
    <w:rsid w:val="00289490"/>
    <w:rsid w:val="0028A5A4"/>
    <w:rsid w:val="00290067"/>
    <w:rsid w:val="00290097"/>
    <w:rsid w:val="0029033E"/>
    <w:rsid w:val="002903FD"/>
    <w:rsid w:val="00290466"/>
    <w:rsid w:val="002904D7"/>
    <w:rsid w:val="0029057C"/>
    <w:rsid w:val="002905FD"/>
    <w:rsid w:val="002905FE"/>
    <w:rsid w:val="00290795"/>
    <w:rsid w:val="002908B3"/>
    <w:rsid w:val="00290934"/>
    <w:rsid w:val="0029096D"/>
    <w:rsid w:val="00290979"/>
    <w:rsid w:val="002909AD"/>
    <w:rsid w:val="00290D91"/>
    <w:rsid w:val="00291066"/>
    <w:rsid w:val="0029110D"/>
    <w:rsid w:val="002913D4"/>
    <w:rsid w:val="002914B1"/>
    <w:rsid w:val="0029153D"/>
    <w:rsid w:val="00291594"/>
    <w:rsid w:val="00291635"/>
    <w:rsid w:val="002918F6"/>
    <w:rsid w:val="0029192D"/>
    <w:rsid w:val="00291965"/>
    <w:rsid w:val="00291A0A"/>
    <w:rsid w:val="00291A0F"/>
    <w:rsid w:val="00291A14"/>
    <w:rsid w:val="00291CAA"/>
    <w:rsid w:val="00291DB8"/>
    <w:rsid w:val="00291EE4"/>
    <w:rsid w:val="00292016"/>
    <w:rsid w:val="002921BB"/>
    <w:rsid w:val="00292313"/>
    <w:rsid w:val="002923C1"/>
    <w:rsid w:val="00292475"/>
    <w:rsid w:val="002924D1"/>
    <w:rsid w:val="002925D9"/>
    <w:rsid w:val="002925F5"/>
    <w:rsid w:val="00292790"/>
    <w:rsid w:val="002927A3"/>
    <w:rsid w:val="002927E6"/>
    <w:rsid w:val="00292875"/>
    <w:rsid w:val="00292961"/>
    <w:rsid w:val="00292B0F"/>
    <w:rsid w:val="00292DC7"/>
    <w:rsid w:val="00292DC8"/>
    <w:rsid w:val="00292E3A"/>
    <w:rsid w:val="00292F3D"/>
    <w:rsid w:val="00292F8C"/>
    <w:rsid w:val="00293140"/>
    <w:rsid w:val="002931C3"/>
    <w:rsid w:val="0029328F"/>
    <w:rsid w:val="00293384"/>
    <w:rsid w:val="00293434"/>
    <w:rsid w:val="0029363C"/>
    <w:rsid w:val="002938BB"/>
    <w:rsid w:val="00293A54"/>
    <w:rsid w:val="00293ADC"/>
    <w:rsid w:val="00293AEC"/>
    <w:rsid w:val="00293B48"/>
    <w:rsid w:val="00293D73"/>
    <w:rsid w:val="00293E2D"/>
    <w:rsid w:val="00293E67"/>
    <w:rsid w:val="00294296"/>
    <w:rsid w:val="00294532"/>
    <w:rsid w:val="00294847"/>
    <w:rsid w:val="002949A2"/>
    <w:rsid w:val="00294A40"/>
    <w:rsid w:val="00294A69"/>
    <w:rsid w:val="00294D60"/>
    <w:rsid w:val="00294D95"/>
    <w:rsid w:val="00294E77"/>
    <w:rsid w:val="002951E3"/>
    <w:rsid w:val="002951E8"/>
    <w:rsid w:val="0029527E"/>
    <w:rsid w:val="002952D5"/>
    <w:rsid w:val="00295311"/>
    <w:rsid w:val="002953E0"/>
    <w:rsid w:val="00295557"/>
    <w:rsid w:val="00295655"/>
    <w:rsid w:val="0029574A"/>
    <w:rsid w:val="002959F9"/>
    <w:rsid w:val="00295B33"/>
    <w:rsid w:val="00295C95"/>
    <w:rsid w:val="00295D7B"/>
    <w:rsid w:val="00295DBA"/>
    <w:rsid w:val="00295F52"/>
    <w:rsid w:val="00296047"/>
    <w:rsid w:val="002961DB"/>
    <w:rsid w:val="0029621C"/>
    <w:rsid w:val="002964B6"/>
    <w:rsid w:val="00296697"/>
    <w:rsid w:val="002969B1"/>
    <w:rsid w:val="00296BE6"/>
    <w:rsid w:val="00296C18"/>
    <w:rsid w:val="00296CAA"/>
    <w:rsid w:val="00296D1C"/>
    <w:rsid w:val="00296F9F"/>
    <w:rsid w:val="00296FEE"/>
    <w:rsid w:val="00297265"/>
    <w:rsid w:val="0029734F"/>
    <w:rsid w:val="002975BF"/>
    <w:rsid w:val="00297678"/>
    <w:rsid w:val="0029768D"/>
    <w:rsid w:val="00297736"/>
    <w:rsid w:val="00297781"/>
    <w:rsid w:val="00297806"/>
    <w:rsid w:val="00297A3C"/>
    <w:rsid w:val="00297AEE"/>
    <w:rsid w:val="00297BAC"/>
    <w:rsid w:val="00297BD8"/>
    <w:rsid w:val="00297CB4"/>
    <w:rsid w:val="00297E58"/>
    <w:rsid w:val="002993CB"/>
    <w:rsid w:val="0029C807"/>
    <w:rsid w:val="002A022B"/>
    <w:rsid w:val="002A03A4"/>
    <w:rsid w:val="002A04EE"/>
    <w:rsid w:val="002A05D6"/>
    <w:rsid w:val="002A07DC"/>
    <w:rsid w:val="002A086A"/>
    <w:rsid w:val="002A08AF"/>
    <w:rsid w:val="002A09FC"/>
    <w:rsid w:val="002A0B14"/>
    <w:rsid w:val="002A0C87"/>
    <w:rsid w:val="002A0CE9"/>
    <w:rsid w:val="002A0DA9"/>
    <w:rsid w:val="002A100E"/>
    <w:rsid w:val="002A10A2"/>
    <w:rsid w:val="002A10AF"/>
    <w:rsid w:val="002A119E"/>
    <w:rsid w:val="002A127B"/>
    <w:rsid w:val="002A1281"/>
    <w:rsid w:val="002A1567"/>
    <w:rsid w:val="002A1592"/>
    <w:rsid w:val="002A15AB"/>
    <w:rsid w:val="002A179D"/>
    <w:rsid w:val="002A192A"/>
    <w:rsid w:val="002A1A0B"/>
    <w:rsid w:val="002A1A1E"/>
    <w:rsid w:val="002A1A3D"/>
    <w:rsid w:val="002A1BCB"/>
    <w:rsid w:val="002A22B7"/>
    <w:rsid w:val="002A231C"/>
    <w:rsid w:val="002A2510"/>
    <w:rsid w:val="002A2794"/>
    <w:rsid w:val="002A27F8"/>
    <w:rsid w:val="002A28D4"/>
    <w:rsid w:val="002A29BD"/>
    <w:rsid w:val="002A29CC"/>
    <w:rsid w:val="002A2B34"/>
    <w:rsid w:val="002A2C1B"/>
    <w:rsid w:val="002A2CB8"/>
    <w:rsid w:val="002A2D87"/>
    <w:rsid w:val="002A2E4C"/>
    <w:rsid w:val="002A2EBB"/>
    <w:rsid w:val="002A3809"/>
    <w:rsid w:val="002A39CC"/>
    <w:rsid w:val="002A3A7B"/>
    <w:rsid w:val="002A3AF9"/>
    <w:rsid w:val="002A3B0D"/>
    <w:rsid w:val="002A3C05"/>
    <w:rsid w:val="002A3C77"/>
    <w:rsid w:val="002A3CB4"/>
    <w:rsid w:val="002A3D14"/>
    <w:rsid w:val="002A3DFD"/>
    <w:rsid w:val="002A3E1B"/>
    <w:rsid w:val="002A3E90"/>
    <w:rsid w:val="002A3F78"/>
    <w:rsid w:val="002A4080"/>
    <w:rsid w:val="002A4208"/>
    <w:rsid w:val="002A427E"/>
    <w:rsid w:val="002A43A1"/>
    <w:rsid w:val="002A4464"/>
    <w:rsid w:val="002A45A5"/>
    <w:rsid w:val="002A4700"/>
    <w:rsid w:val="002A470C"/>
    <w:rsid w:val="002A4748"/>
    <w:rsid w:val="002A499B"/>
    <w:rsid w:val="002A4A9A"/>
    <w:rsid w:val="002A4AE2"/>
    <w:rsid w:val="002A4BAA"/>
    <w:rsid w:val="002A4CC3"/>
    <w:rsid w:val="002A4CE3"/>
    <w:rsid w:val="002A4D38"/>
    <w:rsid w:val="002A4E31"/>
    <w:rsid w:val="002A4F15"/>
    <w:rsid w:val="002A509E"/>
    <w:rsid w:val="002A50C3"/>
    <w:rsid w:val="002A51D7"/>
    <w:rsid w:val="002A5211"/>
    <w:rsid w:val="002A5465"/>
    <w:rsid w:val="002A554A"/>
    <w:rsid w:val="002A563F"/>
    <w:rsid w:val="002A588A"/>
    <w:rsid w:val="002A588D"/>
    <w:rsid w:val="002A59FE"/>
    <w:rsid w:val="002A5EFB"/>
    <w:rsid w:val="002A603B"/>
    <w:rsid w:val="002A6116"/>
    <w:rsid w:val="002A6177"/>
    <w:rsid w:val="002A637B"/>
    <w:rsid w:val="002A6490"/>
    <w:rsid w:val="002A652A"/>
    <w:rsid w:val="002A68A2"/>
    <w:rsid w:val="002A6906"/>
    <w:rsid w:val="002A69AF"/>
    <w:rsid w:val="002A6AEE"/>
    <w:rsid w:val="002A6B66"/>
    <w:rsid w:val="002A6C5A"/>
    <w:rsid w:val="002A6C61"/>
    <w:rsid w:val="002A6CA2"/>
    <w:rsid w:val="002A6F48"/>
    <w:rsid w:val="002A7249"/>
    <w:rsid w:val="002A74B9"/>
    <w:rsid w:val="002A74ED"/>
    <w:rsid w:val="002A7534"/>
    <w:rsid w:val="002A7541"/>
    <w:rsid w:val="002A75A1"/>
    <w:rsid w:val="002A75BA"/>
    <w:rsid w:val="002A76E1"/>
    <w:rsid w:val="002A7717"/>
    <w:rsid w:val="002A7873"/>
    <w:rsid w:val="002A79C9"/>
    <w:rsid w:val="002A7A5E"/>
    <w:rsid w:val="002A7C61"/>
    <w:rsid w:val="002A7CCC"/>
    <w:rsid w:val="002A7D98"/>
    <w:rsid w:val="002A7E20"/>
    <w:rsid w:val="002A7E48"/>
    <w:rsid w:val="002A918D"/>
    <w:rsid w:val="002AC205"/>
    <w:rsid w:val="002B03AA"/>
    <w:rsid w:val="002B0426"/>
    <w:rsid w:val="002B047E"/>
    <w:rsid w:val="002B06A4"/>
    <w:rsid w:val="002B08F1"/>
    <w:rsid w:val="002B099A"/>
    <w:rsid w:val="002B0C95"/>
    <w:rsid w:val="002B0E50"/>
    <w:rsid w:val="002B0EBB"/>
    <w:rsid w:val="002B0FE0"/>
    <w:rsid w:val="002B1073"/>
    <w:rsid w:val="002B1115"/>
    <w:rsid w:val="002B11FC"/>
    <w:rsid w:val="002B11FF"/>
    <w:rsid w:val="002B12D5"/>
    <w:rsid w:val="002B1612"/>
    <w:rsid w:val="002B16C6"/>
    <w:rsid w:val="002B17D1"/>
    <w:rsid w:val="002B1867"/>
    <w:rsid w:val="002B187F"/>
    <w:rsid w:val="002B1908"/>
    <w:rsid w:val="002B198C"/>
    <w:rsid w:val="002B199E"/>
    <w:rsid w:val="002B1AA9"/>
    <w:rsid w:val="002B1CBB"/>
    <w:rsid w:val="002B1EEB"/>
    <w:rsid w:val="002B2121"/>
    <w:rsid w:val="002B21CD"/>
    <w:rsid w:val="002B2320"/>
    <w:rsid w:val="002B241E"/>
    <w:rsid w:val="002B243E"/>
    <w:rsid w:val="002B2584"/>
    <w:rsid w:val="002B2663"/>
    <w:rsid w:val="002B2676"/>
    <w:rsid w:val="002B2685"/>
    <w:rsid w:val="002B26C8"/>
    <w:rsid w:val="002B26D0"/>
    <w:rsid w:val="002B29E5"/>
    <w:rsid w:val="002B2AA0"/>
    <w:rsid w:val="002B2C49"/>
    <w:rsid w:val="002B2D08"/>
    <w:rsid w:val="002B2FB8"/>
    <w:rsid w:val="002B3084"/>
    <w:rsid w:val="002B323C"/>
    <w:rsid w:val="002B32AB"/>
    <w:rsid w:val="002B3319"/>
    <w:rsid w:val="002B3496"/>
    <w:rsid w:val="002B3BA1"/>
    <w:rsid w:val="002B3C02"/>
    <w:rsid w:val="002B3C12"/>
    <w:rsid w:val="002B3C17"/>
    <w:rsid w:val="002B3C53"/>
    <w:rsid w:val="002B3C54"/>
    <w:rsid w:val="002B3C8A"/>
    <w:rsid w:val="002B3D20"/>
    <w:rsid w:val="002B4037"/>
    <w:rsid w:val="002B4098"/>
    <w:rsid w:val="002B40C1"/>
    <w:rsid w:val="002B40CF"/>
    <w:rsid w:val="002B4135"/>
    <w:rsid w:val="002B41EA"/>
    <w:rsid w:val="002B4609"/>
    <w:rsid w:val="002B469A"/>
    <w:rsid w:val="002B46E9"/>
    <w:rsid w:val="002B4718"/>
    <w:rsid w:val="002B4769"/>
    <w:rsid w:val="002B4A41"/>
    <w:rsid w:val="002B4AE3"/>
    <w:rsid w:val="002B4BDE"/>
    <w:rsid w:val="002B4F61"/>
    <w:rsid w:val="002B5064"/>
    <w:rsid w:val="002B508A"/>
    <w:rsid w:val="002B50A3"/>
    <w:rsid w:val="002B5509"/>
    <w:rsid w:val="002B56F3"/>
    <w:rsid w:val="002B5738"/>
    <w:rsid w:val="002B5BBF"/>
    <w:rsid w:val="002B5D24"/>
    <w:rsid w:val="002B5FD8"/>
    <w:rsid w:val="002B60CD"/>
    <w:rsid w:val="002B60ED"/>
    <w:rsid w:val="002B6116"/>
    <w:rsid w:val="002B6187"/>
    <w:rsid w:val="002B62FE"/>
    <w:rsid w:val="002B631E"/>
    <w:rsid w:val="002B6323"/>
    <w:rsid w:val="002B6549"/>
    <w:rsid w:val="002B670E"/>
    <w:rsid w:val="002B6736"/>
    <w:rsid w:val="002B6916"/>
    <w:rsid w:val="002B691B"/>
    <w:rsid w:val="002B6931"/>
    <w:rsid w:val="002B6963"/>
    <w:rsid w:val="002B6B1E"/>
    <w:rsid w:val="002B6B62"/>
    <w:rsid w:val="002B6BC2"/>
    <w:rsid w:val="002B6BE8"/>
    <w:rsid w:val="002B6C23"/>
    <w:rsid w:val="002B6E19"/>
    <w:rsid w:val="002B6E2B"/>
    <w:rsid w:val="002B6F86"/>
    <w:rsid w:val="002B71DC"/>
    <w:rsid w:val="002B72EC"/>
    <w:rsid w:val="002B7465"/>
    <w:rsid w:val="002B746B"/>
    <w:rsid w:val="002B7546"/>
    <w:rsid w:val="002B76F5"/>
    <w:rsid w:val="002B7844"/>
    <w:rsid w:val="002B7BBE"/>
    <w:rsid w:val="002B7C5B"/>
    <w:rsid w:val="002B7D12"/>
    <w:rsid w:val="002B7D61"/>
    <w:rsid w:val="002B7F9A"/>
    <w:rsid w:val="002BA89E"/>
    <w:rsid w:val="002BEC54"/>
    <w:rsid w:val="002C009D"/>
    <w:rsid w:val="002C0501"/>
    <w:rsid w:val="002C0548"/>
    <w:rsid w:val="002C06E6"/>
    <w:rsid w:val="002C0861"/>
    <w:rsid w:val="002C0A74"/>
    <w:rsid w:val="002C0A9E"/>
    <w:rsid w:val="002C0B41"/>
    <w:rsid w:val="002C0BDC"/>
    <w:rsid w:val="002C0BE4"/>
    <w:rsid w:val="002C0CDB"/>
    <w:rsid w:val="002C0D38"/>
    <w:rsid w:val="002C0E65"/>
    <w:rsid w:val="002C0EA8"/>
    <w:rsid w:val="002C0EC0"/>
    <w:rsid w:val="002C0F64"/>
    <w:rsid w:val="002C0F7A"/>
    <w:rsid w:val="002C1185"/>
    <w:rsid w:val="002C11ED"/>
    <w:rsid w:val="002C1304"/>
    <w:rsid w:val="002C14F4"/>
    <w:rsid w:val="002C17DB"/>
    <w:rsid w:val="002C1847"/>
    <w:rsid w:val="002C1993"/>
    <w:rsid w:val="002C19F8"/>
    <w:rsid w:val="002C1A49"/>
    <w:rsid w:val="002C1AC1"/>
    <w:rsid w:val="002C1C34"/>
    <w:rsid w:val="002C1E52"/>
    <w:rsid w:val="002C204D"/>
    <w:rsid w:val="002C2128"/>
    <w:rsid w:val="002C21D7"/>
    <w:rsid w:val="002C2203"/>
    <w:rsid w:val="002C24BD"/>
    <w:rsid w:val="002C2628"/>
    <w:rsid w:val="002C2830"/>
    <w:rsid w:val="002C286C"/>
    <w:rsid w:val="002C2973"/>
    <w:rsid w:val="002C2A62"/>
    <w:rsid w:val="002C2A6F"/>
    <w:rsid w:val="002C2A91"/>
    <w:rsid w:val="002C2AA4"/>
    <w:rsid w:val="002C2C1F"/>
    <w:rsid w:val="002C2C46"/>
    <w:rsid w:val="002C2DCE"/>
    <w:rsid w:val="002C2EB1"/>
    <w:rsid w:val="002C3069"/>
    <w:rsid w:val="002C3157"/>
    <w:rsid w:val="002C319B"/>
    <w:rsid w:val="002C3201"/>
    <w:rsid w:val="002C3209"/>
    <w:rsid w:val="002C3215"/>
    <w:rsid w:val="002C3270"/>
    <w:rsid w:val="002C329B"/>
    <w:rsid w:val="002C3355"/>
    <w:rsid w:val="002C33C5"/>
    <w:rsid w:val="002C3517"/>
    <w:rsid w:val="002C36AB"/>
    <w:rsid w:val="002C36CF"/>
    <w:rsid w:val="002C375C"/>
    <w:rsid w:val="002C3768"/>
    <w:rsid w:val="002C37D5"/>
    <w:rsid w:val="002C3846"/>
    <w:rsid w:val="002C38F7"/>
    <w:rsid w:val="002C39BF"/>
    <w:rsid w:val="002C39E6"/>
    <w:rsid w:val="002C39F8"/>
    <w:rsid w:val="002C3A2C"/>
    <w:rsid w:val="002C3B36"/>
    <w:rsid w:val="002C3E7D"/>
    <w:rsid w:val="002C3E98"/>
    <w:rsid w:val="002C3FD6"/>
    <w:rsid w:val="002C40E0"/>
    <w:rsid w:val="002C415E"/>
    <w:rsid w:val="002C41C5"/>
    <w:rsid w:val="002C4210"/>
    <w:rsid w:val="002C4392"/>
    <w:rsid w:val="002C44FA"/>
    <w:rsid w:val="002C4556"/>
    <w:rsid w:val="002C466D"/>
    <w:rsid w:val="002C4694"/>
    <w:rsid w:val="002C4716"/>
    <w:rsid w:val="002C4753"/>
    <w:rsid w:val="002C479E"/>
    <w:rsid w:val="002C47E4"/>
    <w:rsid w:val="002C4815"/>
    <w:rsid w:val="002C4928"/>
    <w:rsid w:val="002C492B"/>
    <w:rsid w:val="002C4A4B"/>
    <w:rsid w:val="002C4CD8"/>
    <w:rsid w:val="002C4ED4"/>
    <w:rsid w:val="002C4F26"/>
    <w:rsid w:val="002C4FDA"/>
    <w:rsid w:val="002C503E"/>
    <w:rsid w:val="002C5047"/>
    <w:rsid w:val="002C5221"/>
    <w:rsid w:val="002C5256"/>
    <w:rsid w:val="002C52F2"/>
    <w:rsid w:val="002C5466"/>
    <w:rsid w:val="002C5546"/>
    <w:rsid w:val="002C5599"/>
    <w:rsid w:val="002C5BC0"/>
    <w:rsid w:val="002C5DFC"/>
    <w:rsid w:val="002C5F6C"/>
    <w:rsid w:val="002C5F87"/>
    <w:rsid w:val="002C5F8F"/>
    <w:rsid w:val="002C6039"/>
    <w:rsid w:val="002C6046"/>
    <w:rsid w:val="002C654C"/>
    <w:rsid w:val="002C6620"/>
    <w:rsid w:val="002C66A1"/>
    <w:rsid w:val="002C66AA"/>
    <w:rsid w:val="002C6748"/>
    <w:rsid w:val="002C69A9"/>
    <w:rsid w:val="002C69FF"/>
    <w:rsid w:val="002C6B3B"/>
    <w:rsid w:val="002C6B7F"/>
    <w:rsid w:val="002C6B8C"/>
    <w:rsid w:val="002C6C7B"/>
    <w:rsid w:val="002C6EA8"/>
    <w:rsid w:val="002C6FBA"/>
    <w:rsid w:val="002C71B1"/>
    <w:rsid w:val="002C7211"/>
    <w:rsid w:val="002C7259"/>
    <w:rsid w:val="002C725D"/>
    <w:rsid w:val="002C72F6"/>
    <w:rsid w:val="002C7395"/>
    <w:rsid w:val="002C739B"/>
    <w:rsid w:val="002C7441"/>
    <w:rsid w:val="002C768A"/>
    <w:rsid w:val="002C77AF"/>
    <w:rsid w:val="002C7860"/>
    <w:rsid w:val="002C78DA"/>
    <w:rsid w:val="002C7A89"/>
    <w:rsid w:val="002C7A93"/>
    <w:rsid w:val="002C7ADC"/>
    <w:rsid w:val="002C7CAF"/>
    <w:rsid w:val="002CEA2E"/>
    <w:rsid w:val="002D000D"/>
    <w:rsid w:val="002D0209"/>
    <w:rsid w:val="002D0243"/>
    <w:rsid w:val="002D0310"/>
    <w:rsid w:val="002D0319"/>
    <w:rsid w:val="002D037F"/>
    <w:rsid w:val="002D0479"/>
    <w:rsid w:val="002D0509"/>
    <w:rsid w:val="002D05D0"/>
    <w:rsid w:val="002D0669"/>
    <w:rsid w:val="002D0C59"/>
    <w:rsid w:val="002D0D83"/>
    <w:rsid w:val="002D0E5B"/>
    <w:rsid w:val="002D1122"/>
    <w:rsid w:val="002D139D"/>
    <w:rsid w:val="002D14F8"/>
    <w:rsid w:val="002D15A0"/>
    <w:rsid w:val="002D1635"/>
    <w:rsid w:val="002D1720"/>
    <w:rsid w:val="002D1852"/>
    <w:rsid w:val="002D185D"/>
    <w:rsid w:val="002D18A9"/>
    <w:rsid w:val="002D18F1"/>
    <w:rsid w:val="002D1A40"/>
    <w:rsid w:val="002D1A44"/>
    <w:rsid w:val="002D1ADC"/>
    <w:rsid w:val="002D1D4B"/>
    <w:rsid w:val="002D20F5"/>
    <w:rsid w:val="002D2159"/>
    <w:rsid w:val="002D2222"/>
    <w:rsid w:val="002D229B"/>
    <w:rsid w:val="002D22AF"/>
    <w:rsid w:val="002D234C"/>
    <w:rsid w:val="002D241F"/>
    <w:rsid w:val="002D276E"/>
    <w:rsid w:val="002D2B5D"/>
    <w:rsid w:val="002D2B94"/>
    <w:rsid w:val="002D2CE4"/>
    <w:rsid w:val="002D2DD6"/>
    <w:rsid w:val="002D2F01"/>
    <w:rsid w:val="002D2FA0"/>
    <w:rsid w:val="002D31C5"/>
    <w:rsid w:val="002D39FD"/>
    <w:rsid w:val="002D3A7E"/>
    <w:rsid w:val="002D3B3D"/>
    <w:rsid w:val="002D3B7A"/>
    <w:rsid w:val="002D3D06"/>
    <w:rsid w:val="002D3DBC"/>
    <w:rsid w:val="002D3F1C"/>
    <w:rsid w:val="002D4115"/>
    <w:rsid w:val="002D420F"/>
    <w:rsid w:val="002D4224"/>
    <w:rsid w:val="002D4357"/>
    <w:rsid w:val="002D442B"/>
    <w:rsid w:val="002D4550"/>
    <w:rsid w:val="002D4689"/>
    <w:rsid w:val="002D46BE"/>
    <w:rsid w:val="002D48CE"/>
    <w:rsid w:val="002D4977"/>
    <w:rsid w:val="002D498B"/>
    <w:rsid w:val="002D49D4"/>
    <w:rsid w:val="002D4A11"/>
    <w:rsid w:val="002D4A85"/>
    <w:rsid w:val="002D4DB8"/>
    <w:rsid w:val="002D4DE9"/>
    <w:rsid w:val="002D4E8F"/>
    <w:rsid w:val="002D4EC7"/>
    <w:rsid w:val="002D4F2A"/>
    <w:rsid w:val="002D5065"/>
    <w:rsid w:val="002D518D"/>
    <w:rsid w:val="002D535A"/>
    <w:rsid w:val="002D579A"/>
    <w:rsid w:val="002D59CF"/>
    <w:rsid w:val="002D59E5"/>
    <w:rsid w:val="002D5A37"/>
    <w:rsid w:val="002D5BDC"/>
    <w:rsid w:val="002D5C06"/>
    <w:rsid w:val="002D5C32"/>
    <w:rsid w:val="002D5DA1"/>
    <w:rsid w:val="002D5EEE"/>
    <w:rsid w:val="002D5F5A"/>
    <w:rsid w:val="002D6110"/>
    <w:rsid w:val="002D629D"/>
    <w:rsid w:val="002D6436"/>
    <w:rsid w:val="002D644C"/>
    <w:rsid w:val="002D6528"/>
    <w:rsid w:val="002D6831"/>
    <w:rsid w:val="002D68EF"/>
    <w:rsid w:val="002D6AEE"/>
    <w:rsid w:val="002D6B19"/>
    <w:rsid w:val="002D6E25"/>
    <w:rsid w:val="002D706A"/>
    <w:rsid w:val="002D71B9"/>
    <w:rsid w:val="002D733D"/>
    <w:rsid w:val="002D736A"/>
    <w:rsid w:val="002D7462"/>
    <w:rsid w:val="002D7544"/>
    <w:rsid w:val="002D7570"/>
    <w:rsid w:val="002D75EF"/>
    <w:rsid w:val="002D75F8"/>
    <w:rsid w:val="002D77BC"/>
    <w:rsid w:val="002D793F"/>
    <w:rsid w:val="002D7A99"/>
    <w:rsid w:val="002D7ACF"/>
    <w:rsid w:val="002D7B46"/>
    <w:rsid w:val="002D7C59"/>
    <w:rsid w:val="002D7CE0"/>
    <w:rsid w:val="002D7D2D"/>
    <w:rsid w:val="002D7D8B"/>
    <w:rsid w:val="002D8A17"/>
    <w:rsid w:val="002E0004"/>
    <w:rsid w:val="002E005E"/>
    <w:rsid w:val="002E017D"/>
    <w:rsid w:val="002E01F0"/>
    <w:rsid w:val="002E0646"/>
    <w:rsid w:val="002E091E"/>
    <w:rsid w:val="002E0A71"/>
    <w:rsid w:val="002E0A7A"/>
    <w:rsid w:val="002E0AEE"/>
    <w:rsid w:val="002E0C31"/>
    <w:rsid w:val="002E0C5D"/>
    <w:rsid w:val="002E0D81"/>
    <w:rsid w:val="002E0ECB"/>
    <w:rsid w:val="002E1108"/>
    <w:rsid w:val="002E11DC"/>
    <w:rsid w:val="002E1405"/>
    <w:rsid w:val="002E150C"/>
    <w:rsid w:val="002E1931"/>
    <w:rsid w:val="002E1B37"/>
    <w:rsid w:val="002E1BCF"/>
    <w:rsid w:val="002E1C34"/>
    <w:rsid w:val="002E1C47"/>
    <w:rsid w:val="002E1C8B"/>
    <w:rsid w:val="002E1CE6"/>
    <w:rsid w:val="002E1E11"/>
    <w:rsid w:val="002E1E54"/>
    <w:rsid w:val="002E1E8B"/>
    <w:rsid w:val="002E1EE8"/>
    <w:rsid w:val="002E24AA"/>
    <w:rsid w:val="002E2527"/>
    <w:rsid w:val="002E2562"/>
    <w:rsid w:val="002E269E"/>
    <w:rsid w:val="002E282C"/>
    <w:rsid w:val="002E282F"/>
    <w:rsid w:val="002E2874"/>
    <w:rsid w:val="002E2A60"/>
    <w:rsid w:val="002E2B61"/>
    <w:rsid w:val="002E2E8F"/>
    <w:rsid w:val="002E2E9C"/>
    <w:rsid w:val="002E2FC3"/>
    <w:rsid w:val="002E309A"/>
    <w:rsid w:val="002E3113"/>
    <w:rsid w:val="002E3290"/>
    <w:rsid w:val="002E32E4"/>
    <w:rsid w:val="002E3309"/>
    <w:rsid w:val="002E37B0"/>
    <w:rsid w:val="002E37E0"/>
    <w:rsid w:val="002E383B"/>
    <w:rsid w:val="002E3A30"/>
    <w:rsid w:val="002E3AD7"/>
    <w:rsid w:val="002E3C8C"/>
    <w:rsid w:val="002E3CB8"/>
    <w:rsid w:val="002E3D61"/>
    <w:rsid w:val="002E3E47"/>
    <w:rsid w:val="002E3F1A"/>
    <w:rsid w:val="002E400F"/>
    <w:rsid w:val="002E4144"/>
    <w:rsid w:val="002E425D"/>
    <w:rsid w:val="002E4526"/>
    <w:rsid w:val="002E4536"/>
    <w:rsid w:val="002E45F6"/>
    <w:rsid w:val="002E4914"/>
    <w:rsid w:val="002E4979"/>
    <w:rsid w:val="002E49DC"/>
    <w:rsid w:val="002E4B8F"/>
    <w:rsid w:val="002E4D61"/>
    <w:rsid w:val="002E4D81"/>
    <w:rsid w:val="002E4EEF"/>
    <w:rsid w:val="002E4F52"/>
    <w:rsid w:val="002E4F59"/>
    <w:rsid w:val="002E50AD"/>
    <w:rsid w:val="002E51C7"/>
    <w:rsid w:val="002E52C4"/>
    <w:rsid w:val="002E53EA"/>
    <w:rsid w:val="002E5591"/>
    <w:rsid w:val="002E5676"/>
    <w:rsid w:val="002E56F5"/>
    <w:rsid w:val="002E5725"/>
    <w:rsid w:val="002E5B34"/>
    <w:rsid w:val="002E5B80"/>
    <w:rsid w:val="002E5C12"/>
    <w:rsid w:val="002E5C40"/>
    <w:rsid w:val="002E5C43"/>
    <w:rsid w:val="002E5D10"/>
    <w:rsid w:val="002E5D77"/>
    <w:rsid w:val="002E60DF"/>
    <w:rsid w:val="002E616B"/>
    <w:rsid w:val="002E61B0"/>
    <w:rsid w:val="002E63D3"/>
    <w:rsid w:val="002E63E4"/>
    <w:rsid w:val="002E6480"/>
    <w:rsid w:val="002E655B"/>
    <w:rsid w:val="002E66AA"/>
    <w:rsid w:val="002E6B6D"/>
    <w:rsid w:val="002E6C72"/>
    <w:rsid w:val="002E6E91"/>
    <w:rsid w:val="002E6EB6"/>
    <w:rsid w:val="002E6ED6"/>
    <w:rsid w:val="002E7067"/>
    <w:rsid w:val="002E719A"/>
    <w:rsid w:val="002E71B1"/>
    <w:rsid w:val="002E731F"/>
    <w:rsid w:val="002E741B"/>
    <w:rsid w:val="002E750F"/>
    <w:rsid w:val="002E76D6"/>
    <w:rsid w:val="002E77AF"/>
    <w:rsid w:val="002E77B1"/>
    <w:rsid w:val="002E78EE"/>
    <w:rsid w:val="002E7935"/>
    <w:rsid w:val="002E796F"/>
    <w:rsid w:val="002E79CF"/>
    <w:rsid w:val="002E7A8C"/>
    <w:rsid w:val="002E7B6C"/>
    <w:rsid w:val="002E7D23"/>
    <w:rsid w:val="002ED4C3"/>
    <w:rsid w:val="002EEFC1"/>
    <w:rsid w:val="002F00B3"/>
    <w:rsid w:val="002F0129"/>
    <w:rsid w:val="002F0134"/>
    <w:rsid w:val="002F0144"/>
    <w:rsid w:val="002F0307"/>
    <w:rsid w:val="002F033D"/>
    <w:rsid w:val="002F0463"/>
    <w:rsid w:val="002F04DC"/>
    <w:rsid w:val="002F04F0"/>
    <w:rsid w:val="002F04F4"/>
    <w:rsid w:val="002F0517"/>
    <w:rsid w:val="002F05BD"/>
    <w:rsid w:val="002F0852"/>
    <w:rsid w:val="002F08DA"/>
    <w:rsid w:val="002F094E"/>
    <w:rsid w:val="002F097B"/>
    <w:rsid w:val="002F09C3"/>
    <w:rsid w:val="002F0AFF"/>
    <w:rsid w:val="002F0F3C"/>
    <w:rsid w:val="002F0F6D"/>
    <w:rsid w:val="002F0FE1"/>
    <w:rsid w:val="002F1020"/>
    <w:rsid w:val="002F11EA"/>
    <w:rsid w:val="002F12F3"/>
    <w:rsid w:val="002F1359"/>
    <w:rsid w:val="002F16AD"/>
    <w:rsid w:val="002F1729"/>
    <w:rsid w:val="002F1ACD"/>
    <w:rsid w:val="002F1B33"/>
    <w:rsid w:val="002F1B72"/>
    <w:rsid w:val="002F1B9B"/>
    <w:rsid w:val="002F1E29"/>
    <w:rsid w:val="002F1E6B"/>
    <w:rsid w:val="002F1EA2"/>
    <w:rsid w:val="002F210A"/>
    <w:rsid w:val="002F23EF"/>
    <w:rsid w:val="002F259F"/>
    <w:rsid w:val="002F263E"/>
    <w:rsid w:val="002F26A3"/>
    <w:rsid w:val="002F272C"/>
    <w:rsid w:val="002F2811"/>
    <w:rsid w:val="002F288D"/>
    <w:rsid w:val="002F289B"/>
    <w:rsid w:val="002F2A2D"/>
    <w:rsid w:val="002F2AAD"/>
    <w:rsid w:val="002F2C69"/>
    <w:rsid w:val="002F2D99"/>
    <w:rsid w:val="002F2E91"/>
    <w:rsid w:val="002F2EF2"/>
    <w:rsid w:val="002F2F26"/>
    <w:rsid w:val="002F2FA1"/>
    <w:rsid w:val="002F302A"/>
    <w:rsid w:val="002F360A"/>
    <w:rsid w:val="002F3880"/>
    <w:rsid w:val="002F3951"/>
    <w:rsid w:val="002F3AD3"/>
    <w:rsid w:val="002F3D41"/>
    <w:rsid w:val="002F3E36"/>
    <w:rsid w:val="002F4007"/>
    <w:rsid w:val="002F4185"/>
    <w:rsid w:val="002F4199"/>
    <w:rsid w:val="002F42DB"/>
    <w:rsid w:val="002F43BA"/>
    <w:rsid w:val="002F449D"/>
    <w:rsid w:val="002F44A9"/>
    <w:rsid w:val="002F456A"/>
    <w:rsid w:val="002F4604"/>
    <w:rsid w:val="002F4802"/>
    <w:rsid w:val="002F4825"/>
    <w:rsid w:val="002F4953"/>
    <w:rsid w:val="002F49C0"/>
    <w:rsid w:val="002F4A13"/>
    <w:rsid w:val="002F4A6E"/>
    <w:rsid w:val="002F4A7A"/>
    <w:rsid w:val="002F4BAD"/>
    <w:rsid w:val="002F4BB7"/>
    <w:rsid w:val="002F4C17"/>
    <w:rsid w:val="002F4CC1"/>
    <w:rsid w:val="002F4D49"/>
    <w:rsid w:val="002F4E46"/>
    <w:rsid w:val="002F4FDF"/>
    <w:rsid w:val="002F504C"/>
    <w:rsid w:val="002F5069"/>
    <w:rsid w:val="002F50F3"/>
    <w:rsid w:val="002F513A"/>
    <w:rsid w:val="002F535A"/>
    <w:rsid w:val="002F539E"/>
    <w:rsid w:val="002F53E2"/>
    <w:rsid w:val="002F55FD"/>
    <w:rsid w:val="002F5655"/>
    <w:rsid w:val="002F56B8"/>
    <w:rsid w:val="002F56EA"/>
    <w:rsid w:val="002F5732"/>
    <w:rsid w:val="002F57C5"/>
    <w:rsid w:val="002F5949"/>
    <w:rsid w:val="002F596B"/>
    <w:rsid w:val="002F5BA0"/>
    <w:rsid w:val="002F5C85"/>
    <w:rsid w:val="002F5C88"/>
    <w:rsid w:val="002F5D6F"/>
    <w:rsid w:val="002F5D94"/>
    <w:rsid w:val="002F5FB0"/>
    <w:rsid w:val="002F6010"/>
    <w:rsid w:val="002F614E"/>
    <w:rsid w:val="002F61FC"/>
    <w:rsid w:val="002F6239"/>
    <w:rsid w:val="002F62D8"/>
    <w:rsid w:val="002F6363"/>
    <w:rsid w:val="002F638E"/>
    <w:rsid w:val="002F6498"/>
    <w:rsid w:val="002F669D"/>
    <w:rsid w:val="002F66A2"/>
    <w:rsid w:val="002F69E8"/>
    <w:rsid w:val="002F6B37"/>
    <w:rsid w:val="002F6DAE"/>
    <w:rsid w:val="002F6DB7"/>
    <w:rsid w:val="002F6EA1"/>
    <w:rsid w:val="002F6EA7"/>
    <w:rsid w:val="002F6F56"/>
    <w:rsid w:val="002F6F63"/>
    <w:rsid w:val="002F701E"/>
    <w:rsid w:val="002F709F"/>
    <w:rsid w:val="002F718B"/>
    <w:rsid w:val="002F7429"/>
    <w:rsid w:val="002F7436"/>
    <w:rsid w:val="002F757B"/>
    <w:rsid w:val="002F7592"/>
    <w:rsid w:val="002F771B"/>
    <w:rsid w:val="002F7759"/>
    <w:rsid w:val="002F7768"/>
    <w:rsid w:val="002F776D"/>
    <w:rsid w:val="002F7935"/>
    <w:rsid w:val="002F7B17"/>
    <w:rsid w:val="002F7C56"/>
    <w:rsid w:val="002F7E80"/>
    <w:rsid w:val="002F7FAA"/>
    <w:rsid w:val="002FA5DD"/>
    <w:rsid w:val="00300124"/>
    <w:rsid w:val="003003D5"/>
    <w:rsid w:val="00300482"/>
    <w:rsid w:val="003004E8"/>
    <w:rsid w:val="00300528"/>
    <w:rsid w:val="00300538"/>
    <w:rsid w:val="0030060C"/>
    <w:rsid w:val="0030080F"/>
    <w:rsid w:val="00300C6C"/>
    <w:rsid w:val="00300C89"/>
    <w:rsid w:val="00300D92"/>
    <w:rsid w:val="00300DD6"/>
    <w:rsid w:val="00300DE7"/>
    <w:rsid w:val="00300EC4"/>
    <w:rsid w:val="00300F23"/>
    <w:rsid w:val="003010D7"/>
    <w:rsid w:val="003010FC"/>
    <w:rsid w:val="00301375"/>
    <w:rsid w:val="003014B2"/>
    <w:rsid w:val="00301649"/>
    <w:rsid w:val="00301733"/>
    <w:rsid w:val="0030181A"/>
    <w:rsid w:val="00301A1A"/>
    <w:rsid w:val="00301B24"/>
    <w:rsid w:val="00301BA4"/>
    <w:rsid w:val="00301C41"/>
    <w:rsid w:val="00301C53"/>
    <w:rsid w:val="00301CCA"/>
    <w:rsid w:val="00301D50"/>
    <w:rsid w:val="00301DF4"/>
    <w:rsid w:val="00301FFB"/>
    <w:rsid w:val="003020D9"/>
    <w:rsid w:val="003020E7"/>
    <w:rsid w:val="00302318"/>
    <w:rsid w:val="00302372"/>
    <w:rsid w:val="0030245A"/>
    <w:rsid w:val="0030265A"/>
    <w:rsid w:val="00302668"/>
    <w:rsid w:val="003026D7"/>
    <w:rsid w:val="00302718"/>
    <w:rsid w:val="003027CB"/>
    <w:rsid w:val="003027D6"/>
    <w:rsid w:val="00302896"/>
    <w:rsid w:val="00302A52"/>
    <w:rsid w:val="00302B03"/>
    <w:rsid w:val="00302B1B"/>
    <w:rsid w:val="00302B38"/>
    <w:rsid w:val="00302C16"/>
    <w:rsid w:val="00302CB3"/>
    <w:rsid w:val="00302D63"/>
    <w:rsid w:val="00302D8C"/>
    <w:rsid w:val="00302EBC"/>
    <w:rsid w:val="00302F1F"/>
    <w:rsid w:val="0030307E"/>
    <w:rsid w:val="003030F7"/>
    <w:rsid w:val="0030317C"/>
    <w:rsid w:val="00303377"/>
    <w:rsid w:val="003034C5"/>
    <w:rsid w:val="0030352D"/>
    <w:rsid w:val="003035CE"/>
    <w:rsid w:val="003036AC"/>
    <w:rsid w:val="00303882"/>
    <w:rsid w:val="003038B8"/>
    <w:rsid w:val="00303B1D"/>
    <w:rsid w:val="00303B38"/>
    <w:rsid w:val="00303C10"/>
    <w:rsid w:val="00303C40"/>
    <w:rsid w:val="00303C6E"/>
    <w:rsid w:val="00303CDF"/>
    <w:rsid w:val="00303CEC"/>
    <w:rsid w:val="00303D6E"/>
    <w:rsid w:val="00303DF4"/>
    <w:rsid w:val="00303E1A"/>
    <w:rsid w:val="00303EA3"/>
    <w:rsid w:val="0030404B"/>
    <w:rsid w:val="00304077"/>
    <w:rsid w:val="0030408A"/>
    <w:rsid w:val="0030420D"/>
    <w:rsid w:val="00304224"/>
    <w:rsid w:val="003043EF"/>
    <w:rsid w:val="00304410"/>
    <w:rsid w:val="003044BC"/>
    <w:rsid w:val="003045BF"/>
    <w:rsid w:val="0030470F"/>
    <w:rsid w:val="003047C0"/>
    <w:rsid w:val="0030486A"/>
    <w:rsid w:val="003049AE"/>
    <w:rsid w:val="00304D94"/>
    <w:rsid w:val="00304DEF"/>
    <w:rsid w:val="00304F7F"/>
    <w:rsid w:val="00304FA1"/>
    <w:rsid w:val="003050C2"/>
    <w:rsid w:val="0030512E"/>
    <w:rsid w:val="0030517C"/>
    <w:rsid w:val="003051AF"/>
    <w:rsid w:val="00305254"/>
    <w:rsid w:val="003052D4"/>
    <w:rsid w:val="003052F7"/>
    <w:rsid w:val="003053D5"/>
    <w:rsid w:val="0030569D"/>
    <w:rsid w:val="003056CC"/>
    <w:rsid w:val="00305A00"/>
    <w:rsid w:val="00305A9E"/>
    <w:rsid w:val="00305AED"/>
    <w:rsid w:val="00305B66"/>
    <w:rsid w:val="00305B7F"/>
    <w:rsid w:val="00305CB8"/>
    <w:rsid w:val="00305CC7"/>
    <w:rsid w:val="00305CD5"/>
    <w:rsid w:val="00305F1F"/>
    <w:rsid w:val="00306042"/>
    <w:rsid w:val="00306068"/>
    <w:rsid w:val="00306179"/>
    <w:rsid w:val="003062D6"/>
    <w:rsid w:val="00306312"/>
    <w:rsid w:val="003063E6"/>
    <w:rsid w:val="0030663A"/>
    <w:rsid w:val="003066A5"/>
    <w:rsid w:val="0030672B"/>
    <w:rsid w:val="0030675F"/>
    <w:rsid w:val="003068D9"/>
    <w:rsid w:val="003069D6"/>
    <w:rsid w:val="00306BB7"/>
    <w:rsid w:val="00306BC0"/>
    <w:rsid w:val="00306BDA"/>
    <w:rsid w:val="00306C0B"/>
    <w:rsid w:val="00306C94"/>
    <w:rsid w:val="00306D56"/>
    <w:rsid w:val="00306ED9"/>
    <w:rsid w:val="00306F9E"/>
    <w:rsid w:val="0030704E"/>
    <w:rsid w:val="00307050"/>
    <w:rsid w:val="003072F9"/>
    <w:rsid w:val="00307377"/>
    <w:rsid w:val="00307390"/>
    <w:rsid w:val="003073F3"/>
    <w:rsid w:val="00307428"/>
    <w:rsid w:val="003074D7"/>
    <w:rsid w:val="0030799A"/>
    <w:rsid w:val="003079D2"/>
    <w:rsid w:val="00307ACF"/>
    <w:rsid w:val="00307AF0"/>
    <w:rsid w:val="00307B75"/>
    <w:rsid w:val="00307D98"/>
    <w:rsid w:val="00307DFD"/>
    <w:rsid w:val="00307E0F"/>
    <w:rsid w:val="00307E93"/>
    <w:rsid w:val="00307EAB"/>
    <w:rsid w:val="00307F9F"/>
    <w:rsid w:val="0030B335"/>
    <w:rsid w:val="00310022"/>
    <w:rsid w:val="00310057"/>
    <w:rsid w:val="0031012E"/>
    <w:rsid w:val="00310349"/>
    <w:rsid w:val="0031034B"/>
    <w:rsid w:val="00310435"/>
    <w:rsid w:val="0031044E"/>
    <w:rsid w:val="003104F1"/>
    <w:rsid w:val="00310891"/>
    <w:rsid w:val="003108C0"/>
    <w:rsid w:val="003108E4"/>
    <w:rsid w:val="0031095A"/>
    <w:rsid w:val="003109B8"/>
    <w:rsid w:val="003109CA"/>
    <w:rsid w:val="003109CC"/>
    <w:rsid w:val="00310C86"/>
    <w:rsid w:val="00310CD2"/>
    <w:rsid w:val="00310E53"/>
    <w:rsid w:val="00310FAE"/>
    <w:rsid w:val="00310FDC"/>
    <w:rsid w:val="0031109C"/>
    <w:rsid w:val="00311113"/>
    <w:rsid w:val="00311200"/>
    <w:rsid w:val="003112CC"/>
    <w:rsid w:val="003115F8"/>
    <w:rsid w:val="00311632"/>
    <w:rsid w:val="0031166B"/>
    <w:rsid w:val="0031188E"/>
    <w:rsid w:val="00311940"/>
    <w:rsid w:val="003119DD"/>
    <w:rsid w:val="003119EF"/>
    <w:rsid w:val="00311A40"/>
    <w:rsid w:val="00311A88"/>
    <w:rsid w:val="00311ACC"/>
    <w:rsid w:val="00311BB3"/>
    <w:rsid w:val="00311C60"/>
    <w:rsid w:val="00311D0B"/>
    <w:rsid w:val="00311F5D"/>
    <w:rsid w:val="00311FA6"/>
    <w:rsid w:val="00312127"/>
    <w:rsid w:val="003122D2"/>
    <w:rsid w:val="00312360"/>
    <w:rsid w:val="003124DB"/>
    <w:rsid w:val="00312715"/>
    <w:rsid w:val="00312763"/>
    <w:rsid w:val="0031276E"/>
    <w:rsid w:val="003127A2"/>
    <w:rsid w:val="0031286B"/>
    <w:rsid w:val="00312A39"/>
    <w:rsid w:val="00312A72"/>
    <w:rsid w:val="00312BDC"/>
    <w:rsid w:val="00312D07"/>
    <w:rsid w:val="00312D97"/>
    <w:rsid w:val="00312E39"/>
    <w:rsid w:val="00312F36"/>
    <w:rsid w:val="00312FDF"/>
    <w:rsid w:val="00313092"/>
    <w:rsid w:val="003130CB"/>
    <w:rsid w:val="00313100"/>
    <w:rsid w:val="003131B6"/>
    <w:rsid w:val="003132AD"/>
    <w:rsid w:val="003135BA"/>
    <w:rsid w:val="0031360A"/>
    <w:rsid w:val="00313761"/>
    <w:rsid w:val="0031389E"/>
    <w:rsid w:val="00313987"/>
    <w:rsid w:val="003139B1"/>
    <w:rsid w:val="00313BD5"/>
    <w:rsid w:val="00313C4E"/>
    <w:rsid w:val="00313CAE"/>
    <w:rsid w:val="00313CF3"/>
    <w:rsid w:val="00313D17"/>
    <w:rsid w:val="00313D31"/>
    <w:rsid w:val="00313EB9"/>
    <w:rsid w:val="0031401D"/>
    <w:rsid w:val="0031406B"/>
    <w:rsid w:val="0031446F"/>
    <w:rsid w:val="003144C0"/>
    <w:rsid w:val="003146E5"/>
    <w:rsid w:val="00314A37"/>
    <w:rsid w:val="00314B8E"/>
    <w:rsid w:val="00314BC6"/>
    <w:rsid w:val="00314C3A"/>
    <w:rsid w:val="00314D62"/>
    <w:rsid w:val="00314ED9"/>
    <w:rsid w:val="0031514A"/>
    <w:rsid w:val="003151E5"/>
    <w:rsid w:val="00315262"/>
    <w:rsid w:val="0031533B"/>
    <w:rsid w:val="0031538D"/>
    <w:rsid w:val="0031544C"/>
    <w:rsid w:val="00315512"/>
    <w:rsid w:val="003155B0"/>
    <w:rsid w:val="003156E7"/>
    <w:rsid w:val="00315714"/>
    <w:rsid w:val="00315842"/>
    <w:rsid w:val="00315961"/>
    <w:rsid w:val="00315C2B"/>
    <w:rsid w:val="00315CBD"/>
    <w:rsid w:val="00315E07"/>
    <w:rsid w:val="00315E2F"/>
    <w:rsid w:val="00315E43"/>
    <w:rsid w:val="00316088"/>
    <w:rsid w:val="00316159"/>
    <w:rsid w:val="00316297"/>
    <w:rsid w:val="00316423"/>
    <w:rsid w:val="003165E4"/>
    <w:rsid w:val="003165F8"/>
    <w:rsid w:val="003166E2"/>
    <w:rsid w:val="003167A4"/>
    <w:rsid w:val="003167EE"/>
    <w:rsid w:val="003168B6"/>
    <w:rsid w:val="003169C4"/>
    <w:rsid w:val="00316A01"/>
    <w:rsid w:val="00316A5C"/>
    <w:rsid w:val="00316C67"/>
    <w:rsid w:val="00316CAD"/>
    <w:rsid w:val="00316CBC"/>
    <w:rsid w:val="00316DC1"/>
    <w:rsid w:val="00316EAC"/>
    <w:rsid w:val="00316EC1"/>
    <w:rsid w:val="003171B9"/>
    <w:rsid w:val="00317435"/>
    <w:rsid w:val="00317462"/>
    <w:rsid w:val="00317476"/>
    <w:rsid w:val="0031749B"/>
    <w:rsid w:val="003174D7"/>
    <w:rsid w:val="003175C0"/>
    <w:rsid w:val="003175E5"/>
    <w:rsid w:val="003176D3"/>
    <w:rsid w:val="003177C3"/>
    <w:rsid w:val="0031786F"/>
    <w:rsid w:val="003178D7"/>
    <w:rsid w:val="00317948"/>
    <w:rsid w:val="00317AD4"/>
    <w:rsid w:val="00317B2E"/>
    <w:rsid w:val="00317B5C"/>
    <w:rsid w:val="00317D28"/>
    <w:rsid w:val="00317D86"/>
    <w:rsid w:val="00317DAE"/>
    <w:rsid w:val="00317FB1"/>
    <w:rsid w:val="0031BC09"/>
    <w:rsid w:val="003201C1"/>
    <w:rsid w:val="003203AE"/>
    <w:rsid w:val="003205B6"/>
    <w:rsid w:val="003207D3"/>
    <w:rsid w:val="003209E2"/>
    <w:rsid w:val="00320AA7"/>
    <w:rsid w:val="00320C2A"/>
    <w:rsid w:val="00320C55"/>
    <w:rsid w:val="00320D2D"/>
    <w:rsid w:val="0032101C"/>
    <w:rsid w:val="00321384"/>
    <w:rsid w:val="0032145B"/>
    <w:rsid w:val="003215A8"/>
    <w:rsid w:val="0032182F"/>
    <w:rsid w:val="00321941"/>
    <w:rsid w:val="00321B07"/>
    <w:rsid w:val="00321C88"/>
    <w:rsid w:val="00321E05"/>
    <w:rsid w:val="00321E74"/>
    <w:rsid w:val="00322042"/>
    <w:rsid w:val="0032204D"/>
    <w:rsid w:val="00322173"/>
    <w:rsid w:val="0032217D"/>
    <w:rsid w:val="0032228E"/>
    <w:rsid w:val="003223DD"/>
    <w:rsid w:val="0032245F"/>
    <w:rsid w:val="00322462"/>
    <w:rsid w:val="00322488"/>
    <w:rsid w:val="003226F8"/>
    <w:rsid w:val="0032276D"/>
    <w:rsid w:val="0032291A"/>
    <w:rsid w:val="00322972"/>
    <w:rsid w:val="00322978"/>
    <w:rsid w:val="00322B01"/>
    <w:rsid w:val="00322BC5"/>
    <w:rsid w:val="00322C29"/>
    <w:rsid w:val="00322CB4"/>
    <w:rsid w:val="00322CD6"/>
    <w:rsid w:val="00322D45"/>
    <w:rsid w:val="00322D5E"/>
    <w:rsid w:val="00322D6C"/>
    <w:rsid w:val="00322E75"/>
    <w:rsid w:val="00323056"/>
    <w:rsid w:val="003230F3"/>
    <w:rsid w:val="0032312D"/>
    <w:rsid w:val="0032317F"/>
    <w:rsid w:val="0032320C"/>
    <w:rsid w:val="00323222"/>
    <w:rsid w:val="0032323D"/>
    <w:rsid w:val="003232B4"/>
    <w:rsid w:val="00323626"/>
    <w:rsid w:val="00323756"/>
    <w:rsid w:val="0032384C"/>
    <w:rsid w:val="0032387D"/>
    <w:rsid w:val="003239A1"/>
    <w:rsid w:val="003239B6"/>
    <w:rsid w:val="00323AB5"/>
    <w:rsid w:val="00323B6E"/>
    <w:rsid w:val="00323D33"/>
    <w:rsid w:val="00323EF6"/>
    <w:rsid w:val="0032402B"/>
    <w:rsid w:val="003240DB"/>
    <w:rsid w:val="0032422C"/>
    <w:rsid w:val="00324446"/>
    <w:rsid w:val="003244B3"/>
    <w:rsid w:val="003244FD"/>
    <w:rsid w:val="0032451E"/>
    <w:rsid w:val="00324540"/>
    <w:rsid w:val="0032456E"/>
    <w:rsid w:val="003245DE"/>
    <w:rsid w:val="003245E0"/>
    <w:rsid w:val="00324A27"/>
    <w:rsid w:val="00324A94"/>
    <w:rsid w:val="00324BBF"/>
    <w:rsid w:val="00324C5A"/>
    <w:rsid w:val="00324E09"/>
    <w:rsid w:val="00324E95"/>
    <w:rsid w:val="00324FE1"/>
    <w:rsid w:val="003250BA"/>
    <w:rsid w:val="0032526B"/>
    <w:rsid w:val="00325296"/>
    <w:rsid w:val="00325326"/>
    <w:rsid w:val="003256F4"/>
    <w:rsid w:val="00325767"/>
    <w:rsid w:val="003257C5"/>
    <w:rsid w:val="00325891"/>
    <w:rsid w:val="00325B07"/>
    <w:rsid w:val="00325CB4"/>
    <w:rsid w:val="00325D62"/>
    <w:rsid w:val="00326137"/>
    <w:rsid w:val="003261DE"/>
    <w:rsid w:val="00326330"/>
    <w:rsid w:val="003263A2"/>
    <w:rsid w:val="0032645E"/>
    <w:rsid w:val="00326A02"/>
    <w:rsid w:val="00326A19"/>
    <w:rsid w:val="00326A86"/>
    <w:rsid w:val="00326BF7"/>
    <w:rsid w:val="00326CDA"/>
    <w:rsid w:val="00326DB6"/>
    <w:rsid w:val="00326DEA"/>
    <w:rsid w:val="00326EAE"/>
    <w:rsid w:val="00326F1E"/>
    <w:rsid w:val="00326F6B"/>
    <w:rsid w:val="00326F71"/>
    <w:rsid w:val="00326F8D"/>
    <w:rsid w:val="003272A9"/>
    <w:rsid w:val="0032748B"/>
    <w:rsid w:val="00327498"/>
    <w:rsid w:val="003275A2"/>
    <w:rsid w:val="0032773B"/>
    <w:rsid w:val="0032786E"/>
    <w:rsid w:val="0032790A"/>
    <w:rsid w:val="00327997"/>
    <w:rsid w:val="003279AB"/>
    <w:rsid w:val="00327A24"/>
    <w:rsid w:val="00327A68"/>
    <w:rsid w:val="00327BBC"/>
    <w:rsid w:val="00327CC7"/>
    <w:rsid w:val="00327D1A"/>
    <w:rsid w:val="00327D85"/>
    <w:rsid w:val="00327F3F"/>
    <w:rsid w:val="0032CE73"/>
    <w:rsid w:val="0032F9B7"/>
    <w:rsid w:val="003300AF"/>
    <w:rsid w:val="00330256"/>
    <w:rsid w:val="003302F0"/>
    <w:rsid w:val="0033043F"/>
    <w:rsid w:val="003304C1"/>
    <w:rsid w:val="003307F4"/>
    <w:rsid w:val="00330AD6"/>
    <w:rsid w:val="00330C01"/>
    <w:rsid w:val="00330D96"/>
    <w:rsid w:val="00330DD5"/>
    <w:rsid w:val="00330F9D"/>
    <w:rsid w:val="00331089"/>
    <w:rsid w:val="00331093"/>
    <w:rsid w:val="00331441"/>
    <w:rsid w:val="00331446"/>
    <w:rsid w:val="00331494"/>
    <w:rsid w:val="0033154C"/>
    <w:rsid w:val="003315B9"/>
    <w:rsid w:val="003315F0"/>
    <w:rsid w:val="003317AF"/>
    <w:rsid w:val="003317EB"/>
    <w:rsid w:val="0033191E"/>
    <w:rsid w:val="0033195C"/>
    <w:rsid w:val="00331AD3"/>
    <w:rsid w:val="00331C99"/>
    <w:rsid w:val="00331D68"/>
    <w:rsid w:val="00331E2F"/>
    <w:rsid w:val="00332087"/>
    <w:rsid w:val="00332097"/>
    <w:rsid w:val="0033230E"/>
    <w:rsid w:val="003323F3"/>
    <w:rsid w:val="0033247E"/>
    <w:rsid w:val="003324BC"/>
    <w:rsid w:val="003325B8"/>
    <w:rsid w:val="0033266E"/>
    <w:rsid w:val="00332810"/>
    <w:rsid w:val="0033290A"/>
    <w:rsid w:val="0033290E"/>
    <w:rsid w:val="003329A8"/>
    <w:rsid w:val="00332A4F"/>
    <w:rsid w:val="00332BC2"/>
    <w:rsid w:val="00332BDD"/>
    <w:rsid w:val="00332D94"/>
    <w:rsid w:val="00332DA6"/>
    <w:rsid w:val="00332E42"/>
    <w:rsid w:val="00333053"/>
    <w:rsid w:val="0033323E"/>
    <w:rsid w:val="00333241"/>
    <w:rsid w:val="003332E3"/>
    <w:rsid w:val="00333347"/>
    <w:rsid w:val="0033338E"/>
    <w:rsid w:val="003333DF"/>
    <w:rsid w:val="00333603"/>
    <w:rsid w:val="003336C5"/>
    <w:rsid w:val="003336E3"/>
    <w:rsid w:val="0033393B"/>
    <w:rsid w:val="00333A34"/>
    <w:rsid w:val="00333B82"/>
    <w:rsid w:val="00333F57"/>
    <w:rsid w:val="00333F9C"/>
    <w:rsid w:val="00334175"/>
    <w:rsid w:val="003342C3"/>
    <w:rsid w:val="0033434C"/>
    <w:rsid w:val="00334694"/>
    <w:rsid w:val="003346D1"/>
    <w:rsid w:val="0033483C"/>
    <w:rsid w:val="003349F5"/>
    <w:rsid w:val="00334A25"/>
    <w:rsid w:val="00334A9E"/>
    <w:rsid w:val="00334C24"/>
    <w:rsid w:val="00334C5C"/>
    <w:rsid w:val="00334C99"/>
    <w:rsid w:val="00334DEE"/>
    <w:rsid w:val="0033503F"/>
    <w:rsid w:val="0033513C"/>
    <w:rsid w:val="00335181"/>
    <w:rsid w:val="00335250"/>
    <w:rsid w:val="00335291"/>
    <w:rsid w:val="0033531B"/>
    <w:rsid w:val="003354B3"/>
    <w:rsid w:val="00335638"/>
    <w:rsid w:val="0033580A"/>
    <w:rsid w:val="0033586E"/>
    <w:rsid w:val="003358CC"/>
    <w:rsid w:val="00335A17"/>
    <w:rsid w:val="00335CE5"/>
    <w:rsid w:val="00335D5D"/>
    <w:rsid w:val="00335F5B"/>
    <w:rsid w:val="00336066"/>
    <w:rsid w:val="003361CF"/>
    <w:rsid w:val="0033622E"/>
    <w:rsid w:val="0033623A"/>
    <w:rsid w:val="0033650C"/>
    <w:rsid w:val="003367C4"/>
    <w:rsid w:val="00336878"/>
    <w:rsid w:val="0033692B"/>
    <w:rsid w:val="0033694A"/>
    <w:rsid w:val="003369EF"/>
    <w:rsid w:val="00336C65"/>
    <w:rsid w:val="00336D21"/>
    <w:rsid w:val="00336D51"/>
    <w:rsid w:val="00337088"/>
    <w:rsid w:val="00337153"/>
    <w:rsid w:val="003371E1"/>
    <w:rsid w:val="00337321"/>
    <w:rsid w:val="003373A2"/>
    <w:rsid w:val="0033753D"/>
    <w:rsid w:val="003376D7"/>
    <w:rsid w:val="00337722"/>
    <w:rsid w:val="00337829"/>
    <w:rsid w:val="003378B8"/>
    <w:rsid w:val="00337943"/>
    <w:rsid w:val="00337A32"/>
    <w:rsid w:val="00337A64"/>
    <w:rsid w:val="00337CF5"/>
    <w:rsid w:val="00337D01"/>
    <w:rsid w:val="00337D2E"/>
    <w:rsid w:val="00337DAC"/>
    <w:rsid w:val="00337DDB"/>
    <w:rsid w:val="00337EF7"/>
    <w:rsid w:val="00337F0C"/>
    <w:rsid w:val="00337FF6"/>
    <w:rsid w:val="00340068"/>
    <w:rsid w:val="00340206"/>
    <w:rsid w:val="003402A1"/>
    <w:rsid w:val="00340388"/>
    <w:rsid w:val="003403D1"/>
    <w:rsid w:val="003404D9"/>
    <w:rsid w:val="003407B6"/>
    <w:rsid w:val="003407E0"/>
    <w:rsid w:val="003408C8"/>
    <w:rsid w:val="00340C7F"/>
    <w:rsid w:val="00340DA6"/>
    <w:rsid w:val="00340DAC"/>
    <w:rsid w:val="00340E8A"/>
    <w:rsid w:val="00340F5E"/>
    <w:rsid w:val="00340FDB"/>
    <w:rsid w:val="00341020"/>
    <w:rsid w:val="0034104D"/>
    <w:rsid w:val="003410F2"/>
    <w:rsid w:val="00341530"/>
    <w:rsid w:val="0034181A"/>
    <w:rsid w:val="00341907"/>
    <w:rsid w:val="00341BC6"/>
    <w:rsid w:val="00341C2A"/>
    <w:rsid w:val="00341CAD"/>
    <w:rsid w:val="00341FD1"/>
    <w:rsid w:val="0034218D"/>
    <w:rsid w:val="00342273"/>
    <w:rsid w:val="003422E1"/>
    <w:rsid w:val="00342386"/>
    <w:rsid w:val="00342527"/>
    <w:rsid w:val="00342529"/>
    <w:rsid w:val="00342554"/>
    <w:rsid w:val="0034268B"/>
    <w:rsid w:val="003427B1"/>
    <w:rsid w:val="00342892"/>
    <w:rsid w:val="003428C0"/>
    <w:rsid w:val="003429E1"/>
    <w:rsid w:val="00342B17"/>
    <w:rsid w:val="00342B18"/>
    <w:rsid w:val="00342B72"/>
    <w:rsid w:val="00342B7F"/>
    <w:rsid w:val="00342BF6"/>
    <w:rsid w:val="00342C79"/>
    <w:rsid w:val="00342DC1"/>
    <w:rsid w:val="00342E39"/>
    <w:rsid w:val="00342F37"/>
    <w:rsid w:val="00342F40"/>
    <w:rsid w:val="00343000"/>
    <w:rsid w:val="0034302E"/>
    <w:rsid w:val="003430B5"/>
    <w:rsid w:val="003430D9"/>
    <w:rsid w:val="0034325D"/>
    <w:rsid w:val="00343393"/>
    <w:rsid w:val="003434D1"/>
    <w:rsid w:val="00343524"/>
    <w:rsid w:val="00343644"/>
    <w:rsid w:val="0034369E"/>
    <w:rsid w:val="00343781"/>
    <w:rsid w:val="00343856"/>
    <w:rsid w:val="003438B7"/>
    <w:rsid w:val="00343917"/>
    <w:rsid w:val="00343984"/>
    <w:rsid w:val="00343BE9"/>
    <w:rsid w:val="00343E00"/>
    <w:rsid w:val="00343E1B"/>
    <w:rsid w:val="00343EF4"/>
    <w:rsid w:val="00343FEF"/>
    <w:rsid w:val="00344007"/>
    <w:rsid w:val="00344014"/>
    <w:rsid w:val="00344235"/>
    <w:rsid w:val="00344424"/>
    <w:rsid w:val="0034446F"/>
    <w:rsid w:val="003444EA"/>
    <w:rsid w:val="003445B3"/>
    <w:rsid w:val="003446E0"/>
    <w:rsid w:val="003447CE"/>
    <w:rsid w:val="003448AF"/>
    <w:rsid w:val="003449A4"/>
    <w:rsid w:val="00344A76"/>
    <w:rsid w:val="00344AE4"/>
    <w:rsid w:val="00344B20"/>
    <w:rsid w:val="00344BEF"/>
    <w:rsid w:val="00344D5C"/>
    <w:rsid w:val="00345133"/>
    <w:rsid w:val="00345141"/>
    <w:rsid w:val="003451ED"/>
    <w:rsid w:val="0034539C"/>
    <w:rsid w:val="0034547C"/>
    <w:rsid w:val="0034548E"/>
    <w:rsid w:val="003457D2"/>
    <w:rsid w:val="0034589B"/>
    <w:rsid w:val="003458EB"/>
    <w:rsid w:val="003459DA"/>
    <w:rsid w:val="00345AA4"/>
    <w:rsid w:val="00345AB5"/>
    <w:rsid w:val="00345C69"/>
    <w:rsid w:val="00345D8F"/>
    <w:rsid w:val="00345F02"/>
    <w:rsid w:val="00345F81"/>
    <w:rsid w:val="00345FBE"/>
    <w:rsid w:val="00346186"/>
    <w:rsid w:val="00346359"/>
    <w:rsid w:val="0034645A"/>
    <w:rsid w:val="00346506"/>
    <w:rsid w:val="00346584"/>
    <w:rsid w:val="0034673F"/>
    <w:rsid w:val="003468DA"/>
    <w:rsid w:val="00346913"/>
    <w:rsid w:val="00346944"/>
    <w:rsid w:val="00346A34"/>
    <w:rsid w:val="00346B47"/>
    <w:rsid w:val="00346BBC"/>
    <w:rsid w:val="00346BE4"/>
    <w:rsid w:val="0034703F"/>
    <w:rsid w:val="003473D4"/>
    <w:rsid w:val="003474D2"/>
    <w:rsid w:val="0034750E"/>
    <w:rsid w:val="003476C2"/>
    <w:rsid w:val="00347704"/>
    <w:rsid w:val="0034770F"/>
    <w:rsid w:val="00347742"/>
    <w:rsid w:val="0034796B"/>
    <w:rsid w:val="00347A0A"/>
    <w:rsid w:val="00347A31"/>
    <w:rsid w:val="00347BAC"/>
    <w:rsid w:val="00347BB7"/>
    <w:rsid w:val="00347D24"/>
    <w:rsid w:val="00347D62"/>
    <w:rsid w:val="00347DC6"/>
    <w:rsid w:val="00347F47"/>
    <w:rsid w:val="00347F7C"/>
    <w:rsid w:val="0035002B"/>
    <w:rsid w:val="0035012A"/>
    <w:rsid w:val="0035014D"/>
    <w:rsid w:val="00350160"/>
    <w:rsid w:val="003502CA"/>
    <w:rsid w:val="003502DB"/>
    <w:rsid w:val="00350493"/>
    <w:rsid w:val="003505C6"/>
    <w:rsid w:val="00350616"/>
    <w:rsid w:val="003507D8"/>
    <w:rsid w:val="00350802"/>
    <w:rsid w:val="0035089E"/>
    <w:rsid w:val="00350965"/>
    <w:rsid w:val="00350A37"/>
    <w:rsid w:val="00350B5C"/>
    <w:rsid w:val="00350BAB"/>
    <w:rsid w:val="00350C43"/>
    <w:rsid w:val="00350E23"/>
    <w:rsid w:val="00350E3D"/>
    <w:rsid w:val="00350E55"/>
    <w:rsid w:val="003510D6"/>
    <w:rsid w:val="00351135"/>
    <w:rsid w:val="00351512"/>
    <w:rsid w:val="00351571"/>
    <w:rsid w:val="00351734"/>
    <w:rsid w:val="0035187B"/>
    <w:rsid w:val="0035190A"/>
    <w:rsid w:val="003519B6"/>
    <w:rsid w:val="003519F3"/>
    <w:rsid w:val="00351C93"/>
    <w:rsid w:val="00351CF6"/>
    <w:rsid w:val="00351CF9"/>
    <w:rsid w:val="00351D93"/>
    <w:rsid w:val="00351EEF"/>
    <w:rsid w:val="00352197"/>
    <w:rsid w:val="003521AC"/>
    <w:rsid w:val="0035235F"/>
    <w:rsid w:val="00352442"/>
    <w:rsid w:val="00352560"/>
    <w:rsid w:val="00352572"/>
    <w:rsid w:val="0035262D"/>
    <w:rsid w:val="003527F8"/>
    <w:rsid w:val="003529D6"/>
    <w:rsid w:val="00352A61"/>
    <w:rsid w:val="00352AB1"/>
    <w:rsid w:val="00352EAB"/>
    <w:rsid w:val="003530A6"/>
    <w:rsid w:val="003530CB"/>
    <w:rsid w:val="0035344C"/>
    <w:rsid w:val="003534C0"/>
    <w:rsid w:val="003534F3"/>
    <w:rsid w:val="0035351D"/>
    <w:rsid w:val="0035354D"/>
    <w:rsid w:val="0035367F"/>
    <w:rsid w:val="003538A8"/>
    <w:rsid w:val="00353B3D"/>
    <w:rsid w:val="00353B6E"/>
    <w:rsid w:val="00353B78"/>
    <w:rsid w:val="00353DE1"/>
    <w:rsid w:val="00353EB2"/>
    <w:rsid w:val="00353ED1"/>
    <w:rsid w:val="00353F59"/>
    <w:rsid w:val="00354115"/>
    <w:rsid w:val="00354365"/>
    <w:rsid w:val="0035451F"/>
    <w:rsid w:val="00354521"/>
    <w:rsid w:val="0035455C"/>
    <w:rsid w:val="00354580"/>
    <w:rsid w:val="003547AD"/>
    <w:rsid w:val="003548E3"/>
    <w:rsid w:val="003548ED"/>
    <w:rsid w:val="0035490C"/>
    <w:rsid w:val="00354B07"/>
    <w:rsid w:val="00354DED"/>
    <w:rsid w:val="00354ECE"/>
    <w:rsid w:val="00355074"/>
    <w:rsid w:val="003550BF"/>
    <w:rsid w:val="00355196"/>
    <w:rsid w:val="00355383"/>
    <w:rsid w:val="003553F1"/>
    <w:rsid w:val="00355430"/>
    <w:rsid w:val="00355592"/>
    <w:rsid w:val="003555BF"/>
    <w:rsid w:val="003556CF"/>
    <w:rsid w:val="0035570F"/>
    <w:rsid w:val="003557E4"/>
    <w:rsid w:val="003558D8"/>
    <w:rsid w:val="0035595C"/>
    <w:rsid w:val="003559FA"/>
    <w:rsid w:val="00355A75"/>
    <w:rsid w:val="00355DF0"/>
    <w:rsid w:val="00355E90"/>
    <w:rsid w:val="003560B0"/>
    <w:rsid w:val="00356102"/>
    <w:rsid w:val="00356387"/>
    <w:rsid w:val="003563A3"/>
    <w:rsid w:val="003563F6"/>
    <w:rsid w:val="003565C5"/>
    <w:rsid w:val="00356686"/>
    <w:rsid w:val="00356943"/>
    <w:rsid w:val="00356BEC"/>
    <w:rsid w:val="00356FEC"/>
    <w:rsid w:val="00357018"/>
    <w:rsid w:val="00357022"/>
    <w:rsid w:val="00357150"/>
    <w:rsid w:val="00357305"/>
    <w:rsid w:val="0035737D"/>
    <w:rsid w:val="003573F6"/>
    <w:rsid w:val="00357823"/>
    <w:rsid w:val="0035786F"/>
    <w:rsid w:val="00357A57"/>
    <w:rsid w:val="00357B40"/>
    <w:rsid w:val="00357E4C"/>
    <w:rsid w:val="00357ECD"/>
    <w:rsid w:val="00357F06"/>
    <w:rsid w:val="00357F14"/>
    <w:rsid w:val="00357F70"/>
    <w:rsid w:val="00357FA5"/>
    <w:rsid w:val="0035A6BF"/>
    <w:rsid w:val="0035A8B4"/>
    <w:rsid w:val="00360025"/>
    <w:rsid w:val="0036038C"/>
    <w:rsid w:val="003603FC"/>
    <w:rsid w:val="00360416"/>
    <w:rsid w:val="00360427"/>
    <w:rsid w:val="00360492"/>
    <w:rsid w:val="003604A1"/>
    <w:rsid w:val="003604F3"/>
    <w:rsid w:val="0036053E"/>
    <w:rsid w:val="00360564"/>
    <w:rsid w:val="003605DA"/>
    <w:rsid w:val="0036068B"/>
    <w:rsid w:val="00360913"/>
    <w:rsid w:val="00360946"/>
    <w:rsid w:val="00360AB4"/>
    <w:rsid w:val="00360B17"/>
    <w:rsid w:val="00360C18"/>
    <w:rsid w:val="00360CF7"/>
    <w:rsid w:val="00360E30"/>
    <w:rsid w:val="0036104E"/>
    <w:rsid w:val="003610D1"/>
    <w:rsid w:val="0036112C"/>
    <w:rsid w:val="003611DF"/>
    <w:rsid w:val="00361293"/>
    <w:rsid w:val="00361366"/>
    <w:rsid w:val="00361389"/>
    <w:rsid w:val="003613EC"/>
    <w:rsid w:val="00361490"/>
    <w:rsid w:val="0036149F"/>
    <w:rsid w:val="0036158A"/>
    <w:rsid w:val="003615F4"/>
    <w:rsid w:val="00361791"/>
    <w:rsid w:val="0036182F"/>
    <w:rsid w:val="00361B3D"/>
    <w:rsid w:val="00361BC7"/>
    <w:rsid w:val="00361C2C"/>
    <w:rsid w:val="00361C50"/>
    <w:rsid w:val="00361E9E"/>
    <w:rsid w:val="00361EF8"/>
    <w:rsid w:val="00361F9E"/>
    <w:rsid w:val="003621DE"/>
    <w:rsid w:val="003621E8"/>
    <w:rsid w:val="00362240"/>
    <w:rsid w:val="00362274"/>
    <w:rsid w:val="0036235C"/>
    <w:rsid w:val="00362391"/>
    <w:rsid w:val="003623DC"/>
    <w:rsid w:val="00362614"/>
    <w:rsid w:val="0036268C"/>
    <w:rsid w:val="003626DD"/>
    <w:rsid w:val="00362770"/>
    <w:rsid w:val="0036277C"/>
    <w:rsid w:val="003628B9"/>
    <w:rsid w:val="003628E4"/>
    <w:rsid w:val="00362976"/>
    <w:rsid w:val="003629F3"/>
    <w:rsid w:val="00362CEE"/>
    <w:rsid w:val="00362D52"/>
    <w:rsid w:val="003630DF"/>
    <w:rsid w:val="0036314D"/>
    <w:rsid w:val="00363192"/>
    <w:rsid w:val="00363225"/>
    <w:rsid w:val="00363436"/>
    <w:rsid w:val="0036347F"/>
    <w:rsid w:val="00363738"/>
    <w:rsid w:val="0036377C"/>
    <w:rsid w:val="00363977"/>
    <w:rsid w:val="00363A6D"/>
    <w:rsid w:val="00363B85"/>
    <w:rsid w:val="00363C5F"/>
    <w:rsid w:val="00363CB4"/>
    <w:rsid w:val="00363DB9"/>
    <w:rsid w:val="00363F6A"/>
    <w:rsid w:val="003640DB"/>
    <w:rsid w:val="003641A1"/>
    <w:rsid w:val="00364249"/>
    <w:rsid w:val="003642A0"/>
    <w:rsid w:val="00364403"/>
    <w:rsid w:val="003644B3"/>
    <w:rsid w:val="00364696"/>
    <w:rsid w:val="00364875"/>
    <w:rsid w:val="00364896"/>
    <w:rsid w:val="003648F4"/>
    <w:rsid w:val="003649A5"/>
    <w:rsid w:val="003649B0"/>
    <w:rsid w:val="003649D5"/>
    <w:rsid w:val="00364A55"/>
    <w:rsid w:val="00364B56"/>
    <w:rsid w:val="00364C28"/>
    <w:rsid w:val="00364C59"/>
    <w:rsid w:val="00364D59"/>
    <w:rsid w:val="0036504A"/>
    <w:rsid w:val="00365262"/>
    <w:rsid w:val="003652F9"/>
    <w:rsid w:val="003657EC"/>
    <w:rsid w:val="00365870"/>
    <w:rsid w:val="00365C12"/>
    <w:rsid w:val="00365DD2"/>
    <w:rsid w:val="00366106"/>
    <w:rsid w:val="0036610E"/>
    <w:rsid w:val="003661B6"/>
    <w:rsid w:val="003661D1"/>
    <w:rsid w:val="003662C4"/>
    <w:rsid w:val="0036645F"/>
    <w:rsid w:val="00366576"/>
    <w:rsid w:val="00366A7D"/>
    <w:rsid w:val="00366B63"/>
    <w:rsid w:val="00366C15"/>
    <w:rsid w:val="00366DE1"/>
    <w:rsid w:val="00366E22"/>
    <w:rsid w:val="00366E47"/>
    <w:rsid w:val="00366F1D"/>
    <w:rsid w:val="00366F59"/>
    <w:rsid w:val="00366F67"/>
    <w:rsid w:val="0036702F"/>
    <w:rsid w:val="00367048"/>
    <w:rsid w:val="00367056"/>
    <w:rsid w:val="00367246"/>
    <w:rsid w:val="003672B1"/>
    <w:rsid w:val="0036749C"/>
    <w:rsid w:val="0036755E"/>
    <w:rsid w:val="00367581"/>
    <w:rsid w:val="003675DF"/>
    <w:rsid w:val="00367656"/>
    <w:rsid w:val="00367865"/>
    <w:rsid w:val="0036797E"/>
    <w:rsid w:val="00367A57"/>
    <w:rsid w:val="00367B72"/>
    <w:rsid w:val="00367E92"/>
    <w:rsid w:val="0036A42A"/>
    <w:rsid w:val="0037001E"/>
    <w:rsid w:val="00370085"/>
    <w:rsid w:val="0037013D"/>
    <w:rsid w:val="0037014F"/>
    <w:rsid w:val="00370160"/>
    <w:rsid w:val="00370192"/>
    <w:rsid w:val="0037024B"/>
    <w:rsid w:val="0037025D"/>
    <w:rsid w:val="003702DA"/>
    <w:rsid w:val="003703D6"/>
    <w:rsid w:val="0037055D"/>
    <w:rsid w:val="003706E6"/>
    <w:rsid w:val="003707C5"/>
    <w:rsid w:val="003708CC"/>
    <w:rsid w:val="00370C43"/>
    <w:rsid w:val="00370CCD"/>
    <w:rsid w:val="00370CFB"/>
    <w:rsid w:val="00370DD1"/>
    <w:rsid w:val="00370E50"/>
    <w:rsid w:val="00370F19"/>
    <w:rsid w:val="00371011"/>
    <w:rsid w:val="00371019"/>
    <w:rsid w:val="003713E2"/>
    <w:rsid w:val="0037145F"/>
    <w:rsid w:val="0037148F"/>
    <w:rsid w:val="00371558"/>
    <w:rsid w:val="003715D5"/>
    <w:rsid w:val="00371712"/>
    <w:rsid w:val="003717BB"/>
    <w:rsid w:val="0037199F"/>
    <w:rsid w:val="003719EC"/>
    <w:rsid w:val="00371A46"/>
    <w:rsid w:val="00371A59"/>
    <w:rsid w:val="00371AEF"/>
    <w:rsid w:val="00371B8E"/>
    <w:rsid w:val="00371C3E"/>
    <w:rsid w:val="00371D21"/>
    <w:rsid w:val="00371FB4"/>
    <w:rsid w:val="00372155"/>
    <w:rsid w:val="00372498"/>
    <w:rsid w:val="003725F6"/>
    <w:rsid w:val="003726E5"/>
    <w:rsid w:val="003726E9"/>
    <w:rsid w:val="0037275B"/>
    <w:rsid w:val="00372773"/>
    <w:rsid w:val="00372812"/>
    <w:rsid w:val="00372845"/>
    <w:rsid w:val="0037285A"/>
    <w:rsid w:val="00372985"/>
    <w:rsid w:val="00372A75"/>
    <w:rsid w:val="00372AC6"/>
    <w:rsid w:val="00372B3F"/>
    <w:rsid w:val="00372D6E"/>
    <w:rsid w:val="00372D8B"/>
    <w:rsid w:val="00372EFD"/>
    <w:rsid w:val="00372F09"/>
    <w:rsid w:val="00373098"/>
    <w:rsid w:val="00373208"/>
    <w:rsid w:val="00373230"/>
    <w:rsid w:val="0037398C"/>
    <w:rsid w:val="003739DC"/>
    <w:rsid w:val="00373B13"/>
    <w:rsid w:val="00373CA9"/>
    <w:rsid w:val="00373D4C"/>
    <w:rsid w:val="00373EBC"/>
    <w:rsid w:val="00373FFF"/>
    <w:rsid w:val="0037428D"/>
    <w:rsid w:val="003743AE"/>
    <w:rsid w:val="0037445A"/>
    <w:rsid w:val="003745C7"/>
    <w:rsid w:val="00374807"/>
    <w:rsid w:val="00374823"/>
    <w:rsid w:val="0037493A"/>
    <w:rsid w:val="003749FA"/>
    <w:rsid w:val="00374A82"/>
    <w:rsid w:val="00374B00"/>
    <w:rsid w:val="00374B08"/>
    <w:rsid w:val="00374D5D"/>
    <w:rsid w:val="00374D5F"/>
    <w:rsid w:val="00375086"/>
    <w:rsid w:val="00375454"/>
    <w:rsid w:val="00375483"/>
    <w:rsid w:val="003755E5"/>
    <w:rsid w:val="0037564C"/>
    <w:rsid w:val="0037580C"/>
    <w:rsid w:val="0037592C"/>
    <w:rsid w:val="00375A04"/>
    <w:rsid w:val="00375AC8"/>
    <w:rsid w:val="00375CCA"/>
    <w:rsid w:val="00375D66"/>
    <w:rsid w:val="00375DF6"/>
    <w:rsid w:val="00375E48"/>
    <w:rsid w:val="00375F21"/>
    <w:rsid w:val="00375F3C"/>
    <w:rsid w:val="00375F5E"/>
    <w:rsid w:val="00375F84"/>
    <w:rsid w:val="00376095"/>
    <w:rsid w:val="003760D2"/>
    <w:rsid w:val="0037616B"/>
    <w:rsid w:val="00376279"/>
    <w:rsid w:val="003762AE"/>
    <w:rsid w:val="0037638B"/>
    <w:rsid w:val="00376498"/>
    <w:rsid w:val="003769F4"/>
    <w:rsid w:val="00376B81"/>
    <w:rsid w:val="00376DB0"/>
    <w:rsid w:val="00376DBA"/>
    <w:rsid w:val="00376F6E"/>
    <w:rsid w:val="003770F1"/>
    <w:rsid w:val="00377230"/>
    <w:rsid w:val="00377238"/>
    <w:rsid w:val="0037779D"/>
    <w:rsid w:val="00377973"/>
    <w:rsid w:val="00377B61"/>
    <w:rsid w:val="00377B80"/>
    <w:rsid w:val="00377D02"/>
    <w:rsid w:val="00377DA9"/>
    <w:rsid w:val="00377DED"/>
    <w:rsid w:val="00377F20"/>
    <w:rsid w:val="00377F3D"/>
    <w:rsid w:val="00377F3E"/>
    <w:rsid w:val="00377FAE"/>
    <w:rsid w:val="0037F6ED"/>
    <w:rsid w:val="00380035"/>
    <w:rsid w:val="00380112"/>
    <w:rsid w:val="0038021F"/>
    <w:rsid w:val="00380401"/>
    <w:rsid w:val="0038041A"/>
    <w:rsid w:val="003804DB"/>
    <w:rsid w:val="0038053B"/>
    <w:rsid w:val="003806B2"/>
    <w:rsid w:val="0038077E"/>
    <w:rsid w:val="0038094F"/>
    <w:rsid w:val="003809AD"/>
    <w:rsid w:val="003809C3"/>
    <w:rsid w:val="00380AEF"/>
    <w:rsid w:val="00380C17"/>
    <w:rsid w:val="00380E0C"/>
    <w:rsid w:val="0038107A"/>
    <w:rsid w:val="0038119C"/>
    <w:rsid w:val="00381578"/>
    <w:rsid w:val="003815AB"/>
    <w:rsid w:val="003815D5"/>
    <w:rsid w:val="00381627"/>
    <w:rsid w:val="00381670"/>
    <w:rsid w:val="003817AF"/>
    <w:rsid w:val="00381854"/>
    <w:rsid w:val="00381861"/>
    <w:rsid w:val="0038199E"/>
    <w:rsid w:val="003819CB"/>
    <w:rsid w:val="00381AA6"/>
    <w:rsid w:val="00381ABE"/>
    <w:rsid w:val="00381B0C"/>
    <w:rsid w:val="00381BBC"/>
    <w:rsid w:val="00381D0E"/>
    <w:rsid w:val="00381EC7"/>
    <w:rsid w:val="00381ED2"/>
    <w:rsid w:val="00381F12"/>
    <w:rsid w:val="00381F55"/>
    <w:rsid w:val="00381FC0"/>
    <w:rsid w:val="00381FCE"/>
    <w:rsid w:val="00382080"/>
    <w:rsid w:val="00382093"/>
    <w:rsid w:val="003820AB"/>
    <w:rsid w:val="00382178"/>
    <w:rsid w:val="00382330"/>
    <w:rsid w:val="00382356"/>
    <w:rsid w:val="00382416"/>
    <w:rsid w:val="00382529"/>
    <w:rsid w:val="00382585"/>
    <w:rsid w:val="003826F9"/>
    <w:rsid w:val="00382743"/>
    <w:rsid w:val="00382765"/>
    <w:rsid w:val="00382766"/>
    <w:rsid w:val="003827DD"/>
    <w:rsid w:val="00382921"/>
    <w:rsid w:val="00382A76"/>
    <w:rsid w:val="00382DC2"/>
    <w:rsid w:val="00383206"/>
    <w:rsid w:val="003832F3"/>
    <w:rsid w:val="0038332A"/>
    <w:rsid w:val="00383378"/>
    <w:rsid w:val="00383382"/>
    <w:rsid w:val="003834C4"/>
    <w:rsid w:val="003834EE"/>
    <w:rsid w:val="00383577"/>
    <w:rsid w:val="0038367C"/>
    <w:rsid w:val="003836D0"/>
    <w:rsid w:val="0038374D"/>
    <w:rsid w:val="00383791"/>
    <w:rsid w:val="0038381C"/>
    <w:rsid w:val="003838A1"/>
    <w:rsid w:val="00383AB2"/>
    <w:rsid w:val="00383B6C"/>
    <w:rsid w:val="00383C26"/>
    <w:rsid w:val="00383C37"/>
    <w:rsid w:val="00383C98"/>
    <w:rsid w:val="00383D43"/>
    <w:rsid w:val="00383F33"/>
    <w:rsid w:val="00384060"/>
    <w:rsid w:val="0038408F"/>
    <w:rsid w:val="00384402"/>
    <w:rsid w:val="00384422"/>
    <w:rsid w:val="00384433"/>
    <w:rsid w:val="00384484"/>
    <w:rsid w:val="003845F8"/>
    <w:rsid w:val="00384714"/>
    <w:rsid w:val="003847C4"/>
    <w:rsid w:val="00384803"/>
    <w:rsid w:val="00384821"/>
    <w:rsid w:val="0038482A"/>
    <w:rsid w:val="00384A07"/>
    <w:rsid w:val="00384B3D"/>
    <w:rsid w:val="00384B58"/>
    <w:rsid w:val="00384C8A"/>
    <w:rsid w:val="00384E2B"/>
    <w:rsid w:val="00384EF3"/>
    <w:rsid w:val="00384F9F"/>
    <w:rsid w:val="00385264"/>
    <w:rsid w:val="003852A3"/>
    <w:rsid w:val="003852F0"/>
    <w:rsid w:val="00385348"/>
    <w:rsid w:val="003853E7"/>
    <w:rsid w:val="00385658"/>
    <w:rsid w:val="003856E9"/>
    <w:rsid w:val="003859F8"/>
    <w:rsid w:val="00385A66"/>
    <w:rsid w:val="00385CF0"/>
    <w:rsid w:val="00385D11"/>
    <w:rsid w:val="00385E29"/>
    <w:rsid w:val="00385ECB"/>
    <w:rsid w:val="00385F7C"/>
    <w:rsid w:val="00385FFE"/>
    <w:rsid w:val="0038602C"/>
    <w:rsid w:val="0038643B"/>
    <w:rsid w:val="00386476"/>
    <w:rsid w:val="003864A3"/>
    <w:rsid w:val="00386513"/>
    <w:rsid w:val="00386555"/>
    <w:rsid w:val="0038678F"/>
    <w:rsid w:val="003867EC"/>
    <w:rsid w:val="0038695C"/>
    <w:rsid w:val="003869BE"/>
    <w:rsid w:val="00386AEF"/>
    <w:rsid w:val="00386BDB"/>
    <w:rsid w:val="00386C2F"/>
    <w:rsid w:val="00386C3C"/>
    <w:rsid w:val="00386E85"/>
    <w:rsid w:val="00386EA7"/>
    <w:rsid w:val="00386F36"/>
    <w:rsid w:val="00386FFF"/>
    <w:rsid w:val="00387006"/>
    <w:rsid w:val="0038706C"/>
    <w:rsid w:val="00387133"/>
    <w:rsid w:val="003872BE"/>
    <w:rsid w:val="003872FB"/>
    <w:rsid w:val="0038733E"/>
    <w:rsid w:val="0038733F"/>
    <w:rsid w:val="003873E7"/>
    <w:rsid w:val="00387411"/>
    <w:rsid w:val="003874F8"/>
    <w:rsid w:val="003876EF"/>
    <w:rsid w:val="00387834"/>
    <w:rsid w:val="003879FD"/>
    <w:rsid w:val="00387A1D"/>
    <w:rsid w:val="00387A57"/>
    <w:rsid w:val="00387ACB"/>
    <w:rsid w:val="00387B3C"/>
    <w:rsid w:val="00387C3F"/>
    <w:rsid w:val="00387C9A"/>
    <w:rsid w:val="00390062"/>
    <w:rsid w:val="00390147"/>
    <w:rsid w:val="0039019F"/>
    <w:rsid w:val="003902DC"/>
    <w:rsid w:val="00390382"/>
    <w:rsid w:val="0039042A"/>
    <w:rsid w:val="00390560"/>
    <w:rsid w:val="00390585"/>
    <w:rsid w:val="003906A6"/>
    <w:rsid w:val="0039070A"/>
    <w:rsid w:val="0039079C"/>
    <w:rsid w:val="00390875"/>
    <w:rsid w:val="00390897"/>
    <w:rsid w:val="00390ABE"/>
    <w:rsid w:val="00390B7C"/>
    <w:rsid w:val="00390BB4"/>
    <w:rsid w:val="00390EC4"/>
    <w:rsid w:val="00390F3A"/>
    <w:rsid w:val="003911A9"/>
    <w:rsid w:val="003911D3"/>
    <w:rsid w:val="003913F5"/>
    <w:rsid w:val="003915C7"/>
    <w:rsid w:val="00391619"/>
    <w:rsid w:val="0039166B"/>
    <w:rsid w:val="00391A17"/>
    <w:rsid w:val="00391ABB"/>
    <w:rsid w:val="00391B0F"/>
    <w:rsid w:val="00391B50"/>
    <w:rsid w:val="00391D44"/>
    <w:rsid w:val="00391E4F"/>
    <w:rsid w:val="00391E85"/>
    <w:rsid w:val="00391EC7"/>
    <w:rsid w:val="00392067"/>
    <w:rsid w:val="003920B7"/>
    <w:rsid w:val="0039210E"/>
    <w:rsid w:val="003922D3"/>
    <w:rsid w:val="0039240C"/>
    <w:rsid w:val="0039240F"/>
    <w:rsid w:val="003924A7"/>
    <w:rsid w:val="003924EA"/>
    <w:rsid w:val="00392664"/>
    <w:rsid w:val="00392702"/>
    <w:rsid w:val="00392755"/>
    <w:rsid w:val="003929B0"/>
    <w:rsid w:val="003929C7"/>
    <w:rsid w:val="00392C38"/>
    <w:rsid w:val="00392C4D"/>
    <w:rsid w:val="00392C7C"/>
    <w:rsid w:val="00392DC5"/>
    <w:rsid w:val="00392E08"/>
    <w:rsid w:val="00392E9B"/>
    <w:rsid w:val="00392FCA"/>
    <w:rsid w:val="00393009"/>
    <w:rsid w:val="0039302F"/>
    <w:rsid w:val="00393096"/>
    <w:rsid w:val="003931BC"/>
    <w:rsid w:val="003931DA"/>
    <w:rsid w:val="003932A4"/>
    <w:rsid w:val="003934A6"/>
    <w:rsid w:val="00393633"/>
    <w:rsid w:val="00393692"/>
    <w:rsid w:val="003937EA"/>
    <w:rsid w:val="0039394D"/>
    <w:rsid w:val="00393953"/>
    <w:rsid w:val="00393A0B"/>
    <w:rsid w:val="00393A50"/>
    <w:rsid w:val="00393A8A"/>
    <w:rsid w:val="00393BF7"/>
    <w:rsid w:val="00393CD2"/>
    <w:rsid w:val="00393D2D"/>
    <w:rsid w:val="00393E44"/>
    <w:rsid w:val="00393ED2"/>
    <w:rsid w:val="00393F41"/>
    <w:rsid w:val="00394355"/>
    <w:rsid w:val="003943AB"/>
    <w:rsid w:val="003947AC"/>
    <w:rsid w:val="0039491A"/>
    <w:rsid w:val="0039498E"/>
    <w:rsid w:val="00394C62"/>
    <w:rsid w:val="00394D22"/>
    <w:rsid w:val="00394DB4"/>
    <w:rsid w:val="00394DE0"/>
    <w:rsid w:val="00394F49"/>
    <w:rsid w:val="00395040"/>
    <w:rsid w:val="00395196"/>
    <w:rsid w:val="00395424"/>
    <w:rsid w:val="0039554B"/>
    <w:rsid w:val="00395598"/>
    <w:rsid w:val="00395920"/>
    <w:rsid w:val="00395935"/>
    <w:rsid w:val="003959C7"/>
    <w:rsid w:val="00395C4F"/>
    <w:rsid w:val="00395CE8"/>
    <w:rsid w:val="00396018"/>
    <w:rsid w:val="0039608F"/>
    <w:rsid w:val="003960C7"/>
    <w:rsid w:val="00396199"/>
    <w:rsid w:val="003961FA"/>
    <w:rsid w:val="0039625A"/>
    <w:rsid w:val="0039626C"/>
    <w:rsid w:val="0039637E"/>
    <w:rsid w:val="003963B7"/>
    <w:rsid w:val="003963E6"/>
    <w:rsid w:val="00396451"/>
    <w:rsid w:val="00396460"/>
    <w:rsid w:val="00396474"/>
    <w:rsid w:val="00396493"/>
    <w:rsid w:val="0039649C"/>
    <w:rsid w:val="003964D0"/>
    <w:rsid w:val="00396504"/>
    <w:rsid w:val="00396652"/>
    <w:rsid w:val="003967B7"/>
    <w:rsid w:val="0039686B"/>
    <w:rsid w:val="00396B0C"/>
    <w:rsid w:val="00396C70"/>
    <w:rsid w:val="00396D1D"/>
    <w:rsid w:val="00396D90"/>
    <w:rsid w:val="00396E21"/>
    <w:rsid w:val="00397105"/>
    <w:rsid w:val="003971E1"/>
    <w:rsid w:val="00397296"/>
    <w:rsid w:val="003976C1"/>
    <w:rsid w:val="00397720"/>
    <w:rsid w:val="00397900"/>
    <w:rsid w:val="00397CD7"/>
    <w:rsid w:val="00397D41"/>
    <w:rsid w:val="00397DCE"/>
    <w:rsid w:val="00397E9C"/>
    <w:rsid w:val="0039D7A0"/>
    <w:rsid w:val="003A00B5"/>
    <w:rsid w:val="003A00E8"/>
    <w:rsid w:val="003A00F1"/>
    <w:rsid w:val="003A0100"/>
    <w:rsid w:val="003A0282"/>
    <w:rsid w:val="003A03B8"/>
    <w:rsid w:val="003A03E4"/>
    <w:rsid w:val="003A0694"/>
    <w:rsid w:val="003A0699"/>
    <w:rsid w:val="003A07B0"/>
    <w:rsid w:val="003A07F9"/>
    <w:rsid w:val="003A0860"/>
    <w:rsid w:val="003A09E2"/>
    <w:rsid w:val="003A0AC5"/>
    <w:rsid w:val="003A0AEA"/>
    <w:rsid w:val="003A0B1B"/>
    <w:rsid w:val="003A0B24"/>
    <w:rsid w:val="003A0B87"/>
    <w:rsid w:val="003A0C17"/>
    <w:rsid w:val="003A0E61"/>
    <w:rsid w:val="003A0E74"/>
    <w:rsid w:val="003A0EC9"/>
    <w:rsid w:val="003A0FEB"/>
    <w:rsid w:val="003A10FA"/>
    <w:rsid w:val="003A1148"/>
    <w:rsid w:val="003A13D9"/>
    <w:rsid w:val="003A140C"/>
    <w:rsid w:val="003A14FF"/>
    <w:rsid w:val="003A15AF"/>
    <w:rsid w:val="003A178D"/>
    <w:rsid w:val="003A1839"/>
    <w:rsid w:val="003A1882"/>
    <w:rsid w:val="003A198E"/>
    <w:rsid w:val="003A1B59"/>
    <w:rsid w:val="003A1E4B"/>
    <w:rsid w:val="003A1E62"/>
    <w:rsid w:val="003A1E75"/>
    <w:rsid w:val="003A1F6E"/>
    <w:rsid w:val="003A1FC5"/>
    <w:rsid w:val="003A1FD1"/>
    <w:rsid w:val="003A2084"/>
    <w:rsid w:val="003A20B4"/>
    <w:rsid w:val="003A230D"/>
    <w:rsid w:val="003A23F8"/>
    <w:rsid w:val="003A2921"/>
    <w:rsid w:val="003A2927"/>
    <w:rsid w:val="003A29C5"/>
    <w:rsid w:val="003A2B2E"/>
    <w:rsid w:val="003A2E6F"/>
    <w:rsid w:val="003A3100"/>
    <w:rsid w:val="003A3149"/>
    <w:rsid w:val="003A31AA"/>
    <w:rsid w:val="003A31CE"/>
    <w:rsid w:val="003A35AA"/>
    <w:rsid w:val="003A3681"/>
    <w:rsid w:val="003A3735"/>
    <w:rsid w:val="003A377C"/>
    <w:rsid w:val="003A3AA5"/>
    <w:rsid w:val="003A3F0F"/>
    <w:rsid w:val="003A3F3D"/>
    <w:rsid w:val="003A4101"/>
    <w:rsid w:val="003A4117"/>
    <w:rsid w:val="003A4173"/>
    <w:rsid w:val="003A4347"/>
    <w:rsid w:val="003A45A5"/>
    <w:rsid w:val="003A468F"/>
    <w:rsid w:val="003A46DC"/>
    <w:rsid w:val="003A47A8"/>
    <w:rsid w:val="003A47CA"/>
    <w:rsid w:val="003A4825"/>
    <w:rsid w:val="003A482F"/>
    <w:rsid w:val="003A4945"/>
    <w:rsid w:val="003A4C2F"/>
    <w:rsid w:val="003A4CF3"/>
    <w:rsid w:val="003A4FE2"/>
    <w:rsid w:val="003A5144"/>
    <w:rsid w:val="003A51D9"/>
    <w:rsid w:val="003A51EA"/>
    <w:rsid w:val="003A5397"/>
    <w:rsid w:val="003A54B2"/>
    <w:rsid w:val="003A56A8"/>
    <w:rsid w:val="003A5A9D"/>
    <w:rsid w:val="003A5AA6"/>
    <w:rsid w:val="003A5D79"/>
    <w:rsid w:val="003A60A3"/>
    <w:rsid w:val="003A6108"/>
    <w:rsid w:val="003A6331"/>
    <w:rsid w:val="003A6391"/>
    <w:rsid w:val="003A64A9"/>
    <w:rsid w:val="003A64BB"/>
    <w:rsid w:val="003A64F1"/>
    <w:rsid w:val="003A6516"/>
    <w:rsid w:val="003A65B6"/>
    <w:rsid w:val="003A6736"/>
    <w:rsid w:val="003A67E8"/>
    <w:rsid w:val="003A692C"/>
    <w:rsid w:val="003A6931"/>
    <w:rsid w:val="003A6B12"/>
    <w:rsid w:val="003A6B34"/>
    <w:rsid w:val="003A6BED"/>
    <w:rsid w:val="003A6D2D"/>
    <w:rsid w:val="003A6EE9"/>
    <w:rsid w:val="003A70B2"/>
    <w:rsid w:val="003A720E"/>
    <w:rsid w:val="003A7462"/>
    <w:rsid w:val="003A7609"/>
    <w:rsid w:val="003A7672"/>
    <w:rsid w:val="003A7B30"/>
    <w:rsid w:val="003A7C0D"/>
    <w:rsid w:val="003ABA14"/>
    <w:rsid w:val="003B00C0"/>
    <w:rsid w:val="003B00CB"/>
    <w:rsid w:val="003B018C"/>
    <w:rsid w:val="003B02FF"/>
    <w:rsid w:val="003B033B"/>
    <w:rsid w:val="003B03B0"/>
    <w:rsid w:val="003B0486"/>
    <w:rsid w:val="003B04AE"/>
    <w:rsid w:val="003B04D0"/>
    <w:rsid w:val="003B052E"/>
    <w:rsid w:val="003B08DB"/>
    <w:rsid w:val="003B08ED"/>
    <w:rsid w:val="003B09A5"/>
    <w:rsid w:val="003B0A2B"/>
    <w:rsid w:val="003B0AD6"/>
    <w:rsid w:val="003B0AE2"/>
    <w:rsid w:val="003B0B48"/>
    <w:rsid w:val="003B0C03"/>
    <w:rsid w:val="003B0D7B"/>
    <w:rsid w:val="003B0DB3"/>
    <w:rsid w:val="003B0E03"/>
    <w:rsid w:val="003B0F7E"/>
    <w:rsid w:val="003B107E"/>
    <w:rsid w:val="003B1082"/>
    <w:rsid w:val="003B10AA"/>
    <w:rsid w:val="003B1222"/>
    <w:rsid w:val="003B1259"/>
    <w:rsid w:val="003B12C0"/>
    <w:rsid w:val="003B14B7"/>
    <w:rsid w:val="003B1504"/>
    <w:rsid w:val="003B1522"/>
    <w:rsid w:val="003B179D"/>
    <w:rsid w:val="003B1853"/>
    <w:rsid w:val="003B19FC"/>
    <w:rsid w:val="003B1AF0"/>
    <w:rsid w:val="003B1C18"/>
    <w:rsid w:val="003B1F15"/>
    <w:rsid w:val="003B1FDE"/>
    <w:rsid w:val="003B2020"/>
    <w:rsid w:val="003B2152"/>
    <w:rsid w:val="003B2199"/>
    <w:rsid w:val="003B221F"/>
    <w:rsid w:val="003B2260"/>
    <w:rsid w:val="003B24CA"/>
    <w:rsid w:val="003B2616"/>
    <w:rsid w:val="003B2707"/>
    <w:rsid w:val="003B2773"/>
    <w:rsid w:val="003B291E"/>
    <w:rsid w:val="003B29D8"/>
    <w:rsid w:val="003B2C9C"/>
    <w:rsid w:val="003B2CFE"/>
    <w:rsid w:val="003B2E65"/>
    <w:rsid w:val="003B2FAD"/>
    <w:rsid w:val="003B3080"/>
    <w:rsid w:val="003B3401"/>
    <w:rsid w:val="003B3552"/>
    <w:rsid w:val="003B3676"/>
    <w:rsid w:val="003B3B20"/>
    <w:rsid w:val="003B3C5F"/>
    <w:rsid w:val="003B3C69"/>
    <w:rsid w:val="003B3D76"/>
    <w:rsid w:val="003B3D8E"/>
    <w:rsid w:val="003B3E70"/>
    <w:rsid w:val="003B3F27"/>
    <w:rsid w:val="003B3FC1"/>
    <w:rsid w:val="003B414E"/>
    <w:rsid w:val="003B4251"/>
    <w:rsid w:val="003B4376"/>
    <w:rsid w:val="003B44C7"/>
    <w:rsid w:val="003B4508"/>
    <w:rsid w:val="003B4660"/>
    <w:rsid w:val="003B4675"/>
    <w:rsid w:val="003B46D8"/>
    <w:rsid w:val="003B4857"/>
    <w:rsid w:val="003B496F"/>
    <w:rsid w:val="003B4B7C"/>
    <w:rsid w:val="003B4DAC"/>
    <w:rsid w:val="003B4E31"/>
    <w:rsid w:val="003B4E6C"/>
    <w:rsid w:val="003B4F18"/>
    <w:rsid w:val="003B4F64"/>
    <w:rsid w:val="003B5091"/>
    <w:rsid w:val="003B5215"/>
    <w:rsid w:val="003B5269"/>
    <w:rsid w:val="003B52FB"/>
    <w:rsid w:val="003B530F"/>
    <w:rsid w:val="003B532E"/>
    <w:rsid w:val="003B53E5"/>
    <w:rsid w:val="003B549E"/>
    <w:rsid w:val="003B5567"/>
    <w:rsid w:val="003B55C2"/>
    <w:rsid w:val="003B575D"/>
    <w:rsid w:val="003B5A21"/>
    <w:rsid w:val="003B5BD8"/>
    <w:rsid w:val="003B5C86"/>
    <w:rsid w:val="003B5F70"/>
    <w:rsid w:val="003B604D"/>
    <w:rsid w:val="003B6198"/>
    <w:rsid w:val="003B62C5"/>
    <w:rsid w:val="003B6409"/>
    <w:rsid w:val="003B646E"/>
    <w:rsid w:val="003B6585"/>
    <w:rsid w:val="003B65C5"/>
    <w:rsid w:val="003B6645"/>
    <w:rsid w:val="003B672F"/>
    <w:rsid w:val="003B67E5"/>
    <w:rsid w:val="003B68CC"/>
    <w:rsid w:val="003B68FD"/>
    <w:rsid w:val="003B6A09"/>
    <w:rsid w:val="003B6A7B"/>
    <w:rsid w:val="003B6CD2"/>
    <w:rsid w:val="003B6D54"/>
    <w:rsid w:val="003B7072"/>
    <w:rsid w:val="003B729E"/>
    <w:rsid w:val="003B72D3"/>
    <w:rsid w:val="003B7388"/>
    <w:rsid w:val="003B746D"/>
    <w:rsid w:val="003B76F9"/>
    <w:rsid w:val="003B77CD"/>
    <w:rsid w:val="003B7875"/>
    <w:rsid w:val="003B7916"/>
    <w:rsid w:val="003B793C"/>
    <w:rsid w:val="003B79DF"/>
    <w:rsid w:val="003B7AF1"/>
    <w:rsid w:val="003B7BA7"/>
    <w:rsid w:val="003B7D9F"/>
    <w:rsid w:val="003B7FDF"/>
    <w:rsid w:val="003C001C"/>
    <w:rsid w:val="003C008B"/>
    <w:rsid w:val="003C0160"/>
    <w:rsid w:val="003C016E"/>
    <w:rsid w:val="003C01A6"/>
    <w:rsid w:val="003C01EC"/>
    <w:rsid w:val="003C03C4"/>
    <w:rsid w:val="003C045B"/>
    <w:rsid w:val="003C0467"/>
    <w:rsid w:val="003C04A0"/>
    <w:rsid w:val="003C0742"/>
    <w:rsid w:val="003C0785"/>
    <w:rsid w:val="003C0E8F"/>
    <w:rsid w:val="003C10A2"/>
    <w:rsid w:val="003C10AA"/>
    <w:rsid w:val="003C1184"/>
    <w:rsid w:val="003C11C2"/>
    <w:rsid w:val="003C11EC"/>
    <w:rsid w:val="003C1276"/>
    <w:rsid w:val="003C139F"/>
    <w:rsid w:val="003C13AE"/>
    <w:rsid w:val="003C15B9"/>
    <w:rsid w:val="003C165C"/>
    <w:rsid w:val="003C166D"/>
    <w:rsid w:val="003C170E"/>
    <w:rsid w:val="003C178D"/>
    <w:rsid w:val="003C1816"/>
    <w:rsid w:val="003C1B48"/>
    <w:rsid w:val="003C1BE9"/>
    <w:rsid w:val="003C1C8A"/>
    <w:rsid w:val="003C1E74"/>
    <w:rsid w:val="003C204A"/>
    <w:rsid w:val="003C21AF"/>
    <w:rsid w:val="003C2248"/>
    <w:rsid w:val="003C2448"/>
    <w:rsid w:val="003C2647"/>
    <w:rsid w:val="003C26C0"/>
    <w:rsid w:val="003C27C6"/>
    <w:rsid w:val="003C2907"/>
    <w:rsid w:val="003C29C3"/>
    <w:rsid w:val="003C2A79"/>
    <w:rsid w:val="003C2AFA"/>
    <w:rsid w:val="003C2BCB"/>
    <w:rsid w:val="003C2E5D"/>
    <w:rsid w:val="003C2F8D"/>
    <w:rsid w:val="003C30DE"/>
    <w:rsid w:val="003C3168"/>
    <w:rsid w:val="003C31CB"/>
    <w:rsid w:val="003C31F2"/>
    <w:rsid w:val="003C3205"/>
    <w:rsid w:val="003C371A"/>
    <w:rsid w:val="003C3873"/>
    <w:rsid w:val="003C38EE"/>
    <w:rsid w:val="003C3972"/>
    <w:rsid w:val="003C39D7"/>
    <w:rsid w:val="003C3C81"/>
    <w:rsid w:val="003C3DE0"/>
    <w:rsid w:val="003C3EA6"/>
    <w:rsid w:val="003C3F9F"/>
    <w:rsid w:val="003C4005"/>
    <w:rsid w:val="003C403F"/>
    <w:rsid w:val="003C40A3"/>
    <w:rsid w:val="003C413B"/>
    <w:rsid w:val="003C4153"/>
    <w:rsid w:val="003C41C3"/>
    <w:rsid w:val="003C4209"/>
    <w:rsid w:val="003C4266"/>
    <w:rsid w:val="003C42FA"/>
    <w:rsid w:val="003C44F6"/>
    <w:rsid w:val="003C4612"/>
    <w:rsid w:val="003C46C1"/>
    <w:rsid w:val="003C4743"/>
    <w:rsid w:val="003C4786"/>
    <w:rsid w:val="003C47E4"/>
    <w:rsid w:val="003C48F8"/>
    <w:rsid w:val="003C492F"/>
    <w:rsid w:val="003C497C"/>
    <w:rsid w:val="003C4A21"/>
    <w:rsid w:val="003C4C01"/>
    <w:rsid w:val="003C4CA2"/>
    <w:rsid w:val="003C4DDB"/>
    <w:rsid w:val="003C4F63"/>
    <w:rsid w:val="003C4F77"/>
    <w:rsid w:val="003C5149"/>
    <w:rsid w:val="003C5266"/>
    <w:rsid w:val="003C52B8"/>
    <w:rsid w:val="003C5382"/>
    <w:rsid w:val="003C53F2"/>
    <w:rsid w:val="003C544B"/>
    <w:rsid w:val="003C54F7"/>
    <w:rsid w:val="003C550D"/>
    <w:rsid w:val="003C55AE"/>
    <w:rsid w:val="003C55C1"/>
    <w:rsid w:val="003C55E2"/>
    <w:rsid w:val="003C55EF"/>
    <w:rsid w:val="003C5605"/>
    <w:rsid w:val="003C5783"/>
    <w:rsid w:val="003C5828"/>
    <w:rsid w:val="003C5A90"/>
    <w:rsid w:val="003C5B54"/>
    <w:rsid w:val="003C5CD2"/>
    <w:rsid w:val="003C5D56"/>
    <w:rsid w:val="003C5DB7"/>
    <w:rsid w:val="003C5DCA"/>
    <w:rsid w:val="003C5F3E"/>
    <w:rsid w:val="003C5FB9"/>
    <w:rsid w:val="003C618B"/>
    <w:rsid w:val="003C6237"/>
    <w:rsid w:val="003C66D8"/>
    <w:rsid w:val="003C66F5"/>
    <w:rsid w:val="003C6946"/>
    <w:rsid w:val="003C69FA"/>
    <w:rsid w:val="003C6A54"/>
    <w:rsid w:val="003C6BF2"/>
    <w:rsid w:val="003C6E8A"/>
    <w:rsid w:val="003C6F16"/>
    <w:rsid w:val="003C6F76"/>
    <w:rsid w:val="003C7088"/>
    <w:rsid w:val="003C7112"/>
    <w:rsid w:val="003C717C"/>
    <w:rsid w:val="003C73A4"/>
    <w:rsid w:val="003C7484"/>
    <w:rsid w:val="003C74D7"/>
    <w:rsid w:val="003C74EF"/>
    <w:rsid w:val="003C752E"/>
    <w:rsid w:val="003C75EC"/>
    <w:rsid w:val="003C7694"/>
    <w:rsid w:val="003C76A6"/>
    <w:rsid w:val="003C7AEB"/>
    <w:rsid w:val="003C7B93"/>
    <w:rsid w:val="003C7E78"/>
    <w:rsid w:val="003C7EAD"/>
    <w:rsid w:val="003D011E"/>
    <w:rsid w:val="003D01B6"/>
    <w:rsid w:val="003D021B"/>
    <w:rsid w:val="003D0229"/>
    <w:rsid w:val="003D03BD"/>
    <w:rsid w:val="003D03F0"/>
    <w:rsid w:val="003D04B2"/>
    <w:rsid w:val="003D0591"/>
    <w:rsid w:val="003D07E3"/>
    <w:rsid w:val="003D080F"/>
    <w:rsid w:val="003D0861"/>
    <w:rsid w:val="003D0896"/>
    <w:rsid w:val="003D0A5A"/>
    <w:rsid w:val="003D0AC3"/>
    <w:rsid w:val="003D0B80"/>
    <w:rsid w:val="003D0C01"/>
    <w:rsid w:val="003D0C4B"/>
    <w:rsid w:val="003D0F45"/>
    <w:rsid w:val="003D0F99"/>
    <w:rsid w:val="003D128A"/>
    <w:rsid w:val="003D14BD"/>
    <w:rsid w:val="003D14D2"/>
    <w:rsid w:val="003D164F"/>
    <w:rsid w:val="003D16FE"/>
    <w:rsid w:val="003D1ACC"/>
    <w:rsid w:val="003D1B25"/>
    <w:rsid w:val="003D1C40"/>
    <w:rsid w:val="003D1EB5"/>
    <w:rsid w:val="003D1F44"/>
    <w:rsid w:val="003D2013"/>
    <w:rsid w:val="003D209D"/>
    <w:rsid w:val="003D2106"/>
    <w:rsid w:val="003D2197"/>
    <w:rsid w:val="003D2213"/>
    <w:rsid w:val="003D23D1"/>
    <w:rsid w:val="003D240F"/>
    <w:rsid w:val="003D247D"/>
    <w:rsid w:val="003D24F3"/>
    <w:rsid w:val="003D251A"/>
    <w:rsid w:val="003D2620"/>
    <w:rsid w:val="003D270B"/>
    <w:rsid w:val="003D2764"/>
    <w:rsid w:val="003D28B2"/>
    <w:rsid w:val="003D29B8"/>
    <w:rsid w:val="003D2BDB"/>
    <w:rsid w:val="003D2DCE"/>
    <w:rsid w:val="003D31B9"/>
    <w:rsid w:val="003D345B"/>
    <w:rsid w:val="003D358A"/>
    <w:rsid w:val="003D36EC"/>
    <w:rsid w:val="003D379A"/>
    <w:rsid w:val="003D37E0"/>
    <w:rsid w:val="003D3886"/>
    <w:rsid w:val="003D38A7"/>
    <w:rsid w:val="003D3A64"/>
    <w:rsid w:val="003D3B7A"/>
    <w:rsid w:val="003D3BFF"/>
    <w:rsid w:val="003D3C54"/>
    <w:rsid w:val="003D3D55"/>
    <w:rsid w:val="003D3E62"/>
    <w:rsid w:val="003D3F38"/>
    <w:rsid w:val="003D4074"/>
    <w:rsid w:val="003D4096"/>
    <w:rsid w:val="003D41C2"/>
    <w:rsid w:val="003D432E"/>
    <w:rsid w:val="003D439C"/>
    <w:rsid w:val="003D4522"/>
    <w:rsid w:val="003D45A4"/>
    <w:rsid w:val="003D45BF"/>
    <w:rsid w:val="003D4620"/>
    <w:rsid w:val="003D4637"/>
    <w:rsid w:val="003D493D"/>
    <w:rsid w:val="003D495E"/>
    <w:rsid w:val="003D4AAC"/>
    <w:rsid w:val="003D4C05"/>
    <w:rsid w:val="003D4D09"/>
    <w:rsid w:val="003D4EB3"/>
    <w:rsid w:val="003D4FD1"/>
    <w:rsid w:val="003D4FD9"/>
    <w:rsid w:val="003D5005"/>
    <w:rsid w:val="003D519F"/>
    <w:rsid w:val="003D52A7"/>
    <w:rsid w:val="003D5309"/>
    <w:rsid w:val="003D5311"/>
    <w:rsid w:val="003D5378"/>
    <w:rsid w:val="003D53E1"/>
    <w:rsid w:val="003D545E"/>
    <w:rsid w:val="003D5589"/>
    <w:rsid w:val="003D572B"/>
    <w:rsid w:val="003D5746"/>
    <w:rsid w:val="003D5CC9"/>
    <w:rsid w:val="003D5CD1"/>
    <w:rsid w:val="003D5D70"/>
    <w:rsid w:val="003D5DD8"/>
    <w:rsid w:val="003D5EAE"/>
    <w:rsid w:val="003D5F8E"/>
    <w:rsid w:val="003D6058"/>
    <w:rsid w:val="003D6317"/>
    <w:rsid w:val="003D63A4"/>
    <w:rsid w:val="003D6427"/>
    <w:rsid w:val="003D6486"/>
    <w:rsid w:val="003D65B2"/>
    <w:rsid w:val="003D6614"/>
    <w:rsid w:val="003D697A"/>
    <w:rsid w:val="003D699C"/>
    <w:rsid w:val="003D69C4"/>
    <w:rsid w:val="003D69E9"/>
    <w:rsid w:val="003D69F6"/>
    <w:rsid w:val="003D6BFC"/>
    <w:rsid w:val="003D6C9F"/>
    <w:rsid w:val="003D6D1D"/>
    <w:rsid w:val="003D6D27"/>
    <w:rsid w:val="003D6D43"/>
    <w:rsid w:val="003D6E39"/>
    <w:rsid w:val="003D6F38"/>
    <w:rsid w:val="003D7017"/>
    <w:rsid w:val="003D711A"/>
    <w:rsid w:val="003D73EC"/>
    <w:rsid w:val="003D74D6"/>
    <w:rsid w:val="003D774C"/>
    <w:rsid w:val="003D774F"/>
    <w:rsid w:val="003D788D"/>
    <w:rsid w:val="003D7A2F"/>
    <w:rsid w:val="003D7B04"/>
    <w:rsid w:val="003D7B7D"/>
    <w:rsid w:val="003D7D38"/>
    <w:rsid w:val="003D7E33"/>
    <w:rsid w:val="003D7E66"/>
    <w:rsid w:val="003D7EEF"/>
    <w:rsid w:val="003D7FC6"/>
    <w:rsid w:val="003DFD6B"/>
    <w:rsid w:val="003E009D"/>
    <w:rsid w:val="003E01F6"/>
    <w:rsid w:val="003E039A"/>
    <w:rsid w:val="003E0570"/>
    <w:rsid w:val="003E057B"/>
    <w:rsid w:val="003E05DC"/>
    <w:rsid w:val="003E0912"/>
    <w:rsid w:val="003E0B07"/>
    <w:rsid w:val="003E0CB0"/>
    <w:rsid w:val="003E0D0D"/>
    <w:rsid w:val="003E103F"/>
    <w:rsid w:val="003E10DA"/>
    <w:rsid w:val="003E11B6"/>
    <w:rsid w:val="003E1257"/>
    <w:rsid w:val="003E130B"/>
    <w:rsid w:val="003E139F"/>
    <w:rsid w:val="003E148C"/>
    <w:rsid w:val="003E15B4"/>
    <w:rsid w:val="003E1856"/>
    <w:rsid w:val="003E18E0"/>
    <w:rsid w:val="003E19EE"/>
    <w:rsid w:val="003E1CEE"/>
    <w:rsid w:val="003E1ED3"/>
    <w:rsid w:val="003E2021"/>
    <w:rsid w:val="003E2032"/>
    <w:rsid w:val="003E213C"/>
    <w:rsid w:val="003E216A"/>
    <w:rsid w:val="003E22CB"/>
    <w:rsid w:val="003E279E"/>
    <w:rsid w:val="003E2840"/>
    <w:rsid w:val="003E28ED"/>
    <w:rsid w:val="003E2BE5"/>
    <w:rsid w:val="003E2C6E"/>
    <w:rsid w:val="003E2D49"/>
    <w:rsid w:val="003E2D95"/>
    <w:rsid w:val="003E2E40"/>
    <w:rsid w:val="003E3029"/>
    <w:rsid w:val="003E30CB"/>
    <w:rsid w:val="003E32E7"/>
    <w:rsid w:val="003E3346"/>
    <w:rsid w:val="003E3574"/>
    <w:rsid w:val="003E35F7"/>
    <w:rsid w:val="003E375B"/>
    <w:rsid w:val="003E37ED"/>
    <w:rsid w:val="003E39A2"/>
    <w:rsid w:val="003E4023"/>
    <w:rsid w:val="003E41CC"/>
    <w:rsid w:val="003E4242"/>
    <w:rsid w:val="003E433D"/>
    <w:rsid w:val="003E436E"/>
    <w:rsid w:val="003E4388"/>
    <w:rsid w:val="003E43EF"/>
    <w:rsid w:val="003E44DE"/>
    <w:rsid w:val="003E4886"/>
    <w:rsid w:val="003E4890"/>
    <w:rsid w:val="003E4BC9"/>
    <w:rsid w:val="003E4BDE"/>
    <w:rsid w:val="003E4CAE"/>
    <w:rsid w:val="003E4E71"/>
    <w:rsid w:val="003E4F53"/>
    <w:rsid w:val="003E50D2"/>
    <w:rsid w:val="003E5131"/>
    <w:rsid w:val="003E51E9"/>
    <w:rsid w:val="003E5252"/>
    <w:rsid w:val="003E5272"/>
    <w:rsid w:val="003E5360"/>
    <w:rsid w:val="003E545E"/>
    <w:rsid w:val="003E5500"/>
    <w:rsid w:val="003E5587"/>
    <w:rsid w:val="003E5591"/>
    <w:rsid w:val="003E5691"/>
    <w:rsid w:val="003E5697"/>
    <w:rsid w:val="003E56B5"/>
    <w:rsid w:val="003E57A3"/>
    <w:rsid w:val="003E582B"/>
    <w:rsid w:val="003E5906"/>
    <w:rsid w:val="003E59CC"/>
    <w:rsid w:val="003E5AB2"/>
    <w:rsid w:val="003E5AD7"/>
    <w:rsid w:val="003E5B49"/>
    <w:rsid w:val="003E60CC"/>
    <w:rsid w:val="003E635B"/>
    <w:rsid w:val="003E6933"/>
    <w:rsid w:val="003E69AA"/>
    <w:rsid w:val="003E69B5"/>
    <w:rsid w:val="003E6A81"/>
    <w:rsid w:val="003E6AFC"/>
    <w:rsid w:val="003E6B13"/>
    <w:rsid w:val="003E6B1C"/>
    <w:rsid w:val="003E6B33"/>
    <w:rsid w:val="003E6B40"/>
    <w:rsid w:val="003E6C16"/>
    <w:rsid w:val="003E6C35"/>
    <w:rsid w:val="003E6DB4"/>
    <w:rsid w:val="003E70DA"/>
    <w:rsid w:val="003E71F9"/>
    <w:rsid w:val="003E7218"/>
    <w:rsid w:val="003E7297"/>
    <w:rsid w:val="003E72DF"/>
    <w:rsid w:val="003E7315"/>
    <w:rsid w:val="003E7355"/>
    <w:rsid w:val="003E7387"/>
    <w:rsid w:val="003E73CE"/>
    <w:rsid w:val="003E7459"/>
    <w:rsid w:val="003E77B5"/>
    <w:rsid w:val="003E77C8"/>
    <w:rsid w:val="003E79A6"/>
    <w:rsid w:val="003E7AAA"/>
    <w:rsid w:val="003E7ACA"/>
    <w:rsid w:val="003E7B8D"/>
    <w:rsid w:val="003E7F2B"/>
    <w:rsid w:val="003E7F35"/>
    <w:rsid w:val="003E7F3C"/>
    <w:rsid w:val="003E7FFA"/>
    <w:rsid w:val="003ECC33"/>
    <w:rsid w:val="003ED97C"/>
    <w:rsid w:val="003F0012"/>
    <w:rsid w:val="003F0044"/>
    <w:rsid w:val="003F006D"/>
    <w:rsid w:val="003F017F"/>
    <w:rsid w:val="003F028A"/>
    <w:rsid w:val="003F02D6"/>
    <w:rsid w:val="003F0430"/>
    <w:rsid w:val="003F0497"/>
    <w:rsid w:val="003F04BC"/>
    <w:rsid w:val="003F0576"/>
    <w:rsid w:val="003F0670"/>
    <w:rsid w:val="003F0672"/>
    <w:rsid w:val="003F0696"/>
    <w:rsid w:val="003F06BB"/>
    <w:rsid w:val="003F06BF"/>
    <w:rsid w:val="003F06F0"/>
    <w:rsid w:val="003F0702"/>
    <w:rsid w:val="003F075B"/>
    <w:rsid w:val="003F0771"/>
    <w:rsid w:val="003F086A"/>
    <w:rsid w:val="003F08B6"/>
    <w:rsid w:val="003F0A02"/>
    <w:rsid w:val="003F0A99"/>
    <w:rsid w:val="003F0B38"/>
    <w:rsid w:val="003F0B43"/>
    <w:rsid w:val="003F0B7E"/>
    <w:rsid w:val="003F0BB1"/>
    <w:rsid w:val="003F0BD4"/>
    <w:rsid w:val="003F0D03"/>
    <w:rsid w:val="003F0E66"/>
    <w:rsid w:val="003F0E6F"/>
    <w:rsid w:val="003F0EB7"/>
    <w:rsid w:val="003F10B1"/>
    <w:rsid w:val="003F111F"/>
    <w:rsid w:val="003F11C1"/>
    <w:rsid w:val="003F144C"/>
    <w:rsid w:val="003F146C"/>
    <w:rsid w:val="003F17CA"/>
    <w:rsid w:val="003F1835"/>
    <w:rsid w:val="003F1846"/>
    <w:rsid w:val="003F185D"/>
    <w:rsid w:val="003F1884"/>
    <w:rsid w:val="003F18A2"/>
    <w:rsid w:val="003F19E5"/>
    <w:rsid w:val="003F1A59"/>
    <w:rsid w:val="003F1A83"/>
    <w:rsid w:val="003F1BE0"/>
    <w:rsid w:val="003F1CB1"/>
    <w:rsid w:val="003F1D44"/>
    <w:rsid w:val="003F1E2D"/>
    <w:rsid w:val="003F1E4C"/>
    <w:rsid w:val="003F1F47"/>
    <w:rsid w:val="003F1FF9"/>
    <w:rsid w:val="003F2384"/>
    <w:rsid w:val="003F241D"/>
    <w:rsid w:val="003F2491"/>
    <w:rsid w:val="003F258D"/>
    <w:rsid w:val="003F25C7"/>
    <w:rsid w:val="003F2654"/>
    <w:rsid w:val="003F26A3"/>
    <w:rsid w:val="003F26CF"/>
    <w:rsid w:val="003F27C8"/>
    <w:rsid w:val="003F29AA"/>
    <w:rsid w:val="003F2AF7"/>
    <w:rsid w:val="003F2B2D"/>
    <w:rsid w:val="003F2C50"/>
    <w:rsid w:val="003F2CB2"/>
    <w:rsid w:val="003F2CFF"/>
    <w:rsid w:val="003F2D00"/>
    <w:rsid w:val="003F2E28"/>
    <w:rsid w:val="003F2F1B"/>
    <w:rsid w:val="003F2FE8"/>
    <w:rsid w:val="003F3076"/>
    <w:rsid w:val="003F3171"/>
    <w:rsid w:val="003F345F"/>
    <w:rsid w:val="003F3537"/>
    <w:rsid w:val="003F370C"/>
    <w:rsid w:val="003F3773"/>
    <w:rsid w:val="003F3927"/>
    <w:rsid w:val="003F3A60"/>
    <w:rsid w:val="003F3A78"/>
    <w:rsid w:val="003F3AB7"/>
    <w:rsid w:val="003F3C57"/>
    <w:rsid w:val="003F3CC0"/>
    <w:rsid w:val="003F3D30"/>
    <w:rsid w:val="003F3DEE"/>
    <w:rsid w:val="003F3DF2"/>
    <w:rsid w:val="003F3E94"/>
    <w:rsid w:val="003F3F78"/>
    <w:rsid w:val="003F3F9F"/>
    <w:rsid w:val="003F4016"/>
    <w:rsid w:val="003F40D9"/>
    <w:rsid w:val="003F40EF"/>
    <w:rsid w:val="003F43B1"/>
    <w:rsid w:val="003F4490"/>
    <w:rsid w:val="003F456E"/>
    <w:rsid w:val="003F45BD"/>
    <w:rsid w:val="003F45E5"/>
    <w:rsid w:val="003F4610"/>
    <w:rsid w:val="003F4640"/>
    <w:rsid w:val="003F478D"/>
    <w:rsid w:val="003F4979"/>
    <w:rsid w:val="003F49A0"/>
    <w:rsid w:val="003F4A0A"/>
    <w:rsid w:val="003F4A56"/>
    <w:rsid w:val="003F4B0F"/>
    <w:rsid w:val="003F4BB5"/>
    <w:rsid w:val="003F4DC4"/>
    <w:rsid w:val="003F4FC2"/>
    <w:rsid w:val="003F51BF"/>
    <w:rsid w:val="003F51DE"/>
    <w:rsid w:val="003F526C"/>
    <w:rsid w:val="003F537C"/>
    <w:rsid w:val="003F5399"/>
    <w:rsid w:val="003F560C"/>
    <w:rsid w:val="003F589A"/>
    <w:rsid w:val="003F58D5"/>
    <w:rsid w:val="003F5A19"/>
    <w:rsid w:val="003F5A50"/>
    <w:rsid w:val="003F5AA8"/>
    <w:rsid w:val="003F5DDF"/>
    <w:rsid w:val="003F5EF8"/>
    <w:rsid w:val="003F601C"/>
    <w:rsid w:val="003F61F2"/>
    <w:rsid w:val="003F6382"/>
    <w:rsid w:val="003F6577"/>
    <w:rsid w:val="003F65E6"/>
    <w:rsid w:val="003F66D5"/>
    <w:rsid w:val="003F6800"/>
    <w:rsid w:val="003F6A8F"/>
    <w:rsid w:val="003F6C4A"/>
    <w:rsid w:val="003F6C57"/>
    <w:rsid w:val="003F6CE6"/>
    <w:rsid w:val="003F70A4"/>
    <w:rsid w:val="003F70E9"/>
    <w:rsid w:val="003F715C"/>
    <w:rsid w:val="003F7212"/>
    <w:rsid w:val="003F7378"/>
    <w:rsid w:val="003F73E0"/>
    <w:rsid w:val="003F7550"/>
    <w:rsid w:val="003F75E2"/>
    <w:rsid w:val="003F75FE"/>
    <w:rsid w:val="003F7720"/>
    <w:rsid w:val="003F77CC"/>
    <w:rsid w:val="003F77DD"/>
    <w:rsid w:val="003F7A88"/>
    <w:rsid w:val="003F7B07"/>
    <w:rsid w:val="003F7B34"/>
    <w:rsid w:val="003F7BAB"/>
    <w:rsid w:val="003F7C62"/>
    <w:rsid w:val="003F7D8D"/>
    <w:rsid w:val="003F7E18"/>
    <w:rsid w:val="003F7F0B"/>
    <w:rsid w:val="00400118"/>
    <w:rsid w:val="0040015E"/>
    <w:rsid w:val="00400199"/>
    <w:rsid w:val="00400516"/>
    <w:rsid w:val="004006A5"/>
    <w:rsid w:val="0040071E"/>
    <w:rsid w:val="00400742"/>
    <w:rsid w:val="00400888"/>
    <w:rsid w:val="0040095E"/>
    <w:rsid w:val="00400A7A"/>
    <w:rsid w:val="00400BE1"/>
    <w:rsid w:val="00400D53"/>
    <w:rsid w:val="00400EAF"/>
    <w:rsid w:val="00400EC1"/>
    <w:rsid w:val="00400EDE"/>
    <w:rsid w:val="00401032"/>
    <w:rsid w:val="00401138"/>
    <w:rsid w:val="00401227"/>
    <w:rsid w:val="00401246"/>
    <w:rsid w:val="0040128C"/>
    <w:rsid w:val="004012CB"/>
    <w:rsid w:val="004012D3"/>
    <w:rsid w:val="00401340"/>
    <w:rsid w:val="0040142C"/>
    <w:rsid w:val="00401502"/>
    <w:rsid w:val="0040162D"/>
    <w:rsid w:val="00401635"/>
    <w:rsid w:val="004017D7"/>
    <w:rsid w:val="00401893"/>
    <w:rsid w:val="004019A2"/>
    <w:rsid w:val="00401A84"/>
    <w:rsid w:val="00401D19"/>
    <w:rsid w:val="00401D73"/>
    <w:rsid w:val="00401E9B"/>
    <w:rsid w:val="004020E6"/>
    <w:rsid w:val="004021B8"/>
    <w:rsid w:val="0040222E"/>
    <w:rsid w:val="00402259"/>
    <w:rsid w:val="00402270"/>
    <w:rsid w:val="004022AA"/>
    <w:rsid w:val="004025DE"/>
    <w:rsid w:val="00402737"/>
    <w:rsid w:val="00402A5A"/>
    <w:rsid w:val="00402BD8"/>
    <w:rsid w:val="00402C7F"/>
    <w:rsid w:val="00402CC2"/>
    <w:rsid w:val="00402D1B"/>
    <w:rsid w:val="00402F65"/>
    <w:rsid w:val="00402F71"/>
    <w:rsid w:val="00402F9B"/>
    <w:rsid w:val="00402FF2"/>
    <w:rsid w:val="00403034"/>
    <w:rsid w:val="0040303E"/>
    <w:rsid w:val="00403128"/>
    <w:rsid w:val="004031F9"/>
    <w:rsid w:val="004031FB"/>
    <w:rsid w:val="0040334E"/>
    <w:rsid w:val="00403380"/>
    <w:rsid w:val="004033E6"/>
    <w:rsid w:val="00403508"/>
    <w:rsid w:val="004035A4"/>
    <w:rsid w:val="00403670"/>
    <w:rsid w:val="00403756"/>
    <w:rsid w:val="0040376F"/>
    <w:rsid w:val="004038D7"/>
    <w:rsid w:val="0040392D"/>
    <w:rsid w:val="00403D8B"/>
    <w:rsid w:val="00403EBE"/>
    <w:rsid w:val="00403F13"/>
    <w:rsid w:val="00403FAF"/>
    <w:rsid w:val="004040C1"/>
    <w:rsid w:val="0040436E"/>
    <w:rsid w:val="004043D1"/>
    <w:rsid w:val="00404402"/>
    <w:rsid w:val="00404417"/>
    <w:rsid w:val="00404554"/>
    <w:rsid w:val="0040457E"/>
    <w:rsid w:val="0040461C"/>
    <w:rsid w:val="004047AC"/>
    <w:rsid w:val="0040481D"/>
    <w:rsid w:val="0040490F"/>
    <w:rsid w:val="00404C5B"/>
    <w:rsid w:val="00404DCC"/>
    <w:rsid w:val="00404FE6"/>
    <w:rsid w:val="00405008"/>
    <w:rsid w:val="0040512E"/>
    <w:rsid w:val="00405183"/>
    <w:rsid w:val="00405380"/>
    <w:rsid w:val="004055D4"/>
    <w:rsid w:val="00405791"/>
    <w:rsid w:val="00405C7C"/>
    <w:rsid w:val="00405C91"/>
    <w:rsid w:val="00405FC0"/>
    <w:rsid w:val="004060D8"/>
    <w:rsid w:val="00406289"/>
    <w:rsid w:val="004062BA"/>
    <w:rsid w:val="0040631F"/>
    <w:rsid w:val="004063D9"/>
    <w:rsid w:val="00406514"/>
    <w:rsid w:val="0040655F"/>
    <w:rsid w:val="0040665F"/>
    <w:rsid w:val="0040686E"/>
    <w:rsid w:val="00406A31"/>
    <w:rsid w:val="00406AA2"/>
    <w:rsid w:val="00406C76"/>
    <w:rsid w:val="00406CA2"/>
    <w:rsid w:val="00406CDF"/>
    <w:rsid w:val="00406D26"/>
    <w:rsid w:val="00406E96"/>
    <w:rsid w:val="00406EC6"/>
    <w:rsid w:val="0040704A"/>
    <w:rsid w:val="0040710F"/>
    <w:rsid w:val="00407144"/>
    <w:rsid w:val="0040742B"/>
    <w:rsid w:val="00407534"/>
    <w:rsid w:val="00407839"/>
    <w:rsid w:val="0040793D"/>
    <w:rsid w:val="00407AB7"/>
    <w:rsid w:val="00407AF3"/>
    <w:rsid w:val="00407B3B"/>
    <w:rsid w:val="00407C27"/>
    <w:rsid w:val="00410077"/>
    <w:rsid w:val="004100BA"/>
    <w:rsid w:val="00410143"/>
    <w:rsid w:val="00410176"/>
    <w:rsid w:val="004103A2"/>
    <w:rsid w:val="0041064E"/>
    <w:rsid w:val="004106B4"/>
    <w:rsid w:val="004106C0"/>
    <w:rsid w:val="00410731"/>
    <w:rsid w:val="0041082B"/>
    <w:rsid w:val="00410A2E"/>
    <w:rsid w:val="00410BFC"/>
    <w:rsid w:val="00410C7E"/>
    <w:rsid w:val="00410D51"/>
    <w:rsid w:val="00410D9F"/>
    <w:rsid w:val="00410ECD"/>
    <w:rsid w:val="00410F28"/>
    <w:rsid w:val="00410F69"/>
    <w:rsid w:val="004110F4"/>
    <w:rsid w:val="00411309"/>
    <w:rsid w:val="0041134C"/>
    <w:rsid w:val="0041135F"/>
    <w:rsid w:val="00411520"/>
    <w:rsid w:val="00411546"/>
    <w:rsid w:val="004116A6"/>
    <w:rsid w:val="00411762"/>
    <w:rsid w:val="0041185F"/>
    <w:rsid w:val="00411877"/>
    <w:rsid w:val="00411959"/>
    <w:rsid w:val="00411A06"/>
    <w:rsid w:val="00411C0D"/>
    <w:rsid w:val="00411C66"/>
    <w:rsid w:val="00411DA3"/>
    <w:rsid w:val="00411DE6"/>
    <w:rsid w:val="00411E4F"/>
    <w:rsid w:val="00411F92"/>
    <w:rsid w:val="00412074"/>
    <w:rsid w:val="0041211D"/>
    <w:rsid w:val="0041239E"/>
    <w:rsid w:val="00412733"/>
    <w:rsid w:val="004128CA"/>
    <w:rsid w:val="00412ADC"/>
    <w:rsid w:val="00412C23"/>
    <w:rsid w:val="00412C67"/>
    <w:rsid w:val="00412D57"/>
    <w:rsid w:val="00412D5D"/>
    <w:rsid w:val="00412FFF"/>
    <w:rsid w:val="00413064"/>
    <w:rsid w:val="0041339C"/>
    <w:rsid w:val="004135EA"/>
    <w:rsid w:val="004135EB"/>
    <w:rsid w:val="004139F6"/>
    <w:rsid w:val="00413A27"/>
    <w:rsid w:val="00413AAD"/>
    <w:rsid w:val="00413CDE"/>
    <w:rsid w:val="00413D64"/>
    <w:rsid w:val="00413D93"/>
    <w:rsid w:val="00413F0D"/>
    <w:rsid w:val="00413F99"/>
    <w:rsid w:val="00413FAF"/>
    <w:rsid w:val="00413FC1"/>
    <w:rsid w:val="00414005"/>
    <w:rsid w:val="004140F5"/>
    <w:rsid w:val="0041420D"/>
    <w:rsid w:val="0041425D"/>
    <w:rsid w:val="004142CB"/>
    <w:rsid w:val="004142F3"/>
    <w:rsid w:val="0041454C"/>
    <w:rsid w:val="0041454E"/>
    <w:rsid w:val="00414691"/>
    <w:rsid w:val="00414816"/>
    <w:rsid w:val="0041483E"/>
    <w:rsid w:val="0041489E"/>
    <w:rsid w:val="00414924"/>
    <w:rsid w:val="00414959"/>
    <w:rsid w:val="004149D7"/>
    <w:rsid w:val="00414A20"/>
    <w:rsid w:val="00414A69"/>
    <w:rsid w:val="00414B46"/>
    <w:rsid w:val="00414DE2"/>
    <w:rsid w:val="00414DFA"/>
    <w:rsid w:val="00414E8B"/>
    <w:rsid w:val="00415283"/>
    <w:rsid w:val="0041531D"/>
    <w:rsid w:val="004153A4"/>
    <w:rsid w:val="004153CA"/>
    <w:rsid w:val="0041552C"/>
    <w:rsid w:val="00415681"/>
    <w:rsid w:val="00415692"/>
    <w:rsid w:val="00415944"/>
    <w:rsid w:val="00415AEA"/>
    <w:rsid w:val="00415C5B"/>
    <w:rsid w:val="00415C81"/>
    <w:rsid w:val="00415CAE"/>
    <w:rsid w:val="00415E46"/>
    <w:rsid w:val="00415F07"/>
    <w:rsid w:val="0041603A"/>
    <w:rsid w:val="004160A0"/>
    <w:rsid w:val="0041610A"/>
    <w:rsid w:val="004162C1"/>
    <w:rsid w:val="004163BC"/>
    <w:rsid w:val="00416503"/>
    <w:rsid w:val="0041668C"/>
    <w:rsid w:val="0041673A"/>
    <w:rsid w:val="004167A7"/>
    <w:rsid w:val="00416802"/>
    <w:rsid w:val="0041681D"/>
    <w:rsid w:val="00416908"/>
    <w:rsid w:val="00416BAC"/>
    <w:rsid w:val="00416BF5"/>
    <w:rsid w:val="00416C46"/>
    <w:rsid w:val="00416CB6"/>
    <w:rsid w:val="00416DC2"/>
    <w:rsid w:val="00416E24"/>
    <w:rsid w:val="00416E2A"/>
    <w:rsid w:val="00416E42"/>
    <w:rsid w:val="00416EDA"/>
    <w:rsid w:val="00416FEB"/>
    <w:rsid w:val="00417020"/>
    <w:rsid w:val="0041712E"/>
    <w:rsid w:val="004171A4"/>
    <w:rsid w:val="00417247"/>
    <w:rsid w:val="0041735C"/>
    <w:rsid w:val="00417421"/>
    <w:rsid w:val="004174A3"/>
    <w:rsid w:val="00417672"/>
    <w:rsid w:val="004176A6"/>
    <w:rsid w:val="004176CB"/>
    <w:rsid w:val="004177BC"/>
    <w:rsid w:val="004178E0"/>
    <w:rsid w:val="004179FA"/>
    <w:rsid w:val="00417AC4"/>
    <w:rsid w:val="00417DB7"/>
    <w:rsid w:val="00417E6C"/>
    <w:rsid w:val="00417E92"/>
    <w:rsid w:val="0041951D"/>
    <w:rsid w:val="0042000B"/>
    <w:rsid w:val="00420061"/>
    <w:rsid w:val="004202B7"/>
    <w:rsid w:val="004202C9"/>
    <w:rsid w:val="004203D3"/>
    <w:rsid w:val="004203FF"/>
    <w:rsid w:val="004204F2"/>
    <w:rsid w:val="00420608"/>
    <w:rsid w:val="0042064B"/>
    <w:rsid w:val="00420662"/>
    <w:rsid w:val="00420884"/>
    <w:rsid w:val="00420888"/>
    <w:rsid w:val="004209B0"/>
    <w:rsid w:val="00420A48"/>
    <w:rsid w:val="00420D95"/>
    <w:rsid w:val="00420E3D"/>
    <w:rsid w:val="00421107"/>
    <w:rsid w:val="0042115D"/>
    <w:rsid w:val="00421223"/>
    <w:rsid w:val="004212E7"/>
    <w:rsid w:val="00421376"/>
    <w:rsid w:val="00421381"/>
    <w:rsid w:val="00421493"/>
    <w:rsid w:val="004214CF"/>
    <w:rsid w:val="004214D8"/>
    <w:rsid w:val="0042151E"/>
    <w:rsid w:val="004215C4"/>
    <w:rsid w:val="0042173A"/>
    <w:rsid w:val="00421785"/>
    <w:rsid w:val="0042181A"/>
    <w:rsid w:val="00421830"/>
    <w:rsid w:val="004218E1"/>
    <w:rsid w:val="00421937"/>
    <w:rsid w:val="00421A1A"/>
    <w:rsid w:val="00421A5C"/>
    <w:rsid w:val="00421B6B"/>
    <w:rsid w:val="00421C6E"/>
    <w:rsid w:val="00421D06"/>
    <w:rsid w:val="00421EA9"/>
    <w:rsid w:val="00421EF7"/>
    <w:rsid w:val="00421F74"/>
    <w:rsid w:val="00421FB8"/>
    <w:rsid w:val="0042204A"/>
    <w:rsid w:val="0042205A"/>
    <w:rsid w:val="004221C9"/>
    <w:rsid w:val="00422215"/>
    <w:rsid w:val="00422235"/>
    <w:rsid w:val="0042232C"/>
    <w:rsid w:val="00422483"/>
    <w:rsid w:val="0042250B"/>
    <w:rsid w:val="004226A6"/>
    <w:rsid w:val="0042273E"/>
    <w:rsid w:val="00422842"/>
    <w:rsid w:val="004229A9"/>
    <w:rsid w:val="00422ABD"/>
    <w:rsid w:val="00422B75"/>
    <w:rsid w:val="00423046"/>
    <w:rsid w:val="00423082"/>
    <w:rsid w:val="004231D5"/>
    <w:rsid w:val="0042326A"/>
    <w:rsid w:val="0042329E"/>
    <w:rsid w:val="004234E3"/>
    <w:rsid w:val="00423682"/>
    <w:rsid w:val="004236D6"/>
    <w:rsid w:val="0042382A"/>
    <w:rsid w:val="00423872"/>
    <w:rsid w:val="00423BB8"/>
    <w:rsid w:val="00423DA3"/>
    <w:rsid w:val="00423ECA"/>
    <w:rsid w:val="00423F88"/>
    <w:rsid w:val="004241F4"/>
    <w:rsid w:val="00424424"/>
    <w:rsid w:val="00424573"/>
    <w:rsid w:val="00424604"/>
    <w:rsid w:val="00424690"/>
    <w:rsid w:val="004246BF"/>
    <w:rsid w:val="004248EA"/>
    <w:rsid w:val="004249E6"/>
    <w:rsid w:val="00424A61"/>
    <w:rsid w:val="00424B6F"/>
    <w:rsid w:val="00424C06"/>
    <w:rsid w:val="00424C1A"/>
    <w:rsid w:val="00424C3A"/>
    <w:rsid w:val="00424C71"/>
    <w:rsid w:val="00424E8E"/>
    <w:rsid w:val="00424EAF"/>
    <w:rsid w:val="00424EBE"/>
    <w:rsid w:val="00424EE2"/>
    <w:rsid w:val="00425400"/>
    <w:rsid w:val="0042544B"/>
    <w:rsid w:val="0042545B"/>
    <w:rsid w:val="0042558B"/>
    <w:rsid w:val="004255ED"/>
    <w:rsid w:val="00425837"/>
    <w:rsid w:val="0042588B"/>
    <w:rsid w:val="0042593D"/>
    <w:rsid w:val="0042599E"/>
    <w:rsid w:val="004259FD"/>
    <w:rsid w:val="00425B65"/>
    <w:rsid w:val="00425D44"/>
    <w:rsid w:val="00425DAD"/>
    <w:rsid w:val="00425DBC"/>
    <w:rsid w:val="00425EB0"/>
    <w:rsid w:val="00425EEE"/>
    <w:rsid w:val="00425F04"/>
    <w:rsid w:val="00425F3D"/>
    <w:rsid w:val="00425FE5"/>
    <w:rsid w:val="004261DE"/>
    <w:rsid w:val="004263A7"/>
    <w:rsid w:val="00426444"/>
    <w:rsid w:val="0042651E"/>
    <w:rsid w:val="00426677"/>
    <w:rsid w:val="00426708"/>
    <w:rsid w:val="0042671B"/>
    <w:rsid w:val="0042677F"/>
    <w:rsid w:val="0042678A"/>
    <w:rsid w:val="00426B66"/>
    <w:rsid w:val="00426C13"/>
    <w:rsid w:val="00426C33"/>
    <w:rsid w:val="00426EE7"/>
    <w:rsid w:val="00426EEA"/>
    <w:rsid w:val="00427160"/>
    <w:rsid w:val="004272F4"/>
    <w:rsid w:val="004273C6"/>
    <w:rsid w:val="004274BD"/>
    <w:rsid w:val="004274EF"/>
    <w:rsid w:val="004276BA"/>
    <w:rsid w:val="004277C8"/>
    <w:rsid w:val="00427922"/>
    <w:rsid w:val="00427D35"/>
    <w:rsid w:val="00427D9C"/>
    <w:rsid w:val="00427E1C"/>
    <w:rsid w:val="0042844E"/>
    <w:rsid w:val="00430010"/>
    <w:rsid w:val="00430068"/>
    <w:rsid w:val="00430095"/>
    <w:rsid w:val="004300CC"/>
    <w:rsid w:val="004300D7"/>
    <w:rsid w:val="004301AB"/>
    <w:rsid w:val="004302D6"/>
    <w:rsid w:val="004303B0"/>
    <w:rsid w:val="00430440"/>
    <w:rsid w:val="004304E9"/>
    <w:rsid w:val="00430510"/>
    <w:rsid w:val="00430569"/>
    <w:rsid w:val="00430753"/>
    <w:rsid w:val="004307C2"/>
    <w:rsid w:val="00430837"/>
    <w:rsid w:val="004308F5"/>
    <w:rsid w:val="00430B26"/>
    <w:rsid w:val="00430C0F"/>
    <w:rsid w:val="00430E9E"/>
    <w:rsid w:val="00430F36"/>
    <w:rsid w:val="00430F54"/>
    <w:rsid w:val="004310B3"/>
    <w:rsid w:val="004310C2"/>
    <w:rsid w:val="004310FC"/>
    <w:rsid w:val="00431151"/>
    <w:rsid w:val="0043134F"/>
    <w:rsid w:val="00431569"/>
    <w:rsid w:val="004315B0"/>
    <w:rsid w:val="0043169A"/>
    <w:rsid w:val="0043186A"/>
    <w:rsid w:val="00431893"/>
    <w:rsid w:val="00431904"/>
    <w:rsid w:val="00431986"/>
    <w:rsid w:val="00431CD6"/>
    <w:rsid w:val="00431D0D"/>
    <w:rsid w:val="00431FA4"/>
    <w:rsid w:val="00431FC9"/>
    <w:rsid w:val="004321AC"/>
    <w:rsid w:val="004322B3"/>
    <w:rsid w:val="004325B8"/>
    <w:rsid w:val="004325EB"/>
    <w:rsid w:val="00432670"/>
    <w:rsid w:val="00432686"/>
    <w:rsid w:val="004326E0"/>
    <w:rsid w:val="00432709"/>
    <w:rsid w:val="00432927"/>
    <w:rsid w:val="00432AC8"/>
    <w:rsid w:val="00432BC6"/>
    <w:rsid w:val="00432C92"/>
    <w:rsid w:val="00432CB8"/>
    <w:rsid w:val="00432D82"/>
    <w:rsid w:val="00432EA9"/>
    <w:rsid w:val="004330A3"/>
    <w:rsid w:val="004330DC"/>
    <w:rsid w:val="004330FB"/>
    <w:rsid w:val="0043316A"/>
    <w:rsid w:val="00433173"/>
    <w:rsid w:val="004331C4"/>
    <w:rsid w:val="004332C1"/>
    <w:rsid w:val="00433404"/>
    <w:rsid w:val="00433409"/>
    <w:rsid w:val="0043345A"/>
    <w:rsid w:val="00433465"/>
    <w:rsid w:val="004334F9"/>
    <w:rsid w:val="0043361D"/>
    <w:rsid w:val="00433692"/>
    <w:rsid w:val="004336A5"/>
    <w:rsid w:val="00433813"/>
    <w:rsid w:val="00433870"/>
    <w:rsid w:val="00433871"/>
    <w:rsid w:val="00433922"/>
    <w:rsid w:val="00433B38"/>
    <w:rsid w:val="00433B62"/>
    <w:rsid w:val="00433BF8"/>
    <w:rsid w:val="00433C11"/>
    <w:rsid w:val="00433CBE"/>
    <w:rsid w:val="00433CCE"/>
    <w:rsid w:val="00433CD6"/>
    <w:rsid w:val="00433D3B"/>
    <w:rsid w:val="00433DB4"/>
    <w:rsid w:val="00433E44"/>
    <w:rsid w:val="00433EB5"/>
    <w:rsid w:val="004341BF"/>
    <w:rsid w:val="00434312"/>
    <w:rsid w:val="0043448D"/>
    <w:rsid w:val="00434542"/>
    <w:rsid w:val="004345AE"/>
    <w:rsid w:val="004345F4"/>
    <w:rsid w:val="004346CF"/>
    <w:rsid w:val="004347BD"/>
    <w:rsid w:val="0043499F"/>
    <w:rsid w:val="00434A83"/>
    <w:rsid w:val="00434AD8"/>
    <w:rsid w:val="00434C53"/>
    <w:rsid w:val="00434CE6"/>
    <w:rsid w:val="00434D76"/>
    <w:rsid w:val="00434F88"/>
    <w:rsid w:val="00434FED"/>
    <w:rsid w:val="00435021"/>
    <w:rsid w:val="00435043"/>
    <w:rsid w:val="0043504A"/>
    <w:rsid w:val="004350F6"/>
    <w:rsid w:val="00435285"/>
    <w:rsid w:val="004352BD"/>
    <w:rsid w:val="004352FC"/>
    <w:rsid w:val="004353FF"/>
    <w:rsid w:val="00435537"/>
    <w:rsid w:val="004355A1"/>
    <w:rsid w:val="00435791"/>
    <w:rsid w:val="00435894"/>
    <w:rsid w:val="0043598F"/>
    <w:rsid w:val="00435AF6"/>
    <w:rsid w:val="00435C39"/>
    <w:rsid w:val="00435C8D"/>
    <w:rsid w:val="00435CCB"/>
    <w:rsid w:val="00435F4F"/>
    <w:rsid w:val="00435FD9"/>
    <w:rsid w:val="00435FE6"/>
    <w:rsid w:val="00436083"/>
    <w:rsid w:val="004363D1"/>
    <w:rsid w:val="0043649D"/>
    <w:rsid w:val="004364D1"/>
    <w:rsid w:val="00436535"/>
    <w:rsid w:val="0043663B"/>
    <w:rsid w:val="004368B4"/>
    <w:rsid w:val="00436A6E"/>
    <w:rsid w:val="00436A8F"/>
    <w:rsid w:val="00436B5E"/>
    <w:rsid w:val="00436E23"/>
    <w:rsid w:val="00436F67"/>
    <w:rsid w:val="004371F5"/>
    <w:rsid w:val="004373E0"/>
    <w:rsid w:val="0043755C"/>
    <w:rsid w:val="0043760A"/>
    <w:rsid w:val="00437798"/>
    <w:rsid w:val="004377C3"/>
    <w:rsid w:val="00437936"/>
    <w:rsid w:val="004379D4"/>
    <w:rsid w:val="00437A1C"/>
    <w:rsid w:val="00437A4A"/>
    <w:rsid w:val="00437AA7"/>
    <w:rsid w:val="00437C67"/>
    <w:rsid w:val="00437CB4"/>
    <w:rsid w:val="00437DE4"/>
    <w:rsid w:val="00437EBF"/>
    <w:rsid w:val="0043DB1B"/>
    <w:rsid w:val="00440066"/>
    <w:rsid w:val="004400E0"/>
    <w:rsid w:val="0044014B"/>
    <w:rsid w:val="004401AC"/>
    <w:rsid w:val="004403E2"/>
    <w:rsid w:val="004403F7"/>
    <w:rsid w:val="004406A4"/>
    <w:rsid w:val="00440790"/>
    <w:rsid w:val="004407FB"/>
    <w:rsid w:val="00440AF3"/>
    <w:rsid w:val="00440CDF"/>
    <w:rsid w:val="00440D34"/>
    <w:rsid w:val="00440DF3"/>
    <w:rsid w:val="00440EA0"/>
    <w:rsid w:val="00440EBF"/>
    <w:rsid w:val="00441110"/>
    <w:rsid w:val="0044116A"/>
    <w:rsid w:val="004411D7"/>
    <w:rsid w:val="0044126C"/>
    <w:rsid w:val="00441465"/>
    <w:rsid w:val="0044164A"/>
    <w:rsid w:val="00441697"/>
    <w:rsid w:val="004417F5"/>
    <w:rsid w:val="00441A65"/>
    <w:rsid w:val="00441AB4"/>
    <w:rsid w:val="00441BA4"/>
    <w:rsid w:val="00441C7D"/>
    <w:rsid w:val="00441D34"/>
    <w:rsid w:val="00441EC0"/>
    <w:rsid w:val="00441EFB"/>
    <w:rsid w:val="00441F8A"/>
    <w:rsid w:val="00441FC4"/>
    <w:rsid w:val="0044206A"/>
    <w:rsid w:val="00442089"/>
    <w:rsid w:val="004420CA"/>
    <w:rsid w:val="00442321"/>
    <w:rsid w:val="004424E7"/>
    <w:rsid w:val="0044250F"/>
    <w:rsid w:val="0044259A"/>
    <w:rsid w:val="004425C2"/>
    <w:rsid w:val="004425F1"/>
    <w:rsid w:val="00442609"/>
    <w:rsid w:val="0044263A"/>
    <w:rsid w:val="00442955"/>
    <w:rsid w:val="004429B6"/>
    <w:rsid w:val="00442A91"/>
    <w:rsid w:val="00442BF0"/>
    <w:rsid w:val="00442C02"/>
    <w:rsid w:val="00442C3A"/>
    <w:rsid w:val="00442D25"/>
    <w:rsid w:val="00442EA7"/>
    <w:rsid w:val="00442F09"/>
    <w:rsid w:val="00442F53"/>
    <w:rsid w:val="00443010"/>
    <w:rsid w:val="004433ED"/>
    <w:rsid w:val="0044344C"/>
    <w:rsid w:val="00443450"/>
    <w:rsid w:val="0044359F"/>
    <w:rsid w:val="004435EB"/>
    <w:rsid w:val="00443670"/>
    <w:rsid w:val="00443800"/>
    <w:rsid w:val="0044381E"/>
    <w:rsid w:val="00443B2F"/>
    <w:rsid w:val="00443B4E"/>
    <w:rsid w:val="00443B8C"/>
    <w:rsid w:val="00443BE9"/>
    <w:rsid w:val="00443C61"/>
    <w:rsid w:val="00443D5C"/>
    <w:rsid w:val="00443E9D"/>
    <w:rsid w:val="00443F3F"/>
    <w:rsid w:val="00443F45"/>
    <w:rsid w:val="0044412B"/>
    <w:rsid w:val="004443BF"/>
    <w:rsid w:val="0044444E"/>
    <w:rsid w:val="0044449E"/>
    <w:rsid w:val="004445D0"/>
    <w:rsid w:val="004446DE"/>
    <w:rsid w:val="00444982"/>
    <w:rsid w:val="00444A4A"/>
    <w:rsid w:val="00444B8E"/>
    <w:rsid w:val="00444CCA"/>
    <w:rsid w:val="00444E79"/>
    <w:rsid w:val="00444E8E"/>
    <w:rsid w:val="00445046"/>
    <w:rsid w:val="004450A4"/>
    <w:rsid w:val="00445166"/>
    <w:rsid w:val="00445252"/>
    <w:rsid w:val="00445341"/>
    <w:rsid w:val="00445651"/>
    <w:rsid w:val="00445695"/>
    <w:rsid w:val="0044571B"/>
    <w:rsid w:val="0044574E"/>
    <w:rsid w:val="00445869"/>
    <w:rsid w:val="0044588C"/>
    <w:rsid w:val="00445935"/>
    <w:rsid w:val="004459DD"/>
    <w:rsid w:val="00445AF6"/>
    <w:rsid w:val="00445B93"/>
    <w:rsid w:val="00445BA1"/>
    <w:rsid w:val="00445DB8"/>
    <w:rsid w:val="00445FBA"/>
    <w:rsid w:val="0044608F"/>
    <w:rsid w:val="00446105"/>
    <w:rsid w:val="004461FD"/>
    <w:rsid w:val="004462EF"/>
    <w:rsid w:val="004464E4"/>
    <w:rsid w:val="00446505"/>
    <w:rsid w:val="00446514"/>
    <w:rsid w:val="00446666"/>
    <w:rsid w:val="004467C5"/>
    <w:rsid w:val="00446A6E"/>
    <w:rsid w:val="00446A8B"/>
    <w:rsid w:val="00446AD7"/>
    <w:rsid w:val="00446B45"/>
    <w:rsid w:val="00446B8D"/>
    <w:rsid w:val="00446BC2"/>
    <w:rsid w:val="00446DD4"/>
    <w:rsid w:val="00446E4B"/>
    <w:rsid w:val="00446E57"/>
    <w:rsid w:val="00446EC9"/>
    <w:rsid w:val="00446FC9"/>
    <w:rsid w:val="00447153"/>
    <w:rsid w:val="0044717E"/>
    <w:rsid w:val="0044754F"/>
    <w:rsid w:val="004478BD"/>
    <w:rsid w:val="00447957"/>
    <w:rsid w:val="00447989"/>
    <w:rsid w:val="004479CC"/>
    <w:rsid w:val="00447B6A"/>
    <w:rsid w:val="00447E1B"/>
    <w:rsid w:val="00447E2A"/>
    <w:rsid w:val="00447E3C"/>
    <w:rsid w:val="00447EA7"/>
    <w:rsid w:val="00447F74"/>
    <w:rsid w:val="0044C5F4"/>
    <w:rsid w:val="00450044"/>
    <w:rsid w:val="004501CC"/>
    <w:rsid w:val="004505E4"/>
    <w:rsid w:val="00450663"/>
    <w:rsid w:val="0045088C"/>
    <w:rsid w:val="0045090D"/>
    <w:rsid w:val="00450965"/>
    <w:rsid w:val="0045096A"/>
    <w:rsid w:val="004509F5"/>
    <w:rsid w:val="00450F2B"/>
    <w:rsid w:val="00451066"/>
    <w:rsid w:val="0045116F"/>
    <w:rsid w:val="004512F8"/>
    <w:rsid w:val="00451313"/>
    <w:rsid w:val="00451378"/>
    <w:rsid w:val="00451491"/>
    <w:rsid w:val="00451572"/>
    <w:rsid w:val="004515C6"/>
    <w:rsid w:val="00451612"/>
    <w:rsid w:val="004517B0"/>
    <w:rsid w:val="004517ED"/>
    <w:rsid w:val="00451910"/>
    <w:rsid w:val="00451A27"/>
    <w:rsid w:val="00451AFB"/>
    <w:rsid w:val="00451B29"/>
    <w:rsid w:val="00451BF3"/>
    <w:rsid w:val="00451C22"/>
    <w:rsid w:val="00451C7C"/>
    <w:rsid w:val="00451C99"/>
    <w:rsid w:val="00451CBF"/>
    <w:rsid w:val="00451CCE"/>
    <w:rsid w:val="004520D2"/>
    <w:rsid w:val="0045220E"/>
    <w:rsid w:val="0045227A"/>
    <w:rsid w:val="0045233E"/>
    <w:rsid w:val="004523CF"/>
    <w:rsid w:val="00452426"/>
    <w:rsid w:val="004524FA"/>
    <w:rsid w:val="00452594"/>
    <w:rsid w:val="004526A5"/>
    <w:rsid w:val="004526C5"/>
    <w:rsid w:val="00452804"/>
    <w:rsid w:val="004528A0"/>
    <w:rsid w:val="004528ED"/>
    <w:rsid w:val="004529C0"/>
    <w:rsid w:val="00452A90"/>
    <w:rsid w:val="00452B74"/>
    <w:rsid w:val="00452C25"/>
    <w:rsid w:val="00452C67"/>
    <w:rsid w:val="00452DF7"/>
    <w:rsid w:val="00452EFD"/>
    <w:rsid w:val="00453008"/>
    <w:rsid w:val="0045305D"/>
    <w:rsid w:val="004530EF"/>
    <w:rsid w:val="0045315A"/>
    <w:rsid w:val="004531A0"/>
    <w:rsid w:val="004531A1"/>
    <w:rsid w:val="0045343A"/>
    <w:rsid w:val="00453456"/>
    <w:rsid w:val="004534B4"/>
    <w:rsid w:val="00453649"/>
    <w:rsid w:val="00453650"/>
    <w:rsid w:val="004537CA"/>
    <w:rsid w:val="00453911"/>
    <w:rsid w:val="00453B5C"/>
    <w:rsid w:val="00453D6D"/>
    <w:rsid w:val="00453EFC"/>
    <w:rsid w:val="00453F5D"/>
    <w:rsid w:val="00453FA8"/>
    <w:rsid w:val="004543E1"/>
    <w:rsid w:val="00454498"/>
    <w:rsid w:val="0045459F"/>
    <w:rsid w:val="004545B1"/>
    <w:rsid w:val="004545BC"/>
    <w:rsid w:val="00454A04"/>
    <w:rsid w:val="00454B35"/>
    <w:rsid w:val="00454B8F"/>
    <w:rsid w:val="00454CE3"/>
    <w:rsid w:val="00454D15"/>
    <w:rsid w:val="00454EED"/>
    <w:rsid w:val="00454EF5"/>
    <w:rsid w:val="004552DA"/>
    <w:rsid w:val="00455456"/>
    <w:rsid w:val="004554E2"/>
    <w:rsid w:val="0045556E"/>
    <w:rsid w:val="0045577E"/>
    <w:rsid w:val="00455799"/>
    <w:rsid w:val="004557E7"/>
    <w:rsid w:val="004558D3"/>
    <w:rsid w:val="004559CC"/>
    <w:rsid w:val="00455AD3"/>
    <w:rsid w:val="00455C0D"/>
    <w:rsid w:val="00455E72"/>
    <w:rsid w:val="00455E7A"/>
    <w:rsid w:val="00455F4C"/>
    <w:rsid w:val="00455FB1"/>
    <w:rsid w:val="00456034"/>
    <w:rsid w:val="004561D1"/>
    <w:rsid w:val="004561ED"/>
    <w:rsid w:val="00456292"/>
    <w:rsid w:val="00456464"/>
    <w:rsid w:val="00456512"/>
    <w:rsid w:val="004565CB"/>
    <w:rsid w:val="004566AF"/>
    <w:rsid w:val="00456740"/>
    <w:rsid w:val="004568DC"/>
    <w:rsid w:val="004568DD"/>
    <w:rsid w:val="0045691A"/>
    <w:rsid w:val="00456AF3"/>
    <w:rsid w:val="00456C17"/>
    <w:rsid w:val="00456C6B"/>
    <w:rsid w:val="00456D01"/>
    <w:rsid w:val="00456E72"/>
    <w:rsid w:val="00456F22"/>
    <w:rsid w:val="0045701F"/>
    <w:rsid w:val="00457036"/>
    <w:rsid w:val="00457094"/>
    <w:rsid w:val="0045732A"/>
    <w:rsid w:val="004574E3"/>
    <w:rsid w:val="004574FF"/>
    <w:rsid w:val="0045751C"/>
    <w:rsid w:val="00457546"/>
    <w:rsid w:val="00457633"/>
    <w:rsid w:val="0045781A"/>
    <w:rsid w:val="0045793A"/>
    <w:rsid w:val="00457946"/>
    <w:rsid w:val="00457951"/>
    <w:rsid w:val="00457996"/>
    <w:rsid w:val="00457A73"/>
    <w:rsid w:val="00457BDB"/>
    <w:rsid w:val="00457ED5"/>
    <w:rsid w:val="00457FB1"/>
    <w:rsid w:val="00457FDF"/>
    <w:rsid w:val="00460040"/>
    <w:rsid w:val="00460218"/>
    <w:rsid w:val="00460394"/>
    <w:rsid w:val="00460514"/>
    <w:rsid w:val="0046061A"/>
    <w:rsid w:val="004606C7"/>
    <w:rsid w:val="0046074A"/>
    <w:rsid w:val="004607C2"/>
    <w:rsid w:val="004607D1"/>
    <w:rsid w:val="004608FD"/>
    <w:rsid w:val="004609F9"/>
    <w:rsid w:val="00460ABB"/>
    <w:rsid w:val="00460AEF"/>
    <w:rsid w:val="00460BC7"/>
    <w:rsid w:val="00460C20"/>
    <w:rsid w:val="00460DFF"/>
    <w:rsid w:val="00460E0B"/>
    <w:rsid w:val="00460EEA"/>
    <w:rsid w:val="00461066"/>
    <w:rsid w:val="00461071"/>
    <w:rsid w:val="00461398"/>
    <w:rsid w:val="004614B7"/>
    <w:rsid w:val="0046180F"/>
    <w:rsid w:val="00461821"/>
    <w:rsid w:val="004618E9"/>
    <w:rsid w:val="00461A9C"/>
    <w:rsid w:val="00461AD1"/>
    <w:rsid w:val="00461B5A"/>
    <w:rsid w:val="00461C44"/>
    <w:rsid w:val="00461F26"/>
    <w:rsid w:val="00461F9A"/>
    <w:rsid w:val="00462197"/>
    <w:rsid w:val="00462357"/>
    <w:rsid w:val="004623DA"/>
    <w:rsid w:val="00462424"/>
    <w:rsid w:val="0046242B"/>
    <w:rsid w:val="004624F7"/>
    <w:rsid w:val="004625C3"/>
    <w:rsid w:val="004626D7"/>
    <w:rsid w:val="00462782"/>
    <w:rsid w:val="004627C1"/>
    <w:rsid w:val="0046281E"/>
    <w:rsid w:val="0046298E"/>
    <w:rsid w:val="00462A6D"/>
    <w:rsid w:val="00462C2A"/>
    <w:rsid w:val="00462C35"/>
    <w:rsid w:val="00462C6D"/>
    <w:rsid w:val="00462CE0"/>
    <w:rsid w:val="00462D87"/>
    <w:rsid w:val="00462E5C"/>
    <w:rsid w:val="00462E6D"/>
    <w:rsid w:val="00462E94"/>
    <w:rsid w:val="00462FF1"/>
    <w:rsid w:val="00462FFC"/>
    <w:rsid w:val="0046321A"/>
    <w:rsid w:val="0046338F"/>
    <w:rsid w:val="00463393"/>
    <w:rsid w:val="004633BD"/>
    <w:rsid w:val="004634D3"/>
    <w:rsid w:val="004634E1"/>
    <w:rsid w:val="0046360B"/>
    <w:rsid w:val="00463689"/>
    <w:rsid w:val="004636EE"/>
    <w:rsid w:val="00463847"/>
    <w:rsid w:val="004638DC"/>
    <w:rsid w:val="004638EB"/>
    <w:rsid w:val="0046390E"/>
    <w:rsid w:val="004639F5"/>
    <w:rsid w:val="00463A46"/>
    <w:rsid w:val="00463AE3"/>
    <w:rsid w:val="00463C9B"/>
    <w:rsid w:val="00463D37"/>
    <w:rsid w:val="00464152"/>
    <w:rsid w:val="004641A6"/>
    <w:rsid w:val="004641C5"/>
    <w:rsid w:val="0046431F"/>
    <w:rsid w:val="004643BD"/>
    <w:rsid w:val="004645CF"/>
    <w:rsid w:val="004647CC"/>
    <w:rsid w:val="00464851"/>
    <w:rsid w:val="00464929"/>
    <w:rsid w:val="00464A2E"/>
    <w:rsid w:val="00464AC6"/>
    <w:rsid w:val="00464AD3"/>
    <w:rsid w:val="00464B4A"/>
    <w:rsid w:val="00464D05"/>
    <w:rsid w:val="00464E1C"/>
    <w:rsid w:val="0046502D"/>
    <w:rsid w:val="00465233"/>
    <w:rsid w:val="0046523D"/>
    <w:rsid w:val="00465330"/>
    <w:rsid w:val="0046533D"/>
    <w:rsid w:val="004653E4"/>
    <w:rsid w:val="0046545B"/>
    <w:rsid w:val="0046552A"/>
    <w:rsid w:val="0046558B"/>
    <w:rsid w:val="00465747"/>
    <w:rsid w:val="00465930"/>
    <w:rsid w:val="004659A4"/>
    <w:rsid w:val="004659CB"/>
    <w:rsid w:val="00465ADA"/>
    <w:rsid w:val="00465AF5"/>
    <w:rsid w:val="00465B3F"/>
    <w:rsid w:val="00465D0F"/>
    <w:rsid w:val="00465F3A"/>
    <w:rsid w:val="00465F86"/>
    <w:rsid w:val="00465FD3"/>
    <w:rsid w:val="004660C5"/>
    <w:rsid w:val="00466120"/>
    <w:rsid w:val="00466258"/>
    <w:rsid w:val="00466260"/>
    <w:rsid w:val="004662FC"/>
    <w:rsid w:val="00466479"/>
    <w:rsid w:val="0046665C"/>
    <w:rsid w:val="004666BE"/>
    <w:rsid w:val="004666CD"/>
    <w:rsid w:val="004668A8"/>
    <w:rsid w:val="004668E6"/>
    <w:rsid w:val="00466A3C"/>
    <w:rsid w:val="00466A4F"/>
    <w:rsid w:val="00466A62"/>
    <w:rsid w:val="00466B17"/>
    <w:rsid w:val="00466BCC"/>
    <w:rsid w:val="00466C11"/>
    <w:rsid w:val="00466CE5"/>
    <w:rsid w:val="00466D87"/>
    <w:rsid w:val="00467234"/>
    <w:rsid w:val="0046733C"/>
    <w:rsid w:val="00467347"/>
    <w:rsid w:val="00467361"/>
    <w:rsid w:val="004673D7"/>
    <w:rsid w:val="0046740A"/>
    <w:rsid w:val="0046742B"/>
    <w:rsid w:val="0046757B"/>
    <w:rsid w:val="004676F6"/>
    <w:rsid w:val="004677B7"/>
    <w:rsid w:val="0046783A"/>
    <w:rsid w:val="00467862"/>
    <w:rsid w:val="00467A93"/>
    <w:rsid w:val="00467E19"/>
    <w:rsid w:val="00467EB7"/>
    <w:rsid w:val="00467EFA"/>
    <w:rsid w:val="00467FFE"/>
    <w:rsid w:val="0046FC3E"/>
    <w:rsid w:val="00470026"/>
    <w:rsid w:val="004702C6"/>
    <w:rsid w:val="00470405"/>
    <w:rsid w:val="004704CB"/>
    <w:rsid w:val="0047060B"/>
    <w:rsid w:val="004708AB"/>
    <w:rsid w:val="00470B94"/>
    <w:rsid w:val="00470D52"/>
    <w:rsid w:val="00470DF1"/>
    <w:rsid w:val="00470EBE"/>
    <w:rsid w:val="00470EF9"/>
    <w:rsid w:val="00470F98"/>
    <w:rsid w:val="00470FEE"/>
    <w:rsid w:val="00471049"/>
    <w:rsid w:val="004710FE"/>
    <w:rsid w:val="0047124D"/>
    <w:rsid w:val="004712E7"/>
    <w:rsid w:val="00471370"/>
    <w:rsid w:val="004716AE"/>
    <w:rsid w:val="004716FE"/>
    <w:rsid w:val="0047185A"/>
    <w:rsid w:val="00471926"/>
    <w:rsid w:val="00471C2A"/>
    <w:rsid w:val="00471DCD"/>
    <w:rsid w:val="00471EF2"/>
    <w:rsid w:val="00471FA0"/>
    <w:rsid w:val="0047204E"/>
    <w:rsid w:val="00472081"/>
    <w:rsid w:val="0047218A"/>
    <w:rsid w:val="00472422"/>
    <w:rsid w:val="00472471"/>
    <w:rsid w:val="004724CE"/>
    <w:rsid w:val="0047252C"/>
    <w:rsid w:val="004725B8"/>
    <w:rsid w:val="00472A4E"/>
    <w:rsid w:val="00472BC5"/>
    <w:rsid w:val="00472BD9"/>
    <w:rsid w:val="00472C05"/>
    <w:rsid w:val="00472C42"/>
    <w:rsid w:val="00472DD6"/>
    <w:rsid w:val="00472EDF"/>
    <w:rsid w:val="00473174"/>
    <w:rsid w:val="0047324F"/>
    <w:rsid w:val="00473271"/>
    <w:rsid w:val="00473495"/>
    <w:rsid w:val="004735C5"/>
    <w:rsid w:val="00473699"/>
    <w:rsid w:val="004736D5"/>
    <w:rsid w:val="00473701"/>
    <w:rsid w:val="004737CC"/>
    <w:rsid w:val="00473834"/>
    <w:rsid w:val="0047385E"/>
    <w:rsid w:val="0047388F"/>
    <w:rsid w:val="004739B6"/>
    <w:rsid w:val="004739F7"/>
    <w:rsid w:val="00473CE9"/>
    <w:rsid w:val="00473DD1"/>
    <w:rsid w:val="00473E3D"/>
    <w:rsid w:val="00473F0A"/>
    <w:rsid w:val="00473F69"/>
    <w:rsid w:val="00474279"/>
    <w:rsid w:val="0047456A"/>
    <w:rsid w:val="0047456C"/>
    <w:rsid w:val="0047458A"/>
    <w:rsid w:val="00474660"/>
    <w:rsid w:val="00474C6C"/>
    <w:rsid w:val="0047511D"/>
    <w:rsid w:val="004751D2"/>
    <w:rsid w:val="004752D9"/>
    <w:rsid w:val="004753A5"/>
    <w:rsid w:val="004756E4"/>
    <w:rsid w:val="0047573F"/>
    <w:rsid w:val="004757BF"/>
    <w:rsid w:val="004758B1"/>
    <w:rsid w:val="00475A38"/>
    <w:rsid w:val="00475E61"/>
    <w:rsid w:val="00475F5E"/>
    <w:rsid w:val="004761F2"/>
    <w:rsid w:val="004762A1"/>
    <w:rsid w:val="004762E3"/>
    <w:rsid w:val="0047641B"/>
    <w:rsid w:val="004765F7"/>
    <w:rsid w:val="00476632"/>
    <w:rsid w:val="00476A99"/>
    <w:rsid w:val="00476C62"/>
    <w:rsid w:val="00476E26"/>
    <w:rsid w:val="00476E5A"/>
    <w:rsid w:val="00476EC9"/>
    <w:rsid w:val="0047713B"/>
    <w:rsid w:val="004771A1"/>
    <w:rsid w:val="0047761D"/>
    <w:rsid w:val="004776F1"/>
    <w:rsid w:val="004777DB"/>
    <w:rsid w:val="00477839"/>
    <w:rsid w:val="00477888"/>
    <w:rsid w:val="004778E4"/>
    <w:rsid w:val="0047791A"/>
    <w:rsid w:val="00477A3B"/>
    <w:rsid w:val="00477B8F"/>
    <w:rsid w:val="00477C24"/>
    <w:rsid w:val="00477C7A"/>
    <w:rsid w:val="00477CE6"/>
    <w:rsid w:val="00477DBF"/>
    <w:rsid w:val="00477F3B"/>
    <w:rsid w:val="00477F9E"/>
    <w:rsid w:val="00477FBC"/>
    <w:rsid w:val="00480390"/>
    <w:rsid w:val="0048042D"/>
    <w:rsid w:val="0048056A"/>
    <w:rsid w:val="00480598"/>
    <w:rsid w:val="004805F0"/>
    <w:rsid w:val="00480660"/>
    <w:rsid w:val="00480759"/>
    <w:rsid w:val="0048079D"/>
    <w:rsid w:val="004807EA"/>
    <w:rsid w:val="00480B9B"/>
    <w:rsid w:val="00480BFD"/>
    <w:rsid w:val="00480CCA"/>
    <w:rsid w:val="00480DA2"/>
    <w:rsid w:val="00480FB9"/>
    <w:rsid w:val="004810E2"/>
    <w:rsid w:val="0048115E"/>
    <w:rsid w:val="00481180"/>
    <w:rsid w:val="00481190"/>
    <w:rsid w:val="004811E5"/>
    <w:rsid w:val="004813B1"/>
    <w:rsid w:val="004813E1"/>
    <w:rsid w:val="00481433"/>
    <w:rsid w:val="004815CD"/>
    <w:rsid w:val="00481698"/>
    <w:rsid w:val="004817AE"/>
    <w:rsid w:val="00481B18"/>
    <w:rsid w:val="00481CA2"/>
    <w:rsid w:val="00481D65"/>
    <w:rsid w:val="00481D80"/>
    <w:rsid w:val="0048218E"/>
    <w:rsid w:val="0048219F"/>
    <w:rsid w:val="00482237"/>
    <w:rsid w:val="004822B8"/>
    <w:rsid w:val="004826D8"/>
    <w:rsid w:val="00482882"/>
    <w:rsid w:val="0048288B"/>
    <w:rsid w:val="004828D1"/>
    <w:rsid w:val="00482931"/>
    <w:rsid w:val="00482D74"/>
    <w:rsid w:val="00482E0D"/>
    <w:rsid w:val="00482F44"/>
    <w:rsid w:val="00482FC5"/>
    <w:rsid w:val="00482FFD"/>
    <w:rsid w:val="00483064"/>
    <w:rsid w:val="004830CE"/>
    <w:rsid w:val="00483197"/>
    <w:rsid w:val="004832E7"/>
    <w:rsid w:val="004834E6"/>
    <w:rsid w:val="004835C9"/>
    <w:rsid w:val="00483633"/>
    <w:rsid w:val="004837AA"/>
    <w:rsid w:val="004837D9"/>
    <w:rsid w:val="00483820"/>
    <w:rsid w:val="004838C2"/>
    <w:rsid w:val="004838E1"/>
    <w:rsid w:val="004839A9"/>
    <w:rsid w:val="004839AD"/>
    <w:rsid w:val="00483D60"/>
    <w:rsid w:val="00483D64"/>
    <w:rsid w:val="00483E89"/>
    <w:rsid w:val="00483E90"/>
    <w:rsid w:val="0048407C"/>
    <w:rsid w:val="0048426D"/>
    <w:rsid w:val="00484308"/>
    <w:rsid w:val="00484369"/>
    <w:rsid w:val="00484457"/>
    <w:rsid w:val="0048479D"/>
    <w:rsid w:val="004847A8"/>
    <w:rsid w:val="0048487E"/>
    <w:rsid w:val="00484970"/>
    <w:rsid w:val="00484A1C"/>
    <w:rsid w:val="00484A30"/>
    <w:rsid w:val="00484A41"/>
    <w:rsid w:val="00484B89"/>
    <w:rsid w:val="00484CBA"/>
    <w:rsid w:val="00484E54"/>
    <w:rsid w:val="0048504A"/>
    <w:rsid w:val="004850E3"/>
    <w:rsid w:val="00485352"/>
    <w:rsid w:val="004853FE"/>
    <w:rsid w:val="004855B4"/>
    <w:rsid w:val="0048566D"/>
    <w:rsid w:val="004858B2"/>
    <w:rsid w:val="0048593D"/>
    <w:rsid w:val="00485B51"/>
    <w:rsid w:val="00485B80"/>
    <w:rsid w:val="00485C1E"/>
    <w:rsid w:val="00485F0C"/>
    <w:rsid w:val="00485FC3"/>
    <w:rsid w:val="00486108"/>
    <w:rsid w:val="0048610C"/>
    <w:rsid w:val="0048611F"/>
    <w:rsid w:val="004861A6"/>
    <w:rsid w:val="00486272"/>
    <w:rsid w:val="0048630B"/>
    <w:rsid w:val="00486433"/>
    <w:rsid w:val="0048661E"/>
    <w:rsid w:val="00486640"/>
    <w:rsid w:val="0048669C"/>
    <w:rsid w:val="004866B7"/>
    <w:rsid w:val="004867E7"/>
    <w:rsid w:val="00486987"/>
    <w:rsid w:val="00486AAE"/>
    <w:rsid w:val="00486B43"/>
    <w:rsid w:val="00486D57"/>
    <w:rsid w:val="00486DB9"/>
    <w:rsid w:val="004870B0"/>
    <w:rsid w:val="00487138"/>
    <w:rsid w:val="0048741D"/>
    <w:rsid w:val="00487497"/>
    <w:rsid w:val="0048749E"/>
    <w:rsid w:val="00487530"/>
    <w:rsid w:val="0048775B"/>
    <w:rsid w:val="0048779C"/>
    <w:rsid w:val="004877B2"/>
    <w:rsid w:val="004879CD"/>
    <w:rsid w:val="00487FE7"/>
    <w:rsid w:val="00488C9F"/>
    <w:rsid w:val="0048AF8C"/>
    <w:rsid w:val="0048B19E"/>
    <w:rsid w:val="00490271"/>
    <w:rsid w:val="004902C8"/>
    <w:rsid w:val="00490329"/>
    <w:rsid w:val="004904BB"/>
    <w:rsid w:val="00490515"/>
    <w:rsid w:val="00490548"/>
    <w:rsid w:val="004905AD"/>
    <w:rsid w:val="004905ED"/>
    <w:rsid w:val="00490856"/>
    <w:rsid w:val="0049089B"/>
    <w:rsid w:val="00490A0E"/>
    <w:rsid w:val="00490A4A"/>
    <w:rsid w:val="00490AC3"/>
    <w:rsid w:val="00490BAC"/>
    <w:rsid w:val="00490DE7"/>
    <w:rsid w:val="00490EBE"/>
    <w:rsid w:val="0049101B"/>
    <w:rsid w:val="00491162"/>
    <w:rsid w:val="004911AA"/>
    <w:rsid w:val="00491302"/>
    <w:rsid w:val="004914E7"/>
    <w:rsid w:val="004916F8"/>
    <w:rsid w:val="00491776"/>
    <w:rsid w:val="00491A78"/>
    <w:rsid w:val="00491DD1"/>
    <w:rsid w:val="00491E1B"/>
    <w:rsid w:val="00492046"/>
    <w:rsid w:val="00492365"/>
    <w:rsid w:val="00492646"/>
    <w:rsid w:val="004927D1"/>
    <w:rsid w:val="00492895"/>
    <w:rsid w:val="004929BA"/>
    <w:rsid w:val="00492CBD"/>
    <w:rsid w:val="00492CD8"/>
    <w:rsid w:val="00492DDF"/>
    <w:rsid w:val="00492E7F"/>
    <w:rsid w:val="00492F65"/>
    <w:rsid w:val="00492F7C"/>
    <w:rsid w:val="00493047"/>
    <w:rsid w:val="00493168"/>
    <w:rsid w:val="0049323E"/>
    <w:rsid w:val="004932F6"/>
    <w:rsid w:val="00493301"/>
    <w:rsid w:val="0049335D"/>
    <w:rsid w:val="0049340E"/>
    <w:rsid w:val="004934A1"/>
    <w:rsid w:val="0049351B"/>
    <w:rsid w:val="00493881"/>
    <w:rsid w:val="0049389D"/>
    <w:rsid w:val="004938E5"/>
    <w:rsid w:val="00493978"/>
    <w:rsid w:val="004939BB"/>
    <w:rsid w:val="00493AE7"/>
    <w:rsid w:val="00493B2B"/>
    <w:rsid w:val="00493F6A"/>
    <w:rsid w:val="004940FD"/>
    <w:rsid w:val="004942BD"/>
    <w:rsid w:val="0049432A"/>
    <w:rsid w:val="0049446F"/>
    <w:rsid w:val="0049459A"/>
    <w:rsid w:val="004945C1"/>
    <w:rsid w:val="00494743"/>
    <w:rsid w:val="00494748"/>
    <w:rsid w:val="0049475B"/>
    <w:rsid w:val="00494856"/>
    <w:rsid w:val="0049496E"/>
    <w:rsid w:val="004949CF"/>
    <w:rsid w:val="00494A55"/>
    <w:rsid w:val="00494CD5"/>
    <w:rsid w:val="00494D50"/>
    <w:rsid w:val="00494F20"/>
    <w:rsid w:val="00494F88"/>
    <w:rsid w:val="00494FCF"/>
    <w:rsid w:val="0049520C"/>
    <w:rsid w:val="0049538F"/>
    <w:rsid w:val="00495404"/>
    <w:rsid w:val="004954B9"/>
    <w:rsid w:val="004954C7"/>
    <w:rsid w:val="004954E4"/>
    <w:rsid w:val="004955CC"/>
    <w:rsid w:val="004956F2"/>
    <w:rsid w:val="004957E2"/>
    <w:rsid w:val="004959FB"/>
    <w:rsid w:val="00495A29"/>
    <w:rsid w:val="00495CDC"/>
    <w:rsid w:val="00495D94"/>
    <w:rsid w:val="00495E30"/>
    <w:rsid w:val="00495F23"/>
    <w:rsid w:val="00495F37"/>
    <w:rsid w:val="00495F71"/>
    <w:rsid w:val="0049602F"/>
    <w:rsid w:val="004960B5"/>
    <w:rsid w:val="004960BB"/>
    <w:rsid w:val="004961C1"/>
    <w:rsid w:val="004961F4"/>
    <w:rsid w:val="004962C4"/>
    <w:rsid w:val="004963ED"/>
    <w:rsid w:val="0049645A"/>
    <w:rsid w:val="00496506"/>
    <w:rsid w:val="0049663D"/>
    <w:rsid w:val="00496689"/>
    <w:rsid w:val="00496776"/>
    <w:rsid w:val="00496BC3"/>
    <w:rsid w:val="00496C09"/>
    <w:rsid w:val="00496C2B"/>
    <w:rsid w:val="00496D0B"/>
    <w:rsid w:val="004970C3"/>
    <w:rsid w:val="004970D4"/>
    <w:rsid w:val="004970D9"/>
    <w:rsid w:val="0049719A"/>
    <w:rsid w:val="00497378"/>
    <w:rsid w:val="004973D3"/>
    <w:rsid w:val="004973D8"/>
    <w:rsid w:val="004976BF"/>
    <w:rsid w:val="004977BC"/>
    <w:rsid w:val="004979F9"/>
    <w:rsid w:val="00497AB0"/>
    <w:rsid w:val="00497B3D"/>
    <w:rsid w:val="00497C21"/>
    <w:rsid w:val="00497CF7"/>
    <w:rsid w:val="00497DD3"/>
    <w:rsid w:val="00497DF6"/>
    <w:rsid w:val="00497E38"/>
    <w:rsid w:val="00497FC9"/>
    <w:rsid w:val="004A0257"/>
    <w:rsid w:val="004A02B7"/>
    <w:rsid w:val="004A0300"/>
    <w:rsid w:val="004A082D"/>
    <w:rsid w:val="004A0ACC"/>
    <w:rsid w:val="004A0B1C"/>
    <w:rsid w:val="004A0B73"/>
    <w:rsid w:val="004A0BAC"/>
    <w:rsid w:val="004A0D0F"/>
    <w:rsid w:val="004A0D50"/>
    <w:rsid w:val="004A0DAD"/>
    <w:rsid w:val="004A0E39"/>
    <w:rsid w:val="004A0F22"/>
    <w:rsid w:val="004A1237"/>
    <w:rsid w:val="004A12C3"/>
    <w:rsid w:val="004A1674"/>
    <w:rsid w:val="004A16F3"/>
    <w:rsid w:val="004A16F9"/>
    <w:rsid w:val="004A1787"/>
    <w:rsid w:val="004A18C8"/>
    <w:rsid w:val="004A18D6"/>
    <w:rsid w:val="004A1A27"/>
    <w:rsid w:val="004A1AA1"/>
    <w:rsid w:val="004A1BB0"/>
    <w:rsid w:val="004A1C91"/>
    <w:rsid w:val="004A1C98"/>
    <w:rsid w:val="004A1CAE"/>
    <w:rsid w:val="004A1CD8"/>
    <w:rsid w:val="004A1F88"/>
    <w:rsid w:val="004A1FE8"/>
    <w:rsid w:val="004A209B"/>
    <w:rsid w:val="004A2265"/>
    <w:rsid w:val="004A2282"/>
    <w:rsid w:val="004A22BE"/>
    <w:rsid w:val="004A24CD"/>
    <w:rsid w:val="004A25B7"/>
    <w:rsid w:val="004A2612"/>
    <w:rsid w:val="004A2648"/>
    <w:rsid w:val="004A282C"/>
    <w:rsid w:val="004A2886"/>
    <w:rsid w:val="004A292E"/>
    <w:rsid w:val="004A2932"/>
    <w:rsid w:val="004A2D74"/>
    <w:rsid w:val="004A2E47"/>
    <w:rsid w:val="004A2EA2"/>
    <w:rsid w:val="004A306A"/>
    <w:rsid w:val="004A3326"/>
    <w:rsid w:val="004A35FE"/>
    <w:rsid w:val="004A3630"/>
    <w:rsid w:val="004A3637"/>
    <w:rsid w:val="004A3723"/>
    <w:rsid w:val="004A378B"/>
    <w:rsid w:val="004A37B9"/>
    <w:rsid w:val="004A3987"/>
    <w:rsid w:val="004A39D1"/>
    <w:rsid w:val="004A3AAC"/>
    <w:rsid w:val="004A3B93"/>
    <w:rsid w:val="004A3CAF"/>
    <w:rsid w:val="004A3D20"/>
    <w:rsid w:val="004A3D3D"/>
    <w:rsid w:val="004A3D97"/>
    <w:rsid w:val="004A3E84"/>
    <w:rsid w:val="004A406C"/>
    <w:rsid w:val="004A4117"/>
    <w:rsid w:val="004A4123"/>
    <w:rsid w:val="004A4161"/>
    <w:rsid w:val="004A4170"/>
    <w:rsid w:val="004A41A9"/>
    <w:rsid w:val="004A4260"/>
    <w:rsid w:val="004A4358"/>
    <w:rsid w:val="004A44E9"/>
    <w:rsid w:val="004A44EA"/>
    <w:rsid w:val="004A4502"/>
    <w:rsid w:val="004A453C"/>
    <w:rsid w:val="004A455F"/>
    <w:rsid w:val="004A473D"/>
    <w:rsid w:val="004A48AF"/>
    <w:rsid w:val="004A4971"/>
    <w:rsid w:val="004A4B9E"/>
    <w:rsid w:val="004A4E59"/>
    <w:rsid w:val="004A515E"/>
    <w:rsid w:val="004A5248"/>
    <w:rsid w:val="004A52EF"/>
    <w:rsid w:val="004A5407"/>
    <w:rsid w:val="004A5593"/>
    <w:rsid w:val="004A5752"/>
    <w:rsid w:val="004A5768"/>
    <w:rsid w:val="004A5805"/>
    <w:rsid w:val="004A586D"/>
    <w:rsid w:val="004A5A0B"/>
    <w:rsid w:val="004A5CB1"/>
    <w:rsid w:val="004A5E02"/>
    <w:rsid w:val="004A5F44"/>
    <w:rsid w:val="004A605C"/>
    <w:rsid w:val="004A60BB"/>
    <w:rsid w:val="004A61BD"/>
    <w:rsid w:val="004A62CE"/>
    <w:rsid w:val="004A637D"/>
    <w:rsid w:val="004A63F6"/>
    <w:rsid w:val="004A63FF"/>
    <w:rsid w:val="004A64C6"/>
    <w:rsid w:val="004A6517"/>
    <w:rsid w:val="004A65FE"/>
    <w:rsid w:val="004A6674"/>
    <w:rsid w:val="004A66E1"/>
    <w:rsid w:val="004A66E4"/>
    <w:rsid w:val="004A680D"/>
    <w:rsid w:val="004A6A77"/>
    <w:rsid w:val="004A6B6F"/>
    <w:rsid w:val="004A6B9A"/>
    <w:rsid w:val="004A6CA1"/>
    <w:rsid w:val="004A6D2A"/>
    <w:rsid w:val="004A6D64"/>
    <w:rsid w:val="004A6F09"/>
    <w:rsid w:val="004A6F48"/>
    <w:rsid w:val="004A72B7"/>
    <w:rsid w:val="004A72FE"/>
    <w:rsid w:val="004A7572"/>
    <w:rsid w:val="004A75A2"/>
    <w:rsid w:val="004A7646"/>
    <w:rsid w:val="004A772A"/>
    <w:rsid w:val="004A78AC"/>
    <w:rsid w:val="004A78C3"/>
    <w:rsid w:val="004A7C24"/>
    <w:rsid w:val="004A7CB6"/>
    <w:rsid w:val="004A7D62"/>
    <w:rsid w:val="004A7E59"/>
    <w:rsid w:val="004A7F5A"/>
    <w:rsid w:val="004A7F9C"/>
    <w:rsid w:val="004B0270"/>
    <w:rsid w:val="004B036E"/>
    <w:rsid w:val="004B0576"/>
    <w:rsid w:val="004B060C"/>
    <w:rsid w:val="004B086B"/>
    <w:rsid w:val="004B0938"/>
    <w:rsid w:val="004B09FE"/>
    <w:rsid w:val="004B0A77"/>
    <w:rsid w:val="004B0B9A"/>
    <w:rsid w:val="004B0BDE"/>
    <w:rsid w:val="004B0C28"/>
    <w:rsid w:val="004B0C8A"/>
    <w:rsid w:val="004B0CB1"/>
    <w:rsid w:val="004B0D73"/>
    <w:rsid w:val="004B0DEB"/>
    <w:rsid w:val="004B0F87"/>
    <w:rsid w:val="004B0F99"/>
    <w:rsid w:val="004B120B"/>
    <w:rsid w:val="004B120C"/>
    <w:rsid w:val="004B1271"/>
    <w:rsid w:val="004B12AD"/>
    <w:rsid w:val="004B14FD"/>
    <w:rsid w:val="004B1599"/>
    <w:rsid w:val="004B1639"/>
    <w:rsid w:val="004B166B"/>
    <w:rsid w:val="004B17B1"/>
    <w:rsid w:val="004B1843"/>
    <w:rsid w:val="004B1A5B"/>
    <w:rsid w:val="004B1A8A"/>
    <w:rsid w:val="004B1B57"/>
    <w:rsid w:val="004B1C86"/>
    <w:rsid w:val="004B1CEE"/>
    <w:rsid w:val="004B1ECB"/>
    <w:rsid w:val="004B2172"/>
    <w:rsid w:val="004B2245"/>
    <w:rsid w:val="004B2331"/>
    <w:rsid w:val="004B2355"/>
    <w:rsid w:val="004B24E2"/>
    <w:rsid w:val="004B251C"/>
    <w:rsid w:val="004B2585"/>
    <w:rsid w:val="004B2596"/>
    <w:rsid w:val="004B25B9"/>
    <w:rsid w:val="004B25D8"/>
    <w:rsid w:val="004B271F"/>
    <w:rsid w:val="004B275F"/>
    <w:rsid w:val="004B277A"/>
    <w:rsid w:val="004B27AA"/>
    <w:rsid w:val="004B28CF"/>
    <w:rsid w:val="004B28E0"/>
    <w:rsid w:val="004B28E5"/>
    <w:rsid w:val="004B2922"/>
    <w:rsid w:val="004B2AB2"/>
    <w:rsid w:val="004B2ACC"/>
    <w:rsid w:val="004B2B0C"/>
    <w:rsid w:val="004B2DF5"/>
    <w:rsid w:val="004B2E37"/>
    <w:rsid w:val="004B2E86"/>
    <w:rsid w:val="004B2F7F"/>
    <w:rsid w:val="004B3083"/>
    <w:rsid w:val="004B3280"/>
    <w:rsid w:val="004B3335"/>
    <w:rsid w:val="004B33EB"/>
    <w:rsid w:val="004B353B"/>
    <w:rsid w:val="004B35BB"/>
    <w:rsid w:val="004B374D"/>
    <w:rsid w:val="004B399C"/>
    <w:rsid w:val="004B3A51"/>
    <w:rsid w:val="004B3ADA"/>
    <w:rsid w:val="004B3BB3"/>
    <w:rsid w:val="004B3BC5"/>
    <w:rsid w:val="004B3BDC"/>
    <w:rsid w:val="004B3CF1"/>
    <w:rsid w:val="004B4294"/>
    <w:rsid w:val="004B432C"/>
    <w:rsid w:val="004B435E"/>
    <w:rsid w:val="004B4374"/>
    <w:rsid w:val="004B438C"/>
    <w:rsid w:val="004B43D2"/>
    <w:rsid w:val="004B4457"/>
    <w:rsid w:val="004B4521"/>
    <w:rsid w:val="004B4662"/>
    <w:rsid w:val="004B476F"/>
    <w:rsid w:val="004B482E"/>
    <w:rsid w:val="004B4891"/>
    <w:rsid w:val="004B4954"/>
    <w:rsid w:val="004B499A"/>
    <w:rsid w:val="004B4B47"/>
    <w:rsid w:val="004B4B51"/>
    <w:rsid w:val="004B4CB1"/>
    <w:rsid w:val="004B4F2D"/>
    <w:rsid w:val="004B4F99"/>
    <w:rsid w:val="004B5041"/>
    <w:rsid w:val="004B50C3"/>
    <w:rsid w:val="004B54B1"/>
    <w:rsid w:val="004B577F"/>
    <w:rsid w:val="004B586D"/>
    <w:rsid w:val="004B58B1"/>
    <w:rsid w:val="004B5A15"/>
    <w:rsid w:val="004B5BBB"/>
    <w:rsid w:val="004B5BFF"/>
    <w:rsid w:val="004B5D50"/>
    <w:rsid w:val="004B5D79"/>
    <w:rsid w:val="004B6061"/>
    <w:rsid w:val="004B6139"/>
    <w:rsid w:val="004B618F"/>
    <w:rsid w:val="004B625E"/>
    <w:rsid w:val="004B63DD"/>
    <w:rsid w:val="004B63EC"/>
    <w:rsid w:val="004B64A2"/>
    <w:rsid w:val="004B64BA"/>
    <w:rsid w:val="004B6509"/>
    <w:rsid w:val="004B6552"/>
    <w:rsid w:val="004B674B"/>
    <w:rsid w:val="004B6B55"/>
    <w:rsid w:val="004B6B83"/>
    <w:rsid w:val="004B6BDE"/>
    <w:rsid w:val="004B6C24"/>
    <w:rsid w:val="004B6C5B"/>
    <w:rsid w:val="004B6D8F"/>
    <w:rsid w:val="004B6E20"/>
    <w:rsid w:val="004B7059"/>
    <w:rsid w:val="004B70D6"/>
    <w:rsid w:val="004B711B"/>
    <w:rsid w:val="004B7307"/>
    <w:rsid w:val="004B73C0"/>
    <w:rsid w:val="004B754B"/>
    <w:rsid w:val="004B75F7"/>
    <w:rsid w:val="004B761C"/>
    <w:rsid w:val="004B7656"/>
    <w:rsid w:val="004B788B"/>
    <w:rsid w:val="004B7920"/>
    <w:rsid w:val="004B7936"/>
    <w:rsid w:val="004B7964"/>
    <w:rsid w:val="004B7A2D"/>
    <w:rsid w:val="004B7B36"/>
    <w:rsid w:val="004B7B3D"/>
    <w:rsid w:val="004B7E94"/>
    <w:rsid w:val="004C0067"/>
    <w:rsid w:val="004C013C"/>
    <w:rsid w:val="004C02C2"/>
    <w:rsid w:val="004C0381"/>
    <w:rsid w:val="004C0433"/>
    <w:rsid w:val="004C05D3"/>
    <w:rsid w:val="004C0828"/>
    <w:rsid w:val="004C0947"/>
    <w:rsid w:val="004C0966"/>
    <w:rsid w:val="004C0982"/>
    <w:rsid w:val="004C09EC"/>
    <w:rsid w:val="004C0A75"/>
    <w:rsid w:val="004C0B21"/>
    <w:rsid w:val="004C0B53"/>
    <w:rsid w:val="004C0BB8"/>
    <w:rsid w:val="004C0C43"/>
    <w:rsid w:val="004C0E5C"/>
    <w:rsid w:val="004C0E6E"/>
    <w:rsid w:val="004C0F9A"/>
    <w:rsid w:val="004C0FDD"/>
    <w:rsid w:val="004C0FED"/>
    <w:rsid w:val="004C0FFA"/>
    <w:rsid w:val="004C1092"/>
    <w:rsid w:val="004C10A6"/>
    <w:rsid w:val="004C1131"/>
    <w:rsid w:val="004C116E"/>
    <w:rsid w:val="004C1186"/>
    <w:rsid w:val="004C1187"/>
    <w:rsid w:val="004C11E2"/>
    <w:rsid w:val="004C132C"/>
    <w:rsid w:val="004C138F"/>
    <w:rsid w:val="004C140F"/>
    <w:rsid w:val="004C1475"/>
    <w:rsid w:val="004C1483"/>
    <w:rsid w:val="004C14FE"/>
    <w:rsid w:val="004C1535"/>
    <w:rsid w:val="004C1597"/>
    <w:rsid w:val="004C173A"/>
    <w:rsid w:val="004C1813"/>
    <w:rsid w:val="004C1D7A"/>
    <w:rsid w:val="004C1EA5"/>
    <w:rsid w:val="004C1EB8"/>
    <w:rsid w:val="004C1FAD"/>
    <w:rsid w:val="004C24CF"/>
    <w:rsid w:val="004C2648"/>
    <w:rsid w:val="004C2677"/>
    <w:rsid w:val="004C278C"/>
    <w:rsid w:val="004C27EA"/>
    <w:rsid w:val="004C283B"/>
    <w:rsid w:val="004C2ABD"/>
    <w:rsid w:val="004C2C46"/>
    <w:rsid w:val="004C2DEB"/>
    <w:rsid w:val="004C3009"/>
    <w:rsid w:val="004C3054"/>
    <w:rsid w:val="004C30CD"/>
    <w:rsid w:val="004C3128"/>
    <w:rsid w:val="004C3177"/>
    <w:rsid w:val="004C31AD"/>
    <w:rsid w:val="004C31BE"/>
    <w:rsid w:val="004C321A"/>
    <w:rsid w:val="004C3314"/>
    <w:rsid w:val="004C334D"/>
    <w:rsid w:val="004C3369"/>
    <w:rsid w:val="004C36D1"/>
    <w:rsid w:val="004C3714"/>
    <w:rsid w:val="004C389B"/>
    <w:rsid w:val="004C3913"/>
    <w:rsid w:val="004C391C"/>
    <w:rsid w:val="004C3983"/>
    <w:rsid w:val="004C3B33"/>
    <w:rsid w:val="004C3B44"/>
    <w:rsid w:val="004C3B74"/>
    <w:rsid w:val="004C3BDA"/>
    <w:rsid w:val="004C3C11"/>
    <w:rsid w:val="004C3C57"/>
    <w:rsid w:val="004C3CA5"/>
    <w:rsid w:val="004C3CDD"/>
    <w:rsid w:val="004C3D1B"/>
    <w:rsid w:val="004C3EEC"/>
    <w:rsid w:val="004C4023"/>
    <w:rsid w:val="004C4071"/>
    <w:rsid w:val="004C41A1"/>
    <w:rsid w:val="004C42CF"/>
    <w:rsid w:val="004C434B"/>
    <w:rsid w:val="004C44BD"/>
    <w:rsid w:val="004C459B"/>
    <w:rsid w:val="004C45B5"/>
    <w:rsid w:val="004C4705"/>
    <w:rsid w:val="004C4963"/>
    <w:rsid w:val="004C49B3"/>
    <w:rsid w:val="004C4A09"/>
    <w:rsid w:val="004C4BE0"/>
    <w:rsid w:val="004C4CE2"/>
    <w:rsid w:val="004C4D4E"/>
    <w:rsid w:val="004C4D68"/>
    <w:rsid w:val="004C4DF8"/>
    <w:rsid w:val="004C4F8C"/>
    <w:rsid w:val="004C50F1"/>
    <w:rsid w:val="004C518A"/>
    <w:rsid w:val="004C51E2"/>
    <w:rsid w:val="004C51F0"/>
    <w:rsid w:val="004C539E"/>
    <w:rsid w:val="004C54F7"/>
    <w:rsid w:val="004C5500"/>
    <w:rsid w:val="004C5531"/>
    <w:rsid w:val="004C5576"/>
    <w:rsid w:val="004C559F"/>
    <w:rsid w:val="004C566F"/>
    <w:rsid w:val="004C58B1"/>
    <w:rsid w:val="004C58BF"/>
    <w:rsid w:val="004C5952"/>
    <w:rsid w:val="004C5A5D"/>
    <w:rsid w:val="004C5B11"/>
    <w:rsid w:val="004C5C7C"/>
    <w:rsid w:val="004C5DCF"/>
    <w:rsid w:val="004C5FCC"/>
    <w:rsid w:val="004C6084"/>
    <w:rsid w:val="004C619E"/>
    <w:rsid w:val="004C61DD"/>
    <w:rsid w:val="004C6248"/>
    <w:rsid w:val="004C62E0"/>
    <w:rsid w:val="004C6432"/>
    <w:rsid w:val="004C65AF"/>
    <w:rsid w:val="004C6621"/>
    <w:rsid w:val="004C6656"/>
    <w:rsid w:val="004C66D2"/>
    <w:rsid w:val="004C68A5"/>
    <w:rsid w:val="004C6C0F"/>
    <w:rsid w:val="004C7113"/>
    <w:rsid w:val="004C7193"/>
    <w:rsid w:val="004C7324"/>
    <w:rsid w:val="004C740E"/>
    <w:rsid w:val="004C74D1"/>
    <w:rsid w:val="004C7577"/>
    <w:rsid w:val="004C76CE"/>
    <w:rsid w:val="004C7821"/>
    <w:rsid w:val="004C782C"/>
    <w:rsid w:val="004C7965"/>
    <w:rsid w:val="004C7C43"/>
    <w:rsid w:val="004C7CB3"/>
    <w:rsid w:val="004C7DA3"/>
    <w:rsid w:val="004C7DD7"/>
    <w:rsid w:val="004C7E27"/>
    <w:rsid w:val="004C7EFA"/>
    <w:rsid w:val="004C7F49"/>
    <w:rsid w:val="004C7F7E"/>
    <w:rsid w:val="004CC930"/>
    <w:rsid w:val="004D0029"/>
    <w:rsid w:val="004D0038"/>
    <w:rsid w:val="004D0246"/>
    <w:rsid w:val="004D0256"/>
    <w:rsid w:val="004D0370"/>
    <w:rsid w:val="004D0372"/>
    <w:rsid w:val="004D0469"/>
    <w:rsid w:val="004D0589"/>
    <w:rsid w:val="004D0728"/>
    <w:rsid w:val="004D0893"/>
    <w:rsid w:val="004D09D0"/>
    <w:rsid w:val="004D09F5"/>
    <w:rsid w:val="004D0AC0"/>
    <w:rsid w:val="004D0AD6"/>
    <w:rsid w:val="004D0B6B"/>
    <w:rsid w:val="004D0BFE"/>
    <w:rsid w:val="004D0EC8"/>
    <w:rsid w:val="004D10CC"/>
    <w:rsid w:val="004D10D7"/>
    <w:rsid w:val="004D10F7"/>
    <w:rsid w:val="004D11E2"/>
    <w:rsid w:val="004D12E5"/>
    <w:rsid w:val="004D1465"/>
    <w:rsid w:val="004D1466"/>
    <w:rsid w:val="004D147B"/>
    <w:rsid w:val="004D14AB"/>
    <w:rsid w:val="004D14C4"/>
    <w:rsid w:val="004D152B"/>
    <w:rsid w:val="004D1621"/>
    <w:rsid w:val="004D16E9"/>
    <w:rsid w:val="004D1744"/>
    <w:rsid w:val="004D177A"/>
    <w:rsid w:val="004D1855"/>
    <w:rsid w:val="004D191D"/>
    <w:rsid w:val="004D1A6A"/>
    <w:rsid w:val="004D1AA6"/>
    <w:rsid w:val="004D1B51"/>
    <w:rsid w:val="004D1B95"/>
    <w:rsid w:val="004D1D25"/>
    <w:rsid w:val="004D1E18"/>
    <w:rsid w:val="004D1EBB"/>
    <w:rsid w:val="004D203F"/>
    <w:rsid w:val="004D2107"/>
    <w:rsid w:val="004D21AE"/>
    <w:rsid w:val="004D21F3"/>
    <w:rsid w:val="004D2214"/>
    <w:rsid w:val="004D2360"/>
    <w:rsid w:val="004D23CE"/>
    <w:rsid w:val="004D2410"/>
    <w:rsid w:val="004D27E3"/>
    <w:rsid w:val="004D27E4"/>
    <w:rsid w:val="004D28C3"/>
    <w:rsid w:val="004D2925"/>
    <w:rsid w:val="004D2930"/>
    <w:rsid w:val="004D2952"/>
    <w:rsid w:val="004D2AE8"/>
    <w:rsid w:val="004D2DB2"/>
    <w:rsid w:val="004D2DD5"/>
    <w:rsid w:val="004D2FA1"/>
    <w:rsid w:val="004D3086"/>
    <w:rsid w:val="004D311A"/>
    <w:rsid w:val="004D3138"/>
    <w:rsid w:val="004D323F"/>
    <w:rsid w:val="004D34C7"/>
    <w:rsid w:val="004D34FF"/>
    <w:rsid w:val="004D3602"/>
    <w:rsid w:val="004D37FD"/>
    <w:rsid w:val="004D3818"/>
    <w:rsid w:val="004D39F5"/>
    <w:rsid w:val="004D3AC0"/>
    <w:rsid w:val="004D3DA4"/>
    <w:rsid w:val="004D3E45"/>
    <w:rsid w:val="004D3E79"/>
    <w:rsid w:val="004D3E9D"/>
    <w:rsid w:val="004D3F1C"/>
    <w:rsid w:val="004D42A5"/>
    <w:rsid w:val="004D4541"/>
    <w:rsid w:val="004D46CF"/>
    <w:rsid w:val="004D4706"/>
    <w:rsid w:val="004D4763"/>
    <w:rsid w:val="004D481E"/>
    <w:rsid w:val="004D489A"/>
    <w:rsid w:val="004D495E"/>
    <w:rsid w:val="004D4C01"/>
    <w:rsid w:val="004D4D9F"/>
    <w:rsid w:val="004D4EA7"/>
    <w:rsid w:val="004D4FD9"/>
    <w:rsid w:val="004D528B"/>
    <w:rsid w:val="004D52C8"/>
    <w:rsid w:val="004D542A"/>
    <w:rsid w:val="004D54E6"/>
    <w:rsid w:val="004D5648"/>
    <w:rsid w:val="004D566C"/>
    <w:rsid w:val="004D56B0"/>
    <w:rsid w:val="004D578C"/>
    <w:rsid w:val="004D59FC"/>
    <w:rsid w:val="004D5A2D"/>
    <w:rsid w:val="004D5B39"/>
    <w:rsid w:val="004D5C7F"/>
    <w:rsid w:val="004D5E62"/>
    <w:rsid w:val="004D5FB3"/>
    <w:rsid w:val="004D6021"/>
    <w:rsid w:val="004D6172"/>
    <w:rsid w:val="004D61F6"/>
    <w:rsid w:val="004D6218"/>
    <w:rsid w:val="004D62B6"/>
    <w:rsid w:val="004D6451"/>
    <w:rsid w:val="004D647F"/>
    <w:rsid w:val="004D6500"/>
    <w:rsid w:val="004D657D"/>
    <w:rsid w:val="004D6698"/>
    <w:rsid w:val="004D669F"/>
    <w:rsid w:val="004D67D7"/>
    <w:rsid w:val="004D681A"/>
    <w:rsid w:val="004D681B"/>
    <w:rsid w:val="004D6910"/>
    <w:rsid w:val="004D6953"/>
    <w:rsid w:val="004D6968"/>
    <w:rsid w:val="004D6C3F"/>
    <w:rsid w:val="004D6FC3"/>
    <w:rsid w:val="004D7378"/>
    <w:rsid w:val="004D7496"/>
    <w:rsid w:val="004D7675"/>
    <w:rsid w:val="004D7CB8"/>
    <w:rsid w:val="004D7CD3"/>
    <w:rsid w:val="004D7F99"/>
    <w:rsid w:val="004D82B5"/>
    <w:rsid w:val="004E0022"/>
    <w:rsid w:val="004E0258"/>
    <w:rsid w:val="004E028C"/>
    <w:rsid w:val="004E0325"/>
    <w:rsid w:val="004E0568"/>
    <w:rsid w:val="004E056D"/>
    <w:rsid w:val="004E0685"/>
    <w:rsid w:val="004E085A"/>
    <w:rsid w:val="004E0892"/>
    <w:rsid w:val="004E0C5D"/>
    <w:rsid w:val="004E0E73"/>
    <w:rsid w:val="004E0F39"/>
    <w:rsid w:val="004E12D0"/>
    <w:rsid w:val="004E133B"/>
    <w:rsid w:val="004E135E"/>
    <w:rsid w:val="004E141E"/>
    <w:rsid w:val="004E156A"/>
    <w:rsid w:val="004E1642"/>
    <w:rsid w:val="004E16B3"/>
    <w:rsid w:val="004E1788"/>
    <w:rsid w:val="004E1793"/>
    <w:rsid w:val="004E1912"/>
    <w:rsid w:val="004E1981"/>
    <w:rsid w:val="004E1B22"/>
    <w:rsid w:val="004E1B34"/>
    <w:rsid w:val="004E1B82"/>
    <w:rsid w:val="004E1E93"/>
    <w:rsid w:val="004E1F74"/>
    <w:rsid w:val="004E1F9C"/>
    <w:rsid w:val="004E201D"/>
    <w:rsid w:val="004E226E"/>
    <w:rsid w:val="004E2329"/>
    <w:rsid w:val="004E23FD"/>
    <w:rsid w:val="004E2505"/>
    <w:rsid w:val="004E26FF"/>
    <w:rsid w:val="004E280B"/>
    <w:rsid w:val="004E2884"/>
    <w:rsid w:val="004E296F"/>
    <w:rsid w:val="004E29F9"/>
    <w:rsid w:val="004E2B26"/>
    <w:rsid w:val="004E2BE3"/>
    <w:rsid w:val="004E2D64"/>
    <w:rsid w:val="004E2E15"/>
    <w:rsid w:val="004E2E5B"/>
    <w:rsid w:val="004E2F39"/>
    <w:rsid w:val="004E2F65"/>
    <w:rsid w:val="004E2FAD"/>
    <w:rsid w:val="004E312C"/>
    <w:rsid w:val="004E3691"/>
    <w:rsid w:val="004E36B9"/>
    <w:rsid w:val="004E36F7"/>
    <w:rsid w:val="004E36F8"/>
    <w:rsid w:val="004E389B"/>
    <w:rsid w:val="004E3959"/>
    <w:rsid w:val="004E3A28"/>
    <w:rsid w:val="004E3B0E"/>
    <w:rsid w:val="004E3B4B"/>
    <w:rsid w:val="004E3C57"/>
    <w:rsid w:val="004E3EB6"/>
    <w:rsid w:val="004E3F54"/>
    <w:rsid w:val="004E3FC0"/>
    <w:rsid w:val="004E3FCA"/>
    <w:rsid w:val="004E40F6"/>
    <w:rsid w:val="004E4174"/>
    <w:rsid w:val="004E4271"/>
    <w:rsid w:val="004E4367"/>
    <w:rsid w:val="004E44B9"/>
    <w:rsid w:val="004E4665"/>
    <w:rsid w:val="004E46D8"/>
    <w:rsid w:val="004E48FA"/>
    <w:rsid w:val="004E4907"/>
    <w:rsid w:val="004E4950"/>
    <w:rsid w:val="004E4A90"/>
    <w:rsid w:val="004E4B6C"/>
    <w:rsid w:val="004E4DC7"/>
    <w:rsid w:val="004E4F48"/>
    <w:rsid w:val="004E4FBD"/>
    <w:rsid w:val="004E5066"/>
    <w:rsid w:val="004E507B"/>
    <w:rsid w:val="004E516A"/>
    <w:rsid w:val="004E522A"/>
    <w:rsid w:val="004E5270"/>
    <w:rsid w:val="004E52AA"/>
    <w:rsid w:val="004E54B2"/>
    <w:rsid w:val="004E5536"/>
    <w:rsid w:val="004E5645"/>
    <w:rsid w:val="004E56E5"/>
    <w:rsid w:val="004E56F2"/>
    <w:rsid w:val="004E5808"/>
    <w:rsid w:val="004E5911"/>
    <w:rsid w:val="004E596F"/>
    <w:rsid w:val="004E5A0E"/>
    <w:rsid w:val="004E5A12"/>
    <w:rsid w:val="004E5A2F"/>
    <w:rsid w:val="004E5BD4"/>
    <w:rsid w:val="004E5C52"/>
    <w:rsid w:val="004E5C9F"/>
    <w:rsid w:val="004E5DEF"/>
    <w:rsid w:val="004E5E2E"/>
    <w:rsid w:val="004E6046"/>
    <w:rsid w:val="004E6212"/>
    <w:rsid w:val="004E62B5"/>
    <w:rsid w:val="004E6463"/>
    <w:rsid w:val="004E6584"/>
    <w:rsid w:val="004E661F"/>
    <w:rsid w:val="004E6684"/>
    <w:rsid w:val="004E6757"/>
    <w:rsid w:val="004E67CC"/>
    <w:rsid w:val="004E68F7"/>
    <w:rsid w:val="004E6A22"/>
    <w:rsid w:val="004E6A5C"/>
    <w:rsid w:val="004E6C45"/>
    <w:rsid w:val="004E6CA0"/>
    <w:rsid w:val="004E6CCB"/>
    <w:rsid w:val="004E6D24"/>
    <w:rsid w:val="004E6DA8"/>
    <w:rsid w:val="004E6DB7"/>
    <w:rsid w:val="004E6F96"/>
    <w:rsid w:val="004E7235"/>
    <w:rsid w:val="004E72F6"/>
    <w:rsid w:val="004E74C4"/>
    <w:rsid w:val="004E7588"/>
    <w:rsid w:val="004E759F"/>
    <w:rsid w:val="004E7659"/>
    <w:rsid w:val="004E769F"/>
    <w:rsid w:val="004E76AF"/>
    <w:rsid w:val="004E7723"/>
    <w:rsid w:val="004E77AB"/>
    <w:rsid w:val="004E77C1"/>
    <w:rsid w:val="004E77F2"/>
    <w:rsid w:val="004E791C"/>
    <w:rsid w:val="004E79A8"/>
    <w:rsid w:val="004E7AD9"/>
    <w:rsid w:val="004E7B15"/>
    <w:rsid w:val="004E7C88"/>
    <w:rsid w:val="004E7D7B"/>
    <w:rsid w:val="004E7DBB"/>
    <w:rsid w:val="004E7ED7"/>
    <w:rsid w:val="004E9944"/>
    <w:rsid w:val="004EA0A4"/>
    <w:rsid w:val="004F01AF"/>
    <w:rsid w:val="004F04B2"/>
    <w:rsid w:val="004F0611"/>
    <w:rsid w:val="004F0762"/>
    <w:rsid w:val="004F07AB"/>
    <w:rsid w:val="004F07B3"/>
    <w:rsid w:val="004F07C0"/>
    <w:rsid w:val="004F08EC"/>
    <w:rsid w:val="004F08EE"/>
    <w:rsid w:val="004F095A"/>
    <w:rsid w:val="004F0971"/>
    <w:rsid w:val="004F099A"/>
    <w:rsid w:val="004F0B09"/>
    <w:rsid w:val="004F0D83"/>
    <w:rsid w:val="004F0E26"/>
    <w:rsid w:val="004F0E7D"/>
    <w:rsid w:val="004F0F7F"/>
    <w:rsid w:val="004F1021"/>
    <w:rsid w:val="004F1034"/>
    <w:rsid w:val="004F1129"/>
    <w:rsid w:val="004F1250"/>
    <w:rsid w:val="004F1401"/>
    <w:rsid w:val="004F153D"/>
    <w:rsid w:val="004F178B"/>
    <w:rsid w:val="004F19F0"/>
    <w:rsid w:val="004F1B26"/>
    <w:rsid w:val="004F1B86"/>
    <w:rsid w:val="004F1BAE"/>
    <w:rsid w:val="004F1CB0"/>
    <w:rsid w:val="004F1D2B"/>
    <w:rsid w:val="004F1DDD"/>
    <w:rsid w:val="004F1E9A"/>
    <w:rsid w:val="004F1EEF"/>
    <w:rsid w:val="004F1F8A"/>
    <w:rsid w:val="004F1FD6"/>
    <w:rsid w:val="004F2025"/>
    <w:rsid w:val="004F204F"/>
    <w:rsid w:val="004F205C"/>
    <w:rsid w:val="004F21AE"/>
    <w:rsid w:val="004F23F4"/>
    <w:rsid w:val="004F24E0"/>
    <w:rsid w:val="004F250C"/>
    <w:rsid w:val="004F25AB"/>
    <w:rsid w:val="004F274B"/>
    <w:rsid w:val="004F2768"/>
    <w:rsid w:val="004F2777"/>
    <w:rsid w:val="004F28F5"/>
    <w:rsid w:val="004F2AC9"/>
    <w:rsid w:val="004F2BB6"/>
    <w:rsid w:val="004F2C1B"/>
    <w:rsid w:val="004F2E49"/>
    <w:rsid w:val="004F3007"/>
    <w:rsid w:val="004F3055"/>
    <w:rsid w:val="004F30F1"/>
    <w:rsid w:val="004F320E"/>
    <w:rsid w:val="004F3238"/>
    <w:rsid w:val="004F338F"/>
    <w:rsid w:val="004F33B4"/>
    <w:rsid w:val="004F348D"/>
    <w:rsid w:val="004F35D2"/>
    <w:rsid w:val="004F361F"/>
    <w:rsid w:val="004F3929"/>
    <w:rsid w:val="004F39BD"/>
    <w:rsid w:val="004F3AEB"/>
    <w:rsid w:val="004F3B03"/>
    <w:rsid w:val="004F3BBA"/>
    <w:rsid w:val="004F3D0D"/>
    <w:rsid w:val="004F3D4D"/>
    <w:rsid w:val="004F3D82"/>
    <w:rsid w:val="004F3D9E"/>
    <w:rsid w:val="004F3DA9"/>
    <w:rsid w:val="004F3E11"/>
    <w:rsid w:val="004F3E86"/>
    <w:rsid w:val="004F3F24"/>
    <w:rsid w:val="004F3F9E"/>
    <w:rsid w:val="004F4005"/>
    <w:rsid w:val="004F41D3"/>
    <w:rsid w:val="004F43ED"/>
    <w:rsid w:val="004F4490"/>
    <w:rsid w:val="004F47E3"/>
    <w:rsid w:val="004F484A"/>
    <w:rsid w:val="004F49A4"/>
    <w:rsid w:val="004F4C5D"/>
    <w:rsid w:val="004F4CA1"/>
    <w:rsid w:val="004F4D67"/>
    <w:rsid w:val="004F4D6B"/>
    <w:rsid w:val="004F4DBB"/>
    <w:rsid w:val="004F4E3A"/>
    <w:rsid w:val="004F4F71"/>
    <w:rsid w:val="004F4FE1"/>
    <w:rsid w:val="004F516A"/>
    <w:rsid w:val="004F5251"/>
    <w:rsid w:val="004F52A7"/>
    <w:rsid w:val="004F5304"/>
    <w:rsid w:val="004F53F4"/>
    <w:rsid w:val="004F5523"/>
    <w:rsid w:val="004F56C0"/>
    <w:rsid w:val="004F59D8"/>
    <w:rsid w:val="004F5BE3"/>
    <w:rsid w:val="004F5C82"/>
    <w:rsid w:val="004F5C87"/>
    <w:rsid w:val="004F5D68"/>
    <w:rsid w:val="004F5E79"/>
    <w:rsid w:val="004F5F8B"/>
    <w:rsid w:val="004F5FDC"/>
    <w:rsid w:val="004F603C"/>
    <w:rsid w:val="004F6097"/>
    <w:rsid w:val="004F60D6"/>
    <w:rsid w:val="004F60F6"/>
    <w:rsid w:val="004F6208"/>
    <w:rsid w:val="004F622B"/>
    <w:rsid w:val="004F6279"/>
    <w:rsid w:val="004F630D"/>
    <w:rsid w:val="004F6356"/>
    <w:rsid w:val="004F63C4"/>
    <w:rsid w:val="004F642D"/>
    <w:rsid w:val="004F656C"/>
    <w:rsid w:val="004F6630"/>
    <w:rsid w:val="004F66DC"/>
    <w:rsid w:val="004F68DA"/>
    <w:rsid w:val="004F69C8"/>
    <w:rsid w:val="004F6A08"/>
    <w:rsid w:val="004F6AB4"/>
    <w:rsid w:val="004F6AE4"/>
    <w:rsid w:val="004F6E09"/>
    <w:rsid w:val="004F6F67"/>
    <w:rsid w:val="004F6FED"/>
    <w:rsid w:val="004F6FF6"/>
    <w:rsid w:val="004F708A"/>
    <w:rsid w:val="004F716A"/>
    <w:rsid w:val="004F7217"/>
    <w:rsid w:val="004F72B8"/>
    <w:rsid w:val="004F7314"/>
    <w:rsid w:val="004F74BA"/>
    <w:rsid w:val="004F756F"/>
    <w:rsid w:val="004F75B5"/>
    <w:rsid w:val="004F7896"/>
    <w:rsid w:val="004F78FD"/>
    <w:rsid w:val="004F7980"/>
    <w:rsid w:val="004F7B93"/>
    <w:rsid w:val="004F7C0E"/>
    <w:rsid w:val="004F7CC2"/>
    <w:rsid w:val="004F7D72"/>
    <w:rsid w:val="004F7D90"/>
    <w:rsid w:val="004F7E9F"/>
    <w:rsid w:val="004F7F00"/>
    <w:rsid w:val="004F7F59"/>
    <w:rsid w:val="004F7F73"/>
    <w:rsid w:val="00500062"/>
    <w:rsid w:val="005000D7"/>
    <w:rsid w:val="00500196"/>
    <w:rsid w:val="00500270"/>
    <w:rsid w:val="00500485"/>
    <w:rsid w:val="005004B4"/>
    <w:rsid w:val="005005B0"/>
    <w:rsid w:val="005005B7"/>
    <w:rsid w:val="005005EC"/>
    <w:rsid w:val="00500721"/>
    <w:rsid w:val="005007BD"/>
    <w:rsid w:val="00500AC2"/>
    <w:rsid w:val="00500BAF"/>
    <w:rsid w:val="00500C37"/>
    <w:rsid w:val="00500D95"/>
    <w:rsid w:val="00500F7E"/>
    <w:rsid w:val="00500FE4"/>
    <w:rsid w:val="0050105F"/>
    <w:rsid w:val="00501159"/>
    <w:rsid w:val="00501197"/>
    <w:rsid w:val="005012B8"/>
    <w:rsid w:val="005012D2"/>
    <w:rsid w:val="00501300"/>
    <w:rsid w:val="0050131C"/>
    <w:rsid w:val="00501348"/>
    <w:rsid w:val="00501470"/>
    <w:rsid w:val="0050160E"/>
    <w:rsid w:val="00501730"/>
    <w:rsid w:val="00501751"/>
    <w:rsid w:val="005017BC"/>
    <w:rsid w:val="005017FB"/>
    <w:rsid w:val="005018A7"/>
    <w:rsid w:val="005018E1"/>
    <w:rsid w:val="00501B3C"/>
    <w:rsid w:val="00501BE6"/>
    <w:rsid w:val="00501C53"/>
    <w:rsid w:val="00501CEC"/>
    <w:rsid w:val="00501E40"/>
    <w:rsid w:val="00501E66"/>
    <w:rsid w:val="00501F45"/>
    <w:rsid w:val="0050205A"/>
    <w:rsid w:val="00502204"/>
    <w:rsid w:val="00502229"/>
    <w:rsid w:val="00502471"/>
    <w:rsid w:val="005024C4"/>
    <w:rsid w:val="00502526"/>
    <w:rsid w:val="00502603"/>
    <w:rsid w:val="0050279B"/>
    <w:rsid w:val="005027A4"/>
    <w:rsid w:val="005027B4"/>
    <w:rsid w:val="00502D97"/>
    <w:rsid w:val="00502DED"/>
    <w:rsid w:val="00502DF9"/>
    <w:rsid w:val="00502E85"/>
    <w:rsid w:val="00502FED"/>
    <w:rsid w:val="0050303A"/>
    <w:rsid w:val="00503084"/>
    <w:rsid w:val="005032C6"/>
    <w:rsid w:val="00503562"/>
    <w:rsid w:val="005036EC"/>
    <w:rsid w:val="0050372D"/>
    <w:rsid w:val="00503832"/>
    <w:rsid w:val="0050388C"/>
    <w:rsid w:val="00503F2D"/>
    <w:rsid w:val="00503FC3"/>
    <w:rsid w:val="00503FD0"/>
    <w:rsid w:val="0050403C"/>
    <w:rsid w:val="005040AC"/>
    <w:rsid w:val="005040E2"/>
    <w:rsid w:val="005042E4"/>
    <w:rsid w:val="00504421"/>
    <w:rsid w:val="0050449B"/>
    <w:rsid w:val="005046E7"/>
    <w:rsid w:val="0050483C"/>
    <w:rsid w:val="005048A5"/>
    <w:rsid w:val="00504903"/>
    <w:rsid w:val="005049FA"/>
    <w:rsid w:val="00504ABA"/>
    <w:rsid w:val="00504C6F"/>
    <w:rsid w:val="00504EF5"/>
    <w:rsid w:val="00504F1B"/>
    <w:rsid w:val="00504F1C"/>
    <w:rsid w:val="00504F74"/>
    <w:rsid w:val="00504F91"/>
    <w:rsid w:val="0050501A"/>
    <w:rsid w:val="00505026"/>
    <w:rsid w:val="00505073"/>
    <w:rsid w:val="005050A0"/>
    <w:rsid w:val="0050521F"/>
    <w:rsid w:val="0050523E"/>
    <w:rsid w:val="005055F0"/>
    <w:rsid w:val="005056C6"/>
    <w:rsid w:val="005057D2"/>
    <w:rsid w:val="00505817"/>
    <w:rsid w:val="00505837"/>
    <w:rsid w:val="005058DE"/>
    <w:rsid w:val="0050595B"/>
    <w:rsid w:val="00505AB1"/>
    <w:rsid w:val="00505FBE"/>
    <w:rsid w:val="0050609F"/>
    <w:rsid w:val="005060BA"/>
    <w:rsid w:val="0050611F"/>
    <w:rsid w:val="00506169"/>
    <w:rsid w:val="00506253"/>
    <w:rsid w:val="00506632"/>
    <w:rsid w:val="00506759"/>
    <w:rsid w:val="00506984"/>
    <w:rsid w:val="005069D7"/>
    <w:rsid w:val="005069E7"/>
    <w:rsid w:val="00506A53"/>
    <w:rsid w:val="00506B4D"/>
    <w:rsid w:val="00506C87"/>
    <w:rsid w:val="005070C1"/>
    <w:rsid w:val="005071AF"/>
    <w:rsid w:val="0050721E"/>
    <w:rsid w:val="00507259"/>
    <w:rsid w:val="005073FF"/>
    <w:rsid w:val="00507588"/>
    <w:rsid w:val="0050770F"/>
    <w:rsid w:val="005077AF"/>
    <w:rsid w:val="005077E0"/>
    <w:rsid w:val="0050794A"/>
    <w:rsid w:val="0050796C"/>
    <w:rsid w:val="005079B0"/>
    <w:rsid w:val="00507BA6"/>
    <w:rsid w:val="00507C5D"/>
    <w:rsid w:val="00507E01"/>
    <w:rsid w:val="00507E29"/>
    <w:rsid w:val="00507E98"/>
    <w:rsid w:val="00510139"/>
    <w:rsid w:val="0051022D"/>
    <w:rsid w:val="005102ED"/>
    <w:rsid w:val="0051051D"/>
    <w:rsid w:val="00510580"/>
    <w:rsid w:val="00510597"/>
    <w:rsid w:val="00510796"/>
    <w:rsid w:val="005107B9"/>
    <w:rsid w:val="0051089F"/>
    <w:rsid w:val="005109EC"/>
    <w:rsid w:val="00510A60"/>
    <w:rsid w:val="00510A82"/>
    <w:rsid w:val="00510B91"/>
    <w:rsid w:val="00510BAB"/>
    <w:rsid w:val="00510F0F"/>
    <w:rsid w:val="00511066"/>
    <w:rsid w:val="0051120F"/>
    <w:rsid w:val="0051123D"/>
    <w:rsid w:val="00511328"/>
    <w:rsid w:val="0051146D"/>
    <w:rsid w:val="005114A6"/>
    <w:rsid w:val="00511678"/>
    <w:rsid w:val="0051169A"/>
    <w:rsid w:val="00511725"/>
    <w:rsid w:val="0051186E"/>
    <w:rsid w:val="00511924"/>
    <w:rsid w:val="00511964"/>
    <w:rsid w:val="005119E1"/>
    <w:rsid w:val="00511B1A"/>
    <w:rsid w:val="00511CFC"/>
    <w:rsid w:val="00511E6C"/>
    <w:rsid w:val="00511F38"/>
    <w:rsid w:val="0051202A"/>
    <w:rsid w:val="00512558"/>
    <w:rsid w:val="005125B9"/>
    <w:rsid w:val="005125C2"/>
    <w:rsid w:val="005125ED"/>
    <w:rsid w:val="005126C8"/>
    <w:rsid w:val="005126E2"/>
    <w:rsid w:val="00512719"/>
    <w:rsid w:val="0051279F"/>
    <w:rsid w:val="005127DE"/>
    <w:rsid w:val="0051285C"/>
    <w:rsid w:val="00512C62"/>
    <w:rsid w:val="00512D32"/>
    <w:rsid w:val="00512E03"/>
    <w:rsid w:val="00512E4A"/>
    <w:rsid w:val="00512F35"/>
    <w:rsid w:val="00512F65"/>
    <w:rsid w:val="00512F68"/>
    <w:rsid w:val="00512FEF"/>
    <w:rsid w:val="005130D7"/>
    <w:rsid w:val="005131EE"/>
    <w:rsid w:val="00513455"/>
    <w:rsid w:val="0051353A"/>
    <w:rsid w:val="00513561"/>
    <w:rsid w:val="005136FB"/>
    <w:rsid w:val="005138C4"/>
    <w:rsid w:val="005138F1"/>
    <w:rsid w:val="00513927"/>
    <w:rsid w:val="00513A22"/>
    <w:rsid w:val="00513A4A"/>
    <w:rsid w:val="00513C1A"/>
    <w:rsid w:val="00513CEC"/>
    <w:rsid w:val="00513F20"/>
    <w:rsid w:val="00513F85"/>
    <w:rsid w:val="00513FC1"/>
    <w:rsid w:val="0051401E"/>
    <w:rsid w:val="00514085"/>
    <w:rsid w:val="005140EC"/>
    <w:rsid w:val="0051415D"/>
    <w:rsid w:val="005141AE"/>
    <w:rsid w:val="005141EA"/>
    <w:rsid w:val="0051427D"/>
    <w:rsid w:val="005142EE"/>
    <w:rsid w:val="005143B5"/>
    <w:rsid w:val="005143F7"/>
    <w:rsid w:val="00514440"/>
    <w:rsid w:val="00514503"/>
    <w:rsid w:val="005147C6"/>
    <w:rsid w:val="00514803"/>
    <w:rsid w:val="00514875"/>
    <w:rsid w:val="0051497D"/>
    <w:rsid w:val="005149C4"/>
    <w:rsid w:val="00514A62"/>
    <w:rsid w:val="00514B1F"/>
    <w:rsid w:val="00514C41"/>
    <w:rsid w:val="00514D4C"/>
    <w:rsid w:val="00514D89"/>
    <w:rsid w:val="00514EC7"/>
    <w:rsid w:val="00514F33"/>
    <w:rsid w:val="005150F0"/>
    <w:rsid w:val="005150FB"/>
    <w:rsid w:val="00515218"/>
    <w:rsid w:val="00515396"/>
    <w:rsid w:val="0051547F"/>
    <w:rsid w:val="00515577"/>
    <w:rsid w:val="00515605"/>
    <w:rsid w:val="00515779"/>
    <w:rsid w:val="005158D5"/>
    <w:rsid w:val="00515AF6"/>
    <w:rsid w:val="00515B40"/>
    <w:rsid w:val="00515B76"/>
    <w:rsid w:val="00515B78"/>
    <w:rsid w:val="00515C5B"/>
    <w:rsid w:val="00515C72"/>
    <w:rsid w:val="00515DDA"/>
    <w:rsid w:val="00515E91"/>
    <w:rsid w:val="00515E96"/>
    <w:rsid w:val="00515F24"/>
    <w:rsid w:val="00515F3A"/>
    <w:rsid w:val="00515FAF"/>
    <w:rsid w:val="0051604E"/>
    <w:rsid w:val="00516062"/>
    <w:rsid w:val="005161E0"/>
    <w:rsid w:val="00516230"/>
    <w:rsid w:val="005162BE"/>
    <w:rsid w:val="005163E0"/>
    <w:rsid w:val="005164C5"/>
    <w:rsid w:val="0051654E"/>
    <w:rsid w:val="005165E5"/>
    <w:rsid w:val="005169E8"/>
    <w:rsid w:val="00516C80"/>
    <w:rsid w:val="00516CBC"/>
    <w:rsid w:val="00516CD4"/>
    <w:rsid w:val="00516CD6"/>
    <w:rsid w:val="00516CE4"/>
    <w:rsid w:val="00516E2A"/>
    <w:rsid w:val="00516E71"/>
    <w:rsid w:val="00516F27"/>
    <w:rsid w:val="0051707B"/>
    <w:rsid w:val="00517154"/>
    <w:rsid w:val="00517515"/>
    <w:rsid w:val="005175FC"/>
    <w:rsid w:val="00517612"/>
    <w:rsid w:val="00517AAE"/>
    <w:rsid w:val="00517B82"/>
    <w:rsid w:val="00517D65"/>
    <w:rsid w:val="00517EAF"/>
    <w:rsid w:val="00517F53"/>
    <w:rsid w:val="00517F59"/>
    <w:rsid w:val="00517F7F"/>
    <w:rsid w:val="0051BA21"/>
    <w:rsid w:val="0052009D"/>
    <w:rsid w:val="00520327"/>
    <w:rsid w:val="005203DC"/>
    <w:rsid w:val="005204D8"/>
    <w:rsid w:val="005204F2"/>
    <w:rsid w:val="00520628"/>
    <w:rsid w:val="0052097D"/>
    <w:rsid w:val="0052098A"/>
    <w:rsid w:val="00520C06"/>
    <w:rsid w:val="00520C9B"/>
    <w:rsid w:val="00520D52"/>
    <w:rsid w:val="00520D99"/>
    <w:rsid w:val="00520DB2"/>
    <w:rsid w:val="00520E0B"/>
    <w:rsid w:val="00520F55"/>
    <w:rsid w:val="00521008"/>
    <w:rsid w:val="00521024"/>
    <w:rsid w:val="00521170"/>
    <w:rsid w:val="005212A6"/>
    <w:rsid w:val="0052135F"/>
    <w:rsid w:val="005214B0"/>
    <w:rsid w:val="005214DC"/>
    <w:rsid w:val="005214EA"/>
    <w:rsid w:val="005214FC"/>
    <w:rsid w:val="0052151D"/>
    <w:rsid w:val="0052155C"/>
    <w:rsid w:val="0052163B"/>
    <w:rsid w:val="00521663"/>
    <w:rsid w:val="00521793"/>
    <w:rsid w:val="005217A9"/>
    <w:rsid w:val="00521846"/>
    <w:rsid w:val="005218BA"/>
    <w:rsid w:val="00521951"/>
    <w:rsid w:val="0052196B"/>
    <w:rsid w:val="00521ABB"/>
    <w:rsid w:val="00521CA9"/>
    <w:rsid w:val="00521CF4"/>
    <w:rsid w:val="00521D4D"/>
    <w:rsid w:val="00521D98"/>
    <w:rsid w:val="00522082"/>
    <w:rsid w:val="0052209F"/>
    <w:rsid w:val="00522197"/>
    <w:rsid w:val="00522267"/>
    <w:rsid w:val="0052229A"/>
    <w:rsid w:val="005222F1"/>
    <w:rsid w:val="005223FE"/>
    <w:rsid w:val="0052252A"/>
    <w:rsid w:val="00522537"/>
    <w:rsid w:val="005225DF"/>
    <w:rsid w:val="0052267C"/>
    <w:rsid w:val="00522719"/>
    <w:rsid w:val="00522ACF"/>
    <w:rsid w:val="00522AF6"/>
    <w:rsid w:val="00522B94"/>
    <w:rsid w:val="00522BAE"/>
    <w:rsid w:val="00522D35"/>
    <w:rsid w:val="00522ED8"/>
    <w:rsid w:val="00522FE1"/>
    <w:rsid w:val="00523629"/>
    <w:rsid w:val="0052383F"/>
    <w:rsid w:val="0052389F"/>
    <w:rsid w:val="00523A25"/>
    <w:rsid w:val="00523C68"/>
    <w:rsid w:val="00523CDB"/>
    <w:rsid w:val="00523D1A"/>
    <w:rsid w:val="00523E95"/>
    <w:rsid w:val="00523FD1"/>
    <w:rsid w:val="00524308"/>
    <w:rsid w:val="005243DF"/>
    <w:rsid w:val="00524460"/>
    <w:rsid w:val="00524479"/>
    <w:rsid w:val="0052452A"/>
    <w:rsid w:val="0052452B"/>
    <w:rsid w:val="005245CD"/>
    <w:rsid w:val="0052476C"/>
    <w:rsid w:val="005247A6"/>
    <w:rsid w:val="005248A3"/>
    <w:rsid w:val="00524B61"/>
    <w:rsid w:val="00524C2D"/>
    <w:rsid w:val="00524FFF"/>
    <w:rsid w:val="005250F8"/>
    <w:rsid w:val="00525213"/>
    <w:rsid w:val="005252D2"/>
    <w:rsid w:val="00525315"/>
    <w:rsid w:val="00525340"/>
    <w:rsid w:val="0052541D"/>
    <w:rsid w:val="00525543"/>
    <w:rsid w:val="0052555E"/>
    <w:rsid w:val="00525596"/>
    <w:rsid w:val="005255E9"/>
    <w:rsid w:val="00525695"/>
    <w:rsid w:val="005256C4"/>
    <w:rsid w:val="00525A4F"/>
    <w:rsid w:val="00525A71"/>
    <w:rsid w:val="00525A76"/>
    <w:rsid w:val="00525AAC"/>
    <w:rsid w:val="00525AD8"/>
    <w:rsid w:val="00525B6D"/>
    <w:rsid w:val="00525D34"/>
    <w:rsid w:val="00525E1F"/>
    <w:rsid w:val="00525E62"/>
    <w:rsid w:val="00525F52"/>
    <w:rsid w:val="0052618C"/>
    <w:rsid w:val="005261A2"/>
    <w:rsid w:val="005262D0"/>
    <w:rsid w:val="005265BB"/>
    <w:rsid w:val="005265DB"/>
    <w:rsid w:val="005265FB"/>
    <w:rsid w:val="0052671A"/>
    <w:rsid w:val="00526A6D"/>
    <w:rsid w:val="00526D3F"/>
    <w:rsid w:val="00526E14"/>
    <w:rsid w:val="00526E38"/>
    <w:rsid w:val="00526E3F"/>
    <w:rsid w:val="00526E98"/>
    <w:rsid w:val="00526F45"/>
    <w:rsid w:val="00526F4E"/>
    <w:rsid w:val="00526F6D"/>
    <w:rsid w:val="00526F92"/>
    <w:rsid w:val="00526FF8"/>
    <w:rsid w:val="005270B0"/>
    <w:rsid w:val="0052723B"/>
    <w:rsid w:val="005273FF"/>
    <w:rsid w:val="0052747E"/>
    <w:rsid w:val="00527492"/>
    <w:rsid w:val="005275AC"/>
    <w:rsid w:val="005277C8"/>
    <w:rsid w:val="0052785D"/>
    <w:rsid w:val="0052791C"/>
    <w:rsid w:val="00527958"/>
    <w:rsid w:val="00527966"/>
    <w:rsid w:val="00527972"/>
    <w:rsid w:val="005279ED"/>
    <w:rsid w:val="00527B0E"/>
    <w:rsid w:val="00527B65"/>
    <w:rsid w:val="00527BBC"/>
    <w:rsid w:val="00527CDD"/>
    <w:rsid w:val="00527CE1"/>
    <w:rsid w:val="00527DAD"/>
    <w:rsid w:val="00527E21"/>
    <w:rsid w:val="00527ECD"/>
    <w:rsid w:val="00527FF1"/>
    <w:rsid w:val="00527FF3"/>
    <w:rsid w:val="0052BD14"/>
    <w:rsid w:val="005300C5"/>
    <w:rsid w:val="005301C4"/>
    <w:rsid w:val="0053024E"/>
    <w:rsid w:val="005306A5"/>
    <w:rsid w:val="005306BA"/>
    <w:rsid w:val="00530868"/>
    <w:rsid w:val="005308AA"/>
    <w:rsid w:val="00530A35"/>
    <w:rsid w:val="00530AA1"/>
    <w:rsid w:val="00530B59"/>
    <w:rsid w:val="00530BEA"/>
    <w:rsid w:val="00530CF6"/>
    <w:rsid w:val="00530DF4"/>
    <w:rsid w:val="00530ED7"/>
    <w:rsid w:val="00530F11"/>
    <w:rsid w:val="00530F4E"/>
    <w:rsid w:val="00531077"/>
    <w:rsid w:val="00531272"/>
    <w:rsid w:val="0053127E"/>
    <w:rsid w:val="0053142D"/>
    <w:rsid w:val="0053159B"/>
    <w:rsid w:val="0053172A"/>
    <w:rsid w:val="00531770"/>
    <w:rsid w:val="005317A5"/>
    <w:rsid w:val="0053182B"/>
    <w:rsid w:val="00531AB2"/>
    <w:rsid w:val="005320EC"/>
    <w:rsid w:val="00532211"/>
    <w:rsid w:val="005322BD"/>
    <w:rsid w:val="005322D3"/>
    <w:rsid w:val="00532335"/>
    <w:rsid w:val="005323E1"/>
    <w:rsid w:val="00532469"/>
    <w:rsid w:val="005324B0"/>
    <w:rsid w:val="0053251E"/>
    <w:rsid w:val="00532533"/>
    <w:rsid w:val="005325DC"/>
    <w:rsid w:val="0053286C"/>
    <w:rsid w:val="00532906"/>
    <w:rsid w:val="00532B5E"/>
    <w:rsid w:val="00532F57"/>
    <w:rsid w:val="00533068"/>
    <w:rsid w:val="0053306C"/>
    <w:rsid w:val="0053316B"/>
    <w:rsid w:val="005332EE"/>
    <w:rsid w:val="00533462"/>
    <w:rsid w:val="00533491"/>
    <w:rsid w:val="00533620"/>
    <w:rsid w:val="00533629"/>
    <w:rsid w:val="00533719"/>
    <w:rsid w:val="00533772"/>
    <w:rsid w:val="00533945"/>
    <w:rsid w:val="005339CF"/>
    <w:rsid w:val="00533ACA"/>
    <w:rsid w:val="00533B63"/>
    <w:rsid w:val="00533CD7"/>
    <w:rsid w:val="00533D02"/>
    <w:rsid w:val="00533D3A"/>
    <w:rsid w:val="00533D51"/>
    <w:rsid w:val="00533DBC"/>
    <w:rsid w:val="00533EE6"/>
    <w:rsid w:val="00533F12"/>
    <w:rsid w:val="00533FEB"/>
    <w:rsid w:val="005342CC"/>
    <w:rsid w:val="0053438A"/>
    <w:rsid w:val="0053438B"/>
    <w:rsid w:val="00534466"/>
    <w:rsid w:val="005344D6"/>
    <w:rsid w:val="00534624"/>
    <w:rsid w:val="0053465B"/>
    <w:rsid w:val="0053476C"/>
    <w:rsid w:val="00534A69"/>
    <w:rsid w:val="00534B66"/>
    <w:rsid w:val="00534B99"/>
    <w:rsid w:val="00534CAE"/>
    <w:rsid w:val="00534D38"/>
    <w:rsid w:val="00534E39"/>
    <w:rsid w:val="0053508D"/>
    <w:rsid w:val="005350CA"/>
    <w:rsid w:val="005352E6"/>
    <w:rsid w:val="00535355"/>
    <w:rsid w:val="005353DF"/>
    <w:rsid w:val="00535448"/>
    <w:rsid w:val="00535535"/>
    <w:rsid w:val="00535678"/>
    <w:rsid w:val="005356F4"/>
    <w:rsid w:val="00535856"/>
    <w:rsid w:val="005358F0"/>
    <w:rsid w:val="00535918"/>
    <w:rsid w:val="00535921"/>
    <w:rsid w:val="005359D3"/>
    <w:rsid w:val="00535B1E"/>
    <w:rsid w:val="00535C21"/>
    <w:rsid w:val="00535C54"/>
    <w:rsid w:val="00535CC6"/>
    <w:rsid w:val="00535CE1"/>
    <w:rsid w:val="00535CE6"/>
    <w:rsid w:val="00535EB3"/>
    <w:rsid w:val="00535F57"/>
    <w:rsid w:val="00535FC8"/>
    <w:rsid w:val="0053605D"/>
    <w:rsid w:val="005360BD"/>
    <w:rsid w:val="005360F7"/>
    <w:rsid w:val="0053624E"/>
    <w:rsid w:val="00536475"/>
    <w:rsid w:val="00536563"/>
    <w:rsid w:val="005365C5"/>
    <w:rsid w:val="00536625"/>
    <w:rsid w:val="00536939"/>
    <w:rsid w:val="0053698E"/>
    <w:rsid w:val="00536A58"/>
    <w:rsid w:val="00536D83"/>
    <w:rsid w:val="00536F53"/>
    <w:rsid w:val="005371FC"/>
    <w:rsid w:val="00537202"/>
    <w:rsid w:val="0053728D"/>
    <w:rsid w:val="005372DF"/>
    <w:rsid w:val="00537336"/>
    <w:rsid w:val="00537467"/>
    <w:rsid w:val="0053746E"/>
    <w:rsid w:val="00537697"/>
    <w:rsid w:val="005378CE"/>
    <w:rsid w:val="0053797E"/>
    <w:rsid w:val="005379D2"/>
    <w:rsid w:val="00537A4E"/>
    <w:rsid w:val="00537AF3"/>
    <w:rsid w:val="00537B64"/>
    <w:rsid w:val="00537B8E"/>
    <w:rsid w:val="00537BD1"/>
    <w:rsid w:val="00537CB5"/>
    <w:rsid w:val="00537DB7"/>
    <w:rsid w:val="005400EE"/>
    <w:rsid w:val="005401A5"/>
    <w:rsid w:val="005402A4"/>
    <w:rsid w:val="005407A6"/>
    <w:rsid w:val="00540862"/>
    <w:rsid w:val="005409C8"/>
    <w:rsid w:val="00540B74"/>
    <w:rsid w:val="00540BC8"/>
    <w:rsid w:val="00540BF5"/>
    <w:rsid w:val="00540CF5"/>
    <w:rsid w:val="00540E9E"/>
    <w:rsid w:val="00540EF6"/>
    <w:rsid w:val="0054109A"/>
    <w:rsid w:val="005410E2"/>
    <w:rsid w:val="0054139C"/>
    <w:rsid w:val="005413AE"/>
    <w:rsid w:val="005415A7"/>
    <w:rsid w:val="00541903"/>
    <w:rsid w:val="00541963"/>
    <w:rsid w:val="00541A19"/>
    <w:rsid w:val="00542019"/>
    <w:rsid w:val="0054205E"/>
    <w:rsid w:val="00542187"/>
    <w:rsid w:val="0054221C"/>
    <w:rsid w:val="0054224E"/>
    <w:rsid w:val="00542384"/>
    <w:rsid w:val="0054241B"/>
    <w:rsid w:val="00542591"/>
    <w:rsid w:val="0054266F"/>
    <w:rsid w:val="00542788"/>
    <w:rsid w:val="005427DB"/>
    <w:rsid w:val="005427E0"/>
    <w:rsid w:val="00542836"/>
    <w:rsid w:val="005428D6"/>
    <w:rsid w:val="00542ACB"/>
    <w:rsid w:val="00542B58"/>
    <w:rsid w:val="00542C44"/>
    <w:rsid w:val="00542D22"/>
    <w:rsid w:val="00542D2E"/>
    <w:rsid w:val="00542D38"/>
    <w:rsid w:val="00542E44"/>
    <w:rsid w:val="00542F0E"/>
    <w:rsid w:val="00542FC9"/>
    <w:rsid w:val="0054322D"/>
    <w:rsid w:val="00543293"/>
    <w:rsid w:val="0054334C"/>
    <w:rsid w:val="00543518"/>
    <w:rsid w:val="0054353D"/>
    <w:rsid w:val="00543738"/>
    <w:rsid w:val="0054379C"/>
    <w:rsid w:val="005437CB"/>
    <w:rsid w:val="0054397E"/>
    <w:rsid w:val="00543A1F"/>
    <w:rsid w:val="00543BAB"/>
    <w:rsid w:val="00543C04"/>
    <w:rsid w:val="00543E13"/>
    <w:rsid w:val="00543FF1"/>
    <w:rsid w:val="005442D1"/>
    <w:rsid w:val="00544332"/>
    <w:rsid w:val="00544553"/>
    <w:rsid w:val="00544598"/>
    <w:rsid w:val="005445CF"/>
    <w:rsid w:val="005445F0"/>
    <w:rsid w:val="005445FA"/>
    <w:rsid w:val="00544611"/>
    <w:rsid w:val="0054465F"/>
    <w:rsid w:val="00544928"/>
    <w:rsid w:val="00544963"/>
    <w:rsid w:val="00544A18"/>
    <w:rsid w:val="00544A7A"/>
    <w:rsid w:val="00544AEB"/>
    <w:rsid w:val="00544BDA"/>
    <w:rsid w:val="00544CB4"/>
    <w:rsid w:val="00544DFE"/>
    <w:rsid w:val="00544EEB"/>
    <w:rsid w:val="00544F78"/>
    <w:rsid w:val="00545030"/>
    <w:rsid w:val="00545149"/>
    <w:rsid w:val="00545264"/>
    <w:rsid w:val="0054526D"/>
    <w:rsid w:val="00545321"/>
    <w:rsid w:val="005454B0"/>
    <w:rsid w:val="005456CE"/>
    <w:rsid w:val="00545712"/>
    <w:rsid w:val="00545727"/>
    <w:rsid w:val="00545737"/>
    <w:rsid w:val="00545798"/>
    <w:rsid w:val="00545855"/>
    <w:rsid w:val="005458F4"/>
    <w:rsid w:val="00545953"/>
    <w:rsid w:val="00545996"/>
    <w:rsid w:val="00545B07"/>
    <w:rsid w:val="00545CBF"/>
    <w:rsid w:val="00545CEE"/>
    <w:rsid w:val="00545E7D"/>
    <w:rsid w:val="00545FA7"/>
    <w:rsid w:val="0054604B"/>
    <w:rsid w:val="0054615E"/>
    <w:rsid w:val="005461C8"/>
    <w:rsid w:val="0054624F"/>
    <w:rsid w:val="00546476"/>
    <w:rsid w:val="00546484"/>
    <w:rsid w:val="0054666B"/>
    <w:rsid w:val="00546801"/>
    <w:rsid w:val="00546866"/>
    <w:rsid w:val="005469AC"/>
    <w:rsid w:val="005469DC"/>
    <w:rsid w:val="00546A7A"/>
    <w:rsid w:val="00546AD5"/>
    <w:rsid w:val="00546AF0"/>
    <w:rsid w:val="00546DF6"/>
    <w:rsid w:val="00546E16"/>
    <w:rsid w:val="00546E9A"/>
    <w:rsid w:val="00546F09"/>
    <w:rsid w:val="00546F33"/>
    <w:rsid w:val="00546F3C"/>
    <w:rsid w:val="00546F44"/>
    <w:rsid w:val="005470E6"/>
    <w:rsid w:val="005471B5"/>
    <w:rsid w:val="005472E6"/>
    <w:rsid w:val="0054731B"/>
    <w:rsid w:val="00547399"/>
    <w:rsid w:val="005476AA"/>
    <w:rsid w:val="005477A7"/>
    <w:rsid w:val="00547823"/>
    <w:rsid w:val="005479EB"/>
    <w:rsid w:val="00547A33"/>
    <w:rsid w:val="00547A5C"/>
    <w:rsid w:val="00547E00"/>
    <w:rsid w:val="00547E09"/>
    <w:rsid w:val="00547E28"/>
    <w:rsid w:val="00547E38"/>
    <w:rsid w:val="00547F7D"/>
    <w:rsid w:val="0055014A"/>
    <w:rsid w:val="005503CA"/>
    <w:rsid w:val="005504A9"/>
    <w:rsid w:val="0055056B"/>
    <w:rsid w:val="00550601"/>
    <w:rsid w:val="005506DC"/>
    <w:rsid w:val="0055071E"/>
    <w:rsid w:val="005508AC"/>
    <w:rsid w:val="0055092D"/>
    <w:rsid w:val="00550AD1"/>
    <w:rsid w:val="00550D03"/>
    <w:rsid w:val="00550D1B"/>
    <w:rsid w:val="00550EA4"/>
    <w:rsid w:val="00550FA8"/>
    <w:rsid w:val="0055100B"/>
    <w:rsid w:val="0055125C"/>
    <w:rsid w:val="005512B0"/>
    <w:rsid w:val="005512CB"/>
    <w:rsid w:val="0055135F"/>
    <w:rsid w:val="0055151F"/>
    <w:rsid w:val="00551590"/>
    <w:rsid w:val="005515C2"/>
    <w:rsid w:val="005516FA"/>
    <w:rsid w:val="00551794"/>
    <w:rsid w:val="0055186B"/>
    <w:rsid w:val="00551A27"/>
    <w:rsid w:val="00551A71"/>
    <w:rsid w:val="00551B64"/>
    <w:rsid w:val="00551BB4"/>
    <w:rsid w:val="00551CAF"/>
    <w:rsid w:val="00551CB4"/>
    <w:rsid w:val="00551D02"/>
    <w:rsid w:val="00551D1C"/>
    <w:rsid w:val="00551E03"/>
    <w:rsid w:val="00552045"/>
    <w:rsid w:val="005520B6"/>
    <w:rsid w:val="00552227"/>
    <w:rsid w:val="0055232A"/>
    <w:rsid w:val="0055236F"/>
    <w:rsid w:val="005523DE"/>
    <w:rsid w:val="0055249B"/>
    <w:rsid w:val="0055262B"/>
    <w:rsid w:val="0055289F"/>
    <w:rsid w:val="00552A0C"/>
    <w:rsid w:val="00552A18"/>
    <w:rsid w:val="00552ABD"/>
    <w:rsid w:val="00552C42"/>
    <w:rsid w:val="00552CEC"/>
    <w:rsid w:val="00552D4E"/>
    <w:rsid w:val="00552D5C"/>
    <w:rsid w:val="005531A0"/>
    <w:rsid w:val="0055322A"/>
    <w:rsid w:val="00553606"/>
    <w:rsid w:val="00553664"/>
    <w:rsid w:val="005536E7"/>
    <w:rsid w:val="0055378D"/>
    <w:rsid w:val="005537F3"/>
    <w:rsid w:val="005538F6"/>
    <w:rsid w:val="00553A5F"/>
    <w:rsid w:val="00553AE8"/>
    <w:rsid w:val="00553D22"/>
    <w:rsid w:val="00553E02"/>
    <w:rsid w:val="00553F5A"/>
    <w:rsid w:val="0055408C"/>
    <w:rsid w:val="00554234"/>
    <w:rsid w:val="00554276"/>
    <w:rsid w:val="005542B8"/>
    <w:rsid w:val="00554417"/>
    <w:rsid w:val="00554421"/>
    <w:rsid w:val="0055443E"/>
    <w:rsid w:val="00554583"/>
    <w:rsid w:val="005545DA"/>
    <w:rsid w:val="0055470E"/>
    <w:rsid w:val="005549B1"/>
    <w:rsid w:val="00554AEA"/>
    <w:rsid w:val="00554DF3"/>
    <w:rsid w:val="00554EB8"/>
    <w:rsid w:val="00555090"/>
    <w:rsid w:val="00555115"/>
    <w:rsid w:val="00555275"/>
    <w:rsid w:val="0055539B"/>
    <w:rsid w:val="005553F1"/>
    <w:rsid w:val="005553FD"/>
    <w:rsid w:val="0055561A"/>
    <w:rsid w:val="00555623"/>
    <w:rsid w:val="00555798"/>
    <w:rsid w:val="0055583D"/>
    <w:rsid w:val="0055592C"/>
    <w:rsid w:val="00555D7D"/>
    <w:rsid w:val="00555E0D"/>
    <w:rsid w:val="00555E57"/>
    <w:rsid w:val="00555E92"/>
    <w:rsid w:val="00555F21"/>
    <w:rsid w:val="00555F72"/>
    <w:rsid w:val="00556030"/>
    <w:rsid w:val="00556183"/>
    <w:rsid w:val="005561CC"/>
    <w:rsid w:val="005563FE"/>
    <w:rsid w:val="005564D1"/>
    <w:rsid w:val="00556610"/>
    <w:rsid w:val="00556711"/>
    <w:rsid w:val="0055697C"/>
    <w:rsid w:val="00556A37"/>
    <w:rsid w:val="00556AFA"/>
    <w:rsid w:val="00556B04"/>
    <w:rsid w:val="00556B11"/>
    <w:rsid w:val="00556CF4"/>
    <w:rsid w:val="00556D4F"/>
    <w:rsid w:val="00556DC6"/>
    <w:rsid w:val="00556E0E"/>
    <w:rsid w:val="00556E3E"/>
    <w:rsid w:val="00556ED3"/>
    <w:rsid w:val="00556EE5"/>
    <w:rsid w:val="005572E1"/>
    <w:rsid w:val="0055749A"/>
    <w:rsid w:val="00557514"/>
    <w:rsid w:val="0055755C"/>
    <w:rsid w:val="005575D9"/>
    <w:rsid w:val="0055767A"/>
    <w:rsid w:val="005576FD"/>
    <w:rsid w:val="00557714"/>
    <w:rsid w:val="005578D6"/>
    <w:rsid w:val="00557BD3"/>
    <w:rsid w:val="00557C14"/>
    <w:rsid w:val="00557C79"/>
    <w:rsid w:val="00557CE7"/>
    <w:rsid w:val="00557FEE"/>
    <w:rsid w:val="00559D9F"/>
    <w:rsid w:val="00560095"/>
    <w:rsid w:val="00560226"/>
    <w:rsid w:val="00560345"/>
    <w:rsid w:val="005603CA"/>
    <w:rsid w:val="005603CC"/>
    <w:rsid w:val="00560438"/>
    <w:rsid w:val="005607BC"/>
    <w:rsid w:val="005607D0"/>
    <w:rsid w:val="00560B1F"/>
    <w:rsid w:val="00560C08"/>
    <w:rsid w:val="00560C4E"/>
    <w:rsid w:val="00560D0D"/>
    <w:rsid w:val="00560DFA"/>
    <w:rsid w:val="00560E51"/>
    <w:rsid w:val="00560F42"/>
    <w:rsid w:val="0056108B"/>
    <w:rsid w:val="0056114E"/>
    <w:rsid w:val="005611CB"/>
    <w:rsid w:val="005611E5"/>
    <w:rsid w:val="005612CF"/>
    <w:rsid w:val="00561373"/>
    <w:rsid w:val="00561544"/>
    <w:rsid w:val="00561721"/>
    <w:rsid w:val="005617CB"/>
    <w:rsid w:val="00561AD5"/>
    <w:rsid w:val="00561AD7"/>
    <w:rsid w:val="00561AE2"/>
    <w:rsid w:val="00561B4F"/>
    <w:rsid w:val="00561B5C"/>
    <w:rsid w:val="00561C73"/>
    <w:rsid w:val="00561F62"/>
    <w:rsid w:val="00561FBA"/>
    <w:rsid w:val="00561FC6"/>
    <w:rsid w:val="0056202E"/>
    <w:rsid w:val="005620D5"/>
    <w:rsid w:val="0056237D"/>
    <w:rsid w:val="005623B1"/>
    <w:rsid w:val="00562643"/>
    <w:rsid w:val="00562726"/>
    <w:rsid w:val="00562779"/>
    <w:rsid w:val="00562919"/>
    <w:rsid w:val="00562A51"/>
    <w:rsid w:val="00562BA0"/>
    <w:rsid w:val="00562C26"/>
    <w:rsid w:val="00562F36"/>
    <w:rsid w:val="00562FAA"/>
    <w:rsid w:val="005630BC"/>
    <w:rsid w:val="005631F6"/>
    <w:rsid w:val="00563274"/>
    <w:rsid w:val="005632DF"/>
    <w:rsid w:val="005632FD"/>
    <w:rsid w:val="0056335D"/>
    <w:rsid w:val="0056336F"/>
    <w:rsid w:val="0056354F"/>
    <w:rsid w:val="0056358E"/>
    <w:rsid w:val="005635A3"/>
    <w:rsid w:val="005635B2"/>
    <w:rsid w:val="005635C4"/>
    <w:rsid w:val="005637C7"/>
    <w:rsid w:val="00563D19"/>
    <w:rsid w:val="00563E5C"/>
    <w:rsid w:val="00563FD2"/>
    <w:rsid w:val="00564416"/>
    <w:rsid w:val="005644E0"/>
    <w:rsid w:val="0056456D"/>
    <w:rsid w:val="00564821"/>
    <w:rsid w:val="0056496F"/>
    <w:rsid w:val="00564A07"/>
    <w:rsid w:val="00564A44"/>
    <w:rsid w:val="00564A46"/>
    <w:rsid w:val="00564B0F"/>
    <w:rsid w:val="00564C38"/>
    <w:rsid w:val="00564CAD"/>
    <w:rsid w:val="005650DD"/>
    <w:rsid w:val="005651A1"/>
    <w:rsid w:val="0056530F"/>
    <w:rsid w:val="0056535B"/>
    <w:rsid w:val="0056543C"/>
    <w:rsid w:val="005655DA"/>
    <w:rsid w:val="005657EF"/>
    <w:rsid w:val="00565939"/>
    <w:rsid w:val="0056593C"/>
    <w:rsid w:val="00565968"/>
    <w:rsid w:val="00565E51"/>
    <w:rsid w:val="00565E5C"/>
    <w:rsid w:val="005660FC"/>
    <w:rsid w:val="00566306"/>
    <w:rsid w:val="00566309"/>
    <w:rsid w:val="005663FB"/>
    <w:rsid w:val="005665C8"/>
    <w:rsid w:val="0056667C"/>
    <w:rsid w:val="005666AE"/>
    <w:rsid w:val="005667C4"/>
    <w:rsid w:val="005667CB"/>
    <w:rsid w:val="00566853"/>
    <w:rsid w:val="005668AA"/>
    <w:rsid w:val="005668C4"/>
    <w:rsid w:val="005668D7"/>
    <w:rsid w:val="005668FE"/>
    <w:rsid w:val="00566972"/>
    <w:rsid w:val="005669C0"/>
    <w:rsid w:val="00566BE8"/>
    <w:rsid w:val="00566C4D"/>
    <w:rsid w:val="00566D03"/>
    <w:rsid w:val="00566D1C"/>
    <w:rsid w:val="00566D6F"/>
    <w:rsid w:val="00566DA0"/>
    <w:rsid w:val="00566DE0"/>
    <w:rsid w:val="00566E13"/>
    <w:rsid w:val="00566FF3"/>
    <w:rsid w:val="005670CE"/>
    <w:rsid w:val="005671C8"/>
    <w:rsid w:val="00567655"/>
    <w:rsid w:val="00567700"/>
    <w:rsid w:val="00567773"/>
    <w:rsid w:val="005677A8"/>
    <w:rsid w:val="005679D3"/>
    <w:rsid w:val="00567A2E"/>
    <w:rsid w:val="00567A6D"/>
    <w:rsid w:val="00567D6C"/>
    <w:rsid w:val="00567DB2"/>
    <w:rsid w:val="00567E56"/>
    <w:rsid w:val="00567E9F"/>
    <w:rsid w:val="005702AC"/>
    <w:rsid w:val="0057032A"/>
    <w:rsid w:val="0057032E"/>
    <w:rsid w:val="00570399"/>
    <w:rsid w:val="005703EA"/>
    <w:rsid w:val="00570460"/>
    <w:rsid w:val="0057053E"/>
    <w:rsid w:val="00570640"/>
    <w:rsid w:val="005706A9"/>
    <w:rsid w:val="00570705"/>
    <w:rsid w:val="0057081C"/>
    <w:rsid w:val="00570A5B"/>
    <w:rsid w:val="00570B4A"/>
    <w:rsid w:val="00570C07"/>
    <w:rsid w:val="00570E10"/>
    <w:rsid w:val="00570FAD"/>
    <w:rsid w:val="00570FB9"/>
    <w:rsid w:val="00571344"/>
    <w:rsid w:val="00571497"/>
    <w:rsid w:val="00571498"/>
    <w:rsid w:val="005714AF"/>
    <w:rsid w:val="00571606"/>
    <w:rsid w:val="005716A8"/>
    <w:rsid w:val="00571736"/>
    <w:rsid w:val="005717C9"/>
    <w:rsid w:val="00571BB3"/>
    <w:rsid w:val="00571BDD"/>
    <w:rsid w:val="00571C2E"/>
    <w:rsid w:val="00571C8A"/>
    <w:rsid w:val="00571F21"/>
    <w:rsid w:val="005721B7"/>
    <w:rsid w:val="00572294"/>
    <w:rsid w:val="005723D3"/>
    <w:rsid w:val="005724E2"/>
    <w:rsid w:val="00572523"/>
    <w:rsid w:val="00572589"/>
    <w:rsid w:val="005725FB"/>
    <w:rsid w:val="005726DD"/>
    <w:rsid w:val="0057286A"/>
    <w:rsid w:val="00572934"/>
    <w:rsid w:val="00572948"/>
    <w:rsid w:val="00572996"/>
    <w:rsid w:val="005729B3"/>
    <w:rsid w:val="005729C0"/>
    <w:rsid w:val="00572C5F"/>
    <w:rsid w:val="00572C68"/>
    <w:rsid w:val="00572C6F"/>
    <w:rsid w:val="00572E2C"/>
    <w:rsid w:val="00573080"/>
    <w:rsid w:val="005731CC"/>
    <w:rsid w:val="005732E6"/>
    <w:rsid w:val="00573370"/>
    <w:rsid w:val="005735C1"/>
    <w:rsid w:val="00573657"/>
    <w:rsid w:val="00573695"/>
    <w:rsid w:val="005738B6"/>
    <w:rsid w:val="005738D7"/>
    <w:rsid w:val="005739DF"/>
    <w:rsid w:val="005739E9"/>
    <w:rsid w:val="00573B4E"/>
    <w:rsid w:val="00573D58"/>
    <w:rsid w:val="00573EDC"/>
    <w:rsid w:val="005740D2"/>
    <w:rsid w:val="00574289"/>
    <w:rsid w:val="005742F2"/>
    <w:rsid w:val="005744B6"/>
    <w:rsid w:val="005748FB"/>
    <w:rsid w:val="0057498A"/>
    <w:rsid w:val="0057498D"/>
    <w:rsid w:val="005749AC"/>
    <w:rsid w:val="005749D8"/>
    <w:rsid w:val="00574A47"/>
    <w:rsid w:val="00574A7F"/>
    <w:rsid w:val="00574D8A"/>
    <w:rsid w:val="00574FB3"/>
    <w:rsid w:val="00574FC7"/>
    <w:rsid w:val="0057505A"/>
    <w:rsid w:val="0057513F"/>
    <w:rsid w:val="0057519A"/>
    <w:rsid w:val="00575227"/>
    <w:rsid w:val="005752D8"/>
    <w:rsid w:val="00575415"/>
    <w:rsid w:val="005754E5"/>
    <w:rsid w:val="00575584"/>
    <w:rsid w:val="005755B1"/>
    <w:rsid w:val="005755E5"/>
    <w:rsid w:val="00575668"/>
    <w:rsid w:val="005758EA"/>
    <w:rsid w:val="00575919"/>
    <w:rsid w:val="00575BF2"/>
    <w:rsid w:val="00575C80"/>
    <w:rsid w:val="00575CA8"/>
    <w:rsid w:val="00575E71"/>
    <w:rsid w:val="00575E7A"/>
    <w:rsid w:val="00575EB3"/>
    <w:rsid w:val="00575EB5"/>
    <w:rsid w:val="00575ED2"/>
    <w:rsid w:val="00575F51"/>
    <w:rsid w:val="00575F71"/>
    <w:rsid w:val="00576144"/>
    <w:rsid w:val="00576335"/>
    <w:rsid w:val="0057638E"/>
    <w:rsid w:val="005763E2"/>
    <w:rsid w:val="005764CC"/>
    <w:rsid w:val="005764EF"/>
    <w:rsid w:val="005767BC"/>
    <w:rsid w:val="00576B53"/>
    <w:rsid w:val="00576C08"/>
    <w:rsid w:val="00576C1A"/>
    <w:rsid w:val="00576E7B"/>
    <w:rsid w:val="00576EAA"/>
    <w:rsid w:val="00576F95"/>
    <w:rsid w:val="0057701B"/>
    <w:rsid w:val="00577180"/>
    <w:rsid w:val="0057721C"/>
    <w:rsid w:val="00577477"/>
    <w:rsid w:val="00577544"/>
    <w:rsid w:val="00577565"/>
    <w:rsid w:val="00577576"/>
    <w:rsid w:val="005776BC"/>
    <w:rsid w:val="005776D9"/>
    <w:rsid w:val="0057770C"/>
    <w:rsid w:val="00577882"/>
    <w:rsid w:val="00577A66"/>
    <w:rsid w:val="00577AF3"/>
    <w:rsid w:val="00577BF7"/>
    <w:rsid w:val="00577C2C"/>
    <w:rsid w:val="00577CE2"/>
    <w:rsid w:val="00577EDF"/>
    <w:rsid w:val="00577F76"/>
    <w:rsid w:val="00577F83"/>
    <w:rsid w:val="005800CF"/>
    <w:rsid w:val="005800D6"/>
    <w:rsid w:val="005801F8"/>
    <w:rsid w:val="005805B2"/>
    <w:rsid w:val="005806CC"/>
    <w:rsid w:val="005806E2"/>
    <w:rsid w:val="00580A68"/>
    <w:rsid w:val="00580D6B"/>
    <w:rsid w:val="00580D84"/>
    <w:rsid w:val="00580DC7"/>
    <w:rsid w:val="00580DF2"/>
    <w:rsid w:val="00580EA8"/>
    <w:rsid w:val="00581171"/>
    <w:rsid w:val="005813EB"/>
    <w:rsid w:val="0058140A"/>
    <w:rsid w:val="0058160E"/>
    <w:rsid w:val="005816DC"/>
    <w:rsid w:val="005817B9"/>
    <w:rsid w:val="005817C3"/>
    <w:rsid w:val="00581989"/>
    <w:rsid w:val="00581ADC"/>
    <w:rsid w:val="00581B25"/>
    <w:rsid w:val="00581BE9"/>
    <w:rsid w:val="00581C12"/>
    <w:rsid w:val="00581D2E"/>
    <w:rsid w:val="00581DA0"/>
    <w:rsid w:val="00581F8B"/>
    <w:rsid w:val="00581FBA"/>
    <w:rsid w:val="00582178"/>
    <w:rsid w:val="00582214"/>
    <w:rsid w:val="00582266"/>
    <w:rsid w:val="0058229C"/>
    <w:rsid w:val="005822C7"/>
    <w:rsid w:val="00582343"/>
    <w:rsid w:val="0058247C"/>
    <w:rsid w:val="005826C1"/>
    <w:rsid w:val="005826C5"/>
    <w:rsid w:val="0058275C"/>
    <w:rsid w:val="00582AD8"/>
    <w:rsid w:val="00582C06"/>
    <w:rsid w:val="00582DA1"/>
    <w:rsid w:val="0058305E"/>
    <w:rsid w:val="005832BE"/>
    <w:rsid w:val="005833CE"/>
    <w:rsid w:val="005833EE"/>
    <w:rsid w:val="00583474"/>
    <w:rsid w:val="00583565"/>
    <w:rsid w:val="0058360C"/>
    <w:rsid w:val="0058378D"/>
    <w:rsid w:val="00583AC4"/>
    <w:rsid w:val="00583C3C"/>
    <w:rsid w:val="00583C77"/>
    <w:rsid w:val="00583F80"/>
    <w:rsid w:val="00583F93"/>
    <w:rsid w:val="00584138"/>
    <w:rsid w:val="0058415E"/>
    <w:rsid w:val="00584299"/>
    <w:rsid w:val="005845A1"/>
    <w:rsid w:val="00584744"/>
    <w:rsid w:val="00584790"/>
    <w:rsid w:val="005847E2"/>
    <w:rsid w:val="00584912"/>
    <w:rsid w:val="00584959"/>
    <w:rsid w:val="00584965"/>
    <w:rsid w:val="00584C83"/>
    <w:rsid w:val="00584D54"/>
    <w:rsid w:val="00584D8C"/>
    <w:rsid w:val="00584DDB"/>
    <w:rsid w:val="00584E59"/>
    <w:rsid w:val="00584EAD"/>
    <w:rsid w:val="00584FE2"/>
    <w:rsid w:val="005851EE"/>
    <w:rsid w:val="005853D0"/>
    <w:rsid w:val="00585420"/>
    <w:rsid w:val="00585591"/>
    <w:rsid w:val="00585666"/>
    <w:rsid w:val="00585864"/>
    <w:rsid w:val="00585901"/>
    <w:rsid w:val="00585A03"/>
    <w:rsid w:val="00585A5B"/>
    <w:rsid w:val="00585A5E"/>
    <w:rsid w:val="00585AD0"/>
    <w:rsid w:val="00585CA3"/>
    <w:rsid w:val="00585DEC"/>
    <w:rsid w:val="00585E47"/>
    <w:rsid w:val="00585E6A"/>
    <w:rsid w:val="00585EC4"/>
    <w:rsid w:val="005861C2"/>
    <w:rsid w:val="0058629D"/>
    <w:rsid w:val="0058633D"/>
    <w:rsid w:val="0058653B"/>
    <w:rsid w:val="0058668D"/>
    <w:rsid w:val="005866F5"/>
    <w:rsid w:val="00586820"/>
    <w:rsid w:val="00586868"/>
    <w:rsid w:val="00586875"/>
    <w:rsid w:val="0058692B"/>
    <w:rsid w:val="00586A5A"/>
    <w:rsid w:val="00586AA0"/>
    <w:rsid w:val="00586BC5"/>
    <w:rsid w:val="00586BE2"/>
    <w:rsid w:val="00586C34"/>
    <w:rsid w:val="00586C5C"/>
    <w:rsid w:val="00586CE0"/>
    <w:rsid w:val="00586D0C"/>
    <w:rsid w:val="00586D70"/>
    <w:rsid w:val="00586E6C"/>
    <w:rsid w:val="00586E86"/>
    <w:rsid w:val="00586ED0"/>
    <w:rsid w:val="00586F22"/>
    <w:rsid w:val="00586F2C"/>
    <w:rsid w:val="00586F8D"/>
    <w:rsid w:val="005870C8"/>
    <w:rsid w:val="00587111"/>
    <w:rsid w:val="005873F6"/>
    <w:rsid w:val="005874B5"/>
    <w:rsid w:val="00587527"/>
    <w:rsid w:val="00587647"/>
    <w:rsid w:val="0058786A"/>
    <w:rsid w:val="00587900"/>
    <w:rsid w:val="0058790D"/>
    <w:rsid w:val="0058792C"/>
    <w:rsid w:val="00587971"/>
    <w:rsid w:val="00587AD6"/>
    <w:rsid w:val="00587B04"/>
    <w:rsid w:val="00587C0C"/>
    <w:rsid w:val="00587DFE"/>
    <w:rsid w:val="00587EF5"/>
    <w:rsid w:val="00587F2D"/>
    <w:rsid w:val="00587F8B"/>
    <w:rsid w:val="0059010C"/>
    <w:rsid w:val="0059022A"/>
    <w:rsid w:val="00590308"/>
    <w:rsid w:val="00590364"/>
    <w:rsid w:val="00590481"/>
    <w:rsid w:val="005904AF"/>
    <w:rsid w:val="00590575"/>
    <w:rsid w:val="005907A4"/>
    <w:rsid w:val="005909F8"/>
    <w:rsid w:val="00590BF5"/>
    <w:rsid w:val="00590C43"/>
    <w:rsid w:val="00590C91"/>
    <w:rsid w:val="00590D04"/>
    <w:rsid w:val="00590D3C"/>
    <w:rsid w:val="005910F0"/>
    <w:rsid w:val="00591170"/>
    <w:rsid w:val="00591291"/>
    <w:rsid w:val="00591542"/>
    <w:rsid w:val="00591554"/>
    <w:rsid w:val="005916AF"/>
    <w:rsid w:val="00591738"/>
    <w:rsid w:val="0059176A"/>
    <w:rsid w:val="005918A4"/>
    <w:rsid w:val="005918BE"/>
    <w:rsid w:val="00591949"/>
    <w:rsid w:val="0059197D"/>
    <w:rsid w:val="00591A07"/>
    <w:rsid w:val="00591A15"/>
    <w:rsid w:val="00591A1C"/>
    <w:rsid w:val="00591A43"/>
    <w:rsid w:val="00591C9F"/>
    <w:rsid w:val="00591E1A"/>
    <w:rsid w:val="00591E44"/>
    <w:rsid w:val="005921DD"/>
    <w:rsid w:val="0059229D"/>
    <w:rsid w:val="00592365"/>
    <w:rsid w:val="005924D8"/>
    <w:rsid w:val="0059255F"/>
    <w:rsid w:val="005925C2"/>
    <w:rsid w:val="005928E0"/>
    <w:rsid w:val="00592A60"/>
    <w:rsid w:val="00592AE0"/>
    <w:rsid w:val="00592D1D"/>
    <w:rsid w:val="00592D99"/>
    <w:rsid w:val="00592E6C"/>
    <w:rsid w:val="00592F10"/>
    <w:rsid w:val="00592F6C"/>
    <w:rsid w:val="005933B5"/>
    <w:rsid w:val="00593540"/>
    <w:rsid w:val="005936A7"/>
    <w:rsid w:val="0059385A"/>
    <w:rsid w:val="0059386B"/>
    <w:rsid w:val="005939E9"/>
    <w:rsid w:val="00593A55"/>
    <w:rsid w:val="00593C32"/>
    <w:rsid w:val="00593CD6"/>
    <w:rsid w:val="00593F81"/>
    <w:rsid w:val="00594067"/>
    <w:rsid w:val="005940A7"/>
    <w:rsid w:val="0059428C"/>
    <w:rsid w:val="00594312"/>
    <w:rsid w:val="005943D3"/>
    <w:rsid w:val="005944C6"/>
    <w:rsid w:val="005944FD"/>
    <w:rsid w:val="00594562"/>
    <w:rsid w:val="00594687"/>
    <w:rsid w:val="0059496A"/>
    <w:rsid w:val="00594A13"/>
    <w:rsid w:val="00594BD3"/>
    <w:rsid w:val="00594D1F"/>
    <w:rsid w:val="00594D34"/>
    <w:rsid w:val="00594DF1"/>
    <w:rsid w:val="00594FA7"/>
    <w:rsid w:val="00595062"/>
    <w:rsid w:val="00595244"/>
    <w:rsid w:val="005953C4"/>
    <w:rsid w:val="005954BA"/>
    <w:rsid w:val="005954CB"/>
    <w:rsid w:val="0059551B"/>
    <w:rsid w:val="005957A8"/>
    <w:rsid w:val="0059588D"/>
    <w:rsid w:val="00595897"/>
    <w:rsid w:val="00595905"/>
    <w:rsid w:val="00595960"/>
    <w:rsid w:val="00595A2D"/>
    <w:rsid w:val="00595B1B"/>
    <w:rsid w:val="00595C04"/>
    <w:rsid w:val="00595D9E"/>
    <w:rsid w:val="00595E80"/>
    <w:rsid w:val="00595F3D"/>
    <w:rsid w:val="00595F94"/>
    <w:rsid w:val="00595FE1"/>
    <w:rsid w:val="005961DB"/>
    <w:rsid w:val="005962D7"/>
    <w:rsid w:val="005962DD"/>
    <w:rsid w:val="005963B6"/>
    <w:rsid w:val="00596553"/>
    <w:rsid w:val="005965F7"/>
    <w:rsid w:val="00596650"/>
    <w:rsid w:val="00596738"/>
    <w:rsid w:val="00596786"/>
    <w:rsid w:val="00596836"/>
    <w:rsid w:val="0059691B"/>
    <w:rsid w:val="005969A8"/>
    <w:rsid w:val="005969D3"/>
    <w:rsid w:val="00596A4D"/>
    <w:rsid w:val="00596AE9"/>
    <w:rsid w:val="00596BAA"/>
    <w:rsid w:val="00596CF8"/>
    <w:rsid w:val="00596D88"/>
    <w:rsid w:val="00596DB9"/>
    <w:rsid w:val="00596ED3"/>
    <w:rsid w:val="00596F53"/>
    <w:rsid w:val="0059706C"/>
    <w:rsid w:val="00597435"/>
    <w:rsid w:val="00597535"/>
    <w:rsid w:val="00597618"/>
    <w:rsid w:val="0059768D"/>
    <w:rsid w:val="005976B7"/>
    <w:rsid w:val="005976FD"/>
    <w:rsid w:val="0059773B"/>
    <w:rsid w:val="005977EA"/>
    <w:rsid w:val="0059783C"/>
    <w:rsid w:val="00597840"/>
    <w:rsid w:val="005979CF"/>
    <w:rsid w:val="00597A26"/>
    <w:rsid w:val="00597A3B"/>
    <w:rsid w:val="00597ADF"/>
    <w:rsid w:val="00597D14"/>
    <w:rsid w:val="00597EBF"/>
    <w:rsid w:val="005A005F"/>
    <w:rsid w:val="005A0075"/>
    <w:rsid w:val="005A00C5"/>
    <w:rsid w:val="005A0187"/>
    <w:rsid w:val="005A01A6"/>
    <w:rsid w:val="005A0338"/>
    <w:rsid w:val="005A0389"/>
    <w:rsid w:val="005A03A2"/>
    <w:rsid w:val="005A0409"/>
    <w:rsid w:val="005A0466"/>
    <w:rsid w:val="005A04C6"/>
    <w:rsid w:val="005A055E"/>
    <w:rsid w:val="005A0584"/>
    <w:rsid w:val="005A058D"/>
    <w:rsid w:val="005A0596"/>
    <w:rsid w:val="005A05A4"/>
    <w:rsid w:val="005A05BA"/>
    <w:rsid w:val="005A078D"/>
    <w:rsid w:val="005A07A3"/>
    <w:rsid w:val="005A07E5"/>
    <w:rsid w:val="005A0903"/>
    <w:rsid w:val="005A09AE"/>
    <w:rsid w:val="005A0A41"/>
    <w:rsid w:val="005A0BF0"/>
    <w:rsid w:val="005A0CDC"/>
    <w:rsid w:val="005A0D5C"/>
    <w:rsid w:val="005A0DBF"/>
    <w:rsid w:val="005A0DE3"/>
    <w:rsid w:val="005A0E10"/>
    <w:rsid w:val="005A112E"/>
    <w:rsid w:val="005A11B2"/>
    <w:rsid w:val="005A132A"/>
    <w:rsid w:val="005A133A"/>
    <w:rsid w:val="005A1454"/>
    <w:rsid w:val="005A14B6"/>
    <w:rsid w:val="005A1533"/>
    <w:rsid w:val="005A153E"/>
    <w:rsid w:val="005A1754"/>
    <w:rsid w:val="005A17E7"/>
    <w:rsid w:val="005A19D0"/>
    <w:rsid w:val="005A1AD6"/>
    <w:rsid w:val="005A1B14"/>
    <w:rsid w:val="005A1CAA"/>
    <w:rsid w:val="005A1E40"/>
    <w:rsid w:val="005A1EEC"/>
    <w:rsid w:val="005A1EFA"/>
    <w:rsid w:val="005A1F2A"/>
    <w:rsid w:val="005A1F4F"/>
    <w:rsid w:val="005A1FF7"/>
    <w:rsid w:val="005A200D"/>
    <w:rsid w:val="005A216B"/>
    <w:rsid w:val="005A21AB"/>
    <w:rsid w:val="005A22E8"/>
    <w:rsid w:val="005A233A"/>
    <w:rsid w:val="005A2475"/>
    <w:rsid w:val="005A264A"/>
    <w:rsid w:val="005A27B0"/>
    <w:rsid w:val="005A27B4"/>
    <w:rsid w:val="005A2827"/>
    <w:rsid w:val="005A28B7"/>
    <w:rsid w:val="005A2A6C"/>
    <w:rsid w:val="005A2A88"/>
    <w:rsid w:val="005A2B6A"/>
    <w:rsid w:val="005A2BAC"/>
    <w:rsid w:val="005A2CE5"/>
    <w:rsid w:val="005A2E98"/>
    <w:rsid w:val="005A317F"/>
    <w:rsid w:val="005A319B"/>
    <w:rsid w:val="005A31E9"/>
    <w:rsid w:val="005A32B2"/>
    <w:rsid w:val="005A34D1"/>
    <w:rsid w:val="005A34E9"/>
    <w:rsid w:val="005A3505"/>
    <w:rsid w:val="005A3534"/>
    <w:rsid w:val="005A3547"/>
    <w:rsid w:val="005A3551"/>
    <w:rsid w:val="005A387E"/>
    <w:rsid w:val="005A390E"/>
    <w:rsid w:val="005A398F"/>
    <w:rsid w:val="005A3C47"/>
    <w:rsid w:val="005A3D82"/>
    <w:rsid w:val="005A3DCF"/>
    <w:rsid w:val="005A402C"/>
    <w:rsid w:val="005A4039"/>
    <w:rsid w:val="005A425A"/>
    <w:rsid w:val="005A4364"/>
    <w:rsid w:val="005A4396"/>
    <w:rsid w:val="005A4443"/>
    <w:rsid w:val="005A4542"/>
    <w:rsid w:val="005A456B"/>
    <w:rsid w:val="005A4594"/>
    <w:rsid w:val="005A485C"/>
    <w:rsid w:val="005A48F2"/>
    <w:rsid w:val="005A48F3"/>
    <w:rsid w:val="005A490B"/>
    <w:rsid w:val="005A4D9F"/>
    <w:rsid w:val="005A5163"/>
    <w:rsid w:val="005A5401"/>
    <w:rsid w:val="005A5611"/>
    <w:rsid w:val="005A56CC"/>
    <w:rsid w:val="005A5901"/>
    <w:rsid w:val="005A5912"/>
    <w:rsid w:val="005A5951"/>
    <w:rsid w:val="005A5B08"/>
    <w:rsid w:val="005A5C74"/>
    <w:rsid w:val="005A5C89"/>
    <w:rsid w:val="005A5CDA"/>
    <w:rsid w:val="005A5D64"/>
    <w:rsid w:val="005A5DA6"/>
    <w:rsid w:val="005A5E63"/>
    <w:rsid w:val="005A5E7E"/>
    <w:rsid w:val="005A5EBF"/>
    <w:rsid w:val="005A5EF5"/>
    <w:rsid w:val="005A60B0"/>
    <w:rsid w:val="005A621D"/>
    <w:rsid w:val="005A623A"/>
    <w:rsid w:val="005A62A3"/>
    <w:rsid w:val="005A6515"/>
    <w:rsid w:val="005A6596"/>
    <w:rsid w:val="005A6640"/>
    <w:rsid w:val="005A670A"/>
    <w:rsid w:val="005A6737"/>
    <w:rsid w:val="005A67A5"/>
    <w:rsid w:val="005A682E"/>
    <w:rsid w:val="005A6932"/>
    <w:rsid w:val="005A6955"/>
    <w:rsid w:val="005A69AD"/>
    <w:rsid w:val="005A69F8"/>
    <w:rsid w:val="005A6BAC"/>
    <w:rsid w:val="005A6D76"/>
    <w:rsid w:val="005A6EB3"/>
    <w:rsid w:val="005A6EEC"/>
    <w:rsid w:val="005A6F8F"/>
    <w:rsid w:val="005A6FD1"/>
    <w:rsid w:val="005A74FB"/>
    <w:rsid w:val="005A7576"/>
    <w:rsid w:val="005A7599"/>
    <w:rsid w:val="005A7611"/>
    <w:rsid w:val="005A764B"/>
    <w:rsid w:val="005A76B0"/>
    <w:rsid w:val="005A76E3"/>
    <w:rsid w:val="005A7777"/>
    <w:rsid w:val="005A7A70"/>
    <w:rsid w:val="005A7AF5"/>
    <w:rsid w:val="005A7C02"/>
    <w:rsid w:val="005A7E8D"/>
    <w:rsid w:val="005B0086"/>
    <w:rsid w:val="005B00A2"/>
    <w:rsid w:val="005B0143"/>
    <w:rsid w:val="005B0297"/>
    <w:rsid w:val="005B03E0"/>
    <w:rsid w:val="005B0600"/>
    <w:rsid w:val="005B07D7"/>
    <w:rsid w:val="005B08B9"/>
    <w:rsid w:val="005B096C"/>
    <w:rsid w:val="005B0B09"/>
    <w:rsid w:val="005B0C63"/>
    <w:rsid w:val="005B0CA2"/>
    <w:rsid w:val="005B0DDC"/>
    <w:rsid w:val="005B142D"/>
    <w:rsid w:val="005B146F"/>
    <w:rsid w:val="005B1595"/>
    <w:rsid w:val="005B182C"/>
    <w:rsid w:val="005B18D4"/>
    <w:rsid w:val="005B1A4F"/>
    <w:rsid w:val="005B1A68"/>
    <w:rsid w:val="005B1D36"/>
    <w:rsid w:val="005B224A"/>
    <w:rsid w:val="005B234B"/>
    <w:rsid w:val="005B246A"/>
    <w:rsid w:val="005B259C"/>
    <w:rsid w:val="005B25AA"/>
    <w:rsid w:val="005B264A"/>
    <w:rsid w:val="005B26E6"/>
    <w:rsid w:val="005B2737"/>
    <w:rsid w:val="005B275E"/>
    <w:rsid w:val="005B2803"/>
    <w:rsid w:val="005B2809"/>
    <w:rsid w:val="005B287F"/>
    <w:rsid w:val="005B2983"/>
    <w:rsid w:val="005B2A47"/>
    <w:rsid w:val="005B2B2F"/>
    <w:rsid w:val="005B2FB2"/>
    <w:rsid w:val="005B31A7"/>
    <w:rsid w:val="005B31EC"/>
    <w:rsid w:val="005B37BB"/>
    <w:rsid w:val="005B382E"/>
    <w:rsid w:val="005B392D"/>
    <w:rsid w:val="005B394F"/>
    <w:rsid w:val="005B3ABE"/>
    <w:rsid w:val="005B3B0E"/>
    <w:rsid w:val="005B3C2F"/>
    <w:rsid w:val="005B3D1C"/>
    <w:rsid w:val="005B3F4F"/>
    <w:rsid w:val="005B4074"/>
    <w:rsid w:val="005B4094"/>
    <w:rsid w:val="005B411E"/>
    <w:rsid w:val="005B4122"/>
    <w:rsid w:val="005B4378"/>
    <w:rsid w:val="005B4478"/>
    <w:rsid w:val="005B4616"/>
    <w:rsid w:val="005B467E"/>
    <w:rsid w:val="005B4730"/>
    <w:rsid w:val="005B48A5"/>
    <w:rsid w:val="005B48B1"/>
    <w:rsid w:val="005B48BB"/>
    <w:rsid w:val="005B4962"/>
    <w:rsid w:val="005B4A06"/>
    <w:rsid w:val="005B4A3D"/>
    <w:rsid w:val="005B4AF1"/>
    <w:rsid w:val="005B4BC8"/>
    <w:rsid w:val="005B4CA7"/>
    <w:rsid w:val="005B4D58"/>
    <w:rsid w:val="005B4E2F"/>
    <w:rsid w:val="005B4E40"/>
    <w:rsid w:val="005B4EE0"/>
    <w:rsid w:val="005B4FB2"/>
    <w:rsid w:val="005B5051"/>
    <w:rsid w:val="005B51CE"/>
    <w:rsid w:val="005B520E"/>
    <w:rsid w:val="005B5395"/>
    <w:rsid w:val="005B539C"/>
    <w:rsid w:val="005B550E"/>
    <w:rsid w:val="005B56CF"/>
    <w:rsid w:val="005B5948"/>
    <w:rsid w:val="005B5C58"/>
    <w:rsid w:val="005B5CA2"/>
    <w:rsid w:val="005B5D2F"/>
    <w:rsid w:val="005B62E5"/>
    <w:rsid w:val="005B6335"/>
    <w:rsid w:val="005B643F"/>
    <w:rsid w:val="005B646E"/>
    <w:rsid w:val="005B6488"/>
    <w:rsid w:val="005B651E"/>
    <w:rsid w:val="005B653E"/>
    <w:rsid w:val="005B65A0"/>
    <w:rsid w:val="005B65FF"/>
    <w:rsid w:val="005B6748"/>
    <w:rsid w:val="005B67B0"/>
    <w:rsid w:val="005B6A6F"/>
    <w:rsid w:val="005B6BA8"/>
    <w:rsid w:val="005B6BE0"/>
    <w:rsid w:val="005B6C2F"/>
    <w:rsid w:val="005B6C90"/>
    <w:rsid w:val="005B6CE7"/>
    <w:rsid w:val="005B6D59"/>
    <w:rsid w:val="005B6E10"/>
    <w:rsid w:val="005B7061"/>
    <w:rsid w:val="005B72B6"/>
    <w:rsid w:val="005B74C4"/>
    <w:rsid w:val="005B771F"/>
    <w:rsid w:val="005B773A"/>
    <w:rsid w:val="005B7815"/>
    <w:rsid w:val="005B793A"/>
    <w:rsid w:val="005B79AA"/>
    <w:rsid w:val="005B79E9"/>
    <w:rsid w:val="005B7B8E"/>
    <w:rsid w:val="005B7C0B"/>
    <w:rsid w:val="005B7D5C"/>
    <w:rsid w:val="005B7E61"/>
    <w:rsid w:val="005C0036"/>
    <w:rsid w:val="005C016B"/>
    <w:rsid w:val="005C01E9"/>
    <w:rsid w:val="005C04C8"/>
    <w:rsid w:val="005C0525"/>
    <w:rsid w:val="005C05DF"/>
    <w:rsid w:val="005C06DE"/>
    <w:rsid w:val="005C07CE"/>
    <w:rsid w:val="005C0AAC"/>
    <w:rsid w:val="005C0CD2"/>
    <w:rsid w:val="005C0D73"/>
    <w:rsid w:val="005C0E26"/>
    <w:rsid w:val="005C115A"/>
    <w:rsid w:val="005C119A"/>
    <w:rsid w:val="005C13B7"/>
    <w:rsid w:val="005C15F7"/>
    <w:rsid w:val="005C16CC"/>
    <w:rsid w:val="005C17CB"/>
    <w:rsid w:val="005C1898"/>
    <w:rsid w:val="005C18B4"/>
    <w:rsid w:val="005C1A12"/>
    <w:rsid w:val="005C1ACE"/>
    <w:rsid w:val="005C1DEE"/>
    <w:rsid w:val="005C2066"/>
    <w:rsid w:val="005C21B4"/>
    <w:rsid w:val="005C21B6"/>
    <w:rsid w:val="005C21F0"/>
    <w:rsid w:val="005C23B9"/>
    <w:rsid w:val="005C2478"/>
    <w:rsid w:val="005C253D"/>
    <w:rsid w:val="005C254D"/>
    <w:rsid w:val="005C29FC"/>
    <w:rsid w:val="005C2C80"/>
    <w:rsid w:val="005C2C89"/>
    <w:rsid w:val="005C2CCF"/>
    <w:rsid w:val="005C2EDE"/>
    <w:rsid w:val="005C2EEF"/>
    <w:rsid w:val="005C3085"/>
    <w:rsid w:val="005C30AE"/>
    <w:rsid w:val="005C318D"/>
    <w:rsid w:val="005C320B"/>
    <w:rsid w:val="005C3623"/>
    <w:rsid w:val="005C367B"/>
    <w:rsid w:val="005C3702"/>
    <w:rsid w:val="005C37EF"/>
    <w:rsid w:val="005C3819"/>
    <w:rsid w:val="005C38BA"/>
    <w:rsid w:val="005C3CD9"/>
    <w:rsid w:val="005C3DBA"/>
    <w:rsid w:val="005C443C"/>
    <w:rsid w:val="005C45A0"/>
    <w:rsid w:val="005C4662"/>
    <w:rsid w:val="005C47B8"/>
    <w:rsid w:val="005C4900"/>
    <w:rsid w:val="005C4989"/>
    <w:rsid w:val="005C4BDF"/>
    <w:rsid w:val="005C4C62"/>
    <w:rsid w:val="005C4E90"/>
    <w:rsid w:val="005C4EBB"/>
    <w:rsid w:val="005C4F7D"/>
    <w:rsid w:val="005C4FB0"/>
    <w:rsid w:val="005C50C8"/>
    <w:rsid w:val="005C519D"/>
    <w:rsid w:val="005C51C1"/>
    <w:rsid w:val="005C52A7"/>
    <w:rsid w:val="005C52B8"/>
    <w:rsid w:val="005C5309"/>
    <w:rsid w:val="005C53F5"/>
    <w:rsid w:val="005C54B4"/>
    <w:rsid w:val="005C5524"/>
    <w:rsid w:val="005C56C1"/>
    <w:rsid w:val="005C574C"/>
    <w:rsid w:val="005C5B82"/>
    <w:rsid w:val="005C5D4A"/>
    <w:rsid w:val="005C5D92"/>
    <w:rsid w:val="005C5DE9"/>
    <w:rsid w:val="005C5E05"/>
    <w:rsid w:val="005C607F"/>
    <w:rsid w:val="005C64CD"/>
    <w:rsid w:val="005C64F1"/>
    <w:rsid w:val="005C653D"/>
    <w:rsid w:val="005C65D6"/>
    <w:rsid w:val="005C66FD"/>
    <w:rsid w:val="005C675D"/>
    <w:rsid w:val="005C67BD"/>
    <w:rsid w:val="005C6912"/>
    <w:rsid w:val="005C691F"/>
    <w:rsid w:val="005C693C"/>
    <w:rsid w:val="005C6A14"/>
    <w:rsid w:val="005C6A6F"/>
    <w:rsid w:val="005C6B91"/>
    <w:rsid w:val="005C6B93"/>
    <w:rsid w:val="005C6C09"/>
    <w:rsid w:val="005C6E7F"/>
    <w:rsid w:val="005C6ED3"/>
    <w:rsid w:val="005C7039"/>
    <w:rsid w:val="005C70AF"/>
    <w:rsid w:val="005C70D4"/>
    <w:rsid w:val="005C70F1"/>
    <w:rsid w:val="005C711E"/>
    <w:rsid w:val="005C71BF"/>
    <w:rsid w:val="005C72C6"/>
    <w:rsid w:val="005C740F"/>
    <w:rsid w:val="005C765D"/>
    <w:rsid w:val="005C77CE"/>
    <w:rsid w:val="005C7820"/>
    <w:rsid w:val="005C78E4"/>
    <w:rsid w:val="005C7911"/>
    <w:rsid w:val="005C7942"/>
    <w:rsid w:val="005C7A90"/>
    <w:rsid w:val="005C7BFD"/>
    <w:rsid w:val="005C7C3E"/>
    <w:rsid w:val="005C7D5B"/>
    <w:rsid w:val="005C7F5D"/>
    <w:rsid w:val="005CB130"/>
    <w:rsid w:val="005D00F9"/>
    <w:rsid w:val="005D0144"/>
    <w:rsid w:val="005D020D"/>
    <w:rsid w:val="005D0385"/>
    <w:rsid w:val="005D0434"/>
    <w:rsid w:val="005D045A"/>
    <w:rsid w:val="005D0515"/>
    <w:rsid w:val="005D0716"/>
    <w:rsid w:val="005D087D"/>
    <w:rsid w:val="005D0C12"/>
    <w:rsid w:val="005D0C97"/>
    <w:rsid w:val="005D0CBC"/>
    <w:rsid w:val="005D0D6A"/>
    <w:rsid w:val="005D0DDA"/>
    <w:rsid w:val="005D0E4F"/>
    <w:rsid w:val="005D0E67"/>
    <w:rsid w:val="005D10B3"/>
    <w:rsid w:val="005D120B"/>
    <w:rsid w:val="005D1284"/>
    <w:rsid w:val="005D12D3"/>
    <w:rsid w:val="005D13C4"/>
    <w:rsid w:val="005D1583"/>
    <w:rsid w:val="005D17D6"/>
    <w:rsid w:val="005D183E"/>
    <w:rsid w:val="005D1ACF"/>
    <w:rsid w:val="005D1C81"/>
    <w:rsid w:val="005D1E5C"/>
    <w:rsid w:val="005D1EB3"/>
    <w:rsid w:val="005D1FE4"/>
    <w:rsid w:val="005D2052"/>
    <w:rsid w:val="005D217D"/>
    <w:rsid w:val="005D21C1"/>
    <w:rsid w:val="005D2585"/>
    <w:rsid w:val="005D25DB"/>
    <w:rsid w:val="005D26B8"/>
    <w:rsid w:val="005D2810"/>
    <w:rsid w:val="005D2956"/>
    <w:rsid w:val="005D2A24"/>
    <w:rsid w:val="005D2A88"/>
    <w:rsid w:val="005D2B01"/>
    <w:rsid w:val="005D2B94"/>
    <w:rsid w:val="005D2BC7"/>
    <w:rsid w:val="005D2D85"/>
    <w:rsid w:val="005D2EC4"/>
    <w:rsid w:val="005D2F60"/>
    <w:rsid w:val="005D3207"/>
    <w:rsid w:val="005D3391"/>
    <w:rsid w:val="005D3430"/>
    <w:rsid w:val="005D3477"/>
    <w:rsid w:val="005D34B6"/>
    <w:rsid w:val="005D3514"/>
    <w:rsid w:val="005D363F"/>
    <w:rsid w:val="005D3960"/>
    <w:rsid w:val="005D3B61"/>
    <w:rsid w:val="005D3BAC"/>
    <w:rsid w:val="005D3C1C"/>
    <w:rsid w:val="005D3D64"/>
    <w:rsid w:val="005D3D73"/>
    <w:rsid w:val="005D40F3"/>
    <w:rsid w:val="005D4135"/>
    <w:rsid w:val="005D41F3"/>
    <w:rsid w:val="005D420F"/>
    <w:rsid w:val="005D4267"/>
    <w:rsid w:val="005D43F1"/>
    <w:rsid w:val="005D4415"/>
    <w:rsid w:val="005D44AB"/>
    <w:rsid w:val="005D451E"/>
    <w:rsid w:val="005D4534"/>
    <w:rsid w:val="005D45EA"/>
    <w:rsid w:val="005D4663"/>
    <w:rsid w:val="005D4854"/>
    <w:rsid w:val="005D4B1D"/>
    <w:rsid w:val="005D4B33"/>
    <w:rsid w:val="005D4C99"/>
    <w:rsid w:val="005D4CC5"/>
    <w:rsid w:val="005D4D70"/>
    <w:rsid w:val="005D4E0D"/>
    <w:rsid w:val="005D5024"/>
    <w:rsid w:val="005D5037"/>
    <w:rsid w:val="005D50F6"/>
    <w:rsid w:val="005D5189"/>
    <w:rsid w:val="005D51E0"/>
    <w:rsid w:val="005D51EF"/>
    <w:rsid w:val="005D53C3"/>
    <w:rsid w:val="005D5401"/>
    <w:rsid w:val="005D552F"/>
    <w:rsid w:val="005D569B"/>
    <w:rsid w:val="005D57AF"/>
    <w:rsid w:val="005D58DC"/>
    <w:rsid w:val="005D5C83"/>
    <w:rsid w:val="005D5D83"/>
    <w:rsid w:val="005D5FCE"/>
    <w:rsid w:val="005D5FEC"/>
    <w:rsid w:val="005D6077"/>
    <w:rsid w:val="005D6091"/>
    <w:rsid w:val="005D60F6"/>
    <w:rsid w:val="005D612F"/>
    <w:rsid w:val="005D64B3"/>
    <w:rsid w:val="005D6816"/>
    <w:rsid w:val="005D68D8"/>
    <w:rsid w:val="005D695C"/>
    <w:rsid w:val="005D6A1B"/>
    <w:rsid w:val="005D6A30"/>
    <w:rsid w:val="005D6AC8"/>
    <w:rsid w:val="005D6B84"/>
    <w:rsid w:val="005D6D73"/>
    <w:rsid w:val="005D6E91"/>
    <w:rsid w:val="005D6F30"/>
    <w:rsid w:val="005D7180"/>
    <w:rsid w:val="005D72A3"/>
    <w:rsid w:val="005D72E1"/>
    <w:rsid w:val="005D7339"/>
    <w:rsid w:val="005D737F"/>
    <w:rsid w:val="005D7391"/>
    <w:rsid w:val="005D7444"/>
    <w:rsid w:val="005D7571"/>
    <w:rsid w:val="005D78AA"/>
    <w:rsid w:val="005D795B"/>
    <w:rsid w:val="005D798F"/>
    <w:rsid w:val="005D79DB"/>
    <w:rsid w:val="005D7A9D"/>
    <w:rsid w:val="005D7BBA"/>
    <w:rsid w:val="005D7C6B"/>
    <w:rsid w:val="005D7CB5"/>
    <w:rsid w:val="005D7CD8"/>
    <w:rsid w:val="005D7CFA"/>
    <w:rsid w:val="005D7D07"/>
    <w:rsid w:val="005D7E39"/>
    <w:rsid w:val="005D7FE0"/>
    <w:rsid w:val="005DB67F"/>
    <w:rsid w:val="005E010E"/>
    <w:rsid w:val="005E0154"/>
    <w:rsid w:val="005E01A2"/>
    <w:rsid w:val="005E0221"/>
    <w:rsid w:val="005E0444"/>
    <w:rsid w:val="005E0478"/>
    <w:rsid w:val="005E04B8"/>
    <w:rsid w:val="005E04DE"/>
    <w:rsid w:val="005E06E8"/>
    <w:rsid w:val="005E0709"/>
    <w:rsid w:val="005E087F"/>
    <w:rsid w:val="005E0918"/>
    <w:rsid w:val="005E0A91"/>
    <w:rsid w:val="005E0AA3"/>
    <w:rsid w:val="005E0B9B"/>
    <w:rsid w:val="005E0C12"/>
    <w:rsid w:val="005E0C59"/>
    <w:rsid w:val="005E0CBF"/>
    <w:rsid w:val="005E0E18"/>
    <w:rsid w:val="005E0E5A"/>
    <w:rsid w:val="005E0E7A"/>
    <w:rsid w:val="005E0E7F"/>
    <w:rsid w:val="005E1141"/>
    <w:rsid w:val="005E1146"/>
    <w:rsid w:val="005E1337"/>
    <w:rsid w:val="005E1342"/>
    <w:rsid w:val="005E146F"/>
    <w:rsid w:val="005E14D1"/>
    <w:rsid w:val="005E15BA"/>
    <w:rsid w:val="005E1863"/>
    <w:rsid w:val="005E1B88"/>
    <w:rsid w:val="005E1E51"/>
    <w:rsid w:val="005E1EC5"/>
    <w:rsid w:val="005E209B"/>
    <w:rsid w:val="005E239C"/>
    <w:rsid w:val="005E263D"/>
    <w:rsid w:val="005E26EA"/>
    <w:rsid w:val="005E298A"/>
    <w:rsid w:val="005E2A07"/>
    <w:rsid w:val="005E2BE6"/>
    <w:rsid w:val="005E2C7E"/>
    <w:rsid w:val="005E2E16"/>
    <w:rsid w:val="005E2F30"/>
    <w:rsid w:val="005E30BA"/>
    <w:rsid w:val="005E30D1"/>
    <w:rsid w:val="005E3115"/>
    <w:rsid w:val="005E3362"/>
    <w:rsid w:val="005E33CA"/>
    <w:rsid w:val="005E3464"/>
    <w:rsid w:val="005E349A"/>
    <w:rsid w:val="005E3752"/>
    <w:rsid w:val="005E39EF"/>
    <w:rsid w:val="005E3B00"/>
    <w:rsid w:val="005E3BDD"/>
    <w:rsid w:val="005E3C1F"/>
    <w:rsid w:val="005E3D4E"/>
    <w:rsid w:val="005E3DA3"/>
    <w:rsid w:val="005E3E5E"/>
    <w:rsid w:val="005E40E3"/>
    <w:rsid w:val="005E414D"/>
    <w:rsid w:val="005E4152"/>
    <w:rsid w:val="005E4208"/>
    <w:rsid w:val="005E42DC"/>
    <w:rsid w:val="005E43E3"/>
    <w:rsid w:val="005E4490"/>
    <w:rsid w:val="005E44BA"/>
    <w:rsid w:val="005E45AA"/>
    <w:rsid w:val="005E465D"/>
    <w:rsid w:val="005E46A6"/>
    <w:rsid w:val="005E46BD"/>
    <w:rsid w:val="005E4761"/>
    <w:rsid w:val="005E47C7"/>
    <w:rsid w:val="005E4B0C"/>
    <w:rsid w:val="005E4D30"/>
    <w:rsid w:val="005E4E40"/>
    <w:rsid w:val="005E5022"/>
    <w:rsid w:val="005E52EA"/>
    <w:rsid w:val="005E5459"/>
    <w:rsid w:val="005E5499"/>
    <w:rsid w:val="005E54A8"/>
    <w:rsid w:val="005E552A"/>
    <w:rsid w:val="005E5716"/>
    <w:rsid w:val="005E57B5"/>
    <w:rsid w:val="005E57D5"/>
    <w:rsid w:val="005E5B14"/>
    <w:rsid w:val="005E5BA1"/>
    <w:rsid w:val="005E5CE6"/>
    <w:rsid w:val="005E5DB1"/>
    <w:rsid w:val="005E5E3E"/>
    <w:rsid w:val="005E5E76"/>
    <w:rsid w:val="005E5EF6"/>
    <w:rsid w:val="005E5F9B"/>
    <w:rsid w:val="005E621B"/>
    <w:rsid w:val="005E6340"/>
    <w:rsid w:val="005E63F1"/>
    <w:rsid w:val="005E66D0"/>
    <w:rsid w:val="005E66D6"/>
    <w:rsid w:val="005E66FE"/>
    <w:rsid w:val="005E67BF"/>
    <w:rsid w:val="005E67C2"/>
    <w:rsid w:val="005E685F"/>
    <w:rsid w:val="005E68CD"/>
    <w:rsid w:val="005E693C"/>
    <w:rsid w:val="005E6A01"/>
    <w:rsid w:val="005E6A70"/>
    <w:rsid w:val="005E6A77"/>
    <w:rsid w:val="005E6ABF"/>
    <w:rsid w:val="005E6B0C"/>
    <w:rsid w:val="005E6B82"/>
    <w:rsid w:val="005E6BB7"/>
    <w:rsid w:val="005E6C79"/>
    <w:rsid w:val="005E6E23"/>
    <w:rsid w:val="005E703F"/>
    <w:rsid w:val="005E728F"/>
    <w:rsid w:val="005E7411"/>
    <w:rsid w:val="005E748C"/>
    <w:rsid w:val="005E755F"/>
    <w:rsid w:val="005E75A7"/>
    <w:rsid w:val="005E7824"/>
    <w:rsid w:val="005E7860"/>
    <w:rsid w:val="005E7978"/>
    <w:rsid w:val="005E7D91"/>
    <w:rsid w:val="005E7E0C"/>
    <w:rsid w:val="005E7E1A"/>
    <w:rsid w:val="005E7F53"/>
    <w:rsid w:val="005E7F6C"/>
    <w:rsid w:val="005E7F93"/>
    <w:rsid w:val="005E7FE5"/>
    <w:rsid w:val="005F024F"/>
    <w:rsid w:val="005F0359"/>
    <w:rsid w:val="005F03B3"/>
    <w:rsid w:val="005F0420"/>
    <w:rsid w:val="005F0647"/>
    <w:rsid w:val="005F07E2"/>
    <w:rsid w:val="005F0838"/>
    <w:rsid w:val="005F08E7"/>
    <w:rsid w:val="005F0903"/>
    <w:rsid w:val="005F0AFA"/>
    <w:rsid w:val="005F0BE9"/>
    <w:rsid w:val="005F0D45"/>
    <w:rsid w:val="005F0E21"/>
    <w:rsid w:val="005F1233"/>
    <w:rsid w:val="005F1342"/>
    <w:rsid w:val="005F152D"/>
    <w:rsid w:val="005F15DC"/>
    <w:rsid w:val="005F1651"/>
    <w:rsid w:val="005F1661"/>
    <w:rsid w:val="005F16B3"/>
    <w:rsid w:val="005F18AE"/>
    <w:rsid w:val="005F18B7"/>
    <w:rsid w:val="005F1953"/>
    <w:rsid w:val="005F1A43"/>
    <w:rsid w:val="005F1AFA"/>
    <w:rsid w:val="005F1B1F"/>
    <w:rsid w:val="005F1D40"/>
    <w:rsid w:val="005F1D56"/>
    <w:rsid w:val="005F1FF4"/>
    <w:rsid w:val="005F221F"/>
    <w:rsid w:val="005F2312"/>
    <w:rsid w:val="005F24C7"/>
    <w:rsid w:val="005F26FF"/>
    <w:rsid w:val="005F2810"/>
    <w:rsid w:val="005F2934"/>
    <w:rsid w:val="005F2AD0"/>
    <w:rsid w:val="005F2B1D"/>
    <w:rsid w:val="005F2B2E"/>
    <w:rsid w:val="005F2B42"/>
    <w:rsid w:val="005F2CAF"/>
    <w:rsid w:val="005F2D66"/>
    <w:rsid w:val="005F2D6E"/>
    <w:rsid w:val="005F2D77"/>
    <w:rsid w:val="005F2DCB"/>
    <w:rsid w:val="005F2EDD"/>
    <w:rsid w:val="005F2F93"/>
    <w:rsid w:val="005F30E6"/>
    <w:rsid w:val="005F31A7"/>
    <w:rsid w:val="005F31DB"/>
    <w:rsid w:val="005F31E0"/>
    <w:rsid w:val="005F3375"/>
    <w:rsid w:val="005F33DA"/>
    <w:rsid w:val="005F3A9D"/>
    <w:rsid w:val="005F3C00"/>
    <w:rsid w:val="005F3C0B"/>
    <w:rsid w:val="005F3C49"/>
    <w:rsid w:val="005F3C99"/>
    <w:rsid w:val="005F3E5D"/>
    <w:rsid w:val="005F3FBD"/>
    <w:rsid w:val="005F42AA"/>
    <w:rsid w:val="005F42B8"/>
    <w:rsid w:val="005F4389"/>
    <w:rsid w:val="005F446A"/>
    <w:rsid w:val="005F44BA"/>
    <w:rsid w:val="005F4506"/>
    <w:rsid w:val="005F45D2"/>
    <w:rsid w:val="005F46AF"/>
    <w:rsid w:val="005F46EC"/>
    <w:rsid w:val="005F4782"/>
    <w:rsid w:val="005F488C"/>
    <w:rsid w:val="005F48E6"/>
    <w:rsid w:val="005F49E0"/>
    <w:rsid w:val="005F4AC4"/>
    <w:rsid w:val="005F4BAF"/>
    <w:rsid w:val="005F4D5B"/>
    <w:rsid w:val="005F4D81"/>
    <w:rsid w:val="005F4DB0"/>
    <w:rsid w:val="005F4E55"/>
    <w:rsid w:val="005F4FB6"/>
    <w:rsid w:val="005F4FDF"/>
    <w:rsid w:val="005F4FF6"/>
    <w:rsid w:val="005F4FF8"/>
    <w:rsid w:val="005F503B"/>
    <w:rsid w:val="005F509B"/>
    <w:rsid w:val="005F5186"/>
    <w:rsid w:val="005F537F"/>
    <w:rsid w:val="005F5511"/>
    <w:rsid w:val="005F5790"/>
    <w:rsid w:val="005F5839"/>
    <w:rsid w:val="005F59B4"/>
    <w:rsid w:val="005F5A60"/>
    <w:rsid w:val="005F5AFC"/>
    <w:rsid w:val="005F5B48"/>
    <w:rsid w:val="005F5B92"/>
    <w:rsid w:val="005F5BB6"/>
    <w:rsid w:val="005F5CCC"/>
    <w:rsid w:val="005F5E59"/>
    <w:rsid w:val="005F5EAE"/>
    <w:rsid w:val="005F5F10"/>
    <w:rsid w:val="005F5FC8"/>
    <w:rsid w:val="005F607B"/>
    <w:rsid w:val="005F6212"/>
    <w:rsid w:val="005F6340"/>
    <w:rsid w:val="005F635E"/>
    <w:rsid w:val="005F6525"/>
    <w:rsid w:val="005F6551"/>
    <w:rsid w:val="005F659B"/>
    <w:rsid w:val="005F6601"/>
    <w:rsid w:val="005F673E"/>
    <w:rsid w:val="005F6763"/>
    <w:rsid w:val="005F6777"/>
    <w:rsid w:val="005F6830"/>
    <w:rsid w:val="005F68E2"/>
    <w:rsid w:val="005F68FC"/>
    <w:rsid w:val="005F6A7C"/>
    <w:rsid w:val="005F6A8A"/>
    <w:rsid w:val="005F6B00"/>
    <w:rsid w:val="005F6BD1"/>
    <w:rsid w:val="005F6C4D"/>
    <w:rsid w:val="005F6F7D"/>
    <w:rsid w:val="005F70B9"/>
    <w:rsid w:val="005F70DC"/>
    <w:rsid w:val="005F7178"/>
    <w:rsid w:val="005F7199"/>
    <w:rsid w:val="005F7353"/>
    <w:rsid w:val="005F74B9"/>
    <w:rsid w:val="005F74F1"/>
    <w:rsid w:val="005F755F"/>
    <w:rsid w:val="005F76BB"/>
    <w:rsid w:val="005F7755"/>
    <w:rsid w:val="005F78B5"/>
    <w:rsid w:val="005F7B89"/>
    <w:rsid w:val="005F7D5A"/>
    <w:rsid w:val="005F7DA2"/>
    <w:rsid w:val="005F7E13"/>
    <w:rsid w:val="005FC109"/>
    <w:rsid w:val="0060015E"/>
    <w:rsid w:val="00600206"/>
    <w:rsid w:val="0060048F"/>
    <w:rsid w:val="006004B4"/>
    <w:rsid w:val="006004F5"/>
    <w:rsid w:val="00600540"/>
    <w:rsid w:val="00600544"/>
    <w:rsid w:val="006007B4"/>
    <w:rsid w:val="00600901"/>
    <w:rsid w:val="0060093E"/>
    <w:rsid w:val="00600A44"/>
    <w:rsid w:val="00600D3E"/>
    <w:rsid w:val="00600D4F"/>
    <w:rsid w:val="00600D9D"/>
    <w:rsid w:val="00600F5C"/>
    <w:rsid w:val="006013D8"/>
    <w:rsid w:val="006013FE"/>
    <w:rsid w:val="0060146D"/>
    <w:rsid w:val="00601475"/>
    <w:rsid w:val="0060155B"/>
    <w:rsid w:val="006016EF"/>
    <w:rsid w:val="0060172F"/>
    <w:rsid w:val="0060174C"/>
    <w:rsid w:val="00601AA2"/>
    <w:rsid w:val="00601BB0"/>
    <w:rsid w:val="00601BD0"/>
    <w:rsid w:val="00601C0C"/>
    <w:rsid w:val="00601C20"/>
    <w:rsid w:val="00601D37"/>
    <w:rsid w:val="00601D98"/>
    <w:rsid w:val="00601E93"/>
    <w:rsid w:val="00601ECD"/>
    <w:rsid w:val="00601FEB"/>
    <w:rsid w:val="00602195"/>
    <w:rsid w:val="006021D2"/>
    <w:rsid w:val="00602257"/>
    <w:rsid w:val="0060232E"/>
    <w:rsid w:val="00602343"/>
    <w:rsid w:val="0060234D"/>
    <w:rsid w:val="00602401"/>
    <w:rsid w:val="00602403"/>
    <w:rsid w:val="00602729"/>
    <w:rsid w:val="00602751"/>
    <w:rsid w:val="00602929"/>
    <w:rsid w:val="00602D89"/>
    <w:rsid w:val="00602E33"/>
    <w:rsid w:val="00602ED8"/>
    <w:rsid w:val="00603132"/>
    <w:rsid w:val="00603267"/>
    <w:rsid w:val="0060331E"/>
    <w:rsid w:val="0060334F"/>
    <w:rsid w:val="006036A2"/>
    <w:rsid w:val="006036D1"/>
    <w:rsid w:val="006036E9"/>
    <w:rsid w:val="0060372D"/>
    <w:rsid w:val="0060374A"/>
    <w:rsid w:val="0060376B"/>
    <w:rsid w:val="00603A29"/>
    <w:rsid w:val="00603B49"/>
    <w:rsid w:val="00603C32"/>
    <w:rsid w:val="00603C89"/>
    <w:rsid w:val="00603CC0"/>
    <w:rsid w:val="00603CFF"/>
    <w:rsid w:val="00603E1F"/>
    <w:rsid w:val="00603F13"/>
    <w:rsid w:val="00603FF1"/>
    <w:rsid w:val="0060408A"/>
    <w:rsid w:val="00604328"/>
    <w:rsid w:val="00604360"/>
    <w:rsid w:val="00604526"/>
    <w:rsid w:val="00604753"/>
    <w:rsid w:val="00604853"/>
    <w:rsid w:val="006048C0"/>
    <w:rsid w:val="006048E5"/>
    <w:rsid w:val="00604978"/>
    <w:rsid w:val="006049C7"/>
    <w:rsid w:val="006049F3"/>
    <w:rsid w:val="00604B2F"/>
    <w:rsid w:val="00604BBF"/>
    <w:rsid w:val="00604C38"/>
    <w:rsid w:val="00604DB3"/>
    <w:rsid w:val="00604E00"/>
    <w:rsid w:val="00604E06"/>
    <w:rsid w:val="00604E1C"/>
    <w:rsid w:val="0060544D"/>
    <w:rsid w:val="006055D6"/>
    <w:rsid w:val="00605621"/>
    <w:rsid w:val="00605659"/>
    <w:rsid w:val="00605666"/>
    <w:rsid w:val="006057BA"/>
    <w:rsid w:val="006058B6"/>
    <w:rsid w:val="0060592F"/>
    <w:rsid w:val="006059EC"/>
    <w:rsid w:val="00605AC9"/>
    <w:rsid w:val="00605DA2"/>
    <w:rsid w:val="00605E9D"/>
    <w:rsid w:val="0060625D"/>
    <w:rsid w:val="006062D5"/>
    <w:rsid w:val="0060630A"/>
    <w:rsid w:val="006064BE"/>
    <w:rsid w:val="00606583"/>
    <w:rsid w:val="006065B3"/>
    <w:rsid w:val="006066E8"/>
    <w:rsid w:val="006067C9"/>
    <w:rsid w:val="00606837"/>
    <w:rsid w:val="00606911"/>
    <w:rsid w:val="00606B07"/>
    <w:rsid w:val="00606E36"/>
    <w:rsid w:val="00606E49"/>
    <w:rsid w:val="00606F45"/>
    <w:rsid w:val="00606FDA"/>
    <w:rsid w:val="00607067"/>
    <w:rsid w:val="00607122"/>
    <w:rsid w:val="006071E2"/>
    <w:rsid w:val="0060740B"/>
    <w:rsid w:val="0060748D"/>
    <w:rsid w:val="00607595"/>
    <w:rsid w:val="006075A7"/>
    <w:rsid w:val="00607612"/>
    <w:rsid w:val="0060776D"/>
    <w:rsid w:val="006077FA"/>
    <w:rsid w:val="0060781E"/>
    <w:rsid w:val="00607843"/>
    <w:rsid w:val="00607A5B"/>
    <w:rsid w:val="00607B19"/>
    <w:rsid w:val="00607B84"/>
    <w:rsid w:val="00607C48"/>
    <w:rsid w:val="00607DBC"/>
    <w:rsid w:val="00607F5D"/>
    <w:rsid w:val="00607FCA"/>
    <w:rsid w:val="0061004B"/>
    <w:rsid w:val="006100A2"/>
    <w:rsid w:val="00610204"/>
    <w:rsid w:val="00610440"/>
    <w:rsid w:val="00610496"/>
    <w:rsid w:val="00610701"/>
    <w:rsid w:val="00610726"/>
    <w:rsid w:val="00610965"/>
    <w:rsid w:val="00610AE5"/>
    <w:rsid w:val="00610D52"/>
    <w:rsid w:val="00611013"/>
    <w:rsid w:val="00611117"/>
    <w:rsid w:val="0061127F"/>
    <w:rsid w:val="006112C9"/>
    <w:rsid w:val="00611358"/>
    <w:rsid w:val="006113B1"/>
    <w:rsid w:val="00611429"/>
    <w:rsid w:val="00611487"/>
    <w:rsid w:val="006114A0"/>
    <w:rsid w:val="00611501"/>
    <w:rsid w:val="00611512"/>
    <w:rsid w:val="0061153B"/>
    <w:rsid w:val="00611580"/>
    <w:rsid w:val="0061169A"/>
    <w:rsid w:val="006116EC"/>
    <w:rsid w:val="006117F9"/>
    <w:rsid w:val="00611919"/>
    <w:rsid w:val="00611956"/>
    <w:rsid w:val="00611A31"/>
    <w:rsid w:val="00611C08"/>
    <w:rsid w:val="00611E8E"/>
    <w:rsid w:val="00611E98"/>
    <w:rsid w:val="00611F15"/>
    <w:rsid w:val="00611FBF"/>
    <w:rsid w:val="00611FD8"/>
    <w:rsid w:val="0061204C"/>
    <w:rsid w:val="00612085"/>
    <w:rsid w:val="0061219A"/>
    <w:rsid w:val="006121F7"/>
    <w:rsid w:val="00612285"/>
    <w:rsid w:val="006122BA"/>
    <w:rsid w:val="006123D9"/>
    <w:rsid w:val="006125BA"/>
    <w:rsid w:val="006125C7"/>
    <w:rsid w:val="00612616"/>
    <w:rsid w:val="006126D3"/>
    <w:rsid w:val="006126F9"/>
    <w:rsid w:val="00612753"/>
    <w:rsid w:val="0061278C"/>
    <w:rsid w:val="006128C8"/>
    <w:rsid w:val="00612946"/>
    <w:rsid w:val="006129E5"/>
    <w:rsid w:val="006129F8"/>
    <w:rsid w:val="00612A0D"/>
    <w:rsid w:val="00612AD5"/>
    <w:rsid w:val="00612B47"/>
    <w:rsid w:val="00612C62"/>
    <w:rsid w:val="00612D3E"/>
    <w:rsid w:val="00612D75"/>
    <w:rsid w:val="00612DCE"/>
    <w:rsid w:val="00612F09"/>
    <w:rsid w:val="00613165"/>
    <w:rsid w:val="00613223"/>
    <w:rsid w:val="00613271"/>
    <w:rsid w:val="0061345A"/>
    <w:rsid w:val="006135AE"/>
    <w:rsid w:val="00613697"/>
    <w:rsid w:val="00613727"/>
    <w:rsid w:val="0061380C"/>
    <w:rsid w:val="00613839"/>
    <w:rsid w:val="006138CA"/>
    <w:rsid w:val="00613A3E"/>
    <w:rsid w:val="00613AD8"/>
    <w:rsid w:val="00613B6E"/>
    <w:rsid w:val="00613BB8"/>
    <w:rsid w:val="00613D09"/>
    <w:rsid w:val="00613E10"/>
    <w:rsid w:val="00613E18"/>
    <w:rsid w:val="00613F09"/>
    <w:rsid w:val="00613F94"/>
    <w:rsid w:val="00613F95"/>
    <w:rsid w:val="006140E3"/>
    <w:rsid w:val="006141F1"/>
    <w:rsid w:val="006141F7"/>
    <w:rsid w:val="006142A1"/>
    <w:rsid w:val="006143D4"/>
    <w:rsid w:val="0061453B"/>
    <w:rsid w:val="0061465D"/>
    <w:rsid w:val="006146E0"/>
    <w:rsid w:val="00614A02"/>
    <w:rsid w:val="00614A95"/>
    <w:rsid w:val="00614C32"/>
    <w:rsid w:val="00614F69"/>
    <w:rsid w:val="00614FBC"/>
    <w:rsid w:val="00615056"/>
    <w:rsid w:val="006151B5"/>
    <w:rsid w:val="006152BD"/>
    <w:rsid w:val="00615303"/>
    <w:rsid w:val="0061543F"/>
    <w:rsid w:val="00615485"/>
    <w:rsid w:val="006156EA"/>
    <w:rsid w:val="006157DC"/>
    <w:rsid w:val="0061588D"/>
    <w:rsid w:val="00615C1A"/>
    <w:rsid w:val="00615D37"/>
    <w:rsid w:val="00615D46"/>
    <w:rsid w:val="00615E06"/>
    <w:rsid w:val="00615E58"/>
    <w:rsid w:val="00615FDE"/>
    <w:rsid w:val="0061610B"/>
    <w:rsid w:val="006163CC"/>
    <w:rsid w:val="0061659B"/>
    <w:rsid w:val="006165EA"/>
    <w:rsid w:val="006167BB"/>
    <w:rsid w:val="00616853"/>
    <w:rsid w:val="00616AC9"/>
    <w:rsid w:val="00616BD6"/>
    <w:rsid w:val="00616C0A"/>
    <w:rsid w:val="00616CC2"/>
    <w:rsid w:val="00616E34"/>
    <w:rsid w:val="00616EAE"/>
    <w:rsid w:val="00616F31"/>
    <w:rsid w:val="006170EA"/>
    <w:rsid w:val="006173CF"/>
    <w:rsid w:val="00617414"/>
    <w:rsid w:val="0061755B"/>
    <w:rsid w:val="006177E0"/>
    <w:rsid w:val="00617896"/>
    <w:rsid w:val="00617997"/>
    <w:rsid w:val="006179DE"/>
    <w:rsid w:val="00617D35"/>
    <w:rsid w:val="00617D3E"/>
    <w:rsid w:val="0061C0D5"/>
    <w:rsid w:val="00620089"/>
    <w:rsid w:val="00620181"/>
    <w:rsid w:val="00620250"/>
    <w:rsid w:val="00620293"/>
    <w:rsid w:val="00620986"/>
    <w:rsid w:val="0062099F"/>
    <w:rsid w:val="006209BA"/>
    <w:rsid w:val="006209FE"/>
    <w:rsid w:val="00620B35"/>
    <w:rsid w:val="00620B87"/>
    <w:rsid w:val="00620BF3"/>
    <w:rsid w:val="00620C9B"/>
    <w:rsid w:val="00620CF7"/>
    <w:rsid w:val="00620F37"/>
    <w:rsid w:val="00621048"/>
    <w:rsid w:val="0062106F"/>
    <w:rsid w:val="00621163"/>
    <w:rsid w:val="00621456"/>
    <w:rsid w:val="00621614"/>
    <w:rsid w:val="00621664"/>
    <w:rsid w:val="00621742"/>
    <w:rsid w:val="00621746"/>
    <w:rsid w:val="006218A2"/>
    <w:rsid w:val="00621915"/>
    <w:rsid w:val="00621AAF"/>
    <w:rsid w:val="00621C2A"/>
    <w:rsid w:val="00621C52"/>
    <w:rsid w:val="00621C71"/>
    <w:rsid w:val="00621D00"/>
    <w:rsid w:val="00621F58"/>
    <w:rsid w:val="00621FC6"/>
    <w:rsid w:val="0062204F"/>
    <w:rsid w:val="00622111"/>
    <w:rsid w:val="0062241B"/>
    <w:rsid w:val="00622424"/>
    <w:rsid w:val="00622436"/>
    <w:rsid w:val="006225FD"/>
    <w:rsid w:val="0062277D"/>
    <w:rsid w:val="006227BA"/>
    <w:rsid w:val="0062290E"/>
    <w:rsid w:val="00622951"/>
    <w:rsid w:val="00622975"/>
    <w:rsid w:val="00622985"/>
    <w:rsid w:val="00622BC7"/>
    <w:rsid w:val="00622C0F"/>
    <w:rsid w:val="00622F87"/>
    <w:rsid w:val="006230D7"/>
    <w:rsid w:val="006231DE"/>
    <w:rsid w:val="0062327B"/>
    <w:rsid w:val="00623282"/>
    <w:rsid w:val="006233F3"/>
    <w:rsid w:val="0062363F"/>
    <w:rsid w:val="0062364F"/>
    <w:rsid w:val="006236AF"/>
    <w:rsid w:val="00623829"/>
    <w:rsid w:val="0062382A"/>
    <w:rsid w:val="006238FC"/>
    <w:rsid w:val="00623907"/>
    <w:rsid w:val="00623C64"/>
    <w:rsid w:val="00623DB9"/>
    <w:rsid w:val="00623F3B"/>
    <w:rsid w:val="00624015"/>
    <w:rsid w:val="0062408A"/>
    <w:rsid w:val="006240C6"/>
    <w:rsid w:val="0062432D"/>
    <w:rsid w:val="0062456C"/>
    <w:rsid w:val="00624730"/>
    <w:rsid w:val="00624837"/>
    <w:rsid w:val="00624881"/>
    <w:rsid w:val="006249BF"/>
    <w:rsid w:val="00624A20"/>
    <w:rsid w:val="00624A9D"/>
    <w:rsid w:val="00624B0B"/>
    <w:rsid w:val="00624D10"/>
    <w:rsid w:val="00624D54"/>
    <w:rsid w:val="00624ECE"/>
    <w:rsid w:val="00624ED6"/>
    <w:rsid w:val="00624F33"/>
    <w:rsid w:val="0062500D"/>
    <w:rsid w:val="00625174"/>
    <w:rsid w:val="006251A5"/>
    <w:rsid w:val="00625298"/>
    <w:rsid w:val="006252CC"/>
    <w:rsid w:val="0062553E"/>
    <w:rsid w:val="00625592"/>
    <w:rsid w:val="00625669"/>
    <w:rsid w:val="0062568B"/>
    <w:rsid w:val="0062578E"/>
    <w:rsid w:val="00625976"/>
    <w:rsid w:val="0062597D"/>
    <w:rsid w:val="006259B7"/>
    <w:rsid w:val="00625A9E"/>
    <w:rsid w:val="00625C02"/>
    <w:rsid w:val="00625C11"/>
    <w:rsid w:val="00625F7F"/>
    <w:rsid w:val="0062613B"/>
    <w:rsid w:val="0062613F"/>
    <w:rsid w:val="0062615B"/>
    <w:rsid w:val="00626163"/>
    <w:rsid w:val="00626199"/>
    <w:rsid w:val="006261C4"/>
    <w:rsid w:val="00626430"/>
    <w:rsid w:val="006264C8"/>
    <w:rsid w:val="00626546"/>
    <w:rsid w:val="00626656"/>
    <w:rsid w:val="0062666B"/>
    <w:rsid w:val="00626693"/>
    <w:rsid w:val="006266AA"/>
    <w:rsid w:val="00626718"/>
    <w:rsid w:val="0062681C"/>
    <w:rsid w:val="0062685C"/>
    <w:rsid w:val="0062696D"/>
    <w:rsid w:val="00626B78"/>
    <w:rsid w:val="00626C1D"/>
    <w:rsid w:val="00626CCB"/>
    <w:rsid w:val="00626E4D"/>
    <w:rsid w:val="00626E6A"/>
    <w:rsid w:val="00626E94"/>
    <w:rsid w:val="00626EA3"/>
    <w:rsid w:val="00626EB3"/>
    <w:rsid w:val="00626EE1"/>
    <w:rsid w:val="00626F44"/>
    <w:rsid w:val="006271B4"/>
    <w:rsid w:val="00627468"/>
    <w:rsid w:val="006275A7"/>
    <w:rsid w:val="00627614"/>
    <w:rsid w:val="00627648"/>
    <w:rsid w:val="00627D3E"/>
    <w:rsid w:val="00627F5D"/>
    <w:rsid w:val="00627FFE"/>
    <w:rsid w:val="0062994A"/>
    <w:rsid w:val="00630065"/>
    <w:rsid w:val="006301A8"/>
    <w:rsid w:val="006301CC"/>
    <w:rsid w:val="006302D7"/>
    <w:rsid w:val="006304CB"/>
    <w:rsid w:val="00630590"/>
    <w:rsid w:val="006305AB"/>
    <w:rsid w:val="006305E9"/>
    <w:rsid w:val="00630611"/>
    <w:rsid w:val="00630754"/>
    <w:rsid w:val="00630960"/>
    <w:rsid w:val="006309D5"/>
    <w:rsid w:val="00630AE3"/>
    <w:rsid w:val="00630AFD"/>
    <w:rsid w:val="00630BF8"/>
    <w:rsid w:val="00630FF0"/>
    <w:rsid w:val="006310EE"/>
    <w:rsid w:val="00631201"/>
    <w:rsid w:val="00631438"/>
    <w:rsid w:val="00631544"/>
    <w:rsid w:val="006315B5"/>
    <w:rsid w:val="00631662"/>
    <w:rsid w:val="0063167D"/>
    <w:rsid w:val="0063181B"/>
    <w:rsid w:val="0063182B"/>
    <w:rsid w:val="00631951"/>
    <w:rsid w:val="006319C1"/>
    <w:rsid w:val="00631A21"/>
    <w:rsid w:val="00631A4E"/>
    <w:rsid w:val="00631A9A"/>
    <w:rsid w:val="00631ACF"/>
    <w:rsid w:val="00631B0F"/>
    <w:rsid w:val="00631C48"/>
    <w:rsid w:val="00631E9E"/>
    <w:rsid w:val="00631F86"/>
    <w:rsid w:val="00632005"/>
    <w:rsid w:val="006320B2"/>
    <w:rsid w:val="00632127"/>
    <w:rsid w:val="0063215C"/>
    <w:rsid w:val="0063216C"/>
    <w:rsid w:val="00632212"/>
    <w:rsid w:val="006323EA"/>
    <w:rsid w:val="00632D35"/>
    <w:rsid w:val="00632E95"/>
    <w:rsid w:val="00632F8A"/>
    <w:rsid w:val="0063301A"/>
    <w:rsid w:val="00633096"/>
    <w:rsid w:val="006330B5"/>
    <w:rsid w:val="00633106"/>
    <w:rsid w:val="00633170"/>
    <w:rsid w:val="00633380"/>
    <w:rsid w:val="00633560"/>
    <w:rsid w:val="00633634"/>
    <w:rsid w:val="006338B5"/>
    <w:rsid w:val="006338D5"/>
    <w:rsid w:val="00633943"/>
    <w:rsid w:val="006339D3"/>
    <w:rsid w:val="00633A22"/>
    <w:rsid w:val="00633CF8"/>
    <w:rsid w:val="00633E52"/>
    <w:rsid w:val="00633FC0"/>
    <w:rsid w:val="0063414E"/>
    <w:rsid w:val="00634357"/>
    <w:rsid w:val="00634400"/>
    <w:rsid w:val="00634429"/>
    <w:rsid w:val="0063448A"/>
    <w:rsid w:val="00634635"/>
    <w:rsid w:val="0063487D"/>
    <w:rsid w:val="00634914"/>
    <w:rsid w:val="00634929"/>
    <w:rsid w:val="006349DB"/>
    <w:rsid w:val="00634C02"/>
    <w:rsid w:val="00634D6A"/>
    <w:rsid w:val="00634DBD"/>
    <w:rsid w:val="00634DC1"/>
    <w:rsid w:val="00635000"/>
    <w:rsid w:val="0063514C"/>
    <w:rsid w:val="00635164"/>
    <w:rsid w:val="0063521E"/>
    <w:rsid w:val="0063542E"/>
    <w:rsid w:val="006358CA"/>
    <w:rsid w:val="00635917"/>
    <w:rsid w:val="00635AB1"/>
    <w:rsid w:val="00635B47"/>
    <w:rsid w:val="00635B95"/>
    <w:rsid w:val="00635C07"/>
    <w:rsid w:val="00635C77"/>
    <w:rsid w:val="00635D33"/>
    <w:rsid w:val="00635DB2"/>
    <w:rsid w:val="00635DE2"/>
    <w:rsid w:val="00635E2D"/>
    <w:rsid w:val="00635F0E"/>
    <w:rsid w:val="00636154"/>
    <w:rsid w:val="00636158"/>
    <w:rsid w:val="006361EB"/>
    <w:rsid w:val="006364E8"/>
    <w:rsid w:val="00636521"/>
    <w:rsid w:val="0063653D"/>
    <w:rsid w:val="00636561"/>
    <w:rsid w:val="006365BD"/>
    <w:rsid w:val="006365C3"/>
    <w:rsid w:val="00636654"/>
    <w:rsid w:val="006366DA"/>
    <w:rsid w:val="00636775"/>
    <w:rsid w:val="006367C9"/>
    <w:rsid w:val="00636892"/>
    <w:rsid w:val="00636A6C"/>
    <w:rsid w:val="00636B96"/>
    <w:rsid w:val="00636EC5"/>
    <w:rsid w:val="00636EC7"/>
    <w:rsid w:val="0063708A"/>
    <w:rsid w:val="00637161"/>
    <w:rsid w:val="00637280"/>
    <w:rsid w:val="00637405"/>
    <w:rsid w:val="006374A5"/>
    <w:rsid w:val="00637611"/>
    <w:rsid w:val="00637671"/>
    <w:rsid w:val="006376CB"/>
    <w:rsid w:val="006376D4"/>
    <w:rsid w:val="006378E6"/>
    <w:rsid w:val="00637961"/>
    <w:rsid w:val="0063797B"/>
    <w:rsid w:val="00637B87"/>
    <w:rsid w:val="00637C4C"/>
    <w:rsid w:val="00637CC9"/>
    <w:rsid w:val="00637DB5"/>
    <w:rsid w:val="006398AA"/>
    <w:rsid w:val="0063E569"/>
    <w:rsid w:val="00640087"/>
    <w:rsid w:val="00640162"/>
    <w:rsid w:val="006404B2"/>
    <w:rsid w:val="00640A55"/>
    <w:rsid w:val="00640B67"/>
    <w:rsid w:val="00640B92"/>
    <w:rsid w:val="00640C14"/>
    <w:rsid w:val="00640C4A"/>
    <w:rsid w:val="00640CA5"/>
    <w:rsid w:val="00640E11"/>
    <w:rsid w:val="00640F08"/>
    <w:rsid w:val="00640F4A"/>
    <w:rsid w:val="00640F8F"/>
    <w:rsid w:val="00640FE8"/>
    <w:rsid w:val="00641021"/>
    <w:rsid w:val="006411E4"/>
    <w:rsid w:val="0064121F"/>
    <w:rsid w:val="00641399"/>
    <w:rsid w:val="006413CA"/>
    <w:rsid w:val="006415CF"/>
    <w:rsid w:val="006415E8"/>
    <w:rsid w:val="00641628"/>
    <w:rsid w:val="0064166C"/>
    <w:rsid w:val="0064184E"/>
    <w:rsid w:val="0064196B"/>
    <w:rsid w:val="00641A8B"/>
    <w:rsid w:val="00641AEF"/>
    <w:rsid w:val="00641BE8"/>
    <w:rsid w:val="00641E1C"/>
    <w:rsid w:val="00641F60"/>
    <w:rsid w:val="00641FE5"/>
    <w:rsid w:val="00642133"/>
    <w:rsid w:val="006422C4"/>
    <w:rsid w:val="0064240E"/>
    <w:rsid w:val="00642471"/>
    <w:rsid w:val="00642598"/>
    <w:rsid w:val="00642701"/>
    <w:rsid w:val="006427ED"/>
    <w:rsid w:val="00642B1B"/>
    <w:rsid w:val="00642C3E"/>
    <w:rsid w:val="00642CA2"/>
    <w:rsid w:val="00642CC7"/>
    <w:rsid w:val="00642D7F"/>
    <w:rsid w:val="00642D83"/>
    <w:rsid w:val="00642F93"/>
    <w:rsid w:val="0064301C"/>
    <w:rsid w:val="006430E4"/>
    <w:rsid w:val="006431FB"/>
    <w:rsid w:val="006432DA"/>
    <w:rsid w:val="00643413"/>
    <w:rsid w:val="00643552"/>
    <w:rsid w:val="006435D8"/>
    <w:rsid w:val="00643635"/>
    <w:rsid w:val="0064369F"/>
    <w:rsid w:val="006437DB"/>
    <w:rsid w:val="006438F0"/>
    <w:rsid w:val="00643A06"/>
    <w:rsid w:val="00643AF4"/>
    <w:rsid w:val="00643BC5"/>
    <w:rsid w:val="00643BF7"/>
    <w:rsid w:val="00643BFA"/>
    <w:rsid w:val="00643C26"/>
    <w:rsid w:val="00643CDD"/>
    <w:rsid w:val="00643DEB"/>
    <w:rsid w:val="00643F9A"/>
    <w:rsid w:val="00643FD0"/>
    <w:rsid w:val="0064402E"/>
    <w:rsid w:val="006440EF"/>
    <w:rsid w:val="00644197"/>
    <w:rsid w:val="006443A1"/>
    <w:rsid w:val="00644461"/>
    <w:rsid w:val="00644473"/>
    <w:rsid w:val="00644554"/>
    <w:rsid w:val="00644560"/>
    <w:rsid w:val="00644642"/>
    <w:rsid w:val="00644649"/>
    <w:rsid w:val="006446BA"/>
    <w:rsid w:val="006447F4"/>
    <w:rsid w:val="006448CA"/>
    <w:rsid w:val="006449E2"/>
    <w:rsid w:val="00644A23"/>
    <w:rsid w:val="00644AF1"/>
    <w:rsid w:val="00644B2F"/>
    <w:rsid w:val="00644D8F"/>
    <w:rsid w:val="00644DA8"/>
    <w:rsid w:val="00644EC8"/>
    <w:rsid w:val="00644F03"/>
    <w:rsid w:val="00644FAF"/>
    <w:rsid w:val="0064506D"/>
    <w:rsid w:val="006452F0"/>
    <w:rsid w:val="006452FB"/>
    <w:rsid w:val="0064539B"/>
    <w:rsid w:val="00645452"/>
    <w:rsid w:val="006454D5"/>
    <w:rsid w:val="006455F4"/>
    <w:rsid w:val="00645615"/>
    <w:rsid w:val="006457ED"/>
    <w:rsid w:val="00645A36"/>
    <w:rsid w:val="00645BA5"/>
    <w:rsid w:val="00645C85"/>
    <w:rsid w:val="00645F7B"/>
    <w:rsid w:val="00646005"/>
    <w:rsid w:val="006460DA"/>
    <w:rsid w:val="00646196"/>
    <w:rsid w:val="006461B6"/>
    <w:rsid w:val="006461E7"/>
    <w:rsid w:val="00646223"/>
    <w:rsid w:val="00646234"/>
    <w:rsid w:val="0064638B"/>
    <w:rsid w:val="006464C6"/>
    <w:rsid w:val="006466B4"/>
    <w:rsid w:val="00646753"/>
    <w:rsid w:val="00646779"/>
    <w:rsid w:val="006469F2"/>
    <w:rsid w:val="00646AC9"/>
    <w:rsid w:val="00646B8D"/>
    <w:rsid w:val="00646E7A"/>
    <w:rsid w:val="00646EA2"/>
    <w:rsid w:val="00646EC9"/>
    <w:rsid w:val="00646ECB"/>
    <w:rsid w:val="00646EF6"/>
    <w:rsid w:val="00647065"/>
    <w:rsid w:val="006471C0"/>
    <w:rsid w:val="0064726E"/>
    <w:rsid w:val="0064734B"/>
    <w:rsid w:val="0064745F"/>
    <w:rsid w:val="006474D0"/>
    <w:rsid w:val="006474D3"/>
    <w:rsid w:val="0064750B"/>
    <w:rsid w:val="00647513"/>
    <w:rsid w:val="006475E8"/>
    <w:rsid w:val="00647612"/>
    <w:rsid w:val="00647655"/>
    <w:rsid w:val="00647827"/>
    <w:rsid w:val="006479D6"/>
    <w:rsid w:val="00647BD2"/>
    <w:rsid w:val="00647DD7"/>
    <w:rsid w:val="00647DE7"/>
    <w:rsid w:val="00647FFC"/>
    <w:rsid w:val="0064B3A4"/>
    <w:rsid w:val="0065025F"/>
    <w:rsid w:val="00650267"/>
    <w:rsid w:val="00650297"/>
    <w:rsid w:val="0065042C"/>
    <w:rsid w:val="00650451"/>
    <w:rsid w:val="0065051B"/>
    <w:rsid w:val="006505FF"/>
    <w:rsid w:val="006506F3"/>
    <w:rsid w:val="00650702"/>
    <w:rsid w:val="0065071A"/>
    <w:rsid w:val="0065074B"/>
    <w:rsid w:val="00650940"/>
    <w:rsid w:val="006509C1"/>
    <w:rsid w:val="00650A86"/>
    <w:rsid w:val="00650A98"/>
    <w:rsid w:val="00650BAD"/>
    <w:rsid w:val="00650C6B"/>
    <w:rsid w:val="00650D30"/>
    <w:rsid w:val="00650E31"/>
    <w:rsid w:val="00650FA9"/>
    <w:rsid w:val="006510C4"/>
    <w:rsid w:val="006510C5"/>
    <w:rsid w:val="00651149"/>
    <w:rsid w:val="00651176"/>
    <w:rsid w:val="0065139C"/>
    <w:rsid w:val="006514BC"/>
    <w:rsid w:val="006515EC"/>
    <w:rsid w:val="006516D5"/>
    <w:rsid w:val="00651718"/>
    <w:rsid w:val="00651849"/>
    <w:rsid w:val="00651868"/>
    <w:rsid w:val="006519C5"/>
    <w:rsid w:val="00651AE5"/>
    <w:rsid w:val="00651B25"/>
    <w:rsid w:val="00651D70"/>
    <w:rsid w:val="00651DBC"/>
    <w:rsid w:val="00651EBE"/>
    <w:rsid w:val="00651FEC"/>
    <w:rsid w:val="0065204A"/>
    <w:rsid w:val="00652119"/>
    <w:rsid w:val="00652223"/>
    <w:rsid w:val="0065243C"/>
    <w:rsid w:val="00652483"/>
    <w:rsid w:val="00652490"/>
    <w:rsid w:val="0065253A"/>
    <w:rsid w:val="00652677"/>
    <w:rsid w:val="006526AB"/>
    <w:rsid w:val="00652800"/>
    <w:rsid w:val="0065284D"/>
    <w:rsid w:val="006528DD"/>
    <w:rsid w:val="00652975"/>
    <w:rsid w:val="006529A3"/>
    <w:rsid w:val="00652C76"/>
    <w:rsid w:val="00652D91"/>
    <w:rsid w:val="00652E9C"/>
    <w:rsid w:val="00652ECA"/>
    <w:rsid w:val="00652ED5"/>
    <w:rsid w:val="00653063"/>
    <w:rsid w:val="006530C5"/>
    <w:rsid w:val="00653147"/>
    <w:rsid w:val="0065314E"/>
    <w:rsid w:val="006532D9"/>
    <w:rsid w:val="00653676"/>
    <w:rsid w:val="0065381D"/>
    <w:rsid w:val="006538AA"/>
    <w:rsid w:val="006538D7"/>
    <w:rsid w:val="00653B08"/>
    <w:rsid w:val="00653D6E"/>
    <w:rsid w:val="00653DD9"/>
    <w:rsid w:val="00653E22"/>
    <w:rsid w:val="00653F1B"/>
    <w:rsid w:val="006541D5"/>
    <w:rsid w:val="00654385"/>
    <w:rsid w:val="006543C1"/>
    <w:rsid w:val="00654430"/>
    <w:rsid w:val="006545AA"/>
    <w:rsid w:val="0065466C"/>
    <w:rsid w:val="006546B2"/>
    <w:rsid w:val="0065471D"/>
    <w:rsid w:val="0065474E"/>
    <w:rsid w:val="00654777"/>
    <w:rsid w:val="006547AD"/>
    <w:rsid w:val="00654883"/>
    <w:rsid w:val="00654927"/>
    <w:rsid w:val="006549F1"/>
    <w:rsid w:val="00654BB3"/>
    <w:rsid w:val="00654CE4"/>
    <w:rsid w:val="00654D0A"/>
    <w:rsid w:val="00654D7B"/>
    <w:rsid w:val="00654E8F"/>
    <w:rsid w:val="0065506E"/>
    <w:rsid w:val="006551CD"/>
    <w:rsid w:val="0065532E"/>
    <w:rsid w:val="0065534C"/>
    <w:rsid w:val="006554B6"/>
    <w:rsid w:val="00655567"/>
    <w:rsid w:val="006555B4"/>
    <w:rsid w:val="0065574A"/>
    <w:rsid w:val="00655837"/>
    <w:rsid w:val="00655908"/>
    <w:rsid w:val="00655A87"/>
    <w:rsid w:val="00655A8A"/>
    <w:rsid w:val="00655B11"/>
    <w:rsid w:val="00655F44"/>
    <w:rsid w:val="00655F89"/>
    <w:rsid w:val="0065611F"/>
    <w:rsid w:val="006561AB"/>
    <w:rsid w:val="0065626C"/>
    <w:rsid w:val="006563CD"/>
    <w:rsid w:val="0065649F"/>
    <w:rsid w:val="00656963"/>
    <w:rsid w:val="0065696B"/>
    <w:rsid w:val="00656B1E"/>
    <w:rsid w:val="00656C23"/>
    <w:rsid w:val="00656D6D"/>
    <w:rsid w:val="00656D9A"/>
    <w:rsid w:val="00656E2A"/>
    <w:rsid w:val="00656EF4"/>
    <w:rsid w:val="00656EFA"/>
    <w:rsid w:val="006573A3"/>
    <w:rsid w:val="006573D5"/>
    <w:rsid w:val="006574A9"/>
    <w:rsid w:val="00657608"/>
    <w:rsid w:val="0065763E"/>
    <w:rsid w:val="0065764B"/>
    <w:rsid w:val="006576F6"/>
    <w:rsid w:val="00657714"/>
    <w:rsid w:val="006577FA"/>
    <w:rsid w:val="00657858"/>
    <w:rsid w:val="006578E1"/>
    <w:rsid w:val="006579E8"/>
    <w:rsid w:val="00657B5E"/>
    <w:rsid w:val="00657C05"/>
    <w:rsid w:val="00657C7A"/>
    <w:rsid w:val="00657D0F"/>
    <w:rsid w:val="00657D7B"/>
    <w:rsid w:val="006600FF"/>
    <w:rsid w:val="0066030E"/>
    <w:rsid w:val="006603DA"/>
    <w:rsid w:val="00660422"/>
    <w:rsid w:val="00660488"/>
    <w:rsid w:val="00660509"/>
    <w:rsid w:val="00660551"/>
    <w:rsid w:val="00660558"/>
    <w:rsid w:val="00660569"/>
    <w:rsid w:val="0066057E"/>
    <w:rsid w:val="0066068B"/>
    <w:rsid w:val="006607DB"/>
    <w:rsid w:val="0066099F"/>
    <w:rsid w:val="00660A16"/>
    <w:rsid w:val="00660AFF"/>
    <w:rsid w:val="00660D09"/>
    <w:rsid w:val="00660E19"/>
    <w:rsid w:val="00660E52"/>
    <w:rsid w:val="00660FB5"/>
    <w:rsid w:val="006611E9"/>
    <w:rsid w:val="00661393"/>
    <w:rsid w:val="0066143A"/>
    <w:rsid w:val="0066147A"/>
    <w:rsid w:val="0066148D"/>
    <w:rsid w:val="00661546"/>
    <w:rsid w:val="00661596"/>
    <w:rsid w:val="006615F4"/>
    <w:rsid w:val="00661761"/>
    <w:rsid w:val="00661908"/>
    <w:rsid w:val="006619C6"/>
    <w:rsid w:val="00661AB4"/>
    <w:rsid w:val="00661AD9"/>
    <w:rsid w:val="0066201A"/>
    <w:rsid w:val="0066202E"/>
    <w:rsid w:val="006624AD"/>
    <w:rsid w:val="0066255F"/>
    <w:rsid w:val="006625A7"/>
    <w:rsid w:val="00662618"/>
    <w:rsid w:val="00662690"/>
    <w:rsid w:val="00662A28"/>
    <w:rsid w:val="00662B3A"/>
    <w:rsid w:val="00662B97"/>
    <w:rsid w:val="00662C6D"/>
    <w:rsid w:val="00662CAD"/>
    <w:rsid w:val="00662D0E"/>
    <w:rsid w:val="00662D81"/>
    <w:rsid w:val="00662E92"/>
    <w:rsid w:val="00662F70"/>
    <w:rsid w:val="00662FDD"/>
    <w:rsid w:val="00663121"/>
    <w:rsid w:val="0066314C"/>
    <w:rsid w:val="006631CD"/>
    <w:rsid w:val="00663224"/>
    <w:rsid w:val="006632D8"/>
    <w:rsid w:val="00663309"/>
    <w:rsid w:val="00663356"/>
    <w:rsid w:val="006633B6"/>
    <w:rsid w:val="006635AB"/>
    <w:rsid w:val="006635C8"/>
    <w:rsid w:val="00663639"/>
    <w:rsid w:val="006637AB"/>
    <w:rsid w:val="006637B2"/>
    <w:rsid w:val="006639B6"/>
    <w:rsid w:val="00663AB1"/>
    <w:rsid w:val="0066401F"/>
    <w:rsid w:val="0066407B"/>
    <w:rsid w:val="00664172"/>
    <w:rsid w:val="00664255"/>
    <w:rsid w:val="0066431C"/>
    <w:rsid w:val="00664368"/>
    <w:rsid w:val="00664371"/>
    <w:rsid w:val="0066442B"/>
    <w:rsid w:val="006644A3"/>
    <w:rsid w:val="006644F1"/>
    <w:rsid w:val="00664606"/>
    <w:rsid w:val="0066493F"/>
    <w:rsid w:val="006649E8"/>
    <w:rsid w:val="00664A9A"/>
    <w:rsid w:val="00664BCD"/>
    <w:rsid w:val="00664C37"/>
    <w:rsid w:val="00664C99"/>
    <w:rsid w:val="00664D06"/>
    <w:rsid w:val="00664D50"/>
    <w:rsid w:val="00664E14"/>
    <w:rsid w:val="00664E3E"/>
    <w:rsid w:val="00664E75"/>
    <w:rsid w:val="00664FD1"/>
    <w:rsid w:val="00664FEA"/>
    <w:rsid w:val="00664FF7"/>
    <w:rsid w:val="006651EA"/>
    <w:rsid w:val="00665410"/>
    <w:rsid w:val="006655E3"/>
    <w:rsid w:val="006656E9"/>
    <w:rsid w:val="006657F9"/>
    <w:rsid w:val="00665948"/>
    <w:rsid w:val="0066595C"/>
    <w:rsid w:val="00665A3B"/>
    <w:rsid w:val="00665AB7"/>
    <w:rsid w:val="00665B31"/>
    <w:rsid w:val="00665B9B"/>
    <w:rsid w:val="00665C21"/>
    <w:rsid w:val="00665D0B"/>
    <w:rsid w:val="00665EA1"/>
    <w:rsid w:val="00665EC9"/>
    <w:rsid w:val="00665F1B"/>
    <w:rsid w:val="0066627E"/>
    <w:rsid w:val="006662AF"/>
    <w:rsid w:val="006662F6"/>
    <w:rsid w:val="0066649E"/>
    <w:rsid w:val="006664A0"/>
    <w:rsid w:val="00666611"/>
    <w:rsid w:val="00666697"/>
    <w:rsid w:val="006667D0"/>
    <w:rsid w:val="006669DA"/>
    <w:rsid w:val="00666A01"/>
    <w:rsid w:val="00666A43"/>
    <w:rsid w:val="00666B12"/>
    <w:rsid w:val="00666B87"/>
    <w:rsid w:val="00666BD1"/>
    <w:rsid w:val="00666C21"/>
    <w:rsid w:val="00666C34"/>
    <w:rsid w:val="00666C8C"/>
    <w:rsid w:val="00666CFC"/>
    <w:rsid w:val="00666E07"/>
    <w:rsid w:val="00666E19"/>
    <w:rsid w:val="00666ECD"/>
    <w:rsid w:val="00666F09"/>
    <w:rsid w:val="00666F39"/>
    <w:rsid w:val="00667111"/>
    <w:rsid w:val="0066723C"/>
    <w:rsid w:val="006672D2"/>
    <w:rsid w:val="006672EC"/>
    <w:rsid w:val="006673B2"/>
    <w:rsid w:val="00667499"/>
    <w:rsid w:val="00667720"/>
    <w:rsid w:val="00667733"/>
    <w:rsid w:val="006677DF"/>
    <w:rsid w:val="0066797A"/>
    <w:rsid w:val="00667994"/>
    <w:rsid w:val="00667A58"/>
    <w:rsid w:val="00667B29"/>
    <w:rsid w:val="00667B5D"/>
    <w:rsid w:val="00667CB2"/>
    <w:rsid w:val="00667CF5"/>
    <w:rsid w:val="00667E1E"/>
    <w:rsid w:val="00667F36"/>
    <w:rsid w:val="00667FBD"/>
    <w:rsid w:val="00668A25"/>
    <w:rsid w:val="0067006E"/>
    <w:rsid w:val="00670126"/>
    <w:rsid w:val="006702E4"/>
    <w:rsid w:val="0067067D"/>
    <w:rsid w:val="006706BA"/>
    <w:rsid w:val="0067072C"/>
    <w:rsid w:val="00670775"/>
    <w:rsid w:val="006707B6"/>
    <w:rsid w:val="006707C2"/>
    <w:rsid w:val="0067080E"/>
    <w:rsid w:val="00670A21"/>
    <w:rsid w:val="00670A71"/>
    <w:rsid w:val="00670A9A"/>
    <w:rsid w:val="00670A9B"/>
    <w:rsid w:val="00670AA3"/>
    <w:rsid w:val="00670B74"/>
    <w:rsid w:val="00670BAC"/>
    <w:rsid w:val="00670C37"/>
    <w:rsid w:val="00670D2D"/>
    <w:rsid w:val="00670D4E"/>
    <w:rsid w:val="00670EAF"/>
    <w:rsid w:val="00670FAF"/>
    <w:rsid w:val="00671341"/>
    <w:rsid w:val="006714FA"/>
    <w:rsid w:val="0067193F"/>
    <w:rsid w:val="006719FA"/>
    <w:rsid w:val="00671B72"/>
    <w:rsid w:val="00671D58"/>
    <w:rsid w:val="00671DFB"/>
    <w:rsid w:val="00671EDF"/>
    <w:rsid w:val="00671F08"/>
    <w:rsid w:val="00671FA0"/>
    <w:rsid w:val="00671FCF"/>
    <w:rsid w:val="00671FD8"/>
    <w:rsid w:val="00671FF4"/>
    <w:rsid w:val="00671FF6"/>
    <w:rsid w:val="00672047"/>
    <w:rsid w:val="00672083"/>
    <w:rsid w:val="0067245D"/>
    <w:rsid w:val="00672537"/>
    <w:rsid w:val="00672652"/>
    <w:rsid w:val="00672703"/>
    <w:rsid w:val="006729CE"/>
    <w:rsid w:val="00672B09"/>
    <w:rsid w:val="00672C18"/>
    <w:rsid w:val="00672C97"/>
    <w:rsid w:val="00672C9A"/>
    <w:rsid w:val="00672CA5"/>
    <w:rsid w:val="0067308E"/>
    <w:rsid w:val="00673157"/>
    <w:rsid w:val="006732F0"/>
    <w:rsid w:val="0067330B"/>
    <w:rsid w:val="0067338C"/>
    <w:rsid w:val="00673443"/>
    <w:rsid w:val="0067348D"/>
    <w:rsid w:val="00673595"/>
    <w:rsid w:val="00673644"/>
    <w:rsid w:val="006736A1"/>
    <w:rsid w:val="00673805"/>
    <w:rsid w:val="00673ACB"/>
    <w:rsid w:val="00673B30"/>
    <w:rsid w:val="00673B42"/>
    <w:rsid w:val="00673C06"/>
    <w:rsid w:val="00673C30"/>
    <w:rsid w:val="00673C63"/>
    <w:rsid w:val="00673CA1"/>
    <w:rsid w:val="00673D6A"/>
    <w:rsid w:val="00673E2D"/>
    <w:rsid w:val="00674147"/>
    <w:rsid w:val="006741FE"/>
    <w:rsid w:val="00674310"/>
    <w:rsid w:val="00674366"/>
    <w:rsid w:val="0067441E"/>
    <w:rsid w:val="00674A1E"/>
    <w:rsid w:val="00674A6E"/>
    <w:rsid w:val="00674C15"/>
    <w:rsid w:val="00674CA4"/>
    <w:rsid w:val="00674ED3"/>
    <w:rsid w:val="006754E4"/>
    <w:rsid w:val="0067554C"/>
    <w:rsid w:val="0067557F"/>
    <w:rsid w:val="00675601"/>
    <w:rsid w:val="00675697"/>
    <w:rsid w:val="00675733"/>
    <w:rsid w:val="0067575C"/>
    <w:rsid w:val="006759F4"/>
    <w:rsid w:val="00675B1D"/>
    <w:rsid w:val="00675BFA"/>
    <w:rsid w:val="00675D97"/>
    <w:rsid w:val="00675F1D"/>
    <w:rsid w:val="00675F36"/>
    <w:rsid w:val="00675F48"/>
    <w:rsid w:val="00676130"/>
    <w:rsid w:val="00676157"/>
    <w:rsid w:val="006761E4"/>
    <w:rsid w:val="00676504"/>
    <w:rsid w:val="00676508"/>
    <w:rsid w:val="00676529"/>
    <w:rsid w:val="00676956"/>
    <w:rsid w:val="00676961"/>
    <w:rsid w:val="00676A31"/>
    <w:rsid w:val="00676A82"/>
    <w:rsid w:val="00676A86"/>
    <w:rsid w:val="00676AB0"/>
    <w:rsid w:val="00676B78"/>
    <w:rsid w:val="00676BDE"/>
    <w:rsid w:val="00676BE0"/>
    <w:rsid w:val="00676CAB"/>
    <w:rsid w:val="00676D34"/>
    <w:rsid w:val="00676D7E"/>
    <w:rsid w:val="00676EB3"/>
    <w:rsid w:val="00676F6E"/>
    <w:rsid w:val="00677464"/>
    <w:rsid w:val="006774B2"/>
    <w:rsid w:val="00677827"/>
    <w:rsid w:val="00677859"/>
    <w:rsid w:val="0067799D"/>
    <w:rsid w:val="00677A12"/>
    <w:rsid w:val="00677A80"/>
    <w:rsid w:val="00677BBD"/>
    <w:rsid w:val="00677C49"/>
    <w:rsid w:val="00677C60"/>
    <w:rsid w:val="00677C90"/>
    <w:rsid w:val="00677D64"/>
    <w:rsid w:val="00677D7C"/>
    <w:rsid w:val="00677F49"/>
    <w:rsid w:val="00677FC8"/>
    <w:rsid w:val="0067BAA5"/>
    <w:rsid w:val="00680551"/>
    <w:rsid w:val="00680746"/>
    <w:rsid w:val="0068088E"/>
    <w:rsid w:val="006808B0"/>
    <w:rsid w:val="00680A6E"/>
    <w:rsid w:val="00680A8C"/>
    <w:rsid w:val="00680AB7"/>
    <w:rsid w:val="00680B11"/>
    <w:rsid w:val="00680B6C"/>
    <w:rsid w:val="00680B78"/>
    <w:rsid w:val="00680C0B"/>
    <w:rsid w:val="00680CB2"/>
    <w:rsid w:val="00680D62"/>
    <w:rsid w:val="00680F2B"/>
    <w:rsid w:val="006810A9"/>
    <w:rsid w:val="006813C4"/>
    <w:rsid w:val="00681643"/>
    <w:rsid w:val="006818FB"/>
    <w:rsid w:val="00681A61"/>
    <w:rsid w:val="00681E3D"/>
    <w:rsid w:val="00681F6C"/>
    <w:rsid w:val="00681FAF"/>
    <w:rsid w:val="0068202E"/>
    <w:rsid w:val="0068246E"/>
    <w:rsid w:val="0068253E"/>
    <w:rsid w:val="0068256D"/>
    <w:rsid w:val="006825A6"/>
    <w:rsid w:val="006826D7"/>
    <w:rsid w:val="00682903"/>
    <w:rsid w:val="00682B97"/>
    <w:rsid w:val="00682BA3"/>
    <w:rsid w:val="00682C0F"/>
    <w:rsid w:val="00682C85"/>
    <w:rsid w:val="006830A1"/>
    <w:rsid w:val="006831E5"/>
    <w:rsid w:val="006831F6"/>
    <w:rsid w:val="00683203"/>
    <w:rsid w:val="00683397"/>
    <w:rsid w:val="006833B7"/>
    <w:rsid w:val="006833F8"/>
    <w:rsid w:val="00683464"/>
    <w:rsid w:val="006834DB"/>
    <w:rsid w:val="00683596"/>
    <w:rsid w:val="0068393E"/>
    <w:rsid w:val="0068396A"/>
    <w:rsid w:val="00683A82"/>
    <w:rsid w:val="00683AB1"/>
    <w:rsid w:val="00683ABD"/>
    <w:rsid w:val="00683AEF"/>
    <w:rsid w:val="00683C87"/>
    <w:rsid w:val="00683D78"/>
    <w:rsid w:val="00683E39"/>
    <w:rsid w:val="00683F97"/>
    <w:rsid w:val="006840DF"/>
    <w:rsid w:val="006842D1"/>
    <w:rsid w:val="00684309"/>
    <w:rsid w:val="00684401"/>
    <w:rsid w:val="0068452A"/>
    <w:rsid w:val="006845C7"/>
    <w:rsid w:val="0068463B"/>
    <w:rsid w:val="006846BE"/>
    <w:rsid w:val="00684750"/>
    <w:rsid w:val="0068475E"/>
    <w:rsid w:val="00684869"/>
    <w:rsid w:val="00684950"/>
    <w:rsid w:val="00684A65"/>
    <w:rsid w:val="00684A98"/>
    <w:rsid w:val="00684AF1"/>
    <w:rsid w:val="00684BBB"/>
    <w:rsid w:val="00684BDA"/>
    <w:rsid w:val="00684D85"/>
    <w:rsid w:val="00684E25"/>
    <w:rsid w:val="00684E84"/>
    <w:rsid w:val="00684F77"/>
    <w:rsid w:val="00684FFE"/>
    <w:rsid w:val="006852BC"/>
    <w:rsid w:val="006854B2"/>
    <w:rsid w:val="006855C0"/>
    <w:rsid w:val="006856A6"/>
    <w:rsid w:val="006856E4"/>
    <w:rsid w:val="00685753"/>
    <w:rsid w:val="006859D2"/>
    <w:rsid w:val="006859E2"/>
    <w:rsid w:val="00685A0B"/>
    <w:rsid w:val="00685B8C"/>
    <w:rsid w:val="00685C4D"/>
    <w:rsid w:val="00685CA5"/>
    <w:rsid w:val="00685D15"/>
    <w:rsid w:val="00685D96"/>
    <w:rsid w:val="00685DA3"/>
    <w:rsid w:val="00686058"/>
    <w:rsid w:val="006861F4"/>
    <w:rsid w:val="0068625D"/>
    <w:rsid w:val="00686322"/>
    <w:rsid w:val="00686492"/>
    <w:rsid w:val="0068655B"/>
    <w:rsid w:val="006866B1"/>
    <w:rsid w:val="006866EA"/>
    <w:rsid w:val="00686794"/>
    <w:rsid w:val="0068681E"/>
    <w:rsid w:val="00686B5D"/>
    <w:rsid w:val="00686B96"/>
    <w:rsid w:val="00686FB2"/>
    <w:rsid w:val="00687288"/>
    <w:rsid w:val="00687305"/>
    <w:rsid w:val="006874DE"/>
    <w:rsid w:val="00687622"/>
    <w:rsid w:val="00687628"/>
    <w:rsid w:val="006876AB"/>
    <w:rsid w:val="00687785"/>
    <w:rsid w:val="006877AE"/>
    <w:rsid w:val="00687857"/>
    <w:rsid w:val="00687BE0"/>
    <w:rsid w:val="00687D01"/>
    <w:rsid w:val="00687D3B"/>
    <w:rsid w:val="00687E4A"/>
    <w:rsid w:val="00687F1A"/>
    <w:rsid w:val="00687FC9"/>
    <w:rsid w:val="0068E73C"/>
    <w:rsid w:val="00690404"/>
    <w:rsid w:val="00690659"/>
    <w:rsid w:val="00690672"/>
    <w:rsid w:val="006907E5"/>
    <w:rsid w:val="00690834"/>
    <w:rsid w:val="00690897"/>
    <w:rsid w:val="006908BA"/>
    <w:rsid w:val="00690AA5"/>
    <w:rsid w:val="00690E56"/>
    <w:rsid w:val="00690F2F"/>
    <w:rsid w:val="00690F8C"/>
    <w:rsid w:val="00691227"/>
    <w:rsid w:val="00691279"/>
    <w:rsid w:val="006912D2"/>
    <w:rsid w:val="00691338"/>
    <w:rsid w:val="0069144A"/>
    <w:rsid w:val="006914EB"/>
    <w:rsid w:val="00691716"/>
    <w:rsid w:val="0069179B"/>
    <w:rsid w:val="00691A13"/>
    <w:rsid w:val="00691A9F"/>
    <w:rsid w:val="00691B23"/>
    <w:rsid w:val="00691CE7"/>
    <w:rsid w:val="00691D42"/>
    <w:rsid w:val="00691EAD"/>
    <w:rsid w:val="00691FD1"/>
    <w:rsid w:val="006920DD"/>
    <w:rsid w:val="006920EB"/>
    <w:rsid w:val="00692120"/>
    <w:rsid w:val="0069215A"/>
    <w:rsid w:val="0069217F"/>
    <w:rsid w:val="00692205"/>
    <w:rsid w:val="00692265"/>
    <w:rsid w:val="0069254E"/>
    <w:rsid w:val="00692703"/>
    <w:rsid w:val="00692865"/>
    <w:rsid w:val="006928BF"/>
    <w:rsid w:val="00692BC9"/>
    <w:rsid w:val="00692BCF"/>
    <w:rsid w:val="00692E14"/>
    <w:rsid w:val="00692E51"/>
    <w:rsid w:val="00692F33"/>
    <w:rsid w:val="006930DE"/>
    <w:rsid w:val="006931D3"/>
    <w:rsid w:val="006932ED"/>
    <w:rsid w:val="006934DB"/>
    <w:rsid w:val="00693687"/>
    <w:rsid w:val="00693695"/>
    <w:rsid w:val="00693A19"/>
    <w:rsid w:val="00693A58"/>
    <w:rsid w:val="00693CB3"/>
    <w:rsid w:val="00693E56"/>
    <w:rsid w:val="00693EFB"/>
    <w:rsid w:val="006940D1"/>
    <w:rsid w:val="006940F5"/>
    <w:rsid w:val="00694141"/>
    <w:rsid w:val="006941E9"/>
    <w:rsid w:val="006941F4"/>
    <w:rsid w:val="00694302"/>
    <w:rsid w:val="006944B9"/>
    <w:rsid w:val="006944BA"/>
    <w:rsid w:val="006945CB"/>
    <w:rsid w:val="0069465F"/>
    <w:rsid w:val="0069469B"/>
    <w:rsid w:val="006946F6"/>
    <w:rsid w:val="00694834"/>
    <w:rsid w:val="00694888"/>
    <w:rsid w:val="00694B96"/>
    <w:rsid w:val="00694BE9"/>
    <w:rsid w:val="00694C86"/>
    <w:rsid w:val="00694CD9"/>
    <w:rsid w:val="00694FF2"/>
    <w:rsid w:val="00695207"/>
    <w:rsid w:val="00695403"/>
    <w:rsid w:val="00695449"/>
    <w:rsid w:val="006955E4"/>
    <w:rsid w:val="0069564C"/>
    <w:rsid w:val="0069573E"/>
    <w:rsid w:val="00695843"/>
    <w:rsid w:val="0069590C"/>
    <w:rsid w:val="00695980"/>
    <w:rsid w:val="00695A54"/>
    <w:rsid w:val="00695A58"/>
    <w:rsid w:val="00695C4D"/>
    <w:rsid w:val="00695CD7"/>
    <w:rsid w:val="00695DA1"/>
    <w:rsid w:val="00695F82"/>
    <w:rsid w:val="0069602A"/>
    <w:rsid w:val="006960FF"/>
    <w:rsid w:val="00696112"/>
    <w:rsid w:val="006961E1"/>
    <w:rsid w:val="0069621B"/>
    <w:rsid w:val="0069621D"/>
    <w:rsid w:val="006962B0"/>
    <w:rsid w:val="006962D9"/>
    <w:rsid w:val="006963A2"/>
    <w:rsid w:val="006965D7"/>
    <w:rsid w:val="006966FC"/>
    <w:rsid w:val="00696967"/>
    <w:rsid w:val="00696C28"/>
    <w:rsid w:val="00696C33"/>
    <w:rsid w:val="00696C4F"/>
    <w:rsid w:val="00696EB6"/>
    <w:rsid w:val="00696FC1"/>
    <w:rsid w:val="006970EA"/>
    <w:rsid w:val="00697135"/>
    <w:rsid w:val="0069719C"/>
    <w:rsid w:val="00697488"/>
    <w:rsid w:val="006974E6"/>
    <w:rsid w:val="0069760A"/>
    <w:rsid w:val="00697924"/>
    <w:rsid w:val="00697AA7"/>
    <w:rsid w:val="00697B1E"/>
    <w:rsid w:val="00697CB0"/>
    <w:rsid w:val="00697DF4"/>
    <w:rsid w:val="00697EEA"/>
    <w:rsid w:val="0069AABF"/>
    <w:rsid w:val="006A000D"/>
    <w:rsid w:val="006A003B"/>
    <w:rsid w:val="006A00C3"/>
    <w:rsid w:val="006A0319"/>
    <w:rsid w:val="006A03AC"/>
    <w:rsid w:val="006A049D"/>
    <w:rsid w:val="006A04A4"/>
    <w:rsid w:val="006A04DF"/>
    <w:rsid w:val="006A0584"/>
    <w:rsid w:val="006A066F"/>
    <w:rsid w:val="006A0754"/>
    <w:rsid w:val="006A0808"/>
    <w:rsid w:val="006A0B10"/>
    <w:rsid w:val="006A0B85"/>
    <w:rsid w:val="006A0BA4"/>
    <w:rsid w:val="006A0E31"/>
    <w:rsid w:val="006A12B9"/>
    <w:rsid w:val="006A147E"/>
    <w:rsid w:val="006A161D"/>
    <w:rsid w:val="006A1676"/>
    <w:rsid w:val="006A172A"/>
    <w:rsid w:val="006A1772"/>
    <w:rsid w:val="006A1AAD"/>
    <w:rsid w:val="006A1B1E"/>
    <w:rsid w:val="006A1B29"/>
    <w:rsid w:val="006A1B4B"/>
    <w:rsid w:val="006A1C19"/>
    <w:rsid w:val="006A1D40"/>
    <w:rsid w:val="006A1EE2"/>
    <w:rsid w:val="006A1EE8"/>
    <w:rsid w:val="006A1FFE"/>
    <w:rsid w:val="006A2147"/>
    <w:rsid w:val="006A22A8"/>
    <w:rsid w:val="006A23A6"/>
    <w:rsid w:val="006A24F5"/>
    <w:rsid w:val="006A250C"/>
    <w:rsid w:val="006A2518"/>
    <w:rsid w:val="006A2655"/>
    <w:rsid w:val="006A26FA"/>
    <w:rsid w:val="006A28B1"/>
    <w:rsid w:val="006A2B02"/>
    <w:rsid w:val="006A2BF4"/>
    <w:rsid w:val="006A2C2B"/>
    <w:rsid w:val="006A2C87"/>
    <w:rsid w:val="006A2C8D"/>
    <w:rsid w:val="006A2CD6"/>
    <w:rsid w:val="006A2D88"/>
    <w:rsid w:val="006A3181"/>
    <w:rsid w:val="006A3292"/>
    <w:rsid w:val="006A335C"/>
    <w:rsid w:val="006A33DF"/>
    <w:rsid w:val="006A34C0"/>
    <w:rsid w:val="006A35BB"/>
    <w:rsid w:val="006A368C"/>
    <w:rsid w:val="006A37EB"/>
    <w:rsid w:val="006A3966"/>
    <w:rsid w:val="006A39BF"/>
    <w:rsid w:val="006A3A2D"/>
    <w:rsid w:val="006A3A5B"/>
    <w:rsid w:val="006A3B4B"/>
    <w:rsid w:val="006A3D20"/>
    <w:rsid w:val="006A3E58"/>
    <w:rsid w:val="006A3E63"/>
    <w:rsid w:val="006A419B"/>
    <w:rsid w:val="006A441E"/>
    <w:rsid w:val="006A44FC"/>
    <w:rsid w:val="006A461F"/>
    <w:rsid w:val="006A4774"/>
    <w:rsid w:val="006A478F"/>
    <w:rsid w:val="006A47B8"/>
    <w:rsid w:val="006A488B"/>
    <w:rsid w:val="006A4892"/>
    <w:rsid w:val="006A4936"/>
    <w:rsid w:val="006A4942"/>
    <w:rsid w:val="006A495F"/>
    <w:rsid w:val="006A4A53"/>
    <w:rsid w:val="006A4A9F"/>
    <w:rsid w:val="006A4C62"/>
    <w:rsid w:val="006A4DFE"/>
    <w:rsid w:val="006A4EB7"/>
    <w:rsid w:val="006A5145"/>
    <w:rsid w:val="006A528F"/>
    <w:rsid w:val="006A52D9"/>
    <w:rsid w:val="006A5569"/>
    <w:rsid w:val="006A558E"/>
    <w:rsid w:val="006A55C0"/>
    <w:rsid w:val="006A55E0"/>
    <w:rsid w:val="006A5709"/>
    <w:rsid w:val="006A57DD"/>
    <w:rsid w:val="006A5A58"/>
    <w:rsid w:val="006A5ACF"/>
    <w:rsid w:val="006A5BA9"/>
    <w:rsid w:val="006A5C89"/>
    <w:rsid w:val="006A5C8A"/>
    <w:rsid w:val="006A5CAA"/>
    <w:rsid w:val="006A5EFB"/>
    <w:rsid w:val="006A5FA5"/>
    <w:rsid w:val="006A606E"/>
    <w:rsid w:val="006A60EE"/>
    <w:rsid w:val="006A62F6"/>
    <w:rsid w:val="006A641C"/>
    <w:rsid w:val="006A64FC"/>
    <w:rsid w:val="006A6541"/>
    <w:rsid w:val="006A6605"/>
    <w:rsid w:val="006A6D1E"/>
    <w:rsid w:val="006A6E60"/>
    <w:rsid w:val="006A70F0"/>
    <w:rsid w:val="006A7123"/>
    <w:rsid w:val="006A7314"/>
    <w:rsid w:val="006A73F5"/>
    <w:rsid w:val="006A74D8"/>
    <w:rsid w:val="006A7A03"/>
    <w:rsid w:val="006A7A74"/>
    <w:rsid w:val="006A7B35"/>
    <w:rsid w:val="006A7CF6"/>
    <w:rsid w:val="006A7DA1"/>
    <w:rsid w:val="006A7E0E"/>
    <w:rsid w:val="006A7E26"/>
    <w:rsid w:val="006A7EDF"/>
    <w:rsid w:val="006A7F1E"/>
    <w:rsid w:val="006B0115"/>
    <w:rsid w:val="006B0135"/>
    <w:rsid w:val="006B020F"/>
    <w:rsid w:val="006B04BA"/>
    <w:rsid w:val="006B0509"/>
    <w:rsid w:val="006B087E"/>
    <w:rsid w:val="006B08D1"/>
    <w:rsid w:val="006B0A8F"/>
    <w:rsid w:val="006B0AA2"/>
    <w:rsid w:val="006B0AA5"/>
    <w:rsid w:val="006B0ACF"/>
    <w:rsid w:val="006B0B6A"/>
    <w:rsid w:val="006B0C99"/>
    <w:rsid w:val="006B0D9D"/>
    <w:rsid w:val="006B0DC8"/>
    <w:rsid w:val="006B0F42"/>
    <w:rsid w:val="006B10B4"/>
    <w:rsid w:val="006B12A1"/>
    <w:rsid w:val="006B13B1"/>
    <w:rsid w:val="006B146C"/>
    <w:rsid w:val="006B149D"/>
    <w:rsid w:val="006B14DC"/>
    <w:rsid w:val="006B1582"/>
    <w:rsid w:val="006B1800"/>
    <w:rsid w:val="006B18D6"/>
    <w:rsid w:val="006B1946"/>
    <w:rsid w:val="006B197A"/>
    <w:rsid w:val="006B1B4D"/>
    <w:rsid w:val="006B1D86"/>
    <w:rsid w:val="006B1E57"/>
    <w:rsid w:val="006B1F21"/>
    <w:rsid w:val="006B2010"/>
    <w:rsid w:val="006B2097"/>
    <w:rsid w:val="006B21AA"/>
    <w:rsid w:val="006B2248"/>
    <w:rsid w:val="006B2259"/>
    <w:rsid w:val="006B22C1"/>
    <w:rsid w:val="006B22F8"/>
    <w:rsid w:val="006B251F"/>
    <w:rsid w:val="006B26B1"/>
    <w:rsid w:val="006B26C3"/>
    <w:rsid w:val="006B276E"/>
    <w:rsid w:val="006B27AF"/>
    <w:rsid w:val="006B29C6"/>
    <w:rsid w:val="006B2A1E"/>
    <w:rsid w:val="006B2A73"/>
    <w:rsid w:val="006B2B88"/>
    <w:rsid w:val="006B2BEA"/>
    <w:rsid w:val="006B2CF0"/>
    <w:rsid w:val="006B2E50"/>
    <w:rsid w:val="006B2EBF"/>
    <w:rsid w:val="006B3023"/>
    <w:rsid w:val="006B30E8"/>
    <w:rsid w:val="006B32E1"/>
    <w:rsid w:val="006B3461"/>
    <w:rsid w:val="006B3466"/>
    <w:rsid w:val="006B34D0"/>
    <w:rsid w:val="006B3519"/>
    <w:rsid w:val="006B3530"/>
    <w:rsid w:val="006B359F"/>
    <w:rsid w:val="006B365D"/>
    <w:rsid w:val="006B3823"/>
    <w:rsid w:val="006B38C7"/>
    <w:rsid w:val="006B395F"/>
    <w:rsid w:val="006B3A36"/>
    <w:rsid w:val="006B3ADD"/>
    <w:rsid w:val="006B3D7A"/>
    <w:rsid w:val="006B3DDF"/>
    <w:rsid w:val="006B3FDA"/>
    <w:rsid w:val="006B4030"/>
    <w:rsid w:val="006B4122"/>
    <w:rsid w:val="006B4197"/>
    <w:rsid w:val="006B4245"/>
    <w:rsid w:val="006B42B3"/>
    <w:rsid w:val="006B43B0"/>
    <w:rsid w:val="006B446A"/>
    <w:rsid w:val="006B4482"/>
    <w:rsid w:val="006B44F2"/>
    <w:rsid w:val="006B44FB"/>
    <w:rsid w:val="006B4553"/>
    <w:rsid w:val="006B45FF"/>
    <w:rsid w:val="006B477B"/>
    <w:rsid w:val="006B47D0"/>
    <w:rsid w:val="006B4853"/>
    <w:rsid w:val="006B4878"/>
    <w:rsid w:val="006B4A18"/>
    <w:rsid w:val="006B4A9C"/>
    <w:rsid w:val="006B4EB5"/>
    <w:rsid w:val="006B4EDA"/>
    <w:rsid w:val="006B4F6F"/>
    <w:rsid w:val="006B50BC"/>
    <w:rsid w:val="006B5260"/>
    <w:rsid w:val="006B5279"/>
    <w:rsid w:val="006B53F8"/>
    <w:rsid w:val="006B5478"/>
    <w:rsid w:val="006B560E"/>
    <w:rsid w:val="006B5716"/>
    <w:rsid w:val="006B5727"/>
    <w:rsid w:val="006B5824"/>
    <w:rsid w:val="006B5943"/>
    <w:rsid w:val="006B5BB9"/>
    <w:rsid w:val="006B5BDA"/>
    <w:rsid w:val="006B5BE7"/>
    <w:rsid w:val="006B5DDB"/>
    <w:rsid w:val="006B5E41"/>
    <w:rsid w:val="006B5F57"/>
    <w:rsid w:val="006B5F67"/>
    <w:rsid w:val="006B5FB0"/>
    <w:rsid w:val="006B5FE3"/>
    <w:rsid w:val="006B603D"/>
    <w:rsid w:val="006B621E"/>
    <w:rsid w:val="006B6249"/>
    <w:rsid w:val="006B63ED"/>
    <w:rsid w:val="006B658B"/>
    <w:rsid w:val="006B6627"/>
    <w:rsid w:val="006B6728"/>
    <w:rsid w:val="006B68AB"/>
    <w:rsid w:val="006B698C"/>
    <w:rsid w:val="006B6A5A"/>
    <w:rsid w:val="006B6CB2"/>
    <w:rsid w:val="006B6D7D"/>
    <w:rsid w:val="006B6EAE"/>
    <w:rsid w:val="006B6EBF"/>
    <w:rsid w:val="006B6F7A"/>
    <w:rsid w:val="006B7319"/>
    <w:rsid w:val="006B7352"/>
    <w:rsid w:val="006B73DA"/>
    <w:rsid w:val="006B743A"/>
    <w:rsid w:val="006B754F"/>
    <w:rsid w:val="006B76A9"/>
    <w:rsid w:val="006B76F2"/>
    <w:rsid w:val="006B782B"/>
    <w:rsid w:val="006B7877"/>
    <w:rsid w:val="006B78A7"/>
    <w:rsid w:val="006B7A77"/>
    <w:rsid w:val="006B7CB0"/>
    <w:rsid w:val="006B7CBA"/>
    <w:rsid w:val="006B7E13"/>
    <w:rsid w:val="006BA94E"/>
    <w:rsid w:val="006C0025"/>
    <w:rsid w:val="006C024C"/>
    <w:rsid w:val="006C04A9"/>
    <w:rsid w:val="006C050A"/>
    <w:rsid w:val="006C087E"/>
    <w:rsid w:val="006C0D2A"/>
    <w:rsid w:val="006C0D98"/>
    <w:rsid w:val="006C0DCA"/>
    <w:rsid w:val="006C0E13"/>
    <w:rsid w:val="006C1082"/>
    <w:rsid w:val="006C119C"/>
    <w:rsid w:val="006C1278"/>
    <w:rsid w:val="006C12C7"/>
    <w:rsid w:val="006C1549"/>
    <w:rsid w:val="006C15B1"/>
    <w:rsid w:val="006C1715"/>
    <w:rsid w:val="006C171D"/>
    <w:rsid w:val="006C177F"/>
    <w:rsid w:val="006C191E"/>
    <w:rsid w:val="006C1A9B"/>
    <w:rsid w:val="006C1D29"/>
    <w:rsid w:val="006C1D64"/>
    <w:rsid w:val="006C1D9E"/>
    <w:rsid w:val="006C1E11"/>
    <w:rsid w:val="006C1F04"/>
    <w:rsid w:val="006C1F61"/>
    <w:rsid w:val="006C1F72"/>
    <w:rsid w:val="006C201F"/>
    <w:rsid w:val="006C2198"/>
    <w:rsid w:val="006C2336"/>
    <w:rsid w:val="006C23A3"/>
    <w:rsid w:val="006C26A7"/>
    <w:rsid w:val="006C26C4"/>
    <w:rsid w:val="006C281B"/>
    <w:rsid w:val="006C28D6"/>
    <w:rsid w:val="006C2AA1"/>
    <w:rsid w:val="006C2ACB"/>
    <w:rsid w:val="006C2C16"/>
    <w:rsid w:val="006C2C3B"/>
    <w:rsid w:val="006C2DFB"/>
    <w:rsid w:val="006C2E46"/>
    <w:rsid w:val="006C2EA9"/>
    <w:rsid w:val="006C2EEA"/>
    <w:rsid w:val="006C2FFF"/>
    <w:rsid w:val="006C30F8"/>
    <w:rsid w:val="006C31E6"/>
    <w:rsid w:val="006C3210"/>
    <w:rsid w:val="006C32A3"/>
    <w:rsid w:val="006C32D6"/>
    <w:rsid w:val="006C342C"/>
    <w:rsid w:val="006C34FB"/>
    <w:rsid w:val="006C3506"/>
    <w:rsid w:val="006C35B9"/>
    <w:rsid w:val="006C36FC"/>
    <w:rsid w:val="006C379E"/>
    <w:rsid w:val="006C3A31"/>
    <w:rsid w:val="006C3B3A"/>
    <w:rsid w:val="006C3E8A"/>
    <w:rsid w:val="006C3F5D"/>
    <w:rsid w:val="006C3F95"/>
    <w:rsid w:val="006C3FDC"/>
    <w:rsid w:val="006C432E"/>
    <w:rsid w:val="006C4331"/>
    <w:rsid w:val="006C4411"/>
    <w:rsid w:val="006C44E3"/>
    <w:rsid w:val="006C4557"/>
    <w:rsid w:val="006C45F2"/>
    <w:rsid w:val="006C46F8"/>
    <w:rsid w:val="006C47B0"/>
    <w:rsid w:val="006C47E9"/>
    <w:rsid w:val="006C4858"/>
    <w:rsid w:val="006C4A62"/>
    <w:rsid w:val="006C4D4C"/>
    <w:rsid w:val="006C4D60"/>
    <w:rsid w:val="006C4DD7"/>
    <w:rsid w:val="006C4E78"/>
    <w:rsid w:val="006C4F24"/>
    <w:rsid w:val="006C4FE8"/>
    <w:rsid w:val="006C5010"/>
    <w:rsid w:val="006C5088"/>
    <w:rsid w:val="006C5134"/>
    <w:rsid w:val="006C5344"/>
    <w:rsid w:val="006C53D6"/>
    <w:rsid w:val="006C5529"/>
    <w:rsid w:val="006C5649"/>
    <w:rsid w:val="006C5677"/>
    <w:rsid w:val="006C570A"/>
    <w:rsid w:val="006C57E7"/>
    <w:rsid w:val="006C58ED"/>
    <w:rsid w:val="006C5B4D"/>
    <w:rsid w:val="006C5B87"/>
    <w:rsid w:val="006C5C36"/>
    <w:rsid w:val="006C5C86"/>
    <w:rsid w:val="006C5CD4"/>
    <w:rsid w:val="006C5E38"/>
    <w:rsid w:val="006C5E5F"/>
    <w:rsid w:val="006C5F58"/>
    <w:rsid w:val="006C5FAE"/>
    <w:rsid w:val="006C5FBB"/>
    <w:rsid w:val="006C5FEF"/>
    <w:rsid w:val="006C6038"/>
    <w:rsid w:val="006C61E5"/>
    <w:rsid w:val="006C6208"/>
    <w:rsid w:val="006C6401"/>
    <w:rsid w:val="006C6489"/>
    <w:rsid w:val="006C6565"/>
    <w:rsid w:val="006C6674"/>
    <w:rsid w:val="006C69EE"/>
    <w:rsid w:val="006C6B42"/>
    <w:rsid w:val="006C6B99"/>
    <w:rsid w:val="006C6E52"/>
    <w:rsid w:val="006C7163"/>
    <w:rsid w:val="006C72A5"/>
    <w:rsid w:val="006C7394"/>
    <w:rsid w:val="006C7527"/>
    <w:rsid w:val="006C76D9"/>
    <w:rsid w:val="006C770E"/>
    <w:rsid w:val="006C7B5C"/>
    <w:rsid w:val="006C7BA3"/>
    <w:rsid w:val="006C7BCA"/>
    <w:rsid w:val="006C7DCA"/>
    <w:rsid w:val="006C7E23"/>
    <w:rsid w:val="006C7E49"/>
    <w:rsid w:val="006C7F4D"/>
    <w:rsid w:val="006CD6BF"/>
    <w:rsid w:val="006CF0AE"/>
    <w:rsid w:val="006D010E"/>
    <w:rsid w:val="006D0276"/>
    <w:rsid w:val="006D02A8"/>
    <w:rsid w:val="006D031D"/>
    <w:rsid w:val="006D03B8"/>
    <w:rsid w:val="006D0412"/>
    <w:rsid w:val="006D0660"/>
    <w:rsid w:val="006D0899"/>
    <w:rsid w:val="006D093D"/>
    <w:rsid w:val="006D0944"/>
    <w:rsid w:val="006D09BC"/>
    <w:rsid w:val="006D0A32"/>
    <w:rsid w:val="006D0A7C"/>
    <w:rsid w:val="006D0B36"/>
    <w:rsid w:val="006D0BA7"/>
    <w:rsid w:val="006D0BA8"/>
    <w:rsid w:val="006D0C68"/>
    <w:rsid w:val="006D0CDD"/>
    <w:rsid w:val="006D0E1C"/>
    <w:rsid w:val="006D0F16"/>
    <w:rsid w:val="006D0F26"/>
    <w:rsid w:val="006D11D1"/>
    <w:rsid w:val="006D11FE"/>
    <w:rsid w:val="006D13FE"/>
    <w:rsid w:val="006D143B"/>
    <w:rsid w:val="006D15BC"/>
    <w:rsid w:val="006D16F5"/>
    <w:rsid w:val="006D180D"/>
    <w:rsid w:val="006D1A93"/>
    <w:rsid w:val="006D1AF2"/>
    <w:rsid w:val="006D1C33"/>
    <w:rsid w:val="006D1E5A"/>
    <w:rsid w:val="006D1EAE"/>
    <w:rsid w:val="006D2243"/>
    <w:rsid w:val="006D24A9"/>
    <w:rsid w:val="006D2524"/>
    <w:rsid w:val="006D25C9"/>
    <w:rsid w:val="006D2734"/>
    <w:rsid w:val="006D27B4"/>
    <w:rsid w:val="006D282F"/>
    <w:rsid w:val="006D2943"/>
    <w:rsid w:val="006D29B9"/>
    <w:rsid w:val="006D2C90"/>
    <w:rsid w:val="006D2F41"/>
    <w:rsid w:val="006D2F94"/>
    <w:rsid w:val="006D3212"/>
    <w:rsid w:val="006D3260"/>
    <w:rsid w:val="006D32DC"/>
    <w:rsid w:val="006D33FA"/>
    <w:rsid w:val="006D344A"/>
    <w:rsid w:val="006D347F"/>
    <w:rsid w:val="006D3535"/>
    <w:rsid w:val="006D3613"/>
    <w:rsid w:val="006D36E5"/>
    <w:rsid w:val="006D375C"/>
    <w:rsid w:val="006D3822"/>
    <w:rsid w:val="006D38AB"/>
    <w:rsid w:val="006D39C9"/>
    <w:rsid w:val="006D3A64"/>
    <w:rsid w:val="006D3A7C"/>
    <w:rsid w:val="006D3D64"/>
    <w:rsid w:val="006D3E11"/>
    <w:rsid w:val="006D3E54"/>
    <w:rsid w:val="006D3EB1"/>
    <w:rsid w:val="006D3F37"/>
    <w:rsid w:val="006D3FD8"/>
    <w:rsid w:val="006D4062"/>
    <w:rsid w:val="006D409F"/>
    <w:rsid w:val="006D41A3"/>
    <w:rsid w:val="006D4234"/>
    <w:rsid w:val="006D4267"/>
    <w:rsid w:val="006D427D"/>
    <w:rsid w:val="006D4536"/>
    <w:rsid w:val="006D45A6"/>
    <w:rsid w:val="006D465E"/>
    <w:rsid w:val="006D471B"/>
    <w:rsid w:val="006D4737"/>
    <w:rsid w:val="006D4763"/>
    <w:rsid w:val="006D48EC"/>
    <w:rsid w:val="006D4943"/>
    <w:rsid w:val="006D49B6"/>
    <w:rsid w:val="006D4C0A"/>
    <w:rsid w:val="006D4D48"/>
    <w:rsid w:val="006D4E2D"/>
    <w:rsid w:val="006D4FAB"/>
    <w:rsid w:val="006D508A"/>
    <w:rsid w:val="006D5219"/>
    <w:rsid w:val="006D5355"/>
    <w:rsid w:val="006D53BB"/>
    <w:rsid w:val="006D53F9"/>
    <w:rsid w:val="006D5526"/>
    <w:rsid w:val="006D55F3"/>
    <w:rsid w:val="006D56CE"/>
    <w:rsid w:val="006D5927"/>
    <w:rsid w:val="006D5947"/>
    <w:rsid w:val="006D5CCD"/>
    <w:rsid w:val="006D6025"/>
    <w:rsid w:val="006D6058"/>
    <w:rsid w:val="006D60A3"/>
    <w:rsid w:val="006D60A9"/>
    <w:rsid w:val="006D610F"/>
    <w:rsid w:val="006D6302"/>
    <w:rsid w:val="006D63BF"/>
    <w:rsid w:val="006D65D2"/>
    <w:rsid w:val="006D66F8"/>
    <w:rsid w:val="006D6815"/>
    <w:rsid w:val="006D68AD"/>
    <w:rsid w:val="006D68F1"/>
    <w:rsid w:val="006D6991"/>
    <w:rsid w:val="006D6A36"/>
    <w:rsid w:val="006D6AA8"/>
    <w:rsid w:val="006D6BB9"/>
    <w:rsid w:val="006D6C77"/>
    <w:rsid w:val="006D6E6D"/>
    <w:rsid w:val="006D6F0F"/>
    <w:rsid w:val="006D6F2A"/>
    <w:rsid w:val="006D70B0"/>
    <w:rsid w:val="006D72EF"/>
    <w:rsid w:val="006D73AB"/>
    <w:rsid w:val="006D74CF"/>
    <w:rsid w:val="006D74EC"/>
    <w:rsid w:val="006D7741"/>
    <w:rsid w:val="006D77ED"/>
    <w:rsid w:val="006D7ABF"/>
    <w:rsid w:val="006D7B0D"/>
    <w:rsid w:val="006D7BBD"/>
    <w:rsid w:val="006D7DB5"/>
    <w:rsid w:val="006D7DC7"/>
    <w:rsid w:val="006D7EDB"/>
    <w:rsid w:val="006D7EDF"/>
    <w:rsid w:val="006D7FD6"/>
    <w:rsid w:val="006E0125"/>
    <w:rsid w:val="006E015A"/>
    <w:rsid w:val="006E01F8"/>
    <w:rsid w:val="006E01F9"/>
    <w:rsid w:val="006E0310"/>
    <w:rsid w:val="006E05AE"/>
    <w:rsid w:val="006E0660"/>
    <w:rsid w:val="006E0709"/>
    <w:rsid w:val="006E076B"/>
    <w:rsid w:val="006E09FA"/>
    <w:rsid w:val="006E09FE"/>
    <w:rsid w:val="006E0AB4"/>
    <w:rsid w:val="006E0AE8"/>
    <w:rsid w:val="006E0B20"/>
    <w:rsid w:val="006E0F03"/>
    <w:rsid w:val="006E1011"/>
    <w:rsid w:val="006E117E"/>
    <w:rsid w:val="006E118E"/>
    <w:rsid w:val="006E1205"/>
    <w:rsid w:val="006E1355"/>
    <w:rsid w:val="006E13B8"/>
    <w:rsid w:val="006E13FB"/>
    <w:rsid w:val="006E1702"/>
    <w:rsid w:val="006E1750"/>
    <w:rsid w:val="006E18B7"/>
    <w:rsid w:val="006E1915"/>
    <w:rsid w:val="006E199D"/>
    <w:rsid w:val="006E1BD8"/>
    <w:rsid w:val="006E1D4C"/>
    <w:rsid w:val="006E1D97"/>
    <w:rsid w:val="006E1DA5"/>
    <w:rsid w:val="006E1DFC"/>
    <w:rsid w:val="006E1EC8"/>
    <w:rsid w:val="006E1EE1"/>
    <w:rsid w:val="006E1F1A"/>
    <w:rsid w:val="006E1FAB"/>
    <w:rsid w:val="006E23EB"/>
    <w:rsid w:val="006E24B5"/>
    <w:rsid w:val="006E2502"/>
    <w:rsid w:val="006E2507"/>
    <w:rsid w:val="006E2951"/>
    <w:rsid w:val="006E2C53"/>
    <w:rsid w:val="006E2C6A"/>
    <w:rsid w:val="006E2FE9"/>
    <w:rsid w:val="006E315A"/>
    <w:rsid w:val="006E31D5"/>
    <w:rsid w:val="006E3241"/>
    <w:rsid w:val="006E3491"/>
    <w:rsid w:val="006E35AC"/>
    <w:rsid w:val="006E367D"/>
    <w:rsid w:val="006E39EB"/>
    <w:rsid w:val="006E3DD2"/>
    <w:rsid w:val="006E3E61"/>
    <w:rsid w:val="006E400C"/>
    <w:rsid w:val="006E4117"/>
    <w:rsid w:val="006E4134"/>
    <w:rsid w:val="006E416A"/>
    <w:rsid w:val="006E425A"/>
    <w:rsid w:val="006E426A"/>
    <w:rsid w:val="006E445C"/>
    <w:rsid w:val="006E45CF"/>
    <w:rsid w:val="006E474F"/>
    <w:rsid w:val="006E475B"/>
    <w:rsid w:val="006E49EC"/>
    <w:rsid w:val="006E4ABA"/>
    <w:rsid w:val="006E4AEA"/>
    <w:rsid w:val="006E4DB3"/>
    <w:rsid w:val="006E4F45"/>
    <w:rsid w:val="006E4FBE"/>
    <w:rsid w:val="006E5019"/>
    <w:rsid w:val="006E503F"/>
    <w:rsid w:val="006E50B1"/>
    <w:rsid w:val="006E50C4"/>
    <w:rsid w:val="006E51D6"/>
    <w:rsid w:val="006E529E"/>
    <w:rsid w:val="006E54A4"/>
    <w:rsid w:val="006E5577"/>
    <w:rsid w:val="006E5600"/>
    <w:rsid w:val="006E5615"/>
    <w:rsid w:val="006E5673"/>
    <w:rsid w:val="006E577C"/>
    <w:rsid w:val="006E5945"/>
    <w:rsid w:val="006E5BC5"/>
    <w:rsid w:val="006E5E73"/>
    <w:rsid w:val="006E5E8C"/>
    <w:rsid w:val="006E5F8D"/>
    <w:rsid w:val="006E606C"/>
    <w:rsid w:val="006E60CB"/>
    <w:rsid w:val="006E6184"/>
    <w:rsid w:val="006E61EE"/>
    <w:rsid w:val="006E638A"/>
    <w:rsid w:val="006E656A"/>
    <w:rsid w:val="006E65A2"/>
    <w:rsid w:val="006E65FA"/>
    <w:rsid w:val="006E6756"/>
    <w:rsid w:val="006E681A"/>
    <w:rsid w:val="006E6903"/>
    <w:rsid w:val="006E6942"/>
    <w:rsid w:val="006E6A49"/>
    <w:rsid w:val="006E6B11"/>
    <w:rsid w:val="006E6B96"/>
    <w:rsid w:val="006E6C05"/>
    <w:rsid w:val="006E6C5E"/>
    <w:rsid w:val="006E6C88"/>
    <w:rsid w:val="006E6CE9"/>
    <w:rsid w:val="006E6E3A"/>
    <w:rsid w:val="006E6F51"/>
    <w:rsid w:val="006E7477"/>
    <w:rsid w:val="006E7743"/>
    <w:rsid w:val="006E78F7"/>
    <w:rsid w:val="006E7BC9"/>
    <w:rsid w:val="006E7C20"/>
    <w:rsid w:val="006E7CF0"/>
    <w:rsid w:val="006E7DAD"/>
    <w:rsid w:val="006F003A"/>
    <w:rsid w:val="006F03BC"/>
    <w:rsid w:val="006F03FA"/>
    <w:rsid w:val="006F04DC"/>
    <w:rsid w:val="006F0502"/>
    <w:rsid w:val="006F0624"/>
    <w:rsid w:val="006F0761"/>
    <w:rsid w:val="006F07CF"/>
    <w:rsid w:val="006F0847"/>
    <w:rsid w:val="006F08CB"/>
    <w:rsid w:val="006F0A74"/>
    <w:rsid w:val="006F0B7D"/>
    <w:rsid w:val="006F0BDB"/>
    <w:rsid w:val="006F0F48"/>
    <w:rsid w:val="006F0FE9"/>
    <w:rsid w:val="006F10DC"/>
    <w:rsid w:val="006F125E"/>
    <w:rsid w:val="006F12A5"/>
    <w:rsid w:val="006F12E0"/>
    <w:rsid w:val="006F1317"/>
    <w:rsid w:val="006F1391"/>
    <w:rsid w:val="006F14AE"/>
    <w:rsid w:val="006F1679"/>
    <w:rsid w:val="006F16BC"/>
    <w:rsid w:val="006F16E5"/>
    <w:rsid w:val="006F1945"/>
    <w:rsid w:val="006F1AC8"/>
    <w:rsid w:val="006F1B47"/>
    <w:rsid w:val="006F1BE1"/>
    <w:rsid w:val="006F1CC2"/>
    <w:rsid w:val="006F1DA7"/>
    <w:rsid w:val="006F1E44"/>
    <w:rsid w:val="006F205E"/>
    <w:rsid w:val="006F2161"/>
    <w:rsid w:val="006F216A"/>
    <w:rsid w:val="006F22C1"/>
    <w:rsid w:val="006F22DC"/>
    <w:rsid w:val="006F25CD"/>
    <w:rsid w:val="006F25E0"/>
    <w:rsid w:val="006F25FC"/>
    <w:rsid w:val="006F2621"/>
    <w:rsid w:val="006F2643"/>
    <w:rsid w:val="006F26DA"/>
    <w:rsid w:val="006F26F0"/>
    <w:rsid w:val="006F28A3"/>
    <w:rsid w:val="006F28D1"/>
    <w:rsid w:val="006F2B14"/>
    <w:rsid w:val="006F2C0E"/>
    <w:rsid w:val="006F2C7C"/>
    <w:rsid w:val="006F2CD8"/>
    <w:rsid w:val="006F2D3B"/>
    <w:rsid w:val="006F2DDA"/>
    <w:rsid w:val="006F3056"/>
    <w:rsid w:val="006F3188"/>
    <w:rsid w:val="006F31E5"/>
    <w:rsid w:val="006F358F"/>
    <w:rsid w:val="006F3727"/>
    <w:rsid w:val="006F3895"/>
    <w:rsid w:val="006F38A9"/>
    <w:rsid w:val="006F38DC"/>
    <w:rsid w:val="006F3D88"/>
    <w:rsid w:val="006F3DAA"/>
    <w:rsid w:val="006F3DD7"/>
    <w:rsid w:val="006F3F01"/>
    <w:rsid w:val="006F3FCD"/>
    <w:rsid w:val="006F40B8"/>
    <w:rsid w:val="006F41A4"/>
    <w:rsid w:val="006F4340"/>
    <w:rsid w:val="006F436D"/>
    <w:rsid w:val="006F43C2"/>
    <w:rsid w:val="006F45AF"/>
    <w:rsid w:val="006F45E2"/>
    <w:rsid w:val="006F4823"/>
    <w:rsid w:val="006F4A55"/>
    <w:rsid w:val="006F4AFC"/>
    <w:rsid w:val="006F4CCA"/>
    <w:rsid w:val="006F4D52"/>
    <w:rsid w:val="006F4E0E"/>
    <w:rsid w:val="006F4E17"/>
    <w:rsid w:val="006F4E69"/>
    <w:rsid w:val="006F506E"/>
    <w:rsid w:val="006F51DA"/>
    <w:rsid w:val="006F528A"/>
    <w:rsid w:val="006F5352"/>
    <w:rsid w:val="006F53A2"/>
    <w:rsid w:val="006F5446"/>
    <w:rsid w:val="006F566F"/>
    <w:rsid w:val="006F58C5"/>
    <w:rsid w:val="006F5940"/>
    <w:rsid w:val="006F59AB"/>
    <w:rsid w:val="006F59F1"/>
    <w:rsid w:val="006F5B39"/>
    <w:rsid w:val="006F5B64"/>
    <w:rsid w:val="006F5B87"/>
    <w:rsid w:val="006F5BAE"/>
    <w:rsid w:val="006F5CE6"/>
    <w:rsid w:val="006F5DA2"/>
    <w:rsid w:val="006F5E2A"/>
    <w:rsid w:val="006F5E7A"/>
    <w:rsid w:val="006F6003"/>
    <w:rsid w:val="006F6007"/>
    <w:rsid w:val="006F60F1"/>
    <w:rsid w:val="006F6162"/>
    <w:rsid w:val="006F626C"/>
    <w:rsid w:val="006F62EE"/>
    <w:rsid w:val="006F63D7"/>
    <w:rsid w:val="006F64B3"/>
    <w:rsid w:val="006F6614"/>
    <w:rsid w:val="006F66AA"/>
    <w:rsid w:val="006F66D0"/>
    <w:rsid w:val="006F66EC"/>
    <w:rsid w:val="006F69ED"/>
    <w:rsid w:val="006F6A1D"/>
    <w:rsid w:val="006F6AE8"/>
    <w:rsid w:val="006F6B26"/>
    <w:rsid w:val="006F6C18"/>
    <w:rsid w:val="006F6C7E"/>
    <w:rsid w:val="006F6D3A"/>
    <w:rsid w:val="006F6D41"/>
    <w:rsid w:val="006F6E43"/>
    <w:rsid w:val="006F6ED7"/>
    <w:rsid w:val="006F6F10"/>
    <w:rsid w:val="006F73F8"/>
    <w:rsid w:val="006F74B3"/>
    <w:rsid w:val="006F776B"/>
    <w:rsid w:val="006F788C"/>
    <w:rsid w:val="006F7901"/>
    <w:rsid w:val="006F7944"/>
    <w:rsid w:val="006F7B60"/>
    <w:rsid w:val="006F7D74"/>
    <w:rsid w:val="006F7E20"/>
    <w:rsid w:val="006F7E53"/>
    <w:rsid w:val="006F7E57"/>
    <w:rsid w:val="006F7E6D"/>
    <w:rsid w:val="006F7E92"/>
    <w:rsid w:val="006F7FF0"/>
    <w:rsid w:val="00700003"/>
    <w:rsid w:val="0070032B"/>
    <w:rsid w:val="007003A7"/>
    <w:rsid w:val="007003D1"/>
    <w:rsid w:val="0070058D"/>
    <w:rsid w:val="0070062F"/>
    <w:rsid w:val="00700639"/>
    <w:rsid w:val="00700641"/>
    <w:rsid w:val="00700679"/>
    <w:rsid w:val="00700709"/>
    <w:rsid w:val="00700817"/>
    <w:rsid w:val="00700912"/>
    <w:rsid w:val="0070091F"/>
    <w:rsid w:val="007009E4"/>
    <w:rsid w:val="00700BE3"/>
    <w:rsid w:val="00700CEC"/>
    <w:rsid w:val="00700D30"/>
    <w:rsid w:val="00700DC9"/>
    <w:rsid w:val="00700EB7"/>
    <w:rsid w:val="00700EDD"/>
    <w:rsid w:val="007011B0"/>
    <w:rsid w:val="007011E5"/>
    <w:rsid w:val="007012D5"/>
    <w:rsid w:val="007012EF"/>
    <w:rsid w:val="007014AA"/>
    <w:rsid w:val="0070173A"/>
    <w:rsid w:val="0070176F"/>
    <w:rsid w:val="007018BE"/>
    <w:rsid w:val="00701A56"/>
    <w:rsid w:val="00701BF5"/>
    <w:rsid w:val="00701D1F"/>
    <w:rsid w:val="00701F15"/>
    <w:rsid w:val="007022C7"/>
    <w:rsid w:val="007022E6"/>
    <w:rsid w:val="00702420"/>
    <w:rsid w:val="00702542"/>
    <w:rsid w:val="007025D5"/>
    <w:rsid w:val="0070278F"/>
    <w:rsid w:val="0070294A"/>
    <w:rsid w:val="0070304D"/>
    <w:rsid w:val="00703253"/>
    <w:rsid w:val="00703297"/>
    <w:rsid w:val="0070357B"/>
    <w:rsid w:val="00703690"/>
    <w:rsid w:val="007036ED"/>
    <w:rsid w:val="007039C0"/>
    <w:rsid w:val="00703A47"/>
    <w:rsid w:val="00703AC4"/>
    <w:rsid w:val="00703B40"/>
    <w:rsid w:val="00703D9F"/>
    <w:rsid w:val="00704096"/>
    <w:rsid w:val="0070427C"/>
    <w:rsid w:val="0070445B"/>
    <w:rsid w:val="00704606"/>
    <w:rsid w:val="0070467C"/>
    <w:rsid w:val="0070468C"/>
    <w:rsid w:val="007047A9"/>
    <w:rsid w:val="007047C5"/>
    <w:rsid w:val="00704896"/>
    <w:rsid w:val="007049FA"/>
    <w:rsid w:val="00704A81"/>
    <w:rsid w:val="00704C7A"/>
    <w:rsid w:val="00704E4A"/>
    <w:rsid w:val="00704F6D"/>
    <w:rsid w:val="00704FA8"/>
    <w:rsid w:val="00705415"/>
    <w:rsid w:val="007054BE"/>
    <w:rsid w:val="007056FD"/>
    <w:rsid w:val="00705735"/>
    <w:rsid w:val="00705838"/>
    <w:rsid w:val="0070589C"/>
    <w:rsid w:val="007058A0"/>
    <w:rsid w:val="00705915"/>
    <w:rsid w:val="00705B57"/>
    <w:rsid w:val="00705B6E"/>
    <w:rsid w:val="00705CCB"/>
    <w:rsid w:val="00705E2E"/>
    <w:rsid w:val="00705EAD"/>
    <w:rsid w:val="00705FA1"/>
    <w:rsid w:val="00705FE2"/>
    <w:rsid w:val="007060F8"/>
    <w:rsid w:val="0070620B"/>
    <w:rsid w:val="00706302"/>
    <w:rsid w:val="00706369"/>
    <w:rsid w:val="00706556"/>
    <w:rsid w:val="00706833"/>
    <w:rsid w:val="00706844"/>
    <w:rsid w:val="00706861"/>
    <w:rsid w:val="00706A25"/>
    <w:rsid w:val="00706C16"/>
    <w:rsid w:val="00706E18"/>
    <w:rsid w:val="00706F63"/>
    <w:rsid w:val="00706F93"/>
    <w:rsid w:val="00706FB4"/>
    <w:rsid w:val="00706FC7"/>
    <w:rsid w:val="00707096"/>
    <w:rsid w:val="007071A8"/>
    <w:rsid w:val="007071D7"/>
    <w:rsid w:val="007071EF"/>
    <w:rsid w:val="0070724D"/>
    <w:rsid w:val="0070741A"/>
    <w:rsid w:val="007075DF"/>
    <w:rsid w:val="0070769F"/>
    <w:rsid w:val="00707707"/>
    <w:rsid w:val="007078AF"/>
    <w:rsid w:val="007079EC"/>
    <w:rsid w:val="00707D1C"/>
    <w:rsid w:val="00707E47"/>
    <w:rsid w:val="00707EDF"/>
    <w:rsid w:val="00707EE7"/>
    <w:rsid w:val="00707EF8"/>
    <w:rsid w:val="00708E90"/>
    <w:rsid w:val="0071005E"/>
    <w:rsid w:val="0071011F"/>
    <w:rsid w:val="0071044F"/>
    <w:rsid w:val="007104C0"/>
    <w:rsid w:val="00710626"/>
    <w:rsid w:val="00710691"/>
    <w:rsid w:val="0071073F"/>
    <w:rsid w:val="00710757"/>
    <w:rsid w:val="00710780"/>
    <w:rsid w:val="00710966"/>
    <w:rsid w:val="00710A68"/>
    <w:rsid w:val="00710AB6"/>
    <w:rsid w:val="00710B03"/>
    <w:rsid w:val="00710B90"/>
    <w:rsid w:val="00710C59"/>
    <w:rsid w:val="00710DF8"/>
    <w:rsid w:val="00710EC9"/>
    <w:rsid w:val="00710FC3"/>
    <w:rsid w:val="00710FD5"/>
    <w:rsid w:val="0071114B"/>
    <w:rsid w:val="00711341"/>
    <w:rsid w:val="007113F3"/>
    <w:rsid w:val="0071148D"/>
    <w:rsid w:val="007115BB"/>
    <w:rsid w:val="0071186B"/>
    <w:rsid w:val="007118EA"/>
    <w:rsid w:val="00711A2D"/>
    <w:rsid w:val="00711BA7"/>
    <w:rsid w:val="00711CE4"/>
    <w:rsid w:val="00711DB9"/>
    <w:rsid w:val="00711EF3"/>
    <w:rsid w:val="00711FA8"/>
    <w:rsid w:val="007122C6"/>
    <w:rsid w:val="007122E2"/>
    <w:rsid w:val="00712315"/>
    <w:rsid w:val="007123CD"/>
    <w:rsid w:val="00712429"/>
    <w:rsid w:val="00712550"/>
    <w:rsid w:val="007125D9"/>
    <w:rsid w:val="007125DF"/>
    <w:rsid w:val="00712630"/>
    <w:rsid w:val="00712995"/>
    <w:rsid w:val="00712B9A"/>
    <w:rsid w:val="00712BBF"/>
    <w:rsid w:val="00712CB4"/>
    <w:rsid w:val="00712DFF"/>
    <w:rsid w:val="007130AD"/>
    <w:rsid w:val="007130CA"/>
    <w:rsid w:val="00713146"/>
    <w:rsid w:val="00713157"/>
    <w:rsid w:val="00713232"/>
    <w:rsid w:val="007133B2"/>
    <w:rsid w:val="007133E5"/>
    <w:rsid w:val="0071347C"/>
    <w:rsid w:val="007136CC"/>
    <w:rsid w:val="00713857"/>
    <w:rsid w:val="0071392E"/>
    <w:rsid w:val="007139F0"/>
    <w:rsid w:val="00713A19"/>
    <w:rsid w:val="00713C9F"/>
    <w:rsid w:val="00713CBB"/>
    <w:rsid w:val="00713CD3"/>
    <w:rsid w:val="00713E1D"/>
    <w:rsid w:val="00713E35"/>
    <w:rsid w:val="00713FB9"/>
    <w:rsid w:val="00713FE6"/>
    <w:rsid w:val="00713FF9"/>
    <w:rsid w:val="00714027"/>
    <w:rsid w:val="007141E6"/>
    <w:rsid w:val="0071429A"/>
    <w:rsid w:val="0071437C"/>
    <w:rsid w:val="00714409"/>
    <w:rsid w:val="00714461"/>
    <w:rsid w:val="00714692"/>
    <w:rsid w:val="00714700"/>
    <w:rsid w:val="007147C4"/>
    <w:rsid w:val="00714885"/>
    <w:rsid w:val="00714CC4"/>
    <w:rsid w:val="00714D12"/>
    <w:rsid w:val="00714DAE"/>
    <w:rsid w:val="00714ECE"/>
    <w:rsid w:val="00714F36"/>
    <w:rsid w:val="007150F9"/>
    <w:rsid w:val="00715165"/>
    <w:rsid w:val="00715189"/>
    <w:rsid w:val="007153B5"/>
    <w:rsid w:val="007153B7"/>
    <w:rsid w:val="007153E6"/>
    <w:rsid w:val="007153FD"/>
    <w:rsid w:val="00715487"/>
    <w:rsid w:val="007154B8"/>
    <w:rsid w:val="007156AC"/>
    <w:rsid w:val="0071576B"/>
    <w:rsid w:val="007159A6"/>
    <w:rsid w:val="00715AD8"/>
    <w:rsid w:val="00715C4A"/>
    <w:rsid w:val="00715F3E"/>
    <w:rsid w:val="0071621C"/>
    <w:rsid w:val="00716457"/>
    <w:rsid w:val="007165D3"/>
    <w:rsid w:val="0071662E"/>
    <w:rsid w:val="007166A4"/>
    <w:rsid w:val="007167F6"/>
    <w:rsid w:val="00716836"/>
    <w:rsid w:val="007168CB"/>
    <w:rsid w:val="00716974"/>
    <w:rsid w:val="00716A01"/>
    <w:rsid w:val="00716A9B"/>
    <w:rsid w:val="00716AA1"/>
    <w:rsid w:val="00716F1B"/>
    <w:rsid w:val="00716F3F"/>
    <w:rsid w:val="007170E3"/>
    <w:rsid w:val="0071716A"/>
    <w:rsid w:val="007172C2"/>
    <w:rsid w:val="007172C9"/>
    <w:rsid w:val="00717391"/>
    <w:rsid w:val="007173B2"/>
    <w:rsid w:val="007174D5"/>
    <w:rsid w:val="007175C6"/>
    <w:rsid w:val="0071783A"/>
    <w:rsid w:val="00717891"/>
    <w:rsid w:val="007178A0"/>
    <w:rsid w:val="007179D5"/>
    <w:rsid w:val="00717A8F"/>
    <w:rsid w:val="00717AC6"/>
    <w:rsid w:val="00717B66"/>
    <w:rsid w:val="00717BCD"/>
    <w:rsid w:val="007202F2"/>
    <w:rsid w:val="0072032F"/>
    <w:rsid w:val="00720454"/>
    <w:rsid w:val="00720856"/>
    <w:rsid w:val="00720865"/>
    <w:rsid w:val="007208FD"/>
    <w:rsid w:val="0072096F"/>
    <w:rsid w:val="00720A4C"/>
    <w:rsid w:val="00720C69"/>
    <w:rsid w:val="00720D91"/>
    <w:rsid w:val="00720ECC"/>
    <w:rsid w:val="00720ED8"/>
    <w:rsid w:val="00720F16"/>
    <w:rsid w:val="0072111A"/>
    <w:rsid w:val="0072119C"/>
    <w:rsid w:val="007211F5"/>
    <w:rsid w:val="007212C4"/>
    <w:rsid w:val="007213BE"/>
    <w:rsid w:val="00721406"/>
    <w:rsid w:val="00721446"/>
    <w:rsid w:val="0072169C"/>
    <w:rsid w:val="00721847"/>
    <w:rsid w:val="007218C8"/>
    <w:rsid w:val="00721947"/>
    <w:rsid w:val="00721BC0"/>
    <w:rsid w:val="00721C1D"/>
    <w:rsid w:val="00721C74"/>
    <w:rsid w:val="00721D42"/>
    <w:rsid w:val="00721E80"/>
    <w:rsid w:val="00721FBD"/>
    <w:rsid w:val="0072202C"/>
    <w:rsid w:val="00722092"/>
    <w:rsid w:val="00722096"/>
    <w:rsid w:val="0072217E"/>
    <w:rsid w:val="007221CE"/>
    <w:rsid w:val="007222E2"/>
    <w:rsid w:val="00722316"/>
    <w:rsid w:val="0072231D"/>
    <w:rsid w:val="0072246D"/>
    <w:rsid w:val="007224A5"/>
    <w:rsid w:val="007224AA"/>
    <w:rsid w:val="00722598"/>
    <w:rsid w:val="007225F3"/>
    <w:rsid w:val="007228B7"/>
    <w:rsid w:val="00722944"/>
    <w:rsid w:val="00722954"/>
    <w:rsid w:val="00722AA1"/>
    <w:rsid w:val="00722D47"/>
    <w:rsid w:val="00722DD9"/>
    <w:rsid w:val="00722E7B"/>
    <w:rsid w:val="00723048"/>
    <w:rsid w:val="00723075"/>
    <w:rsid w:val="0072342E"/>
    <w:rsid w:val="0072343A"/>
    <w:rsid w:val="00723556"/>
    <w:rsid w:val="00723573"/>
    <w:rsid w:val="007235AE"/>
    <w:rsid w:val="0072364A"/>
    <w:rsid w:val="007236E5"/>
    <w:rsid w:val="00723737"/>
    <w:rsid w:val="0072396C"/>
    <w:rsid w:val="007239D7"/>
    <w:rsid w:val="00723AF7"/>
    <w:rsid w:val="00723BB9"/>
    <w:rsid w:val="00724084"/>
    <w:rsid w:val="007240E4"/>
    <w:rsid w:val="00724115"/>
    <w:rsid w:val="00724261"/>
    <w:rsid w:val="007242D0"/>
    <w:rsid w:val="007243F8"/>
    <w:rsid w:val="007245D5"/>
    <w:rsid w:val="0072469E"/>
    <w:rsid w:val="00724981"/>
    <w:rsid w:val="00724A23"/>
    <w:rsid w:val="00724B65"/>
    <w:rsid w:val="00724D0D"/>
    <w:rsid w:val="00724D97"/>
    <w:rsid w:val="00724FDC"/>
    <w:rsid w:val="0072517E"/>
    <w:rsid w:val="0072538D"/>
    <w:rsid w:val="007254A6"/>
    <w:rsid w:val="007254DE"/>
    <w:rsid w:val="00725623"/>
    <w:rsid w:val="007256A9"/>
    <w:rsid w:val="00725746"/>
    <w:rsid w:val="00725783"/>
    <w:rsid w:val="00725A1A"/>
    <w:rsid w:val="00725A83"/>
    <w:rsid w:val="00725AF0"/>
    <w:rsid w:val="00725D0E"/>
    <w:rsid w:val="00725D55"/>
    <w:rsid w:val="00725D5A"/>
    <w:rsid w:val="00725E68"/>
    <w:rsid w:val="00725ECF"/>
    <w:rsid w:val="00725ED5"/>
    <w:rsid w:val="00725FCC"/>
    <w:rsid w:val="0072604F"/>
    <w:rsid w:val="007260C3"/>
    <w:rsid w:val="0072629C"/>
    <w:rsid w:val="0072641B"/>
    <w:rsid w:val="00726534"/>
    <w:rsid w:val="00726648"/>
    <w:rsid w:val="007266C7"/>
    <w:rsid w:val="00726737"/>
    <w:rsid w:val="00726757"/>
    <w:rsid w:val="0072675E"/>
    <w:rsid w:val="00726781"/>
    <w:rsid w:val="007267BA"/>
    <w:rsid w:val="00726877"/>
    <w:rsid w:val="007268A4"/>
    <w:rsid w:val="00726B0F"/>
    <w:rsid w:val="00726B61"/>
    <w:rsid w:val="00727032"/>
    <w:rsid w:val="0072713E"/>
    <w:rsid w:val="00727161"/>
    <w:rsid w:val="0072721D"/>
    <w:rsid w:val="007272B4"/>
    <w:rsid w:val="007272B9"/>
    <w:rsid w:val="007272BC"/>
    <w:rsid w:val="007274F4"/>
    <w:rsid w:val="00727528"/>
    <w:rsid w:val="00727619"/>
    <w:rsid w:val="007276A6"/>
    <w:rsid w:val="00727859"/>
    <w:rsid w:val="007279DB"/>
    <w:rsid w:val="00727B07"/>
    <w:rsid w:val="00727B87"/>
    <w:rsid w:val="00727BE8"/>
    <w:rsid w:val="00727C33"/>
    <w:rsid w:val="00727D00"/>
    <w:rsid w:val="00727ECF"/>
    <w:rsid w:val="00727F22"/>
    <w:rsid w:val="00727F7B"/>
    <w:rsid w:val="0073007E"/>
    <w:rsid w:val="007300F1"/>
    <w:rsid w:val="007301BD"/>
    <w:rsid w:val="00730285"/>
    <w:rsid w:val="00730323"/>
    <w:rsid w:val="0073039B"/>
    <w:rsid w:val="00730523"/>
    <w:rsid w:val="00730567"/>
    <w:rsid w:val="00730653"/>
    <w:rsid w:val="007306A6"/>
    <w:rsid w:val="007308C8"/>
    <w:rsid w:val="007308E1"/>
    <w:rsid w:val="00730B6A"/>
    <w:rsid w:val="00730C40"/>
    <w:rsid w:val="00730CB5"/>
    <w:rsid w:val="00730E77"/>
    <w:rsid w:val="00730EF1"/>
    <w:rsid w:val="0073100B"/>
    <w:rsid w:val="007310C4"/>
    <w:rsid w:val="00731137"/>
    <w:rsid w:val="0073117F"/>
    <w:rsid w:val="00731199"/>
    <w:rsid w:val="007311F3"/>
    <w:rsid w:val="007312E7"/>
    <w:rsid w:val="0073142A"/>
    <w:rsid w:val="00731439"/>
    <w:rsid w:val="00731502"/>
    <w:rsid w:val="007315BF"/>
    <w:rsid w:val="0073162E"/>
    <w:rsid w:val="0073170B"/>
    <w:rsid w:val="00731A05"/>
    <w:rsid w:val="00731A91"/>
    <w:rsid w:val="00731AFD"/>
    <w:rsid w:val="00731B62"/>
    <w:rsid w:val="00731B66"/>
    <w:rsid w:val="00731BD8"/>
    <w:rsid w:val="00731C09"/>
    <w:rsid w:val="00731D9E"/>
    <w:rsid w:val="00731DDC"/>
    <w:rsid w:val="00731EC8"/>
    <w:rsid w:val="0073201C"/>
    <w:rsid w:val="0073225B"/>
    <w:rsid w:val="007324F2"/>
    <w:rsid w:val="007325A7"/>
    <w:rsid w:val="00732657"/>
    <w:rsid w:val="00732868"/>
    <w:rsid w:val="007328B5"/>
    <w:rsid w:val="007329DD"/>
    <w:rsid w:val="00732B24"/>
    <w:rsid w:val="00732C09"/>
    <w:rsid w:val="0073310E"/>
    <w:rsid w:val="0073313A"/>
    <w:rsid w:val="00733205"/>
    <w:rsid w:val="0073322D"/>
    <w:rsid w:val="00733256"/>
    <w:rsid w:val="007332CA"/>
    <w:rsid w:val="007334F7"/>
    <w:rsid w:val="007336C8"/>
    <w:rsid w:val="00733736"/>
    <w:rsid w:val="00733792"/>
    <w:rsid w:val="00733809"/>
    <w:rsid w:val="00733ED7"/>
    <w:rsid w:val="00734118"/>
    <w:rsid w:val="007341F5"/>
    <w:rsid w:val="00734232"/>
    <w:rsid w:val="00734253"/>
    <w:rsid w:val="007343DB"/>
    <w:rsid w:val="007346A6"/>
    <w:rsid w:val="007346D1"/>
    <w:rsid w:val="007347B0"/>
    <w:rsid w:val="007348D0"/>
    <w:rsid w:val="00734944"/>
    <w:rsid w:val="00734AA7"/>
    <w:rsid w:val="00734D0D"/>
    <w:rsid w:val="0073512B"/>
    <w:rsid w:val="00735280"/>
    <w:rsid w:val="007353DE"/>
    <w:rsid w:val="0073577B"/>
    <w:rsid w:val="007357D1"/>
    <w:rsid w:val="007357EE"/>
    <w:rsid w:val="00735A46"/>
    <w:rsid w:val="00735EBD"/>
    <w:rsid w:val="00735EF2"/>
    <w:rsid w:val="00736355"/>
    <w:rsid w:val="007364F1"/>
    <w:rsid w:val="0073657C"/>
    <w:rsid w:val="00736691"/>
    <w:rsid w:val="007368F4"/>
    <w:rsid w:val="00736A18"/>
    <w:rsid w:val="00736AC8"/>
    <w:rsid w:val="00736B7B"/>
    <w:rsid w:val="00736EB6"/>
    <w:rsid w:val="00736FB1"/>
    <w:rsid w:val="007371CA"/>
    <w:rsid w:val="00737283"/>
    <w:rsid w:val="007372E3"/>
    <w:rsid w:val="00737377"/>
    <w:rsid w:val="007373C0"/>
    <w:rsid w:val="007373FD"/>
    <w:rsid w:val="00737574"/>
    <w:rsid w:val="00737905"/>
    <w:rsid w:val="00737949"/>
    <w:rsid w:val="007379DF"/>
    <w:rsid w:val="00737B6C"/>
    <w:rsid w:val="00737BB4"/>
    <w:rsid w:val="00737D4B"/>
    <w:rsid w:val="00737DB9"/>
    <w:rsid w:val="00737E23"/>
    <w:rsid w:val="00737E3A"/>
    <w:rsid w:val="00737F0A"/>
    <w:rsid w:val="00737F38"/>
    <w:rsid w:val="00737F98"/>
    <w:rsid w:val="00737FFB"/>
    <w:rsid w:val="0073E185"/>
    <w:rsid w:val="0073FB42"/>
    <w:rsid w:val="00740094"/>
    <w:rsid w:val="00740095"/>
    <w:rsid w:val="00740353"/>
    <w:rsid w:val="00740361"/>
    <w:rsid w:val="00740379"/>
    <w:rsid w:val="00740481"/>
    <w:rsid w:val="007404B0"/>
    <w:rsid w:val="007404C9"/>
    <w:rsid w:val="00740518"/>
    <w:rsid w:val="00740672"/>
    <w:rsid w:val="00740A52"/>
    <w:rsid w:val="00740A67"/>
    <w:rsid w:val="00740ADB"/>
    <w:rsid w:val="00740BC1"/>
    <w:rsid w:val="00740E48"/>
    <w:rsid w:val="00740EE9"/>
    <w:rsid w:val="00740F5E"/>
    <w:rsid w:val="00740FA0"/>
    <w:rsid w:val="00741012"/>
    <w:rsid w:val="0074107E"/>
    <w:rsid w:val="007411FB"/>
    <w:rsid w:val="0074127E"/>
    <w:rsid w:val="00741341"/>
    <w:rsid w:val="007415CD"/>
    <w:rsid w:val="00741701"/>
    <w:rsid w:val="0074180A"/>
    <w:rsid w:val="007419D3"/>
    <w:rsid w:val="00741A82"/>
    <w:rsid w:val="00741B59"/>
    <w:rsid w:val="00741C79"/>
    <w:rsid w:val="00741F2D"/>
    <w:rsid w:val="00741F63"/>
    <w:rsid w:val="00741F7A"/>
    <w:rsid w:val="00742235"/>
    <w:rsid w:val="007422CE"/>
    <w:rsid w:val="00742308"/>
    <w:rsid w:val="007423BD"/>
    <w:rsid w:val="00742524"/>
    <w:rsid w:val="007425CE"/>
    <w:rsid w:val="007429F9"/>
    <w:rsid w:val="00742AB3"/>
    <w:rsid w:val="00742AB6"/>
    <w:rsid w:val="00742B46"/>
    <w:rsid w:val="00742BFB"/>
    <w:rsid w:val="00742CF0"/>
    <w:rsid w:val="00742D0D"/>
    <w:rsid w:val="00742DA4"/>
    <w:rsid w:val="00742E50"/>
    <w:rsid w:val="00742E91"/>
    <w:rsid w:val="00742FF6"/>
    <w:rsid w:val="00743177"/>
    <w:rsid w:val="0074326C"/>
    <w:rsid w:val="007432F3"/>
    <w:rsid w:val="0074351F"/>
    <w:rsid w:val="00743854"/>
    <w:rsid w:val="0074387D"/>
    <w:rsid w:val="00743934"/>
    <w:rsid w:val="00743A50"/>
    <w:rsid w:val="00743A70"/>
    <w:rsid w:val="00743C91"/>
    <w:rsid w:val="00743DDD"/>
    <w:rsid w:val="00743E3D"/>
    <w:rsid w:val="00743F5E"/>
    <w:rsid w:val="00744249"/>
    <w:rsid w:val="007443E8"/>
    <w:rsid w:val="00744428"/>
    <w:rsid w:val="007445AD"/>
    <w:rsid w:val="007445E1"/>
    <w:rsid w:val="00744692"/>
    <w:rsid w:val="0074480A"/>
    <w:rsid w:val="007448C8"/>
    <w:rsid w:val="00744905"/>
    <w:rsid w:val="00744908"/>
    <w:rsid w:val="00744A3F"/>
    <w:rsid w:val="00744BB5"/>
    <w:rsid w:val="00744C04"/>
    <w:rsid w:val="00744D31"/>
    <w:rsid w:val="00744F4D"/>
    <w:rsid w:val="0074501B"/>
    <w:rsid w:val="00745056"/>
    <w:rsid w:val="007450A7"/>
    <w:rsid w:val="007450F6"/>
    <w:rsid w:val="0074511C"/>
    <w:rsid w:val="0074513C"/>
    <w:rsid w:val="00745203"/>
    <w:rsid w:val="00745290"/>
    <w:rsid w:val="00745533"/>
    <w:rsid w:val="0074553B"/>
    <w:rsid w:val="007455FB"/>
    <w:rsid w:val="00745630"/>
    <w:rsid w:val="007459BF"/>
    <w:rsid w:val="00745B7E"/>
    <w:rsid w:val="00745BCE"/>
    <w:rsid w:val="00745CCC"/>
    <w:rsid w:val="00745D5C"/>
    <w:rsid w:val="00745EE9"/>
    <w:rsid w:val="00745F24"/>
    <w:rsid w:val="00746054"/>
    <w:rsid w:val="00746112"/>
    <w:rsid w:val="0074620E"/>
    <w:rsid w:val="0074631E"/>
    <w:rsid w:val="007463FA"/>
    <w:rsid w:val="007464CE"/>
    <w:rsid w:val="0074653B"/>
    <w:rsid w:val="0074653E"/>
    <w:rsid w:val="0074662A"/>
    <w:rsid w:val="007466AF"/>
    <w:rsid w:val="00746731"/>
    <w:rsid w:val="00746827"/>
    <w:rsid w:val="00746841"/>
    <w:rsid w:val="00746847"/>
    <w:rsid w:val="00746A5C"/>
    <w:rsid w:val="00746AA1"/>
    <w:rsid w:val="00746BA0"/>
    <w:rsid w:val="00746C20"/>
    <w:rsid w:val="00746E06"/>
    <w:rsid w:val="00746E52"/>
    <w:rsid w:val="00746E68"/>
    <w:rsid w:val="00746EF8"/>
    <w:rsid w:val="0074700D"/>
    <w:rsid w:val="00747017"/>
    <w:rsid w:val="0074704E"/>
    <w:rsid w:val="007470A8"/>
    <w:rsid w:val="007470B9"/>
    <w:rsid w:val="0074717B"/>
    <w:rsid w:val="007471FC"/>
    <w:rsid w:val="00747248"/>
    <w:rsid w:val="007472DA"/>
    <w:rsid w:val="00747308"/>
    <w:rsid w:val="0074758A"/>
    <w:rsid w:val="00747641"/>
    <w:rsid w:val="00747764"/>
    <w:rsid w:val="00747956"/>
    <w:rsid w:val="007479B9"/>
    <w:rsid w:val="00747A3C"/>
    <w:rsid w:val="00747A61"/>
    <w:rsid w:val="00747A93"/>
    <w:rsid w:val="00747C8C"/>
    <w:rsid w:val="00747C97"/>
    <w:rsid w:val="00747D57"/>
    <w:rsid w:val="00747D70"/>
    <w:rsid w:val="00747D91"/>
    <w:rsid w:val="0074D230"/>
    <w:rsid w:val="00750188"/>
    <w:rsid w:val="007501D1"/>
    <w:rsid w:val="0075034A"/>
    <w:rsid w:val="0075034B"/>
    <w:rsid w:val="0075055D"/>
    <w:rsid w:val="007505D9"/>
    <w:rsid w:val="007507D2"/>
    <w:rsid w:val="00750833"/>
    <w:rsid w:val="0075091E"/>
    <w:rsid w:val="00750928"/>
    <w:rsid w:val="00750AEF"/>
    <w:rsid w:val="00750AFF"/>
    <w:rsid w:val="00750C0A"/>
    <w:rsid w:val="00750CE6"/>
    <w:rsid w:val="00750D74"/>
    <w:rsid w:val="00751089"/>
    <w:rsid w:val="007510CB"/>
    <w:rsid w:val="0075116C"/>
    <w:rsid w:val="00751538"/>
    <w:rsid w:val="007517D0"/>
    <w:rsid w:val="007518E9"/>
    <w:rsid w:val="00751968"/>
    <w:rsid w:val="00751AA4"/>
    <w:rsid w:val="00751B1B"/>
    <w:rsid w:val="00751BCB"/>
    <w:rsid w:val="00751CE6"/>
    <w:rsid w:val="00751E2B"/>
    <w:rsid w:val="00752191"/>
    <w:rsid w:val="00752265"/>
    <w:rsid w:val="007524C2"/>
    <w:rsid w:val="00752534"/>
    <w:rsid w:val="00752655"/>
    <w:rsid w:val="00752789"/>
    <w:rsid w:val="0075295E"/>
    <w:rsid w:val="00752A30"/>
    <w:rsid w:val="00752A39"/>
    <w:rsid w:val="00752A3B"/>
    <w:rsid w:val="00752AC4"/>
    <w:rsid w:val="00752B42"/>
    <w:rsid w:val="00752BC9"/>
    <w:rsid w:val="00752D26"/>
    <w:rsid w:val="00752DEE"/>
    <w:rsid w:val="0075316A"/>
    <w:rsid w:val="00753253"/>
    <w:rsid w:val="00753292"/>
    <w:rsid w:val="007532A7"/>
    <w:rsid w:val="0075335A"/>
    <w:rsid w:val="00753463"/>
    <w:rsid w:val="0075349E"/>
    <w:rsid w:val="007534FB"/>
    <w:rsid w:val="00753556"/>
    <w:rsid w:val="00753569"/>
    <w:rsid w:val="0075359B"/>
    <w:rsid w:val="007537CC"/>
    <w:rsid w:val="00753942"/>
    <w:rsid w:val="00753A6D"/>
    <w:rsid w:val="00753B22"/>
    <w:rsid w:val="00753DE0"/>
    <w:rsid w:val="00753E76"/>
    <w:rsid w:val="00753EC4"/>
    <w:rsid w:val="00753F40"/>
    <w:rsid w:val="0075408F"/>
    <w:rsid w:val="007541C7"/>
    <w:rsid w:val="007542F3"/>
    <w:rsid w:val="0075443F"/>
    <w:rsid w:val="00754448"/>
    <w:rsid w:val="0075454E"/>
    <w:rsid w:val="00754554"/>
    <w:rsid w:val="007545F8"/>
    <w:rsid w:val="00754A6D"/>
    <w:rsid w:val="00754B0C"/>
    <w:rsid w:val="00754BCC"/>
    <w:rsid w:val="00754CA7"/>
    <w:rsid w:val="00754D19"/>
    <w:rsid w:val="00754DD3"/>
    <w:rsid w:val="00754E02"/>
    <w:rsid w:val="00754EAE"/>
    <w:rsid w:val="00754EB9"/>
    <w:rsid w:val="00754F3B"/>
    <w:rsid w:val="007550BE"/>
    <w:rsid w:val="00755116"/>
    <w:rsid w:val="00755168"/>
    <w:rsid w:val="00755184"/>
    <w:rsid w:val="0075551D"/>
    <w:rsid w:val="007555EC"/>
    <w:rsid w:val="00755638"/>
    <w:rsid w:val="007556CF"/>
    <w:rsid w:val="00755708"/>
    <w:rsid w:val="0075576B"/>
    <w:rsid w:val="00755B3F"/>
    <w:rsid w:val="00755BAB"/>
    <w:rsid w:val="00755BE2"/>
    <w:rsid w:val="00755CB4"/>
    <w:rsid w:val="00755F0D"/>
    <w:rsid w:val="00756044"/>
    <w:rsid w:val="007560A6"/>
    <w:rsid w:val="007560CC"/>
    <w:rsid w:val="00756329"/>
    <w:rsid w:val="00756369"/>
    <w:rsid w:val="0075642D"/>
    <w:rsid w:val="0075672C"/>
    <w:rsid w:val="00756788"/>
    <w:rsid w:val="007567D4"/>
    <w:rsid w:val="007568BC"/>
    <w:rsid w:val="00756923"/>
    <w:rsid w:val="00756974"/>
    <w:rsid w:val="00756A1F"/>
    <w:rsid w:val="00756AF3"/>
    <w:rsid w:val="00756B96"/>
    <w:rsid w:val="00756BD0"/>
    <w:rsid w:val="00756BED"/>
    <w:rsid w:val="00756C04"/>
    <w:rsid w:val="00756CED"/>
    <w:rsid w:val="00756D6B"/>
    <w:rsid w:val="00756E8E"/>
    <w:rsid w:val="00756E96"/>
    <w:rsid w:val="0075713A"/>
    <w:rsid w:val="007571B8"/>
    <w:rsid w:val="007571FD"/>
    <w:rsid w:val="0075723E"/>
    <w:rsid w:val="007572E0"/>
    <w:rsid w:val="00757303"/>
    <w:rsid w:val="0075750E"/>
    <w:rsid w:val="0075754F"/>
    <w:rsid w:val="007575EC"/>
    <w:rsid w:val="007577CC"/>
    <w:rsid w:val="00757969"/>
    <w:rsid w:val="007579AA"/>
    <w:rsid w:val="00757A43"/>
    <w:rsid w:val="00757AE4"/>
    <w:rsid w:val="00757CE7"/>
    <w:rsid w:val="00757E3C"/>
    <w:rsid w:val="00757E61"/>
    <w:rsid w:val="00757E73"/>
    <w:rsid w:val="0076005D"/>
    <w:rsid w:val="00760130"/>
    <w:rsid w:val="0076022A"/>
    <w:rsid w:val="007604DB"/>
    <w:rsid w:val="0076055D"/>
    <w:rsid w:val="007605C4"/>
    <w:rsid w:val="0076063D"/>
    <w:rsid w:val="00760789"/>
    <w:rsid w:val="007607D6"/>
    <w:rsid w:val="0076099C"/>
    <w:rsid w:val="00760A71"/>
    <w:rsid w:val="00760DE8"/>
    <w:rsid w:val="00760E0C"/>
    <w:rsid w:val="00760E0E"/>
    <w:rsid w:val="00760F65"/>
    <w:rsid w:val="0076142F"/>
    <w:rsid w:val="0076144B"/>
    <w:rsid w:val="00761708"/>
    <w:rsid w:val="0076171D"/>
    <w:rsid w:val="007619AA"/>
    <w:rsid w:val="007619E5"/>
    <w:rsid w:val="00761A2B"/>
    <w:rsid w:val="00761AB4"/>
    <w:rsid w:val="00761B06"/>
    <w:rsid w:val="00761B41"/>
    <w:rsid w:val="00761BAD"/>
    <w:rsid w:val="00761D0D"/>
    <w:rsid w:val="00761DE5"/>
    <w:rsid w:val="007620F4"/>
    <w:rsid w:val="007621AB"/>
    <w:rsid w:val="00762246"/>
    <w:rsid w:val="00762398"/>
    <w:rsid w:val="0076248A"/>
    <w:rsid w:val="00762490"/>
    <w:rsid w:val="007624D5"/>
    <w:rsid w:val="0076251F"/>
    <w:rsid w:val="00762644"/>
    <w:rsid w:val="007626D2"/>
    <w:rsid w:val="007628BD"/>
    <w:rsid w:val="00762A43"/>
    <w:rsid w:val="00762A9E"/>
    <w:rsid w:val="00762CA2"/>
    <w:rsid w:val="00762CC6"/>
    <w:rsid w:val="00762CDE"/>
    <w:rsid w:val="00762DE8"/>
    <w:rsid w:val="00762E83"/>
    <w:rsid w:val="00762F46"/>
    <w:rsid w:val="00762F82"/>
    <w:rsid w:val="00763076"/>
    <w:rsid w:val="007630FA"/>
    <w:rsid w:val="007631CA"/>
    <w:rsid w:val="007632EB"/>
    <w:rsid w:val="007633E7"/>
    <w:rsid w:val="00763668"/>
    <w:rsid w:val="0076384F"/>
    <w:rsid w:val="00763B01"/>
    <w:rsid w:val="00763C0B"/>
    <w:rsid w:val="00763C73"/>
    <w:rsid w:val="00763DB8"/>
    <w:rsid w:val="00763E85"/>
    <w:rsid w:val="00764126"/>
    <w:rsid w:val="0076416A"/>
    <w:rsid w:val="00764292"/>
    <w:rsid w:val="007644BA"/>
    <w:rsid w:val="00764530"/>
    <w:rsid w:val="00764628"/>
    <w:rsid w:val="007646AF"/>
    <w:rsid w:val="0076476A"/>
    <w:rsid w:val="007647C9"/>
    <w:rsid w:val="00764A9F"/>
    <w:rsid w:val="00764B58"/>
    <w:rsid w:val="00764C11"/>
    <w:rsid w:val="00764C58"/>
    <w:rsid w:val="00764C7E"/>
    <w:rsid w:val="00764DEA"/>
    <w:rsid w:val="00764ECD"/>
    <w:rsid w:val="007650BE"/>
    <w:rsid w:val="0076513E"/>
    <w:rsid w:val="00765206"/>
    <w:rsid w:val="0076527C"/>
    <w:rsid w:val="0076532D"/>
    <w:rsid w:val="0076538A"/>
    <w:rsid w:val="007653FB"/>
    <w:rsid w:val="00765414"/>
    <w:rsid w:val="0076549E"/>
    <w:rsid w:val="007654CA"/>
    <w:rsid w:val="0076565F"/>
    <w:rsid w:val="0076573B"/>
    <w:rsid w:val="007658F0"/>
    <w:rsid w:val="00765964"/>
    <w:rsid w:val="007659FB"/>
    <w:rsid w:val="00765A65"/>
    <w:rsid w:val="00765B55"/>
    <w:rsid w:val="00765B62"/>
    <w:rsid w:val="00765B6B"/>
    <w:rsid w:val="00765BA7"/>
    <w:rsid w:val="00765CC4"/>
    <w:rsid w:val="00765DB6"/>
    <w:rsid w:val="007662C5"/>
    <w:rsid w:val="007663D6"/>
    <w:rsid w:val="007663F2"/>
    <w:rsid w:val="00766411"/>
    <w:rsid w:val="00766420"/>
    <w:rsid w:val="00766476"/>
    <w:rsid w:val="007665D2"/>
    <w:rsid w:val="00766648"/>
    <w:rsid w:val="007666E8"/>
    <w:rsid w:val="00766946"/>
    <w:rsid w:val="00766AD3"/>
    <w:rsid w:val="00766AFC"/>
    <w:rsid w:val="00766B6A"/>
    <w:rsid w:val="00766BAA"/>
    <w:rsid w:val="00766BE7"/>
    <w:rsid w:val="00766C7D"/>
    <w:rsid w:val="00766C97"/>
    <w:rsid w:val="00766D49"/>
    <w:rsid w:val="00766F63"/>
    <w:rsid w:val="00766FB3"/>
    <w:rsid w:val="007672AF"/>
    <w:rsid w:val="0076736C"/>
    <w:rsid w:val="00767755"/>
    <w:rsid w:val="00767779"/>
    <w:rsid w:val="0076780C"/>
    <w:rsid w:val="007678FE"/>
    <w:rsid w:val="0076795D"/>
    <w:rsid w:val="00767A97"/>
    <w:rsid w:val="00767CEE"/>
    <w:rsid w:val="00767CF4"/>
    <w:rsid w:val="00767F86"/>
    <w:rsid w:val="0076833A"/>
    <w:rsid w:val="0076F723"/>
    <w:rsid w:val="0077000D"/>
    <w:rsid w:val="007702EF"/>
    <w:rsid w:val="007702F4"/>
    <w:rsid w:val="00770598"/>
    <w:rsid w:val="007706F1"/>
    <w:rsid w:val="007707B8"/>
    <w:rsid w:val="0077083C"/>
    <w:rsid w:val="00770932"/>
    <w:rsid w:val="0077096F"/>
    <w:rsid w:val="00770C20"/>
    <w:rsid w:val="00770C76"/>
    <w:rsid w:val="00770E49"/>
    <w:rsid w:val="00770EE5"/>
    <w:rsid w:val="00770F9C"/>
    <w:rsid w:val="00770FBA"/>
    <w:rsid w:val="0077104D"/>
    <w:rsid w:val="00771167"/>
    <w:rsid w:val="0077116E"/>
    <w:rsid w:val="007711FB"/>
    <w:rsid w:val="00771207"/>
    <w:rsid w:val="0077120D"/>
    <w:rsid w:val="00771216"/>
    <w:rsid w:val="0077145A"/>
    <w:rsid w:val="00771486"/>
    <w:rsid w:val="007714B6"/>
    <w:rsid w:val="007714F6"/>
    <w:rsid w:val="0077156A"/>
    <w:rsid w:val="0077157C"/>
    <w:rsid w:val="007715A6"/>
    <w:rsid w:val="0077176F"/>
    <w:rsid w:val="00771854"/>
    <w:rsid w:val="007718DB"/>
    <w:rsid w:val="007719B0"/>
    <w:rsid w:val="00771AEA"/>
    <w:rsid w:val="00771B83"/>
    <w:rsid w:val="00771C8A"/>
    <w:rsid w:val="00771F97"/>
    <w:rsid w:val="00772018"/>
    <w:rsid w:val="007721B6"/>
    <w:rsid w:val="0077263A"/>
    <w:rsid w:val="007726C1"/>
    <w:rsid w:val="00772918"/>
    <w:rsid w:val="00772923"/>
    <w:rsid w:val="007729E5"/>
    <w:rsid w:val="00772A36"/>
    <w:rsid w:val="00772DCB"/>
    <w:rsid w:val="00772E54"/>
    <w:rsid w:val="00772F49"/>
    <w:rsid w:val="007730B1"/>
    <w:rsid w:val="00773104"/>
    <w:rsid w:val="0077327F"/>
    <w:rsid w:val="0077335F"/>
    <w:rsid w:val="007733BD"/>
    <w:rsid w:val="00773465"/>
    <w:rsid w:val="00773506"/>
    <w:rsid w:val="00773602"/>
    <w:rsid w:val="0077366E"/>
    <w:rsid w:val="00773811"/>
    <w:rsid w:val="0077387C"/>
    <w:rsid w:val="00773934"/>
    <w:rsid w:val="00773955"/>
    <w:rsid w:val="00773AFB"/>
    <w:rsid w:val="00773B22"/>
    <w:rsid w:val="00773B4A"/>
    <w:rsid w:val="00773BB0"/>
    <w:rsid w:val="00773C3A"/>
    <w:rsid w:val="00773C44"/>
    <w:rsid w:val="00773C8C"/>
    <w:rsid w:val="00773FCE"/>
    <w:rsid w:val="0077418F"/>
    <w:rsid w:val="007741A5"/>
    <w:rsid w:val="00774297"/>
    <w:rsid w:val="00774304"/>
    <w:rsid w:val="00774351"/>
    <w:rsid w:val="00774515"/>
    <w:rsid w:val="00774647"/>
    <w:rsid w:val="00774680"/>
    <w:rsid w:val="00774879"/>
    <w:rsid w:val="007748B2"/>
    <w:rsid w:val="0077497B"/>
    <w:rsid w:val="00774A99"/>
    <w:rsid w:val="00774B9A"/>
    <w:rsid w:val="00774FCC"/>
    <w:rsid w:val="0077504B"/>
    <w:rsid w:val="00775232"/>
    <w:rsid w:val="00775252"/>
    <w:rsid w:val="007752F6"/>
    <w:rsid w:val="00775328"/>
    <w:rsid w:val="00775358"/>
    <w:rsid w:val="00775724"/>
    <w:rsid w:val="00775760"/>
    <w:rsid w:val="007758C3"/>
    <w:rsid w:val="00775976"/>
    <w:rsid w:val="00775B46"/>
    <w:rsid w:val="00775C70"/>
    <w:rsid w:val="00775D1F"/>
    <w:rsid w:val="00775DAF"/>
    <w:rsid w:val="00775DCC"/>
    <w:rsid w:val="00775F34"/>
    <w:rsid w:val="00775F99"/>
    <w:rsid w:val="00776173"/>
    <w:rsid w:val="00776191"/>
    <w:rsid w:val="00776291"/>
    <w:rsid w:val="00776542"/>
    <w:rsid w:val="007766C7"/>
    <w:rsid w:val="007766DA"/>
    <w:rsid w:val="007769BE"/>
    <w:rsid w:val="00776B5A"/>
    <w:rsid w:val="00776CEA"/>
    <w:rsid w:val="00776CED"/>
    <w:rsid w:val="00776F67"/>
    <w:rsid w:val="00776F7E"/>
    <w:rsid w:val="0077700C"/>
    <w:rsid w:val="00777237"/>
    <w:rsid w:val="0077723C"/>
    <w:rsid w:val="007772C3"/>
    <w:rsid w:val="00777380"/>
    <w:rsid w:val="00777395"/>
    <w:rsid w:val="007773BB"/>
    <w:rsid w:val="007774B6"/>
    <w:rsid w:val="00777538"/>
    <w:rsid w:val="00777667"/>
    <w:rsid w:val="0077786C"/>
    <w:rsid w:val="007778FD"/>
    <w:rsid w:val="007778FE"/>
    <w:rsid w:val="00777AE4"/>
    <w:rsid w:val="00777DE1"/>
    <w:rsid w:val="00777F82"/>
    <w:rsid w:val="00780021"/>
    <w:rsid w:val="0078008E"/>
    <w:rsid w:val="007802B1"/>
    <w:rsid w:val="00780430"/>
    <w:rsid w:val="0078050F"/>
    <w:rsid w:val="00780535"/>
    <w:rsid w:val="0078057B"/>
    <w:rsid w:val="007806BC"/>
    <w:rsid w:val="00780A04"/>
    <w:rsid w:val="00780A19"/>
    <w:rsid w:val="00780B3D"/>
    <w:rsid w:val="00780BF3"/>
    <w:rsid w:val="00780E68"/>
    <w:rsid w:val="0078118B"/>
    <w:rsid w:val="00781307"/>
    <w:rsid w:val="0078142C"/>
    <w:rsid w:val="00781582"/>
    <w:rsid w:val="007816C2"/>
    <w:rsid w:val="007816F5"/>
    <w:rsid w:val="00781723"/>
    <w:rsid w:val="0078191C"/>
    <w:rsid w:val="0078192A"/>
    <w:rsid w:val="00781952"/>
    <w:rsid w:val="0078196E"/>
    <w:rsid w:val="00781990"/>
    <w:rsid w:val="00781BA4"/>
    <w:rsid w:val="00781C73"/>
    <w:rsid w:val="00781F81"/>
    <w:rsid w:val="00782149"/>
    <w:rsid w:val="007822F4"/>
    <w:rsid w:val="007823A2"/>
    <w:rsid w:val="007823A3"/>
    <w:rsid w:val="0078244B"/>
    <w:rsid w:val="007824CC"/>
    <w:rsid w:val="007824EA"/>
    <w:rsid w:val="007825CB"/>
    <w:rsid w:val="0078266B"/>
    <w:rsid w:val="00782691"/>
    <w:rsid w:val="0078286D"/>
    <w:rsid w:val="00782910"/>
    <w:rsid w:val="00782A12"/>
    <w:rsid w:val="00782B5F"/>
    <w:rsid w:val="00782C70"/>
    <w:rsid w:val="00782CAE"/>
    <w:rsid w:val="00782D60"/>
    <w:rsid w:val="00782E37"/>
    <w:rsid w:val="0078309F"/>
    <w:rsid w:val="0078345C"/>
    <w:rsid w:val="0078348A"/>
    <w:rsid w:val="00783565"/>
    <w:rsid w:val="007836A0"/>
    <w:rsid w:val="007836E5"/>
    <w:rsid w:val="007837ED"/>
    <w:rsid w:val="0078394B"/>
    <w:rsid w:val="007839A9"/>
    <w:rsid w:val="00783AAE"/>
    <w:rsid w:val="00783C00"/>
    <w:rsid w:val="00783C35"/>
    <w:rsid w:val="00783C36"/>
    <w:rsid w:val="00783CEC"/>
    <w:rsid w:val="00783E57"/>
    <w:rsid w:val="00783FB9"/>
    <w:rsid w:val="00784087"/>
    <w:rsid w:val="00784113"/>
    <w:rsid w:val="00784138"/>
    <w:rsid w:val="00784432"/>
    <w:rsid w:val="00784527"/>
    <w:rsid w:val="00784533"/>
    <w:rsid w:val="00784603"/>
    <w:rsid w:val="007847E8"/>
    <w:rsid w:val="007847F6"/>
    <w:rsid w:val="00784AC9"/>
    <w:rsid w:val="00784C09"/>
    <w:rsid w:val="00784C65"/>
    <w:rsid w:val="00784D36"/>
    <w:rsid w:val="00784D56"/>
    <w:rsid w:val="00784F2B"/>
    <w:rsid w:val="00784FB0"/>
    <w:rsid w:val="00785024"/>
    <w:rsid w:val="007850A0"/>
    <w:rsid w:val="007850B9"/>
    <w:rsid w:val="007850E0"/>
    <w:rsid w:val="00785184"/>
    <w:rsid w:val="00785413"/>
    <w:rsid w:val="00785463"/>
    <w:rsid w:val="007856B0"/>
    <w:rsid w:val="007856DB"/>
    <w:rsid w:val="0078584A"/>
    <w:rsid w:val="007858EF"/>
    <w:rsid w:val="00785A0D"/>
    <w:rsid w:val="00785A77"/>
    <w:rsid w:val="00785A8C"/>
    <w:rsid w:val="00785C21"/>
    <w:rsid w:val="00785C43"/>
    <w:rsid w:val="00785D5D"/>
    <w:rsid w:val="0078601E"/>
    <w:rsid w:val="0078610A"/>
    <w:rsid w:val="0078613E"/>
    <w:rsid w:val="00786140"/>
    <w:rsid w:val="007861E4"/>
    <w:rsid w:val="00786356"/>
    <w:rsid w:val="00786408"/>
    <w:rsid w:val="0078664B"/>
    <w:rsid w:val="00786692"/>
    <w:rsid w:val="007866DD"/>
    <w:rsid w:val="00786741"/>
    <w:rsid w:val="00786922"/>
    <w:rsid w:val="0078696E"/>
    <w:rsid w:val="00786A91"/>
    <w:rsid w:val="00786B14"/>
    <w:rsid w:val="00786B55"/>
    <w:rsid w:val="00786CFF"/>
    <w:rsid w:val="00786ED3"/>
    <w:rsid w:val="0078710C"/>
    <w:rsid w:val="00787177"/>
    <w:rsid w:val="00787242"/>
    <w:rsid w:val="0078742F"/>
    <w:rsid w:val="007874D0"/>
    <w:rsid w:val="007874E4"/>
    <w:rsid w:val="007874E6"/>
    <w:rsid w:val="00787530"/>
    <w:rsid w:val="00787566"/>
    <w:rsid w:val="007875C0"/>
    <w:rsid w:val="00787B00"/>
    <w:rsid w:val="00787C9F"/>
    <w:rsid w:val="00787D1A"/>
    <w:rsid w:val="00787E26"/>
    <w:rsid w:val="00787E80"/>
    <w:rsid w:val="00787ECD"/>
    <w:rsid w:val="00789C0D"/>
    <w:rsid w:val="00790304"/>
    <w:rsid w:val="00790338"/>
    <w:rsid w:val="0079033B"/>
    <w:rsid w:val="007906AB"/>
    <w:rsid w:val="00790763"/>
    <w:rsid w:val="00790777"/>
    <w:rsid w:val="00790833"/>
    <w:rsid w:val="00790A1F"/>
    <w:rsid w:val="00790A27"/>
    <w:rsid w:val="00790A92"/>
    <w:rsid w:val="00790AA0"/>
    <w:rsid w:val="00790B93"/>
    <w:rsid w:val="00790BEB"/>
    <w:rsid w:val="00790C2F"/>
    <w:rsid w:val="00790D69"/>
    <w:rsid w:val="00790D85"/>
    <w:rsid w:val="00790EB8"/>
    <w:rsid w:val="00790FA6"/>
    <w:rsid w:val="0079101F"/>
    <w:rsid w:val="00791049"/>
    <w:rsid w:val="00791089"/>
    <w:rsid w:val="007910C0"/>
    <w:rsid w:val="00791162"/>
    <w:rsid w:val="007912D5"/>
    <w:rsid w:val="00791537"/>
    <w:rsid w:val="007916C9"/>
    <w:rsid w:val="0079182B"/>
    <w:rsid w:val="0079187A"/>
    <w:rsid w:val="007919B8"/>
    <w:rsid w:val="007919B9"/>
    <w:rsid w:val="00791CBB"/>
    <w:rsid w:val="00791CC6"/>
    <w:rsid w:val="00791F40"/>
    <w:rsid w:val="00792134"/>
    <w:rsid w:val="00792147"/>
    <w:rsid w:val="00792206"/>
    <w:rsid w:val="0079221C"/>
    <w:rsid w:val="0079227B"/>
    <w:rsid w:val="0079228E"/>
    <w:rsid w:val="00792423"/>
    <w:rsid w:val="007928A5"/>
    <w:rsid w:val="007928B8"/>
    <w:rsid w:val="007928C1"/>
    <w:rsid w:val="0079295A"/>
    <w:rsid w:val="00792A39"/>
    <w:rsid w:val="00792AAC"/>
    <w:rsid w:val="00792BD6"/>
    <w:rsid w:val="00792CE5"/>
    <w:rsid w:val="00792E96"/>
    <w:rsid w:val="00792F09"/>
    <w:rsid w:val="00792F70"/>
    <w:rsid w:val="00792F86"/>
    <w:rsid w:val="007932E4"/>
    <w:rsid w:val="0079332C"/>
    <w:rsid w:val="00793338"/>
    <w:rsid w:val="00793474"/>
    <w:rsid w:val="007935B3"/>
    <w:rsid w:val="007935B6"/>
    <w:rsid w:val="0079363E"/>
    <w:rsid w:val="007938C9"/>
    <w:rsid w:val="00793BFA"/>
    <w:rsid w:val="00793CFF"/>
    <w:rsid w:val="00793D8F"/>
    <w:rsid w:val="00793D93"/>
    <w:rsid w:val="00793E4A"/>
    <w:rsid w:val="00793EBB"/>
    <w:rsid w:val="00793EFA"/>
    <w:rsid w:val="00793F7E"/>
    <w:rsid w:val="00793FF2"/>
    <w:rsid w:val="00793FFE"/>
    <w:rsid w:val="0079404C"/>
    <w:rsid w:val="00794157"/>
    <w:rsid w:val="007941B9"/>
    <w:rsid w:val="00794264"/>
    <w:rsid w:val="0079428A"/>
    <w:rsid w:val="00794505"/>
    <w:rsid w:val="00794872"/>
    <w:rsid w:val="00794928"/>
    <w:rsid w:val="00794980"/>
    <w:rsid w:val="00794A93"/>
    <w:rsid w:val="0079516D"/>
    <w:rsid w:val="007952EF"/>
    <w:rsid w:val="00795325"/>
    <w:rsid w:val="0079533E"/>
    <w:rsid w:val="00795390"/>
    <w:rsid w:val="007953BB"/>
    <w:rsid w:val="00795602"/>
    <w:rsid w:val="007959A8"/>
    <w:rsid w:val="00795B86"/>
    <w:rsid w:val="00795D3D"/>
    <w:rsid w:val="00795F2B"/>
    <w:rsid w:val="00795FFD"/>
    <w:rsid w:val="007960EA"/>
    <w:rsid w:val="0079610D"/>
    <w:rsid w:val="007961A5"/>
    <w:rsid w:val="007962A2"/>
    <w:rsid w:val="007963ED"/>
    <w:rsid w:val="00796404"/>
    <w:rsid w:val="0079652B"/>
    <w:rsid w:val="0079659E"/>
    <w:rsid w:val="00796641"/>
    <w:rsid w:val="0079677F"/>
    <w:rsid w:val="007967B0"/>
    <w:rsid w:val="00796873"/>
    <w:rsid w:val="0079691F"/>
    <w:rsid w:val="007969FA"/>
    <w:rsid w:val="00796CAC"/>
    <w:rsid w:val="00796E8E"/>
    <w:rsid w:val="00796EC0"/>
    <w:rsid w:val="00796F55"/>
    <w:rsid w:val="00796F9B"/>
    <w:rsid w:val="00796FF0"/>
    <w:rsid w:val="00797051"/>
    <w:rsid w:val="00797086"/>
    <w:rsid w:val="007970FB"/>
    <w:rsid w:val="00797459"/>
    <w:rsid w:val="007975C4"/>
    <w:rsid w:val="0079777C"/>
    <w:rsid w:val="0079786A"/>
    <w:rsid w:val="0079791B"/>
    <w:rsid w:val="00797AD3"/>
    <w:rsid w:val="00797BE1"/>
    <w:rsid w:val="00797CA0"/>
    <w:rsid w:val="00797D4E"/>
    <w:rsid w:val="00797F3E"/>
    <w:rsid w:val="00797F77"/>
    <w:rsid w:val="0079CB4A"/>
    <w:rsid w:val="0079E900"/>
    <w:rsid w:val="0079ED59"/>
    <w:rsid w:val="007A00BD"/>
    <w:rsid w:val="007A00DF"/>
    <w:rsid w:val="007A0263"/>
    <w:rsid w:val="007A02F7"/>
    <w:rsid w:val="007A0529"/>
    <w:rsid w:val="007A057A"/>
    <w:rsid w:val="007A0792"/>
    <w:rsid w:val="007A0883"/>
    <w:rsid w:val="007A096D"/>
    <w:rsid w:val="007A0BC3"/>
    <w:rsid w:val="007A0D21"/>
    <w:rsid w:val="007A0D50"/>
    <w:rsid w:val="007A0EFC"/>
    <w:rsid w:val="007A0FC8"/>
    <w:rsid w:val="007A0FFB"/>
    <w:rsid w:val="007A1321"/>
    <w:rsid w:val="007A13EE"/>
    <w:rsid w:val="007A1402"/>
    <w:rsid w:val="007A144C"/>
    <w:rsid w:val="007A17F4"/>
    <w:rsid w:val="007A1844"/>
    <w:rsid w:val="007A1BBB"/>
    <w:rsid w:val="007A1C3D"/>
    <w:rsid w:val="007A1C55"/>
    <w:rsid w:val="007A1CB7"/>
    <w:rsid w:val="007A1D82"/>
    <w:rsid w:val="007A1DFE"/>
    <w:rsid w:val="007A1E20"/>
    <w:rsid w:val="007A1E9F"/>
    <w:rsid w:val="007A221F"/>
    <w:rsid w:val="007A227D"/>
    <w:rsid w:val="007A2389"/>
    <w:rsid w:val="007A23B5"/>
    <w:rsid w:val="007A27F4"/>
    <w:rsid w:val="007A2897"/>
    <w:rsid w:val="007A28AE"/>
    <w:rsid w:val="007A29E0"/>
    <w:rsid w:val="007A2A88"/>
    <w:rsid w:val="007A2B70"/>
    <w:rsid w:val="007A2D91"/>
    <w:rsid w:val="007A3008"/>
    <w:rsid w:val="007A3109"/>
    <w:rsid w:val="007A33F4"/>
    <w:rsid w:val="007A35EF"/>
    <w:rsid w:val="007A36E6"/>
    <w:rsid w:val="007A37F6"/>
    <w:rsid w:val="007A3878"/>
    <w:rsid w:val="007A388A"/>
    <w:rsid w:val="007A3AC8"/>
    <w:rsid w:val="007A3AF3"/>
    <w:rsid w:val="007A3C18"/>
    <w:rsid w:val="007A3CA7"/>
    <w:rsid w:val="007A3E2A"/>
    <w:rsid w:val="007A3E49"/>
    <w:rsid w:val="007A3E9F"/>
    <w:rsid w:val="007A3FFB"/>
    <w:rsid w:val="007A4016"/>
    <w:rsid w:val="007A4127"/>
    <w:rsid w:val="007A41BA"/>
    <w:rsid w:val="007A43DB"/>
    <w:rsid w:val="007A49AC"/>
    <w:rsid w:val="007A4B6F"/>
    <w:rsid w:val="007A4F00"/>
    <w:rsid w:val="007A4F54"/>
    <w:rsid w:val="007A511E"/>
    <w:rsid w:val="007A5159"/>
    <w:rsid w:val="007A5198"/>
    <w:rsid w:val="007A51E5"/>
    <w:rsid w:val="007A5407"/>
    <w:rsid w:val="007A5421"/>
    <w:rsid w:val="007A54D5"/>
    <w:rsid w:val="007A54EC"/>
    <w:rsid w:val="007A55B7"/>
    <w:rsid w:val="007A55E8"/>
    <w:rsid w:val="007A576D"/>
    <w:rsid w:val="007A57D0"/>
    <w:rsid w:val="007A5800"/>
    <w:rsid w:val="007A580F"/>
    <w:rsid w:val="007A5871"/>
    <w:rsid w:val="007A58B1"/>
    <w:rsid w:val="007A5929"/>
    <w:rsid w:val="007A5B93"/>
    <w:rsid w:val="007A5C57"/>
    <w:rsid w:val="007A5F69"/>
    <w:rsid w:val="007A600E"/>
    <w:rsid w:val="007A6100"/>
    <w:rsid w:val="007A6127"/>
    <w:rsid w:val="007A62AB"/>
    <w:rsid w:val="007A64C4"/>
    <w:rsid w:val="007A64E8"/>
    <w:rsid w:val="007A65BF"/>
    <w:rsid w:val="007A669B"/>
    <w:rsid w:val="007A66F4"/>
    <w:rsid w:val="007A6719"/>
    <w:rsid w:val="007A6722"/>
    <w:rsid w:val="007A6747"/>
    <w:rsid w:val="007A67C4"/>
    <w:rsid w:val="007A6834"/>
    <w:rsid w:val="007A684D"/>
    <w:rsid w:val="007A6A16"/>
    <w:rsid w:val="007A6B05"/>
    <w:rsid w:val="007A6B21"/>
    <w:rsid w:val="007A6C94"/>
    <w:rsid w:val="007A6E01"/>
    <w:rsid w:val="007A6EE2"/>
    <w:rsid w:val="007A7447"/>
    <w:rsid w:val="007A74FC"/>
    <w:rsid w:val="007A75D0"/>
    <w:rsid w:val="007A771A"/>
    <w:rsid w:val="007A78A5"/>
    <w:rsid w:val="007A79C2"/>
    <w:rsid w:val="007A7A8A"/>
    <w:rsid w:val="007A7DAB"/>
    <w:rsid w:val="007A7DAF"/>
    <w:rsid w:val="007A7E19"/>
    <w:rsid w:val="007A7ED7"/>
    <w:rsid w:val="007A7EF8"/>
    <w:rsid w:val="007B00DD"/>
    <w:rsid w:val="007B0165"/>
    <w:rsid w:val="007B0266"/>
    <w:rsid w:val="007B0280"/>
    <w:rsid w:val="007B04C9"/>
    <w:rsid w:val="007B0563"/>
    <w:rsid w:val="007B0569"/>
    <w:rsid w:val="007B07AE"/>
    <w:rsid w:val="007B07C7"/>
    <w:rsid w:val="007B084A"/>
    <w:rsid w:val="007B0B02"/>
    <w:rsid w:val="007B0BE4"/>
    <w:rsid w:val="007B0C6D"/>
    <w:rsid w:val="007B0DE6"/>
    <w:rsid w:val="007B0E11"/>
    <w:rsid w:val="007B0EE8"/>
    <w:rsid w:val="007B1142"/>
    <w:rsid w:val="007B145C"/>
    <w:rsid w:val="007B14E2"/>
    <w:rsid w:val="007B174E"/>
    <w:rsid w:val="007B1AD6"/>
    <w:rsid w:val="007B1B39"/>
    <w:rsid w:val="007B1C58"/>
    <w:rsid w:val="007B1D52"/>
    <w:rsid w:val="007B1E24"/>
    <w:rsid w:val="007B1FED"/>
    <w:rsid w:val="007B2382"/>
    <w:rsid w:val="007B24A9"/>
    <w:rsid w:val="007B2625"/>
    <w:rsid w:val="007B2644"/>
    <w:rsid w:val="007B26EC"/>
    <w:rsid w:val="007B2850"/>
    <w:rsid w:val="007B28E7"/>
    <w:rsid w:val="007B2B0E"/>
    <w:rsid w:val="007B2CF3"/>
    <w:rsid w:val="007B2D23"/>
    <w:rsid w:val="007B2DFD"/>
    <w:rsid w:val="007B2EDE"/>
    <w:rsid w:val="007B304C"/>
    <w:rsid w:val="007B3090"/>
    <w:rsid w:val="007B30D6"/>
    <w:rsid w:val="007B313F"/>
    <w:rsid w:val="007B344C"/>
    <w:rsid w:val="007B34EC"/>
    <w:rsid w:val="007B36CE"/>
    <w:rsid w:val="007B3784"/>
    <w:rsid w:val="007B384F"/>
    <w:rsid w:val="007B3851"/>
    <w:rsid w:val="007B3AFB"/>
    <w:rsid w:val="007B3B3A"/>
    <w:rsid w:val="007B3B66"/>
    <w:rsid w:val="007B3B78"/>
    <w:rsid w:val="007B3C24"/>
    <w:rsid w:val="007B3C53"/>
    <w:rsid w:val="007B3CBC"/>
    <w:rsid w:val="007B3DF3"/>
    <w:rsid w:val="007B3E47"/>
    <w:rsid w:val="007B3E58"/>
    <w:rsid w:val="007B3F0F"/>
    <w:rsid w:val="007B3F7E"/>
    <w:rsid w:val="007B4142"/>
    <w:rsid w:val="007B41EF"/>
    <w:rsid w:val="007B42EA"/>
    <w:rsid w:val="007B431D"/>
    <w:rsid w:val="007B45CC"/>
    <w:rsid w:val="007B4680"/>
    <w:rsid w:val="007B4684"/>
    <w:rsid w:val="007B47D6"/>
    <w:rsid w:val="007B48FE"/>
    <w:rsid w:val="007B4BFE"/>
    <w:rsid w:val="007B4C34"/>
    <w:rsid w:val="007B4F28"/>
    <w:rsid w:val="007B5091"/>
    <w:rsid w:val="007B50E5"/>
    <w:rsid w:val="007B539A"/>
    <w:rsid w:val="007B53FE"/>
    <w:rsid w:val="007B5607"/>
    <w:rsid w:val="007B569D"/>
    <w:rsid w:val="007B57B0"/>
    <w:rsid w:val="007B57C3"/>
    <w:rsid w:val="007B58A5"/>
    <w:rsid w:val="007B59DB"/>
    <w:rsid w:val="007B5C8B"/>
    <w:rsid w:val="007B5C98"/>
    <w:rsid w:val="007B5D6C"/>
    <w:rsid w:val="007B60F1"/>
    <w:rsid w:val="007B610A"/>
    <w:rsid w:val="007B62A2"/>
    <w:rsid w:val="007B62DE"/>
    <w:rsid w:val="007B6377"/>
    <w:rsid w:val="007B6384"/>
    <w:rsid w:val="007B68BD"/>
    <w:rsid w:val="007B68F0"/>
    <w:rsid w:val="007B690F"/>
    <w:rsid w:val="007B6ABF"/>
    <w:rsid w:val="007B6B6B"/>
    <w:rsid w:val="007B6C2E"/>
    <w:rsid w:val="007B6CB6"/>
    <w:rsid w:val="007B6EC5"/>
    <w:rsid w:val="007B6F6E"/>
    <w:rsid w:val="007B71AC"/>
    <w:rsid w:val="007B722C"/>
    <w:rsid w:val="007B74AD"/>
    <w:rsid w:val="007B74F1"/>
    <w:rsid w:val="007B756D"/>
    <w:rsid w:val="007B756E"/>
    <w:rsid w:val="007B7646"/>
    <w:rsid w:val="007B7685"/>
    <w:rsid w:val="007B7689"/>
    <w:rsid w:val="007B76DE"/>
    <w:rsid w:val="007B770B"/>
    <w:rsid w:val="007B770D"/>
    <w:rsid w:val="007B778E"/>
    <w:rsid w:val="007B790F"/>
    <w:rsid w:val="007B7A42"/>
    <w:rsid w:val="007B7C06"/>
    <w:rsid w:val="007B7D37"/>
    <w:rsid w:val="007B7FEF"/>
    <w:rsid w:val="007BE184"/>
    <w:rsid w:val="007BFFD6"/>
    <w:rsid w:val="007C0050"/>
    <w:rsid w:val="007C00E1"/>
    <w:rsid w:val="007C01AC"/>
    <w:rsid w:val="007C01FD"/>
    <w:rsid w:val="007C03BC"/>
    <w:rsid w:val="007C03D1"/>
    <w:rsid w:val="007C04BE"/>
    <w:rsid w:val="007C0663"/>
    <w:rsid w:val="007C06FB"/>
    <w:rsid w:val="007C094E"/>
    <w:rsid w:val="007C097E"/>
    <w:rsid w:val="007C097F"/>
    <w:rsid w:val="007C0A12"/>
    <w:rsid w:val="007C0B11"/>
    <w:rsid w:val="007C0C7A"/>
    <w:rsid w:val="007C0CD2"/>
    <w:rsid w:val="007C0F57"/>
    <w:rsid w:val="007C12A6"/>
    <w:rsid w:val="007C152C"/>
    <w:rsid w:val="007C15BF"/>
    <w:rsid w:val="007C164E"/>
    <w:rsid w:val="007C197D"/>
    <w:rsid w:val="007C1A16"/>
    <w:rsid w:val="007C1BE3"/>
    <w:rsid w:val="007C1CE7"/>
    <w:rsid w:val="007C1E9D"/>
    <w:rsid w:val="007C1F59"/>
    <w:rsid w:val="007C1FEF"/>
    <w:rsid w:val="007C2035"/>
    <w:rsid w:val="007C223B"/>
    <w:rsid w:val="007C22CC"/>
    <w:rsid w:val="007C2342"/>
    <w:rsid w:val="007C254F"/>
    <w:rsid w:val="007C26F9"/>
    <w:rsid w:val="007C2835"/>
    <w:rsid w:val="007C283D"/>
    <w:rsid w:val="007C28A4"/>
    <w:rsid w:val="007C29DF"/>
    <w:rsid w:val="007C2AA3"/>
    <w:rsid w:val="007C2CA2"/>
    <w:rsid w:val="007C2D30"/>
    <w:rsid w:val="007C2E10"/>
    <w:rsid w:val="007C319C"/>
    <w:rsid w:val="007C3711"/>
    <w:rsid w:val="007C3712"/>
    <w:rsid w:val="007C3776"/>
    <w:rsid w:val="007C37B4"/>
    <w:rsid w:val="007C37F3"/>
    <w:rsid w:val="007C3857"/>
    <w:rsid w:val="007C3ABF"/>
    <w:rsid w:val="007C3B97"/>
    <w:rsid w:val="007C3D6A"/>
    <w:rsid w:val="007C3DB4"/>
    <w:rsid w:val="007C3F08"/>
    <w:rsid w:val="007C40F8"/>
    <w:rsid w:val="007C4189"/>
    <w:rsid w:val="007C4210"/>
    <w:rsid w:val="007C4387"/>
    <w:rsid w:val="007C4405"/>
    <w:rsid w:val="007C480E"/>
    <w:rsid w:val="007C4A63"/>
    <w:rsid w:val="007C4A8E"/>
    <w:rsid w:val="007C4AC0"/>
    <w:rsid w:val="007C4B78"/>
    <w:rsid w:val="007C4DCE"/>
    <w:rsid w:val="007C4DFB"/>
    <w:rsid w:val="007C4E9A"/>
    <w:rsid w:val="007C4F9E"/>
    <w:rsid w:val="007C4FE2"/>
    <w:rsid w:val="007C5045"/>
    <w:rsid w:val="007C512D"/>
    <w:rsid w:val="007C518C"/>
    <w:rsid w:val="007C518F"/>
    <w:rsid w:val="007C538E"/>
    <w:rsid w:val="007C55EB"/>
    <w:rsid w:val="007C5778"/>
    <w:rsid w:val="007C585E"/>
    <w:rsid w:val="007C58CC"/>
    <w:rsid w:val="007C58D3"/>
    <w:rsid w:val="007C59E3"/>
    <w:rsid w:val="007C5A6D"/>
    <w:rsid w:val="007C5BD2"/>
    <w:rsid w:val="007C6126"/>
    <w:rsid w:val="007C61B9"/>
    <w:rsid w:val="007C6314"/>
    <w:rsid w:val="007C658C"/>
    <w:rsid w:val="007C6720"/>
    <w:rsid w:val="007C679B"/>
    <w:rsid w:val="007C6801"/>
    <w:rsid w:val="007C69EF"/>
    <w:rsid w:val="007C6B38"/>
    <w:rsid w:val="007C6B3C"/>
    <w:rsid w:val="007C6BFA"/>
    <w:rsid w:val="007C6CDB"/>
    <w:rsid w:val="007C6CDD"/>
    <w:rsid w:val="007C6D0E"/>
    <w:rsid w:val="007C6E64"/>
    <w:rsid w:val="007C704B"/>
    <w:rsid w:val="007C7193"/>
    <w:rsid w:val="007C719B"/>
    <w:rsid w:val="007C778F"/>
    <w:rsid w:val="007C77DE"/>
    <w:rsid w:val="007C77FD"/>
    <w:rsid w:val="007C791D"/>
    <w:rsid w:val="007C7995"/>
    <w:rsid w:val="007C79BB"/>
    <w:rsid w:val="007C7B56"/>
    <w:rsid w:val="007C7DA5"/>
    <w:rsid w:val="007C7E00"/>
    <w:rsid w:val="007C7E81"/>
    <w:rsid w:val="007C7EF8"/>
    <w:rsid w:val="007C7F44"/>
    <w:rsid w:val="007C7F99"/>
    <w:rsid w:val="007C9911"/>
    <w:rsid w:val="007CFD32"/>
    <w:rsid w:val="007D0283"/>
    <w:rsid w:val="007D02E4"/>
    <w:rsid w:val="007D0382"/>
    <w:rsid w:val="007D04B7"/>
    <w:rsid w:val="007D04ED"/>
    <w:rsid w:val="007D0650"/>
    <w:rsid w:val="007D069E"/>
    <w:rsid w:val="007D08EB"/>
    <w:rsid w:val="007D0C0A"/>
    <w:rsid w:val="007D0C67"/>
    <w:rsid w:val="007D0DA0"/>
    <w:rsid w:val="007D0DE5"/>
    <w:rsid w:val="007D1089"/>
    <w:rsid w:val="007D10A7"/>
    <w:rsid w:val="007D1104"/>
    <w:rsid w:val="007D1234"/>
    <w:rsid w:val="007D124F"/>
    <w:rsid w:val="007D127D"/>
    <w:rsid w:val="007D1368"/>
    <w:rsid w:val="007D136A"/>
    <w:rsid w:val="007D13B4"/>
    <w:rsid w:val="007D170D"/>
    <w:rsid w:val="007D18D9"/>
    <w:rsid w:val="007D1943"/>
    <w:rsid w:val="007D1983"/>
    <w:rsid w:val="007D1AE5"/>
    <w:rsid w:val="007D1B6F"/>
    <w:rsid w:val="007D1BF2"/>
    <w:rsid w:val="007D1CB0"/>
    <w:rsid w:val="007D1D71"/>
    <w:rsid w:val="007D1D72"/>
    <w:rsid w:val="007D1DAE"/>
    <w:rsid w:val="007D1E20"/>
    <w:rsid w:val="007D1E4F"/>
    <w:rsid w:val="007D1E59"/>
    <w:rsid w:val="007D1ED7"/>
    <w:rsid w:val="007D2149"/>
    <w:rsid w:val="007D214E"/>
    <w:rsid w:val="007D21D9"/>
    <w:rsid w:val="007D248A"/>
    <w:rsid w:val="007D24E3"/>
    <w:rsid w:val="007D25A9"/>
    <w:rsid w:val="007D265A"/>
    <w:rsid w:val="007D2765"/>
    <w:rsid w:val="007D27E1"/>
    <w:rsid w:val="007D2812"/>
    <w:rsid w:val="007D2918"/>
    <w:rsid w:val="007D2A17"/>
    <w:rsid w:val="007D2A34"/>
    <w:rsid w:val="007D2ADF"/>
    <w:rsid w:val="007D2AF7"/>
    <w:rsid w:val="007D2C96"/>
    <w:rsid w:val="007D2CFE"/>
    <w:rsid w:val="007D2D44"/>
    <w:rsid w:val="007D2D6F"/>
    <w:rsid w:val="007D2E72"/>
    <w:rsid w:val="007D3178"/>
    <w:rsid w:val="007D31E4"/>
    <w:rsid w:val="007D323C"/>
    <w:rsid w:val="007D3759"/>
    <w:rsid w:val="007D3826"/>
    <w:rsid w:val="007D396B"/>
    <w:rsid w:val="007D3A90"/>
    <w:rsid w:val="007D3B44"/>
    <w:rsid w:val="007D3B9D"/>
    <w:rsid w:val="007D3BA9"/>
    <w:rsid w:val="007D3D6F"/>
    <w:rsid w:val="007D3E5B"/>
    <w:rsid w:val="007D3F3D"/>
    <w:rsid w:val="007D3FA5"/>
    <w:rsid w:val="007D4228"/>
    <w:rsid w:val="007D45B9"/>
    <w:rsid w:val="007D4819"/>
    <w:rsid w:val="007D494C"/>
    <w:rsid w:val="007D4A3E"/>
    <w:rsid w:val="007D4B2E"/>
    <w:rsid w:val="007D4BB3"/>
    <w:rsid w:val="007D4CB8"/>
    <w:rsid w:val="007D4ECB"/>
    <w:rsid w:val="007D50D2"/>
    <w:rsid w:val="007D5101"/>
    <w:rsid w:val="007D5161"/>
    <w:rsid w:val="007D5195"/>
    <w:rsid w:val="007D5219"/>
    <w:rsid w:val="007D54E3"/>
    <w:rsid w:val="007D5583"/>
    <w:rsid w:val="007D55CC"/>
    <w:rsid w:val="007D5614"/>
    <w:rsid w:val="007D5626"/>
    <w:rsid w:val="007D5647"/>
    <w:rsid w:val="007D5977"/>
    <w:rsid w:val="007D5B67"/>
    <w:rsid w:val="007D5B72"/>
    <w:rsid w:val="007D5C2D"/>
    <w:rsid w:val="007D5D38"/>
    <w:rsid w:val="007D5D45"/>
    <w:rsid w:val="007D5D60"/>
    <w:rsid w:val="007D5DE2"/>
    <w:rsid w:val="007D5E70"/>
    <w:rsid w:val="007D5E8F"/>
    <w:rsid w:val="007D5EE4"/>
    <w:rsid w:val="007D5F10"/>
    <w:rsid w:val="007D5F73"/>
    <w:rsid w:val="007D604F"/>
    <w:rsid w:val="007D614A"/>
    <w:rsid w:val="007D648D"/>
    <w:rsid w:val="007D64E6"/>
    <w:rsid w:val="007D6566"/>
    <w:rsid w:val="007D65E4"/>
    <w:rsid w:val="007D66CC"/>
    <w:rsid w:val="007D66F9"/>
    <w:rsid w:val="007D69D3"/>
    <w:rsid w:val="007D6A7D"/>
    <w:rsid w:val="007D6A89"/>
    <w:rsid w:val="007D6D44"/>
    <w:rsid w:val="007D6FC7"/>
    <w:rsid w:val="007D6FF5"/>
    <w:rsid w:val="007D7296"/>
    <w:rsid w:val="007D72D2"/>
    <w:rsid w:val="007D7340"/>
    <w:rsid w:val="007D73C5"/>
    <w:rsid w:val="007D74F9"/>
    <w:rsid w:val="007D7654"/>
    <w:rsid w:val="007D77A0"/>
    <w:rsid w:val="007D77B5"/>
    <w:rsid w:val="007D77DB"/>
    <w:rsid w:val="007D7809"/>
    <w:rsid w:val="007D780F"/>
    <w:rsid w:val="007D7835"/>
    <w:rsid w:val="007D7885"/>
    <w:rsid w:val="007D7A42"/>
    <w:rsid w:val="007D7C8C"/>
    <w:rsid w:val="007D7CE6"/>
    <w:rsid w:val="007D7CF5"/>
    <w:rsid w:val="007D7EF4"/>
    <w:rsid w:val="007D7F05"/>
    <w:rsid w:val="007D7FBA"/>
    <w:rsid w:val="007D7FCA"/>
    <w:rsid w:val="007D862A"/>
    <w:rsid w:val="007D90B5"/>
    <w:rsid w:val="007DC88A"/>
    <w:rsid w:val="007DDBE4"/>
    <w:rsid w:val="007E02F5"/>
    <w:rsid w:val="007E04DE"/>
    <w:rsid w:val="007E0609"/>
    <w:rsid w:val="007E074C"/>
    <w:rsid w:val="007E07BA"/>
    <w:rsid w:val="007E0C85"/>
    <w:rsid w:val="007E0CC4"/>
    <w:rsid w:val="007E0DCE"/>
    <w:rsid w:val="007E0FEE"/>
    <w:rsid w:val="007E1053"/>
    <w:rsid w:val="007E1091"/>
    <w:rsid w:val="007E1109"/>
    <w:rsid w:val="007E1127"/>
    <w:rsid w:val="007E1129"/>
    <w:rsid w:val="007E1452"/>
    <w:rsid w:val="007E1515"/>
    <w:rsid w:val="007E16DD"/>
    <w:rsid w:val="007E1791"/>
    <w:rsid w:val="007E1DAA"/>
    <w:rsid w:val="007E1DC2"/>
    <w:rsid w:val="007E1E4C"/>
    <w:rsid w:val="007E203B"/>
    <w:rsid w:val="007E20F7"/>
    <w:rsid w:val="007E21EA"/>
    <w:rsid w:val="007E2258"/>
    <w:rsid w:val="007E2317"/>
    <w:rsid w:val="007E23DF"/>
    <w:rsid w:val="007E25CC"/>
    <w:rsid w:val="007E2825"/>
    <w:rsid w:val="007E2858"/>
    <w:rsid w:val="007E28E1"/>
    <w:rsid w:val="007E2ABD"/>
    <w:rsid w:val="007E2B2B"/>
    <w:rsid w:val="007E2B8F"/>
    <w:rsid w:val="007E2DB7"/>
    <w:rsid w:val="007E2DE2"/>
    <w:rsid w:val="007E2F6D"/>
    <w:rsid w:val="007E2F82"/>
    <w:rsid w:val="007E327A"/>
    <w:rsid w:val="007E3294"/>
    <w:rsid w:val="007E339D"/>
    <w:rsid w:val="007E343E"/>
    <w:rsid w:val="007E358A"/>
    <w:rsid w:val="007E359F"/>
    <w:rsid w:val="007E3838"/>
    <w:rsid w:val="007E3B8B"/>
    <w:rsid w:val="007E3CA2"/>
    <w:rsid w:val="007E3DEA"/>
    <w:rsid w:val="007E41A0"/>
    <w:rsid w:val="007E427C"/>
    <w:rsid w:val="007E42F1"/>
    <w:rsid w:val="007E46B9"/>
    <w:rsid w:val="007E472F"/>
    <w:rsid w:val="007E47C5"/>
    <w:rsid w:val="007E4929"/>
    <w:rsid w:val="007E4957"/>
    <w:rsid w:val="007E4AD0"/>
    <w:rsid w:val="007E4BD7"/>
    <w:rsid w:val="007E4BE4"/>
    <w:rsid w:val="007E4C92"/>
    <w:rsid w:val="007E4CAE"/>
    <w:rsid w:val="007E4CCB"/>
    <w:rsid w:val="007E4CDE"/>
    <w:rsid w:val="007E4D27"/>
    <w:rsid w:val="007E4E98"/>
    <w:rsid w:val="007E4EAE"/>
    <w:rsid w:val="007E4ED0"/>
    <w:rsid w:val="007E4ED6"/>
    <w:rsid w:val="007E4F42"/>
    <w:rsid w:val="007E4F4F"/>
    <w:rsid w:val="007E4FD7"/>
    <w:rsid w:val="007E5151"/>
    <w:rsid w:val="007E526A"/>
    <w:rsid w:val="007E526B"/>
    <w:rsid w:val="007E52BC"/>
    <w:rsid w:val="007E54E9"/>
    <w:rsid w:val="007E5777"/>
    <w:rsid w:val="007E5C42"/>
    <w:rsid w:val="007E5C60"/>
    <w:rsid w:val="007E5CF6"/>
    <w:rsid w:val="007E6127"/>
    <w:rsid w:val="007E614F"/>
    <w:rsid w:val="007E62C4"/>
    <w:rsid w:val="007E639E"/>
    <w:rsid w:val="007E63D9"/>
    <w:rsid w:val="007E6469"/>
    <w:rsid w:val="007E64F6"/>
    <w:rsid w:val="007E6544"/>
    <w:rsid w:val="007E6578"/>
    <w:rsid w:val="007E65A4"/>
    <w:rsid w:val="007E6638"/>
    <w:rsid w:val="007E6783"/>
    <w:rsid w:val="007E6787"/>
    <w:rsid w:val="007E67FE"/>
    <w:rsid w:val="007E692C"/>
    <w:rsid w:val="007E6A00"/>
    <w:rsid w:val="007E6B92"/>
    <w:rsid w:val="007E6BB7"/>
    <w:rsid w:val="007E6CAF"/>
    <w:rsid w:val="007E6E64"/>
    <w:rsid w:val="007E6F0D"/>
    <w:rsid w:val="007E6FD7"/>
    <w:rsid w:val="007E7072"/>
    <w:rsid w:val="007E70A7"/>
    <w:rsid w:val="007E70D2"/>
    <w:rsid w:val="007E70D8"/>
    <w:rsid w:val="007E7104"/>
    <w:rsid w:val="007E7199"/>
    <w:rsid w:val="007E72A3"/>
    <w:rsid w:val="007E72CB"/>
    <w:rsid w:val="007E7360"/>
    <w:rsid w:val="007E7452"/>
    <w:rsid w:val="007E75E5"/>
    <w:rsid w:val="007E7632"/>
    <w:rsid w:val="007E76BA"/>
    <w:rsid w:val="007E788F"/>
    <w:rsid w:val="007E78D6"/>
    <w:rsid w:val="007E7916"/>
    <w:rsid w:val="007E7AD2"/>
    <w:rsid w:val="007E7B1B"/>
    <w:rsid w:val="007E7CBE"/>
    <w:rsid w:val="007E7CC9"/>
    <w:rsid w:val="007E7D22"/>
    <w:rsid w:val="007E7DA1"/>
    <w:rsid w:val="007E7FE2"/>
    <w:rsid w:val="007F011F"/>
    <w:rsid w:val="007F021B"/>
    <w:rsid w:val="007F054D"/>
    <w:rsid w:val="007F0686"/>
    <w:rsid w:val="007F099B"/>
    <w:rsid w:val="007F0BB3"/>
    <w:rsid w:val="007F0BC6"/>
    <w:rsid w:val="007F0BDC"/>
    <w:rsid w:val="007F0CC1"/>
    <w:rsid w:val="007F0E9B"/>
    <w:rsid w:val="007F0FCB"/>
    <w:rsid w:val="007F0FE2"/>
    <w:rsid w:val="007F1153"/>
    <w:rsid w:val="007F115F"/>
    <w:rsid w:val="007F11F5"/>
    <w:rsid w:val="007F121A"/>
    <w:rsid w:val="007F127C"/>
    <w:rsid w:val="007F132C"/>
    <w:rsid w:val="007F13AC"/>
    <w:rsid w:val="007F14D4"/>
    <w:rsid w:val="007F15B8"/>
    <w:rsid w:val="007F16CA"/>
    <w:rsid w:val="007F17A9"/>
    <w:rsid w:val="007F1817"/>
    <w:rsid w:val="007F1926"/>
    <w:rsid w:val="007F1942"/>
    <w:rsid w:val="007F1B6E"/>
    <w:rsid w:val="007F1C53"/>
    <w:rsid w:val="007F1C55"/>
    <w:rsid w:val="007F1E6C"/>
    <w:rsid w:val="007F1F18"/>
    <w:rsid w:val="007F1F8E"/>
    <w:rsid w:val="007F1FCA"/>
    <w:rsid w:val="007F2280"/>
    <w:rsid w:val="007F2431"/>
    <w:rsid w:val="007F24EE"/>
    <w:rsid w:val="007F2583"/>
    <w:rsid w:val="007F2771"/>
    <w:rsid w:val="007F2854"/>
    <w:rsid w:val="007F285C"/>
    <w:rsid w:val="007F28C7"/>
    <w:rsid w:val="007F2AB5"/>
    <w:rsid w:val="007F2C9E"/>
    <w:rsid w:val="007F2E40"/>
    <w:rsid w:val="007F2E8B"/>
    <w:rsid w:val="007F2ED7"/>
    <w:rsid w:val="007F2F43"/>
    <w:rsid w:val="007F3105"/>
    <w:rsid w:val="007F3108"/>
    <w:rsid w:val="007F3277"/>
    <w:rsid w:val="007F32D0"/>
    <w:rsid w:val="007F33B5"/>
    <w:rsid w:val="007F342E"/>
    <w:rsid w:val="007F3526"/>
    <w:rsid w:val="007F359B"/>
    <w:rsid w:val="007F37CD"/>
    <w:rsid w:val="007F37F8"/>
    <w:rsid w:val="007F380A"/>
    <w:rsid w:val="007F3822"/>
    <w:rsid w:val="007F3823"/>
    <w:rsid w:val="007F39FA"/>
    <w:rsid w:val="007F3A39"/>
    <w:rsid w:val="007F3A44"/>
    <w:rsid w:val="007F3C00"/>
    <w:rsid w:val="007F3DA1"/>
    <w:rsid w:val="007F3FB1"/>
    <w:rsid w:val="007F4063"/>
    <w:rsid w:val="007F4115"/>
    <w:rsid w:val="007F413C"/>
    <w:rsid w:val="007F41D7"/>
    <w:rsid w:val="007F421A"/>
    <w:rsid w:val="007F449D"/>
    <w:rsid w:val="007F449F"/>
    <w:rsid w:val="007F44B4"/>
    <w:rsid w:val="007F45B4"/>
    <w:rsid w:val="007F4B16"/>
    <w:rsid w:val="007F4D24"/>
    <w:rsid w:val="007F4D6C"/>
    <w:rsid w:val="007F4E1B"/>
    <w:rsid w:val="007F4E34"/>
    <w:rsid w:val="007F4EAF"/>
    <w:rsid w:val="007F4F8B"/>
    <w:rsid w:val="007F4FD9"/>
    <w:rsid w:val="007F4FE7"/>
    <w:rsid w:val="007F521A"/>
    <w:rsid w:val="007F52F6"/>
    <w:rsid w:val="007F530C"/>
    <w:rsid w:val="007F53C7"/>
    <w:rsid w:val="007F542B"/>
    <w:rsid w:val="007F558F"/>
    <w:rsid w:val="007F574F"/>
    <w:rsid w:val="007F598A"/>
    <w:rsid w:val="007F59E2"/>
    <w:rsid w:val="007F5A63"/>
    <w:rsid w:val="007F5A6A"/>
    <w:rsid w:val="007F5ACC"/>
    <w:rsid w:val="007F5C80"/>
    <w:rsid w:val="007F5CC5"/>
    <w:rsid w:val="007F5D80"/>
    <w:rsid w:val="007F5E1F"/>
    <w:rsid w:val="007F5ED3"/>
    <w:rsid w:val="007F5F53"/>
    <w:rsid w:val="007F5F59"/>
    <w:rsid w:val="007F5F93"/>
    <w:rsid w:val="007F5F9C"/>
    <w:rsid w:val="007F6028"/>
    <w:rsid w:val="007F611A"/>
    <w:rsid w:val="007F61D7"/>
    <w:rsid w:val="007F6323"/>
    <w:rsid w:val="007F6325"/>
    <w:rsid w:val="007F6341"/>
    <w:rsid w:val="007F649E"/>
    <w:rsid w:val="007F651F"/>
    <w:rsid w:val="007F6561"/>
    <w:rsid w:val="007F657A"/>
    <w:rsid w:val="007F65A2"/>
    <w:rsid w:val="007F6608"/>
    <w:rsid w:val="007F6778"/>
    <w:rsid w:val="007F68CE"/>
    <w:rsid w:val="007F6971"/>
    <w:rsid w:val="007F69AA"/>
    <w:rsid w:val="007F6B89"/>
    <w:rsid w:val="007F6BAB"/>
    <w:rsid w:val="007F6C8E"/>
    <w:rsid w:val="007F6D2C"/>
    <w:rsid w:val="007F6DC9"/>
    <w:rsid w:val="007F6E1E"/>
    <w:rsid w:val="007F6ED5"/>
    <w:rsid w:val="007F6EF0"/>
    <w:rsid w:val="007F6F19"/>
    <w:rsid w:val="007F7014"/>
    <w:rsid w:val="007F71CA"/>
    <w:rsid w:val="007F7202"/>
    <w:rsid w:val="007F7250"/>
    <w:rsid w:val="007F72DF"/>
    <w:rsid w:val="007F7481"/>
    <w:rsid w:val="007F751E"/>
    <w:rsid w:val="007F76C5"/>
    <w:rsid w:val="007F7745"/>
    <w:rsid w:val="007F78F0"/>
    <w:rsid w:val="007F7911"/>
    <w:rsid w:val="007F7967"/>
    <w:rsid w:val="007F7CC6"/>
    <w:rsid w:val="007F7D3B"/>
    <w:rsid w:val="007F7DAB"/>
    <w:rsid w:val="007F7E0B"/>
    <w:rsid w:val="007F7F72"/>
    <w:rsid w:val="007F7FE7"/>
    <w:rsid w:val="0080013C"/>
    <w:rsid w:val="008001B7"/>
    <w:rsid w:val="008004CF"/>
    <w:rsid w:val="00800502"/>
    <w:rsid w:val="0080050B"/>
    <w:rsid w:val="00800620"/>
    <w:rsid w:val="008006BE"/>
    <w:rsid w:val="0080098D"/>
    <w:rsid w:val="00800B33"/>
    <w:rsid w:val="00800C88"/>
    <w:rsid w:val="00800CAD"/>
    <w:rsid w:val="00800F11"/>
    <w:rsid w:val="00800F6F"/>
    <w:rsid w:val="00800F95"/>
    <w:rsid w:val="008010DB"/>
    <w:rsid w:val="00801216"/>
    <w:rsid w:val="00801268"/>
    <w:rsid w:val="00801316"/>
    <w:rsid w:val="0080132F"/>
    <w:rsid w:val="00801337"/>
    <w:rsid w:val="00801358"/>
    <w:rsid w:val="008014E0"/>
    <w:rsid w:val="00801587"/>
    <w:rsid w:val="0080166E"/>
    <w:rsid w:val="00801715"/>
    <w:rsid w:val="00801760"/>
    <w:rsid w:val="008017CA"/>
    <w:rsid w:val="00801856"/>
    <w:rsid w:val="008018C0"/>
    <w:rsid w:val="00801BFA"/>
    <w:rsid w:val="00801BFC"/>
    <w:rsid w:val="00801D32"/>
    <w:rsid w:val="00801E1E"/>
    <w:rsid w:val="00801EAB"/>
    <w:rsid w:val="00802326"/>
    <w:rsid w:val="00802764"/>
    <w:rsid w:val="00802859"/>
    <w:rsid w:val="008029F6"/>
    <w:rsid w:val="00802AAA"/>
    <w:rsid w:val="00802BDF"/>
    <w:rsid w:val="00802BFB"/>
    <w:rsid w:val="00802C7B"/>
    <w:rsid w:val="00802CB1"/>
    <w:rsid w:val="00802E50"/>
    <w:rsid w:val="0080301A"/>
    <w:rsid w:val="0080342D"/>
    <w:rsid w:val="0080355B"/>
    <w:rsid w:val="008036BD"/>
    <w:rsid w:val="0080372E"/>
    <w:rsid w:val="00803774"/>
    <w:rsid w:val="00803B04"/>
    <w:rsid w:val="00803F30"/>
    <w:rsid w:val="00803F71"/>
    <w:rsid w:val="00804115"/>
    <w:rsid w:val="0080419B"/>
    <w:rsid w:val="00804223"/>
    <w:rsid w:val="0080426A"/>
    <w:rsid w:val="0080430D"/>
    <w:rsid w:val="00804465"/>
    <w:rsid w:val="00804547"/>
    <w:rsid w:val="008046E3"/>
    <w:rsid w:val="008047C0"/>
    <w:rsid w:val="008049E1"/>
    <w:rsid w:val="00804E19"/>
    <w:rsid w:val="00804F0F"/>
    <w:rsid w:val="00805117"/>
    <w:rsid w:val="00805200"/>
    <w:rsid w:val="00805261"/>
    <w:rsid w:val="00805351"/>
    <w:rsid w:val="008055D9"/>
    <w:rsid w:val="008055EC"/>
    <w:rsid w:val="0080566E"/>
    <w:rsid w:val="008056CE"/>
    <w:rsid w:val="0080573C"/>
    <w:rsid w:val="008057A2"/>
    <w:rsid w:val="008057EC"/>
    <w:rsid w:val="00805869"/>
    <w:rsid w:val="00805897"/>
    <w:rsid w:val="008058EB"/>
    <w:rsid w:val="00805D63"/>
    <w:rsid w:val="00805E7B"/>
    <w:rsid w:val="00805ED3"/>
    <w:rsid w:val="00805F99"/>
    <w:rsid w:val="00806007"/>
    <w:rsid w:val="0080600B"/>
    <w:rsid w:val="00806046"/>
    <w:rsid w:val="0080613C"/>
    <w:rsid w:val="0080617F"/>
    <w:rsid w:val="0080632C"/>
    <w:rsid w:val="00806410"/>
    <w:rsid w:val="008064A0"/>
    <w:rsid w:val="00806669"/>
    <w:rsid w:val="00806791"/>
    <w:rsid w:val="008069B7"/>
    <w:rsid w:val="008069DE"/>
    <w:rsid w:val="00806A1A"/>
    <w:rsid w:val="00806BEB"/>
    <w:rsid w:val="00806CB4"/>
    <w:rsid w:val="00806EF5"/>
    <w:rsid w:val="00806EFF"/>
    <w:rsid w:val="00806FFE"/>
    <w:rsid w:val="0080704A"/>
    <w:rsid w:val="0080708E"/>
    <w:rsid w:val="00807240"/>
    <w:rsid w:val="0080752A"/>
    <w:rsid w:val="00807610"/>
    <w:rsid w:val="00807618"/>
    <w:rsid w:val="00807690"/>
    <w:rsid w:val="0080799B"/>
    <w:rsid w:val="00807A37"/>
    <w:rsid w:val="00807C1E"/>
    <w:rsid w:val="00807D05"/>
    <w:rsid w:val="00807DE6"/>
    <w:rsid w:val="00807DE7"/>
    <w:rsid w:val="00810023"/>
    <w:rsid w:val="0081007E"/>
    <w:rsid w:val="00810105"/>
    <w:rsid w:val="00810283"/>
    <w:rsid w:val="008102BF"/>
    <w:rsid w:val="00810633"/>
    <w:rsid w:val="0081063E"/>
    <w:rsid w:val="00810726"/>
    <w:rsid w:val="00810734"/>
    <w:rsid w:val="008107FF"/>
    <w:rsid w:val="0081096F"/>
    <w:rsid w:val="00810A34"/>
    <w:rsid w:val="00810B9B"/>
    <w:rsid w:val="00810BB3"/>
    <w:rsid w:val="00810DBB"/>
    <w:rsid w:val="0081104D"/>
    <w:rsid w:val="00811055"/>
    <w:rsid w:val="008110BC"/>
    <w:rsid w:val="008111A0"/>
    <w:rsid w:val="00811260"/>
    <w:rsid w:val="008112AF"/>
    <w:rsid w:val="00811321"/>
    <w:rsid w:val="0081155F"/>
    <w:rsid w:val="00811580"/>
    <w:rsid w:val="00811677"/>
    <w:rsid w:val="008117E4"/>
    <w:rsid w:val="00811864"/>
    <w:rsid w:val="008118BF"/>
    <w:rsid w:val="008119F7"/>
    <w:rsid w:val="00811BCB"/>
    <w:rsid w:val="00811C24"/>
    <w:rsid w:val="00811F39"/>
    <w:rsid w:val="00811FAA"/>
    <w:rsid w:val="00812032"/>
    <w:rsid w:val="00812093"/>
    <w:rsid w:val="00812464"/>
    <w:rsid w:val="008125AB"/>
    <w:rsid w:val="008126B5"/>
    <w:rsid w:val="008126CA"/>
    <w:rsid w:val="00812885"/>
    <w:rsid w:val="0081289E"/>
    <w:rsid w:val="00812902"/>
    <w:rsid w:val="00812B5E"/>
    <w:rsid w:val="00812E56"/>
    <w:rsid w:val="00812FA4"/>
    <w:rsid w:val="0081304E"/>
    <w:rsid w:val="008132E8"/>
    <w:rsid w:val="008133CB"/>
    <w:rsid w:val="00813434"/>
    <w:rsid w:val="0081344A"/>
    <w:rsid w:val="00813677"/>
    <w:rsid w:val="0081383D"/>
    <w:rsid w:val="008138C7"/>
    <w:rsid w:val="008139A0"/>
    <w:rsid w:val="008139C5"/>
    <w:rsid w:val="00813A0E"/>
    <w:rsid w:val="00813A99"/>
    <w:rsid w:val="00813B8C"/>
    <w:rsid w:val="00813BDA"/>
    <w:rsid w:val="00813C92"/>
    <w:rsid w:val="00813D4F"/>
    <w:rsid w:val="00813F22"/>
    <w:rsid w:val="00814058"/>
    <w:rsid w:val="008141AB"/>
    <w:rsid w:val="00814279"/>
    <w:rsid w:val="00814580"/>
    <w:rsid w:val="008145B1"/>
    <w:rsid w:val="00814787"/>
    <w:rsid w:val="008149B6"/>
    <w:rsid w:val="00814B4F"/>
    <w:rsid w:val="00814C14"/>
    <w:rsid w:val="00814D91"/>
    <w:rsid w:val="00814DE3"/>
    <w:rsid w:val="00814E8E"/>
    <w:rsid w:val="00814FB8"/>
    <w:rsid w:val="008150FF"/>
    <w:rsid w:val="00815134"/>
    <w:rsid w:val="008151F3"/>
    <w:rsid w:val="0081521A"/>
    <w:rsid w:val="0081530A"/>
    <w:rsid w:val="00815479"/>
    <w:rsid w:val="008154B0"/>
    <w:rsid w:val="00815700"/>
    <w:rsid w:val="0081573E"/>
    <w:rsid w:val="00815744"/>
    <w:rsid w:val="008157EA"/>
    <w:rsid w:val="008158F2"/>
    <w:rsid w:val="008159D1"/>
    <w:rsid w:val="00815A6F"/>
    <w:rsid w:val="00815B37"/>
    <w:rsid w:val="00815BD4"/>
    <w:rsid w:val="00815C15"/>
    <w:rsid w:val="00815C79"/>
    <w:rsid w:val="00815CCE"/>
    <w:rsid w:val="00815CD4"/>
    <w:rsid w:val="00815CE1"/>
    <w:rsid w:val="00815D74"/>
    <w:rsid w:val="00815EAD"/>
    <w:rsid w:val="00815FD6"/>
    <w:rsid w:val="00815FDD"/>
    <w:rsid w:val="00816031"/>
    <w:rsid w:val="008161CC"/>
    <w:rsid w:val="008161FC"/>
    <w:rsid w:val="00816233"/>
    <w:rsid w:val="00816246"/>
    <w:rsid w:val="00816263"/>
    <w:rsid w:val="008164C8"/>
    <w:rsid w:val="008166C4"/>
    <w:rsid w:val="00816843"/>
    <w:rsid w:val="008168A0"/>
    <w:rsid w:val="008168AE"/>
    <w:rsid w:val="0081691B"/>
    <w:rsid w:val="00816961"/>
    <w:rsid w:val="008169D5"/>
    <w:rsid w:val="008169EB"/>
    <w:rsid w:val="008169F8"/>
    <w:rsid w:val="00816A2F"/>
    <w:rsid w:val="00816B17"/>
    <w:rsid w:val="00816B7A"/>
    <w:rsid w:val="00816CDC"/>
    <w:rsid w:val="00816EE7"/>
    <w:rsid w:val="00816F0F"/>
    <w:rsid w:val="00816F66"/>
    <w:rsid w:val="00816F93"/>
    <w:rsid w:val="008170DA"/>
    <w:rsid w:val="0081739C"/>
    <w:rsid w:val="008174D8"/>
    <w:rsid w:val="00817675"/>
    <w:rsid w:val="008176AC"/>
    <w:rsid w:val="008176F9"/>
    <w:rsid w:val="0081771C"/>
    <w:rsid w:val="008177CE"/>
    <w:rsid w:val="00817802"/>
    <w:rsid w:val="00817807"/>
    <w:rsid w:val="0081793E"/>
    <w:rsid w:val="00817968"/>
    <w:rsid w:val="008179F7"/>
    <w:rsid w:val="00817A95"/>
    <w:rsid w:val="00817ADD"/>
    <w:rsid w:val="00817B63"/>
    <w:rsid w:val="00817B7F"/>
    <w:rsid w:val="00817BF4"/>
    <w:rsid w:val="00817C8E"/>
    <w:rsid w:val="00817CBD"/>
    <w:rsid w:val="00817CF3"/>
    <w:rsid w:val="00817D88"/>
    <w:rsid w:val="00817DE3"/>
    <w:rsid w:val="00817F20"/>
    <w:rsid w:val="00817F9C"/>
    <w:rsid w:val="00817FA2"/>
    <w:rsid w:val="008202E5"/>
    <w:rsid w:val="0082037C"/>
    <w:rsid w:val="00820381"/>
    <w:rsid w:val="00820445"/>
    <w:rsid w:val="008204AE"/>
    <w:rsid w:val="008204B5"/>
    <w:rsid w:val="008205BC"/>
    <w:rsid w:val="008206F2"/>
    <w:rsid w:val="00820767"/>
    <w:rsid w:val="008209C6"/>
    <w:rsid w:val="008209CA"/>
    <w:rsid w:val="00820AC2"/>
    <w:rsid w:val="00820E62"/>
    <w:rsid w:val="00821000"/>
    <w:rsid w:val="008210E2"/>
    <w:rsid w:val="008212D3"/>
    <w:rsid w:val="008212D4"/>
    <w:rsid w:val="0082132E"/>
    <w:rsid w:val="008213C9"/>
    <w:rsid w:val="00821466"/>
    <w:rsid w:val="008214F2"/>
    <w:rsid w:val="0082151C"/>
    <w:rsid w:val="0082184B"/>
    <w:rsid w:val="00821A71"/>
    <w:rsid w:val="00821D03"/>
    <w:rsid w:val="00821D05"/>
    <w:rsid w:val="00821D6E"/>
    <w:rsid w:val="00821F3E"/>
    <w:rsid w:val="00822000"/>
    <w:rsid w:val="0082201E"/>
    <w:rsid w:val="00822152"/>
    <w:rsid w:val="00822199"/>
    <w:rsid w:val="00822233"/>
    <w:rsid w:val="008223D0"/>
    <w:rsid w:val="008223DF"/>
    <w:rsid w:val="00822400"/>
    <w:rsid w:val="0082247D"/>
    <w:rsid w:val="00822675"/>
    <w:rsid w:val="00822703"/>
    <w:rsid w:val="00822805"/>
    <w:rsid w:val="008229BC"/>
    <w:rsid w:val="008229E3"/>
    <w:rsid w:val="00822CE2"/>
    <w:rsid w:val="00822E45"/>
    <w:rsid w:val="00822E8B"/>
    <w:rsid w:val="00822FF4"/>
    <w:rsid w:val="00823076"/>
    <w:rsid w:val="008232D7"/>
    <w:rsid w:val="0082332B"/>
    <w:rsid w:val="00823429"/>
    <w:rsid w:val="00823483"/>
    <w:rsid w:val="00823680"/>
    <w:rsid w:val="008238D0"/>
    <w:rsid w:val="0082390B"/>
    <w:rsid w:val="00823AF6"/>
    <w:rsid w:val="00823E98"/>
    <w:rsid w:val="00823F80"/>
    <w:rsid w:val="00824081"/>
    <w:rsid w:val="008240AE"/>
    <w:rsid w:val="008240FE"/>
    <w:rsid w:val="00824289"/>
    <w:rsid w:val="00824297"/>
    <w:rsid w:val="0082429E"/>
    <w:rsid w:val="008242EA"/>
    <w:rsid w:val="008246AE"/>
    <w:rsid w:val="00824839"/>
    <w:rsid w:val="008249F0"/>
    <w:rsid w:val="00824B93"/>
    <w:rsid w:val="00824C30"/>
    <w:rsid w:val="00824D78"/>
    <w:rsid w:val="00824E32"/>
    <w:rsid w:val="00824FA1"/>
    <w:rsid w:val="00824FC6"/>
    <w:rsid w:val="00825042"/>
    <w:rsid w:val="008250D8"/>
    <w:rsid w:val="00825403"/>
    <w:rsid w:val="0082543D"/>
    <w:rsid w:val="008255EB"/>
    <w:rsid w:val="0082565A"/>
    <w:rsid w:val="00825699"/>
    <w:rsid w:val="008257C6"/>
    <w:rsid w:val="008257CC"/>
    <w:rsid w:val="00825811"/>
    <w:rsid w:val="00825830"/>
    <w:rsid w:val="00825A04"/>
    <w:rsid w:val="00825A4A"/>
    <w:rsid w:val="00825AC0"/>
    <w:rsid w:val="00825AE7"/>
    <w:rsid w:val="00825B43"/>
    <w:rsid w:val="00825C29"/>
    <w:rsid w:val="00825C5C"/>
    <w:rsid w:val="00825CC3"/>
    <w:rsid w:val="00825CD9"/>
    <w:rsid w:val="00825DBA"/>
    <w:rsid w:val="008260E0"/>
    <w:rsid w:val="00826234"/>
    <w:rsid w:val="00826280"/>
    <w:rsid w:val="008263C1"/>
    <w:rsid w:val="008263F0"/>
    <w:rsid w:val="00826719"/>
    <w:rsid w:val="008267DF"/>
    <w:rsid w:val="008267E9"/>
    <w:rsid w:val="008269CF"/>
    <w:rsid w:val="00826A3E"/>
    <w:rsid w:val="00826CC0"/>
    <w:rsid w:val="00826DAE"/>
    <w:rsid w:val="00826E07"/>
    <w:rsid w:val="00826F0F"/>
    <w:rsid w:val="00826F72"/>
    <w:rsid w:val="008271D9"/>
    <w:rsid w:val="008273FC"/>
    <w:rsid w:val="00827498"/>
    <w:rsid w:val="00827656"/>
    <w:rsid w:val="0082768B"/>
    <w:rsid w:val="008277DA"/>
    <w:rsid w:val="00827A79"/>
    <w:rsid w:val="00827BEB"/>
    <w:rsid w:val="00827D9B"/>
    <w:rsid w:val="00827F34"/>
    <w:rsid w:val="00827F5D"/>
    <w:rsid w:val="0082EBF4"/>
    <w:rsid w:val="0083025F"/>
    <w:rsid w:val="00830293"/>
    <w:rsid w:val="008302B0"/>
    <w:rsid w:val="00830415"/>
    <w:rsid w:val="008304AE"/>
    <w:rsid w:val="00830597"/>
    <w:rsid w:val="00830770"/>
    <w:rsid w:val="008307E2"/>
    <w:rsid w:val="008307E6"/>
    <w:rsid w:val="00830963"/>
    <w:rsid w:val="008309A8"/>
    <w:rsid w:val="008309EB"/>
    <w:rsid w:val="00830C8F"/>
    <w:rsid w:val="00830DBF"/>
    <w:rsid w:val="00830FAF"/>
    <w:rsid w:val="00830FD7"/>
    <w:rsid w:val="00831374"/>
    <w:rsid w:val="008314AD"/>
    <w:rsid w:val="00831658"/>
    <w:rsid w:val="008318C2"/>
    <w:rsid w:val="00831902"/>
    <w:rsid w:val="00831A1E"/>
    <w:rsid w:val="00831B8B"/>
    <w:rsid w:val="00831C8B"/>
    <w:rsid w:val="00831ECA"/>
    <w:rsid w:val="00831F53"/>
    <w:rsid w:val="00832096"/>
    <w:rsid w:val="008320AD"/>
    <w:rsid w:val="00832184"/>
    <w:rsid w:val="008322DF"/>
    <w:rsid w:val="0083236B"/>
    <w:rsid w:val="00832661"/>
    <w:rsid w:val="00832692"/>
    <w:rsid w:val="00832836"/>
    <w:rsid w:val="008328C5"/>
    <w:rsid w:val="008328DB"/>
    <w:rsid w:val="00832939"/>
    <w:rsid w:val="008329CF"/>
    <w:rsid w:val="00832B3B"/>
    <w:rsid w:val="00832D2B"/>
    <w:rsid w:val="00832E42"/>
    <w:rsid w:val="00832E50"/>
    <w:rsid w:val="008330B1"/>
    <w:rsid w:val="0083316E"/>
    <w:rsid w:val="00833299"/>
    <w:rsid w:val="00833329"/>
    <w:rsid w:val="008333FB"/>
    <w:rsid w:val="0083343D"/>
    <w:rsid w:val="008335DC"/>
    <w:rsid w:val="00833621"/>
    <w:rsid w:val="00833709"/>
    <w:rsid w:val="0083380F"/>
    <w:rsid w:val="0083387C"/>
    <w:rsid w:val="00833A93"/>
    <w:rsid w:val="00833B11"/>
    <w:rsid w:val="00833CA3"/>
    <w:rsid w:val="00833CF8"/>
    <w:rsid w:val="00833E3D"/>
    <w:rsid w:val="00834132"/>
    <w:rsid w:val="00834307"/>
    <w:rsid w:val="00834397"/>
    <w:rsid w:val="00834552"/>
    <w:rsid w:val="0083465B"/>
    <w:rsid w:val="00834765"/>
    <w:rsid w:val="00834830"/>
    <w:rsid w:val="008348A0"/>
    <w:rsid w:val="0083499C"/>
    <w:rsid w:val="008349E9"/>
    <w:rsid w:val="00834C64"/>
    <w:rsid w:val="00834DC2"/>
    <w:rsid w:val="0083503B"/>
    <w:rsid w:val="0083508F"/>
    <w:rsid w:val="0083513E"/>
    <w:rsid w:val="008351E3"/>
    <w:rsid w:val="00835419"/>
    <w:rsid w:val="0083541A"/>
    <w:rsid w:val="008355A2"/>
    <w:rsid w:val="008356A6"/>
    <w:rsid w:val="00835722"/>
    <w:rsid w:val="00835958"/>
    <w:rsid w:val="00835E29"/>
    <w:rsid w:val="00835E6C"/>
    <w:rsid w:val="00835E98"/>
    <w:rsid w:val="00835FA6"/>
    <w:rsid w:val="008360A4"/>
    <w:rsid w:val="008360CB"/>
    <w:rsid w:val="00836118"/>
    <w:rsid w:val="008361C7"/>
    <w:rsid w:val="00836221"/>
    <w:rsid w:val="00836229"/>
    <w:rsid w:val="008362A5"/>
    <w:rsid w:val="008362C0"/>
    <w:rsid w:val="00836364"/>
    <w:rsid w:val="008363D1"/>
    <w:rsid w:val="00836463"/>
    <w:rsid w:val="0083654F"/>
    <w:rsid w:val="00836612"/>
    <w:rsid w:val="00836663"/>
    <w:rsid w:val="00836910"/>
    <w:rsid w:val="008369B8"/>
    <w:rsid w:val="008369DB"/>
    <w:rsid w:val="00836AEB"/>
    <w:rsid w:val="00836C9A"/>
    <w:rsid w:val="00836DF3"/>
    <w:rsid w:val="00836E7B"/>
    <w:rsid w:val="00836E9A"/>
    <w:rsid w:val="00837004"/>
    <w:rsid w:val="0083709D"/>
    <w:rsid w:val="008371A2"/>
    <w:rsid w:val="008371E6"/>
    <w:rsid w:val="008373D9"/>
    <w:rsid w:val="0083740E"/>
    <w:rsid w:val="00837544"/>
    <w:rsid w:val="008375D6"/>
    <w:rsid w:val="00837637"/>
    <w:rsid w:val="0083779E"/>
    <w:rsid w:val="00837813"/>
    <w:rsid w:val="00837897"/>
    <w:rsid w:val="00837917"/>
    <w:rsid w:val="00837C60"/>
    <w:rsid w:val="00837DFE"/>
    <w:rsid w:val="0084005B"/>
    <w:rsid w:val="00840063"/>
    <w:rsid w:val="008400A8"/>
    <w:rsid w:val="00840141"/>
    <w:rsid w:val="0084020A"/>
    <w:rsid w:val="00840210"/>
    <w:rsid w:val="00840277"/>
    <w:rsid w:val="0084034C"/>
    <w:rsid w:val="00840404"/>
    <w:rsid w:val="00840549"/>
    <w:rsid w:val="0084059A"/>
    <w:rsid w:val="0084079E"/>
    <w:rsid w:val="00840878"/>
    <w:rsid w:val="008408B9"/>
    <w:rsid w:val="00840A40"/>
    <w:rsid w:val="00840A95"/>
    <w:rsid w:val="00840B11"/>
    <w:rsid w:val="00840B26"/>
    <w:rsid w:val="00840B31"/>
    <w:rsid w:val="00840C17"/>
    <w:rsid w:val="00840CD7"/>
    <w:rsid w:val="00840DBF"/>
    <w:rsid w:val="00840E35"/>
    <w:rsid w:val="00840EBD"/>
    <w:rsid w:val="00840FD2"/>
    <w:rsid w:val="0084106D"/>
    <w:rsid w:val="0084113D"/>
    <w:rsid w:val="0084114D"/>
    <w:rsid w:val="008411CF"/>
    <w:rsid w:val="0084126F"/>
    <w:rsid w:val="00841290"/>
    <w:rsid w:val="0084147B"/>
    <w:rsid w:val="008414B7"/>
    <w:rsid w:val="008415E3"/>
    <w:rsid w:val="0084168F"/>
    <w:rsid w:val="008416BE"/>
    <w:rsid w:val="0084173D"/>
    <w:rsid w:val="008418BA"/>
    <w:rsid w:val="008418C1"/>
    <w:rsid w:val="00841901"/>
    <w:rsid w:val="00841991"/>
    <w:rsid w:val="00841D0E"/>
    <w:rsid w:val="00841DDB"/>
    <w:rsid w:val="00841F8E"/>
    <w:rsid w:val="00841FCF"/>
    <w:rsid w:val="00842087"/>
    <w:rsid w:val="008422F9"/>
    <w:rsid w:val="0084249E"/>
    <w:rsid w:val="00842572"/>
    <w:rsid w:val="00842642"/>
    <w:rsid w:val="008429AD"/>
    <w:rsid w:val="00842C07"/>
    <w:rsid w:val="00842C28"/>
    <w:rsid w:val="00842C34"/>
    <w:rsid w:val="00842CF3"/>
    <w:rsid w:val="00842D68"/>
    <w:rsid w:val="00842E5F"/>
    <w:rsid w:val="00842EB4"/>
    <w:rsid w:val="00842EE6"/>
    <w:rsid w:val="00842F25"/>
    <w:rsid w:val="00842FA6"/>
    <w:rsid w:val="00843046"/>
    <w:rsid w:val="008431E0"/>
    <w:rsid w:val="0084370C"/>
    <w:rsid w:val="0084386B"/>
    <w:rsid w:val="008438C7"/>
    <w:rsid w:val="0084396D"/>
    <w:rsid w:val="00843973"/>
    <w:rsid w:val="008439A3"/>
    <w:rsid w:val="00843B46"/>
    <w:rsid w:val="00843C84"/>
    <w:rsid w:val="00843CE9"/>
    <w:rsid w:val="0084411B"/>
    <w:rsid w:val="0084416B"/>
    <w:rsid w:val="008443F0"/>
    <w:rsid w:val="00844460"/>
    <w:rsid w:val="00844588"/>
    <w:rsid w:val="00844784"/>
    <w:rsid w:val="0084479A"/>
    <w:rsid w:val="00844846"/>
    <w:rsid w:val="00844917"/>
    <w:rsid w:val="008449C9"/>
    <w:rsid w:val="00844B4B"/>
    <w:rsid w:val="00844B87"/>
    <w:rsid w:val="00844BD2"/>
    <w:rsid w:val="00844E08"/>
    <w:rsid w:val="00844F80"/>
    <w:rsid w:val="00845005"/>
    <w:rsid w:val="008450F6"/>
    <w:rsid w:val="00845277"/>
    <w:rsid w:val="0084530F"/>
    <w:rsid w:val="0084536F"/>
    <w:rsid w:val="008453A0"/>
    <w:rsid w:val="008453E5"/>
    <w:rsid w:val="008455AD"/>
    <w:rsid w:val="008456C3"/>
    <w:rsid w:val="008459CF"/>
    <w:rsid w:val="00845A90"/>
    <w:rsid w:val="00845B9F"/>
    <w:rsid w:val="00845BD6"/>
    <w:rsid w:val="00845D52"/>
    <w:rsid w:val="00845D72"/>
    <w:rsid w:val="00845EB1"/>
    <w:rsid w:val="00845F1D"/>
    <w:rsid w:val="00845F66"/>
    <w:rsid w:val="00846124"/>
    <w:rsid w:val="0084624A"/>
    <w:rsid w:val="008462FA"/>
    <w:rsid w:val="00846386"/>
    <w:rsid w:val="00846401"/>
    <w:rsid w:val="00846588"/>
    <w:rsid w:val="008465AE"/>
    <w:rsid w:val="008465B4"/>
    <w:rsid w:val="008465DD"/>
    <w:rsid w:val="008466AD"/>
    <w:rsid w:val="00846730"/>
    <w:rsid w:val="008467EE"/>
    <w:rsid w:val="00846817"/>
    <w:rsid w:val="0084686E"/>
    <w:rsid w:val="00846929"/>
    <w:rsid w:val="00846980"/>
    <w:rsid w:val="00846A4A"/>
    <w:rsid w:val="00846B40"/>
    <w:rsid w:val="00846B6A"/>
    <w:rsid w:val="00846C44"/>
    <w:rsid w:val="00846C4C"/>
    <w:rsid w:val="00846CB9"/>
    <w:rsid w:val="00846D0E"/>
    <w:rsid w:val="00846DC9"/>
    <w:rsid w:val="00846DDA"/>
    <w:rsid w:val="00846EF4"/>
    <w:rsid w:val="00846FFA"/>
    <w:rsid w:val="00847048"/>
    <w:rsid w:val="008470C7"/>
    <w:rsid w:val="008470E2"/>
    <w:rsid w:val="008471B4"/>
    <w:rsid w:val="00847391"/>
    <w:rsid w:val="00847501"/>
    <w:rsid w:val="00847630"/>
    <w:rsid w:val="0084781B"/>
    <w:rsid w:val="008479AB"/>
    <w:rsid w:val="00847A36"/>
    <w:rsid w:val="00847ACF"/>
    <w:rsid w:val="00847C38"/>
    <w:rsid w:val="00847D44"/>
    <w:rsid w:val="00847D7F"/>
    <w:rsid w:val="00847F47"/>
    <w:rsid w:val="00850231"/>
    <w:rsid w:val="00850376"/>
    <w:rsid w:val="008503A6"/>
    <w:rsid w:val="0085040C"/>
    <w:rsid w:val="0085042F"/>
    <w:rsid w:val="00850543"/>
    <w:rsid w:val="00850594"/>
    <w:rsid w:val="008509C8"/>
    <w:rsid w:val="008509E2"/>
    <w:rsid w:val="00850BBA"/>
    <w:rsid w:val="00850C19"/>
    <w:rsid w:val="00850C3F"/>
    <w:rsid w:val="00850D3F"/>
    <w:rsid w:val="00850E3F"/>
    <w:rsid w:val="00850F28"/>
    <w:rsid w:val="00850FC2"/>
    <w:rsid w:val="0085106F"/>
    <w:rsid w:val="0085110B"/>
    <w:rsid w:val="0085136E"/>
    <w:rsid w:val="008513F9"/>
    <w:rsid w:val="00851451"/>
    <w:rsid w:val="0085194E"/>
    <w:rsid w:val="00851B0D"/>
    <w:rsid w:val="00851CD5"/>
    <w:rsid w:val="00851E0A"/>
    <w:rsid w:val="0085201D"/>
    <w:rsid w:val="00852021"/>
    <w:rsid w:val="0085205F"/>
    <w:rsid w:val="0085206B"/>
    <w:rsid w:val="0085210D"/>
    <w:rsid w:val="0085218D"/>
    <w:rsid w:val="00852325"/>
    <w:rsid w:val="0085237D"/>
    <w:rsid w:val="008524A6"/>
    <w:rsid w:val="008524F6"/>
    <w:rsid w:val="008524FD"/>
    <w:rsid w:val="00852584"/>
    <w:rsid w:val="008527B8"/>
    <w:rsid w:val="00852867"/>
    <w:rsid w:val="0085293C"/>
    <w:rsid w:val="00852B61"/>
    <w:rsid w:val="00852C88"/>
    <w:rsid w:val="00852CDC"/>
    <w:rsid w:val="00852D3E"/>
    <w:rsid w:val="00852D9E"/>
    <w:rsid w:val="00852DB9"/>
    <w:rsid w:val="00852E99"/>
    <w:rsid w:val="008531D3"/>
    <w:rsid w:val="00853217"/>
    <w:rsid w:val="0085333F"/>
    <w:rsid w:val="00853412"/>
    <w:rsid w:val="0085349C"/>
    <w:rsid w:val="0085351B"/>
    <w:rsid w:val="008535CB"/>
    <w:rsid w:val="00853675"/>
    <w:rsid w:val="00853720"/>
    <w:rsid w:val="0085396B"/>
    <w:rsid w:val="0085398E"/>
    <w:rsid w:val="00853AD0"/>
    <w:rsid w:val="00853BAE"/>
    <w:rsid w:val="00853CBA"/>
    <w:rsid w:val="00853E09"/>
    <w:rsid w:val="00854019"/>
    <w:rsid w:val="008540B6"/>
    <w:rsid w:val="0085426E"/>
    <w:rsid w:val="008542C1"/>
    <w:rsid w:val="008542ED"/>
    <w:rsid w:val="008543E4"/>
    <w:rsid w:val="0085463E"/>
    <w:rsid w:val="008547CB"/>
    <w:rsid w:val="008547FD"/>
    <w:rsid w:val="0085483A"/>
    <w:rsid w:val="0085494D"/>
    <w:rsid w:val="00854A01"/>
    <w:rsid w:val="00854BCE"/>
    <w:rsid w:val="00854E03"/>
    <w:rsid w:val="008552B7"/>
    <w:rsid w:val="0085531B"/>
    <w:rsid w:val="00855375"/>
    <w:rsid w:val="0085544A"/>
    <w:rsid w:val="00855451"/>
    <w:rsid w:val="00855487"/>
    <w:rsid w:val="0085558B"/>
    <w:rsid w:val="0085561E"/>
    <w:rsid w:val="008556C7"/>
    <w:rsid w:val="008556D3"/>
    <w:rsid w:val="00855717"/>
    <w:rsid w:val="0085576A"/>
    <w:rsid w:val="0085579A"/>
    <w:rsid w:val="008557B9"/>
    <w:rsid w:val="00855A96"/>
    <w:rsid w:val="00855AA6"/>
    <w:rsid w:val="00855B57"/>
    <w:rsid w:val="00855D67"/>
    <w:rsid w:val="00855DE3"/>
    <w:rsid w:val="00855E9E"/>
    <w:rsid w:val="0085607B"/>
    <w:rsid w:val="008560A9"/>
    <w:rsid w:val="008560EB"/>
    <w:rsid w:val="00856169"/>
    <w:rsid w:val="00856283"/>
    <w:rsid w:val="00856322"/>
    <w:rsid w:val="0085638B"/>
    <w:rsid w:val="00856428"/>
    <w:rsid w:val="008564AB"/>
    <w:rsid w:val="008564E7"/>
    <w:rsid w:val="008564EE"/>
    <w:rsid w:val="008565E9"/>
    <w:rsid w:val="008566F0"/>
    <w:rsid w:val="00856936"/>
    <w:rsid w:val="008569C8"/>
    <w:rsid w:val="00856AE0"/>
    <w:rsid w:val="00856B0D"/>
    <w:rsid w:val="00856E09"/>
    <w:rsid w:val="00856E62"/>
    <w:rsid w:val="00856F1C"/>
    <w:rsid w:val="00856F57"/>
    <w:rsid w:val="00856FB5"/>
    <w:rsid w:val="008570CD"/>
    <w:rsid w:val="00857136"/>
    <w:rsid w:val="008571F8"/>
    <w:rsid w:val="0085720D"/>
    <w:rsid w:val="0085726D"/>
    <w:rsid w:val="008575CA"/>
    <w:rsid w:val="008575CB"/>
    <w:rsid w:val="00857852"/>
    <w:rsid w:val="00857923"/>
    <w:rsid w:val="00857948"/>
    <w:rsid w:val="008579F1"/>
    <w:rsid w:val="00857B67"/>
    <w:rsid w:val="00857BB9"/>
    <w:rsid w:val="00857CEC"/>
    <w:rsid w:val="00857E91"/>
    <w:rsid w:val="00857ED2"/>
    <w:rsid w:val="00859043"/>
    <w:rsid w:val="0085F6D7"/>
    <w:rsid w:val="0086004C"/>
    <w:rsid w:val="008600C9"/>
    <w:rsid w:val="00860174"/>
    <w:rsid w:val="008601D6"/>
    <w:rsid w:val="008601DC"/>
    <w:rsid w:val="0086022F"/>
    <w:rsid w:val="00860266"/>
    <w:rsid w:val="008603A5"/>
    <w:rsid w:val="008603DE"/>
    <w:rsid w:val="008604F4"/>
    <w:rsid w:val="008604FA"/>
    <w:rsid w:val="00860598"/>
    <w:rsid w:val="008605A0"/>
    <w:rsid w:val="008606AC"/>
    <w:rsid w:val="008606F3"/>
    <w:rsid w:val="0086072E"/>
    <w:rsid w:val="00860777"/>
    <w:rsid w:val="0086079C"/>
    <w:rsid w:val="00860962"/>
    <w:rsid w:val="008609C8"/>
    <w:rsid w:val="00860A31"/>
    <w:rsid w:val="00860A8A"/>
    <w:rsid w:val="00860C10"/>
    <w:rsid w:val="00860CDB"/>
    <w:rsid w:val="0086108D"/>
    <w:rsid w:val="0086112A"/>
    <w:rsid w:val="008611D0"/>
    <w:rsid w:val="008612AD"/>
    <w:rsid w:val="00861346"/>
    <w:rsid w:val="00861447"/>
    <w:rsid w:val="00861476"/>
    <w:rsid w:val="0086149C"/>
    <w:rsid w:val="008614EA"/>
    <w:rsid w:val="008614F0"/>
    <w:rsid w:val="00861551"/>
    <w:rsid w:val="0086156F"/>
    <w:rsid w:val="0086164C"/>
    <w:rsid w:val="008616CA"/>
    <w:rsid w:val="0086171F"/>
    <w:rsid w:val="0086194C"/>
    <w:rsid w:val="00861B2D"/>
    <w:rsid w:val="00861C30"/>
    <w:rsid w:val="00861FA8"/>
    <w:rsid w:val="008621C3"/>
    <w:rsid w:val="0086220C"/>
    <w:rsid w:val="00862221"/>
    <w:rsid w:val="008622CE"/>
    <w:rsid w:val="008624E9"/>
    <w:rsid w:val="00862511"/>
    <w:rsid w:val="008625CA"/>
    <w:rsid w:val="0086264E"/>
    <w:rsid w:val="0086278D"/>
    <w:rsid w:val="008629B0"/>
    <w:rsid w:val="00862B59"/>
    <w:rsid w:val="00862C34"/>
    <w:rsid w:val="00862E43"/>
    <w:rsid w:val="00862EDD"/>
    <w:rsid w:val="0086302B"/>
    <w:rsid w:val="00863030"/>
    <w:rsid w:val="00863108"/>
    <w:rsid w:val="0086316E"/>
    <w:rsid w:val="00863293"/>
    <w:rsid w:val="008632AA"/>
    <w:rsid w:val="008633A6"/>
    <w:rsid w:val="008634EB"/>
    <w:rsid w:val="00863677"/>
    <w:rsid w:val="008636C6"/>
    <w:rsid w:val="008637F9"/>
    <w:rsid w:val="0086388C"/>
    <w:rsid w:val="008638FC"/>
    <w:rsid w:val="008639CA"/>
    <w:rsid w:val="008639FC"/>
    <w:rsid w:val="00863A16"/>
    <w:rsid w:val="00863BCB"/>
    <w:rsid w:val="00863C3B"/>
    <w:rsid w:val="00863C61"/>
    <w:rsid w:val="00863CFE"/>
    <w:rsid w:val="00863E67"/>
    <w:rsid w:val="00863EBE"/>
    <w:rsid w:val="00863EFF"/>
    <w:rsid w:val="00863F47"/>
    <w:rsid w:val="00863FFA"/>
    <w:rsid w:val="00864010"/>
    <w:rsid w:val="008642D2"/>
    <w:rsid w:val="008642F7"/>
    <w:rsid w:val="008643E9"/>
    <w:rsid w:val="00864620"/>
    <w:rsid w:val="0086462E"/>
    <w:rsid w:val="008647BC"/>
    <w:rsid w:val="00864873"/>
    <w:rsid w:val="00864891"/>
    <w:rsid w:val="008648B8"/>
    <w:rsid w:val="00864923"/>
    <w:rsid w:val="00864A84"/>
    <w:rsid w:val="00864B9C"/>
    <w:rsid w:val="00864CAE"/>
    <w:rsid w:val="00864D76"/>
    <w:rsid w:val="00864DF9"/>
    <w:rsid w:val="00864FB5"/>
    <w:rsid w:val="00865082"/>
    <w:rsid w:val="00865399"/>
    <w:rsid w:val="0086557A"/>
    <w:rsid w:val="0086565D"/>
    <w:rsid w:val="00865660"/>
    <w:rsid w:val="00865793"/>
    <w:rsid w:val="00865804"/>
    <w:rsid w:val="00865879"/>
    <w:rsid w:val="00865A89"/>
    <w:rsid w:val="00865B59"/>
    <w:rsid w:val="00865B7C"/>
    <w:rsid w:val="00865C5B"/>
    <w:rsid w:val="00865D35"/>
    <w:rsid w:val="00866045"/>
    <w:rsid w:val="008660F8"/>
    <w:rsid w:val="0086610D"/>
    <w:rsid w:val="0086617A"/>
    <w:rsid w:val="008661B8"/>
    <w:rsid w:val="00866301"/>
    <w:rsid w:val="00866323"/>
    <w:rsid w:val="0086647C"/>
    <w:rsid w:val="0086657C"/>
    <w:rsid w:val="008665A2"/>
    <w:rsid w:val="008665D9"/>
    <w:rsid w:val="008666C0"/>
    <w:rsid w:val="0086678E"/>
    <w:rsid w:val="0086686A"/>
    <w:rsid w:val="008669B1"/>
    <w:rsid w:val="00866B3A"/>
    <w:rsid w:val="00866C54"/>
    <w:rsid w:val="00866D41"/>
    <w:rsid w:val="00866E30"/>
    <w:rsid w:val="00866E39"/>
    <w:rsid w:val="00866E69"/>
    <w:rsid w:val="00866FA5"/>
    <w:rsid w:val="00866FCE"/>
    <w:rsid w:val="00866FDC"/>
    <w:rsid w:val="00866FF9"/>
    <w:rsid w:val="00867078"/>
    <w:rsid w:val="008670ED"/>
    <w:rsid w:val="00867175"/>
    <w:rsid w:val="008671F9"/>
    <w:rsid w:val="008672D5"/>
    <w:rsid w:val="00867420"/>
    <w:rsid w:val="0086744E"/>
    <w:rsid w:val="00867512"/>
    <w:rsid w:val="008675AF"/>
    <w:rsid w:val="008676C8"/>
    <w:rsid w:val="008676F2"/>
    <w:rsid w:val="00867AF5"/>
    <w:rsid w:val="00867BAC"/>
    <w:rsid w:val="00867C4E"/>
    <w:rsid w:val="00867CA4"/>
    <w:rsid w:val="00867CC3"/>
    <w:rsid w:val="00867D44"/>
    <w:rsid w:val="00867D4D"/>
    <w:rsid w:val="00867F42"/>
    <w:rsid w:val="00867FAD"/>
    <w:rsid w:val="00870059"/>
    <w:rsid w:val="00870137"/>
    <w:rsid w:val="0087017E"/>
    <w:rsid w:val="0087039F"/>
    <w:rsid w:val="00870423"/>
    <w:rsid w:val="0087043E"/>
    <w:rsid w:val="00870762"/>
    <w:rsid w:val="0087081D"/>
    <w:rsid w:val="008709E5"/>
    <w:rsid w:val="00870A20"/>
    <w:rsid w:val="00870A89"/>
    <w:rsid w:val="00870B07"/>
    <w:rsid w:val="00870C41"/>
    <w:rsid w:val="00870CD5"/>
    <w:rsid w:val="00870D3F"/>
    <w:rsid w:val="00870D69"/>
    <w:rsid w:val="00870E5F"/>
    <w:rsid w:val="00870F9C"/>
    <w:rsid w:val="00871021"/>
    <w:rsid w:val="0087110C"/>
    <w:rsid w:val="008711D3"/>
    <w:rsid w:val="00871462"/>
    <w:rsid w:val="008715CB"/>
    <w:rsid w:val="0087174F"/>
    <w:rsid w:val="00871792"/>
    <w:rsid w:val="008717C4"/>
    <w:rsid w:val="00871888"/>
    <w:rsid w:val="00871A08"/>
    <w:rsid w:val="00871BC0"/>
    <w:rsid w:val="008720E8"/>
    <w:rsid w:val="008721AF"/>
    <w:rsid w:val="008721B4"/>
    <w:rsid w:val="008721E4"/>
    <w:rsid w:val="00872200"/>
    <w:rsid w:val="00872463"/>
    <w:rsid w:val="00872504"/>
    <w:rsid w:val="0087259C"/>
    <w:rsid w:val="008727CF"/>
    <w:rsid w:val="0087286A"/>
    <w:rsid w:val="00872C92"/>
    <w:rsid w:val="00872CD0"/>
    <w:rsid w:val="00872D53"/>
    <w:rsid w:val="00872EAE"/>
    <w:rsid w:val="00872EFC"/>
    <w:rsid w:val="00872F09"/>
    <w:rsid w:val="0087337A"/>
    <w:rsid w:val="008733F5"/>
    <w:rsid w:val="0087342B"/>
    <w:rsid w:val="00873469"/>
    <w:rsid w:val="00873485"/>
    <w:rsid w:val="00873486"/>
    <w:rsid w:val="00873489"/>
    <w:rsid w:val="008734A5"/>
    <w:rsid w:val="008734C5"/>
    <w:rsid w:val="008734D3"/>
    <w:rsid w:val="0087365B"/>
    <w:rsid w:val="00873756"/>
    <w:rsid w:val="008737DA"/>
    <w:rsid w:val="00873955"/>
    <w:rsid w:val="008739D6"/>
    <w:rsid w:val="00873A99"/>
    <w:rsid w:val="00873C32"/>
    <w:rsid w:val="00873EA7"/>
    <w:rsid w:val="00873EB6"/>
    <w:rsid w:val="00873F3A"/>
    <w:rsid w:val="00873FC1"/>
    <w:rsid w:val="00874087"/>
    <w:rsid w:val="008740EF"/>
    <w:rsid w:val="00874172"/>
    <w:rsid w:val="0087425E"/>
    <w:rsid w:val="0087433B"/>
    <w:rsid w:val="0087484E"/>
    <w:rsid w:val="008748D9"/>
    <w:rsid w:val="00874956"/>
    <w:rsid w:val="00874A22"/>
    <w:rsid w:val="00874A29"/>
    <w:rsid w:val="00874ADA"/>
    <w:rsid w:val="00874BC5"/>
    <w:rsid w:val="00874C53"/>
    <w:rsid w:val="00874C60"/>
    <w:rsid w:val="00874C6B"/>
    <w:rsid w:val="00874CE7"/>
    <w:rsid w:val="00874ED2"/>
    <w:rsid w:val="00874FB3"/>
    <w:rsid w:val="00875131"/>
    <w:rsid w:val="008752D1"/>
    <w:rsid w:val="008754F2"/>
    <w:rsid w:val="00875533"/>
    <w:rsid w:val="0087558B"/>
    <w:rsid w:val="008755B8"/>
    <w:rsid w:val="0087565F"/>
    <w:rsid w:val="008756CB"/>
    <w:rsid w:val="00875770"/>
    <w:rsid w:val="00875848"/>
    <w:rsid w:val="00875B61"/>
    <w:rsid w:val="00875D9F"/>
    <w:rsid w:val="00875E44"/>
    <w:rsid w:val="00875E4E"/>
    <w:rsid w:val="00875E56"/>
    <w:rsid w:val="00875E87"/>
    <w:rsid w:val="00875F05"/>
    <w:rsid w:val="00875FFB"/>
    <w:rsid w:val="00876111"/>
    <w:rsid w:val="0087666A"/>
    <w:rsid w:val="008768D2"/>
    <w:rsid w:val="00876A46"/>
    <w:rsid w:val="00876D3C"/>
    <w:rsid w:val="00876DCD"/>
    <w:rsid w:val="00876DF5"/>
    <w:rsid w:val="00876F07"/>
    <w:rsid w:val="00877006"/>
    <w:rsid w:val="0087701D"/>
    <w:rsid w:val="00877067"/>
    <w:rsid w:val="00877082"/>
    <w:rsid w:val="00877376"/>
    <w:rsid w:val="00877401"/>
    <w:rsid w:val="00877409"/>
    <w:rsid w:val="00877481"/>
    <w:rsid w:val="008774A3"/>
    <w:rsid w:val="008775D8"/>
    <w:rsid w:val="008775DA"/>
    <w:rsid w:val="00877744"/>
    <w:rsid w:val="00877A30"/>
    <w:rsid w:val="00877C58"/>
    <w:rsid w:val="00877CD8"/>
    <w:rsid w:val="00877DB7"/>
    <w:rsid w:val="00877DCC"/>
    <w:rsid w:val="00877F10"/>
    <w:rsid w:val="0087A1F1"/>
    <w:rsid w:val="0087AC25"/>
    <w:rsid w:val="0087E22E"/>
    <w:rsid w:val="0088003B"/>
    <w:rsid w:val="0088015C"/>
    <w:rsid w:val="008801E0"/>
    <w:rsid w:val="008801E2"/>
    <w:rsid w:val="00880424"/>
    <w:rsid w:val="0088063A"/>
    <w:rsid w:val="008806EF"/>
    <w:rsid w:val="0088073E"/>
    <w:rsid w:val="008808A2"/>
    <w:rsid w:val="00880979"/>
    <w:rsid w:val="00880994"/>
    <w:rsid w:val="008809B2"/>
    <w:rsid w:val="00880AB4"/>
    <w:rsid w:val="00880B10"/>
    <w:rsid w:val="00880B56"/>
    <w:rsid w:val="00880BAF"/>
    <w:rsid w:val="00880CEE"/>
    <w:rsid w:val="00880E18"/>
    <w:rsid w:val="00880EAF"/>
    <w:rsid w:val="00880EC2"/>
    <w:rsid w:val="00881026"/>
    <w:rsid w:val="00881294"/>
    <w:rsid w:val="0088157E"/>
    <w:rsid w:val="00881598"/>
    <w:rsid w:val="0088180E"/>
    <w:rsid w:val="0088191B"/>
    <w:rsid w:val="008819DC"/>
    <w:rsid w:val="00881B01"/>
    <w:rsid w:val="00881C42"/>
    <w:rsid w:val="00881EBD"/>
    <w:rsid w:val="00881F1C"/>
    <w:rsid w:val="008820C5"/>
    <w:rsid w:val="008820C7"/>
    <w:rsid w:val="008820F7"/>
    <w:rsid w:val="00882145"/>
    <w:rsid w:val="0088226D"/>
    <w:rsid w:val="00882312"/>
    <w:rsid w:val="008823D1"/>
    <w:rsid w:val="00882496"/>
    <w:rsid w:val="00882514"/>
    <w:rsid w:val="008825D9"/>
    <w:rsid w:val="00882838"/>
    <w:rsid w:val="0088283C"/>
    <w:rsid w:val="008829B1"/>
    <w:rsid w:val="00882F3B"/>
    <w:rsid w:val="00882F7B"/>
    <w:rsid w:val="0088305D"/>
    <w:rsid w:val="008830CF"/>
    <w:rsid w:val="008831EA"/>
    <w:rsid w:val="008832E7"/>
    <w:rsid w:val="008833BB"/>
    <w:rsid w:val="00883401"/>
    <w:rsid w:val="008835A6"/>
    <w:rsid w:val="0088369D"/>
    <w:rsid w:val="008836BA"/>
    <w:rsid w:val="00883711"/>
    <w:rsid w:val="008837A0"/>
    <w:rsid w:val="00883908"/>
    <w:rsid w:val="00883B25"/>
    <w:rsid w:val="00883BEB"/>
    <w:rsid w:val="00883C04"/>
    <w:rsid w:val="00883D17"/>
    <w:rsid w:val="00883D4C"/>
    <w:rsid w:val="00884361"/>
    <w:rsid w:val="008843F8"/>
    <w:rsid w:val="00884420"/>
    <w:rsid w:val="00884427"/>
    <w:rsid w:val="00884444"/>
    <w:rsid w:val="0088453D"/>
    <w:rsid w:val="0088456C"/>
    <w:rsid w:val="00884617"/>
    <w:rsid w:val="0088461E"/>
    <w:rsid w:val="00884685"/>
    <w:rsid w:val="008846B8"/>
    <w:rsid w:val="008848AD"/>
    <w:rsid w:val="008849A0"/>
    <w:rsid w:val="00884B84"/>
    <w:rsid w:val="00884C76"/>
    <w:rsid w:val="00884C9F"/>
    <w:rsid w:val="00884DA3"/>
    <w:rsid w:val="00884DB8"/>
    <w:rsid w:val="00884E86"/>
    <w:rsid w:val="00884EA2"/>
    <w:rsid w:val="00885052"/>
    <w:rsid w:val="00885109"/>
    <w:rsid w:val="00885284"/>
    <w:rsid w:val="008852D0"/>
    <w:rsid w:val="008859FC"/>
    <w:rsid w:val="00885BFB"/>
    <w:rsid w:val="00885C12"/>
    <w:rsid w:val="00885E98"/>
    <w:rsid w:val="00885EDA"/>
    <w:rsid w:val="00885FBA"/>
    <w:rsid w:val="0088625D"/>
    <w:rsid w:val="00886266"/>
    <w:rsid w:val="008863DA"/>
    <w:rsid w:val="0088661F"/>
    <w:rsid w:val="008867E5"/>
    <w:rsid w:val="008868D3"/>
    <w:rsid w:val="00886964"/>
    <w:rsid w:val="008869DF"/>
    <w:rsid w:val="00886A8C"/>
    <w:rsid w:val="00886ABD"/>
    <w:rsid w:val="00886AED"/>
    <w:rsid w:val="00886BAC"/>
    <w:rsid w:val="00886C8B"/>
    <w:rsid w:val="00886E8B"/>
    <w:rsid w:val="00886EAB"/>
    <w:rsid w:val="00886F22"/>
    <w:rsid w:val="008870F5"/>
    <w:rsid w:val="0088720E"/>
    <w:rsid w:val="008872C9"/>
    <w:rsid w:val="00887475"/>
    <w:rsid w:val="00887525"/>
    <w:rsid w:val="0088761D"/>
    <w:rsid w:val="0088772A"/>
    <w:rsid w:val="0088776B"/>
    <w:rsid w:val="00887A1D"/>
    <w:rsid w:val="0088AA35"/>
    <w:rsid w:val="0088B3DA"/>
    <w:rsid w:val="00890091"/>
    <w:rsid w:val="00890144"/>
    <w:rsid w:val="008901B1"/>
    <w:rsid w:val="00890300"/>
    <w:rsid w:val="00890578"/>
    <w:rsid w:val="00890643"/>
    <w:rsid w:val="0089078B"/>
    <w:rsid w:val="0089095A"/>
    <w:rsid w:val="00890974"/>
    <w:rsid w:val="00890A98"/>
    <w:rsid w:val="00890B24"/>
    <w:rsid w:val="00890B49"/>
    <w:rsid w:val="00890BD6"/>
    <w:rsid w:val="00890CEE"/>
    <w:rsid w:val="00890E28"/>
    <w:rsid w:val="00890EA4"/>
    <w:rsid w:val="00890EAA"/>
    <w:rsid w:val="0089114D"/>
    <w:rsid w:val="00891271"/>
    <w:rsid w:val="008913D5"/>
    <w:rsid w:val="00891518"/>
    <w:rsid w:val="008916EF"/>
    <w:rsid w:val="0089175D"/>
    <w:rsid w:val="008917B4"/>
    <w:rsid w:val="008917FC"/>
    <w:rsid w:val="0089184F"/>
    <w:rsid w:val="008918A1"/>
    <w:rsid w:val="00891A8B"/>
    <w:rsid w:val="00891B23"/>
    <w:rsid w:val="00891B27"/>
    <w:rsid w:val="00891D61"/>
    <w:rsid w:val="00891D8A"/>
    <w:rsid w:val="00891DD1"/>
    <w:rsid w:val="00891F0D"/>
    <w:rsid w:val="00891FCC"/>
    <w:rsid w:val="00892253"/>
    <w:rsid w:val="00892469"/>
    <w:rsid w:val="008924BB"/>
    <w:rsid w:val="0089257D"/>
    <w:rsid w:val="00892599"/>
    <w:rsid w:val="00892726"/>
    <w:rsid w:val="00892803"/>
    <w:rsid w:val="00892894"/>
    <w:rsid w:val="008928EE"/>
    <w:rsid w:val="00892D2F"/>
    <w:rsid w:val="00892D31"/>
    <w:rsid w:val="00892E4B"/>
    <w:rsid w:val="00892F05"/>
    <w:rsid w:val="00892F3F"/>
    <w:rsid w:val="0089309E"/>
    <w:rsid w:val="0089324F"/>
    <w:rsid w:val="008938E2"/>
    <w:rsid w:val="0089399E"/>
    <w:rsid w:val="00893B42"/>
    <w:rsid w:val="00893BD9"/>
    <w:rsid w:val="00893C4D"/>
    <w:rsid w:val="00893CD8"/>
    <w:rsid w:val="00893CE5"/>
    <w:rsid w:val="00893D6C"/>
    <w:rsid w:val="00893EAB"/>
    <w:rsid w:val="00893FB1"/>
    <w:rsid w:val="00894232"/>
    <w:rsid w:val="0089438A"/>
    <w:rsid w:val="0089453C"/>
    <w:rsid w:val="0089454B"/>
    <w:rsid w:val="0089456E"/>
    <w:rsid w:val="0089458E"/>
    <w:rsid w:val="008947E1"/>
    <w:rsid w:val="00894A5C"/>
    <w:rsid w:val="00894A99"/>
    <w:rsid w:val="00894B25"/>
    <w:rsid w:val="00894B59"/>
    <w:rsid w:val="00894C70"/>
    <w:rsid w:val="00894D1F"/>
    <w:rsid w:val="00894F64"/>
    <w:rsid w:val="00894FC5"/>
    <w:rsid w:val="0089503F"/>
    <w:rsid w:val="0089509B"/>
    <w:rsid w:val="008950BD"/>
    <w:rsid w:val="00895389"/>
    <w:rsid w:val="00895544"/>
    <w:rsid w:val="00895680"/>
    <w:rsid w:val="008956C4"/>
    <w:rsid w:val="008956CE"/>
    <w:rsid w:val="0089579C"/>
    <w:rsid w:val="008958B2"/>
    <w:rsid w:val="008959A6"/>
    <w:rsid w:val="00895B01"/>
    <w:rsid w:val="00895D51"/>
    <w:rsid w:val="00895E3E"/>
    <w:rsid w:val="00895EA4"/>
    <w:rsid w:val="00895F3D"/>
    <w:rsid w:val="00895FD4"/>
    <w:rsid w:val="00896191"/>
    <w:rsid w:val="00896202"/>
    <w:rsid w:val="0089632F"/>
    <w:rsid w:val="008963C9"/>
    <w:rsid w:val="008963F1"/>
    <w:rsid w:val="0089647D"/>
    <w:rsid w:val="008965C6"/>
    <w:rsid w:val="00896699"/>
    <w:rsid w:val="00896A7B"/>
    <w:rsid w:val="00896B44"/>
    <w:rsid w:val="00896B7B"/>
    <w:rsid w:val="00896CE5"/>
    <w:rsid w:val="00896EDA"/>
    <w:rsid w:val="00897075"/>
    <w:rsid w:val="00897149"/>
    <w:rsid w:val="00897353"/>
    <w:rsid w:val="00897363"/>
    <w:rsid w:val="008977E0"/>
    <w:rsid w:val="0089788D"/>
    <w:rsid w:val="0089790A"/>
    <w:rsid w:val="008979E9"/>
    <w:rsid w:val="00897BA6"/>
    <w:rsid w:val="00897DD9"/>
    <w:rsid w:val="00897E4E"/>
    <w:rsid w:val="00897EE2"/>
    <w:rsid w:val="00897F56"/>
    <w:rsid w:val="00898CCC"/>
    <w:rsid w:val="008A011A"/>
    <w:rsid w:val="008A0215"/>
    <w:rsid w:val="008A027E"/>
    <w:rsid w:val="008A03F5"/>
    <w:rsid w:val="008A052C"/>
    <w:rsid w:val="008A071F"/>
    <w:rsid w:val="008A07B1"/>
    <w:rsid w:val="008A082A"/>
    <w:rsid w:val="008A08C1"/>
    <w:rsid w:val="008A0966"/>
    <w:rsid w:val="008A0A1A"/>
    <w:rsid w:val="008A0B91"/>
    <w:rsid w:val="008A0D7C"/>
    <w:rsid w:val="008A0E35"/>
    <w:rsid w:val="008A0E3A"/>
    <w:rsid w:val="008A1295"/>
    <w:rsid w:val="008A12BD"/>
    <w:rsid w:val="008A130E"/>
    <w:rsid w:val="008A136E"/>
    <w:rsid w:val="008A1434"/>
    <w:rsid w:val="008A156F"/>
    <w:rsid w:val="008A16A0"/>
    <w:rsid w:val="008A173D"/>
    <w:rsid w:val="008A17B6"/>
    <w:rsid w:val="008A19C3"/>
    <w:rsid w:val="008A1B59"/>
    <w:rsid w:val="008A1C2C"/>
    <w:rsid w:val="008A1C54"/>
    <w:rsid w:val="008A1C59"/>
    <w:rsid w:val="008A1E09"/>
    <w:rsid w:val="008A1FF7"/>
    <w:rsid w:val="008A208F"/>
    <w:rsid w:val="008A214C"/>
    <w:rsid w:val="008A2359"/>
    <w:rsid w:val="008A23A5"/>
    <w:rsid w:val="008A25B1"/>
    <w:rsid w:val="008A25E0"/>
    <w:rsid w:val="008A2608"/>
    <w:rsid w:val="008A2678"/>
    <w:rsid w:val="008A2819"/>
    <w:rsid w:val="008A29FD"/>
    <w:rsid w:val="008A2A27"/>
    <w:rsid w:val="008A2A28"/>
    <w:rsid w:val="008A2A51"/>
    <w:rsid w:val="008A2B9A"/>
    <w:rsid w:val="008A2C17"/>
    <w:rsid w:val="008A2CBD"/>
    <w:rsid w:val="008A2CD8"/>
    <w:rsid w:val="008A2EBE"/>
    <w:rsid w:val="008A2EFA"/>
    <w:rsid w:val="008A2F1C"/>
    <w:rsid w:val="008A2FDD"/>
    <w:rsid w:val="008A3050"/>
    <w:rsid w:val="008A32D9"/>
    <w:rsid w:val="008A3312"/>
    <w:rsid w:val="008A345B"/>
    <w:rsid w:val="008A35B1"/>
    <w:rsid w:val="008A3867"/>
    <w:rsid w:val="008A387F"/>
    <w:rsid w:val="008A3AAC"/>
    <w:rsid w:val="008A3C92"/>
    <w:rsid w:val="008A3D6F"/>
    <w:rsid w:val="008A3D75"/>
    <w:rsid w:val="008A3D78"/>
    <w:rsid w:val="008A3E11"/>
    <w:rsid w:val="008A3E7C"/>
    <w:rsid w:val="008A3F18"/>
    <w:rsid w:val="008A3F2E"/>
    <w:rsid w:val="008A406B"/>
    <w:rsid w:val="008A41D5"/>
    <w:rsid w:val="008A421F"/>
    <w:rsid w:val="008A4345"/>
    <w:rsid w:val="008A44C6"/>
    <w:rsid w:val="008A45B6"/>
    <w:rsid w:val="008A46EC"/>
    <w:rsid w:val="008A4812"/>
    <w:rsid w:val="008A4825"/>
    <w:rsid w:val="008A483B"/>
    <w:rsid w:val="008A4A5F"/>
    <w:rsid w:val="008A4DC4"/>
    <w:rsid w:val="008A4FA4"/>
    <w:rsid w:val="008A50D3"/>
    <w:rsid w:val="008A518A"/>
    <w:rsid w:val="008A51B5"/>
    <w:rsid w:val="008A522F"/>
    <w:rsid w:val="008A549A"/>
    <w:rsid w:val="008A5654"/>
    <w:rsid w:val="008A5758"/>
    <w:rsid w:val="008A5814"/>
    <w:rsid w:val="008A591F"/>
    <w:rsid w:val="008A5AE1"/>
    <w:rsid w:val="008A5C62"/>
    <w:rsid w:val="008A5D7C"/>
    <w:rsid w:val="008A5DD4"/>
    <w:rsid w:val="008A5DED"/>
    <w:rsid w:val="008A5EBE"/>
    <w:rsid w:val="008A6051"/>
    <w:rsid w:val="008A61A7"/>
    <w:rsid w:val="008A61C5"/>
    <w:rsid w:val="008A621F"/>
    <w:rsid w:val="008A6386"/>
    <w:rsid w:val="008A647A"/>
    <w:rsid w:val="008A64BE"/>
    <w:rsid w:val="008A661B"/>
    <w:rsid w:val="008A6657"/>
    <w:rsid w:val="008A6867"/>
    <w:rsid w:val="008A69FA"/>
    <w:rsid w:val="008A6EAD"/>
    <w:rsid w:val="008A6F7F"/>
    <w:rsid w:val="008A701B"/>
    <w:rsid w:val="008A722D"/>
    <w:rsid w:val="008A745A"/>
    <w:rsid w:val="008A750A"/>
    <w:rsid w:val="008A75E3"/>
    <w:rsid w:val="008A76B6"/>
    <w:rsid w:val="008A770A"/>
    <w:rsid w:val="008A7853"/>
    <w:rsid w:val="008A7ACA"/>
    <w:rsid w:val="008A7B76"/>
    <w:rsid w:val="008A7F6E"/>
    <w:rsid w:val="008A7F9E"/>
    <w:rsid w:val="008AA0D3"/>
    <w:rsid w:val="008AAA61"/>
    <w:rsid w:val="008AEB5E"/>
    <w:rsid w:val="008AFE05"/>
    <w:rsid w:val="008B0208"/>
    <w:rsid w:val="008B021F"/>
    <w:rsid w:val="008B02E2"/>
    <w:rsid w:val="008B03D2"/>
    <w:rsid w:val="008B0524"/>
    <w:rsid w:val="008B05DA"/>
    <w:rsid w:val="008B0749"/>
    <w:rsid w:val="008B0C08"/>
    <w:rsid w:val="008B0D13"/>
    <w:rsid w:val="008B0FB2"/>
    <w:rsid w:val="008B10BB"/>
    <w:rsid w:val="008B1198"/>
    <w:rsid w:val="008B11EA"/>
    <w:rsid w:val="008B1251"/>
    <w:rsid w:val="008B1395"/>
    <w:rsid w:val="008B13AE"/>
    <w:rsid w:val="008B15F8"/>
    <w:rsid w:val="008B1692"/>
    <w:rsid w:val="008B16F5"/>
    <w:rsid w:val="008B1C31"/>
    <w:rsid w:val="008B1CB2"/>
    <w:rsid w:val="008B1DFF"/>
    <w:rsid w:val="008B21BA"/>
    <w:rsid w:val="008B2448"/>
    <w:rsid w:val="008B25AF"/>
    <w:rsid w:val="008B264C"/>
    <w:rsid w:val="008B271D"/>
    <w:rsid w:val="008B280E"/>
    <w:rsid w:val="008B2825"/>
    <w:rsid w:val="008B2943"/>
    <w:rsid w:val="008B2A6C"/>
    <w:rsid w:val="008B2C6B"/>
    <w:rsid w:val="008B2D42"/>
    <w:rsid w:val="008B2DA4"/>
    <w:rsid w:val="008B2DE4"/>
    <w:rsid w:val="008B2EFE"/>
    <w:rsid w:val="008B2FAC"/>
    <w:rsid w:val="008B314D"/>
    <w:rsid w:val="008B3189"/>
    <w:rsid w:val="008B324D"/>
    <w:rsid w:val="008B325C"/>
    <w:rsid w:val="008B32CE"/>
    <w:rsid w:val="008B33D9"/>
    <w:rsid w:val="008B341E"/>
    <w:rsid w:val="008B3523"/>
    <w:rsid w:val="008B3629"/>
    <w:rsid w:val="008B374D"/>
    <w:rsid w:val="008B379A"/>
    <w:rsid w:val="008B38AE"/>
    <w:rsid w:val="008B38BA"/>
    <w:rsid w:val="008B3A2F"/>
    <w:rsid w:val="008B3B0C"/>
    <w:rsid w:val="008B3B55"/>
    <w:rsid w:val="008B3EB7"/>
    <w:rsid w:val="008B3ECA"/>
    <w:rsid w:val="008B42C6"/>
    <w:rsid w:val="008B4307"/>
    <w:rsid w:val="008B43BE"/>
    <w:rsid w:val="008B44C9"/>
    <w:rsid w:val="008B455F"/>
    <w:rsid w:val="008B46EF"/>
    <w:rsid w:val="008B47A4"/>
    <w:rsid w:val="008B487B"/>
    <w:rsid w:val="008B498F"/>
    <w:rsid w:val="008B4A58"/>
    <w:rsid w:val="008B4A6A"/>
    <w:rsid w:val="008B4B05"/>
    <w:rsid w:val="008B4CA4"/>
    <w:rsid w:val="008B4D74"/>
    <w:rsid w:val="008B4D81"/>
    <w:rsid w:val="008B4DFE"/>
    <w:rsid w:val="008B4E9C"/>
    <w:rsid w:val="008B4F07"/>
    <w:rsid w:val="008B4F46"/>
    <w:rsid w:val="008B4F85"/>
    <w:rsid w:val="008B4FA2"/>
    <w:rsid w:val="008B5264"/>
    <w:rsid w:val="008B53CF"/>
    <w:rsid w:val="008B5516"/>
    <w:rsid w:val="008B5775"/>
    <w:rsid w:val="008B57AD"/>
    <w:rsid w:val="008B5817"/>
    <w:rsid w:val="008B585C"/>
    <w:rsid w:val="008B58DE"/>
    <w:rsid w:val="008B5A7F"/>
    <w:rsid w:val="008B5AB7"/>
    <w:rsid w:val="008B5BDD"/>
    <w:rsid w:val="008B5CBF"/>
    <w:rsid w:val="008B5EC4"/>
    <w:rsid w:val="008B608D"/>
    <w:rsid w:val="008B60DD"/>
    <w:rsid w:val="008B61CA"/>
    <w:rsid w:val="008B62A1"/>
    <w:rsid w:val="008B62FD"/>
    <w:rsid w:val="008B6410"/>
    <w:rsid w:val="008B6445"/>
    <w:rsid w:val="008B6747"/>
    <w:rsid w:val="008B680E"/>
    <w:rsid w:val="008B6869"/>
    <w:rsid w:val="008B68E2"/>
    <w:rsid w:val="008B6AF8"/>
    <w:rsid w:val="008B6B87"/>
    <w:rsid w:val="008B6BC8"/>
    <w:rsid w:val="008B6BF0"/>
    <w:rsid w:val="008B6C63"/>
    <w:rsid w:val="008B6C9F"/>
    <w:rsid w:val="008B6CC4"/>
    <w:rsid w:val="008B6D68"/>
    <w:rsid w:val="008B6DC6"/>
    <w:rsid w:val="008B6E4C"/>
    <w:rsid w:val="008B70D4"/>
    <w:rsid w:val="008B70FE"/>
    <w:rsid w:val="008B749B"/>
    <w:rsid w:val="008B7572"/>
    <w:rsid w:val="008B757E"/>
    <w:rsid w:val="008B7649"/>
    <w:rsid w:val="008B76E6"/>
    <w:rsid w:val="008B77A2"/>
    <w:rsid w:val="008B78A6"/>
    <w:rsid w:val="008B79E3"/>
    <w:rsid w:val="008B7B87"/>
    <w:rsid w:val="008B7BBA"/>
    <w:rsid w:val="008B7C1A"/>
    <w:rsid w:val="008B7DFB"/>
    <w:rsid w:val="008B7E1D"/>
    <w:rsid w:val="008B7EDE"/>
    <w:rsid w:val="008B7F69"/>
    <w:rsid w:val="008C00B0"/>
    <w:rsid w:val="008C0242"/>
    <w:rsid w:val="008C03AB"/>
    <w:rsid w:val="008C03D5"/>
    <w:rsid w:val="008C0577"/>
    <w:rsid w:val="008C05C2"/>
    <w:rsid w:val="008C063D"/>
    <w:rsid w:val="008C0667"/>
    <w:rsid w:val="008C0682"/>
    <w:rsid w:val="008C068C"/>
    <w:rsid w:val="008C06C9"/>
    <w:rsid w:val="008C0734"/>
    <w:rsid w:val="008C0783"/>
    <w:rsid w:val="008C085A"/>
    <w:rsid w:val="008C08B2"/>
    <w:rsid w:val="008C0A41"/>
    <w:rsid w:val="008C0ADF"/>
    <w:rsid w:val="008C0C03"/>
    <w:rsid w:val="008C0E79"/>
    <w:rsid w:val="008C0EDE"/>
    <w:rsid w:val="008C1028"/>
    <w:rsid w:val="008C103D"/>
    <w:rsid w:val="008C1104"/>
    <w:rsid w:val="008C1243"/>
    <w:rsid w:val="008C13AD"/>
    <w:rsid w:val="008C1405"/>
    <w:rsid w:val="008C1499"/>
    <w:rsid w:val="008C15E7"/>
    <w:rsid w:val="008C171D"/>
    <w:rsid w:val="008C183F"/>
    <w:rsid w:val="008C187C"/>
    <w:rsid w:val="008C18A4"/>
    <w:rsid w:val="008C18C7"/>
    <w:rsid w:val="008C19C3"/>
    <w:rsid w:val="008C19DA"/>
    <w:rsid w:val="008C1B8B"/>
    <w:rsid w:val="008C1BD6"/>
    <w:rsid w:val="008C1F18"/>
    <w:rsid w:val="008C1FCD"/>
    <w:rsid w:val="008C2052"/>
    <w:rsid w:val="008C2132"/>
    <w:rsid w:val="008C26B4"/>
    <w:rsid w:val="008C26CA"/>
    <w:rsid w:val="008C28BD"/>
    <w:rsid w:val="008C2A06"/>
    <w:rsid w:val="008C2A52"/>
    <w:rsid w:val="008C2A56"/>
    <w:rsid w:val="008C2A94"/>
    <w:rsid w:val="008C2ADF"/>
    <w:rsid w:val="008C2B0A"/>
    <w:rsid w:val="008C2C62"/>
    <w:rsid w:val="008C2C77"/>
    <w:rsid w:val="008C2C93"/>
    <w:rsid w:val="008C2F1D"/>
    <w:rsid w:val="008C2F25"/>
    <w:rsid w:val="008C2F2F"/>
    <w:rsid w:val="008C2F8F"/>
    <w:rsid w:val="008C3009"/>
    <w:rsid w:val="008C3048"/>
    <w:rsid w:val="008C3294"/>
    <w:rsid w:val="008C33BF"/>
    <w:rsid w:val="008C33DF"/>
    <w:rsid w:val="008C3413"/>
    <w:rsid w:val="008C350E"/>
    <w:rsid w:val="008C3656"/>
    <w:rsid w:val="008C36A0"/>
    <w:rsid w:val="008C37D9"/>
    <w:rsid w:val="008C3863"/>
    <w:rsid w:val="008C38E9"/>
    <w:rsid w:val="008C3914"/>
    <w:rsid w:val="008C39BC"/>
    <w:rsid w:val="008C3A31"/>
    <w:rsid w:val="008C3A9F"/>
    <w:rsid w:val="008C3ACE"/>
    <w:rsid w:val="008C3AF0"/>
    <w:rsid w:val="008C3B68"/>
    <w:rsid w:val="008C3BF7"/>
    <w:rsid w:val="008C3BFF"/>
    <w:rsid w:val="008C3E4D"/>
    <w:rsid w:val="008C4120"/>
    <w:rsid w:val="008C4262"/>
    <w:rsid w:val="008C4506"/>
    <w:rsid w:val="008C4526"/>
    <w:rsid w:val="008C4573"/>
    <w:rsid w:val="008C457E"/>
    <w:rsid w:val="008C478A"/>
    <w:rsid w:val="008C4912"/>
    <w:rsid w:val="008C4B05"/>
    <w:rsid w:val="008C4BAD"/>
    <w:rsid w:val="008C4C86"/>
    <w:rsid w:val="008C4D7F"/>
    <w:rsid w:val="008C4DF0"/>
    <w:rsid w:val="008C4EA0"/>
    <w:rsid w:val="008C4EED"/>
    <w:rsid w:val="008C51E5"/>
    <w:rsid w:val="008C51F6"/>
    <w:rsid w:val="008C5475"/>
    <w:rsid w:val="008C5527"/>
    <w:rsid w:val="008C553D"/>
    <w:rsid w:val="008C555E"/>
    <w:rsid w:val="008C570B"/>
    <w:rsid w:val="008C574A"/>
    <w:rsid w:val="008C5761"/>
    <w:rsid w:val="008C57C7"/>
    <w:rsid w:val="008C5BE8"/>
    <w:rsid w:val="008C5C83"/>
    <w:rsid w:val="008C5F45"/>
    <w:rsid w:val="008C61BA"/>
    <w:rsid w:val="008C622E"/>
    <w:rsid w:val="008C636A"/>
    <w:rsid w:val="008C6412"/>
    <w:rsid w:val="008C64BB"/>
    <w:rsid w:val="008C6549"/>
    <w:rsid w:val="008C6565"/>
    <w:rsid w:val="008C657D"/>
    <w:rsid w:val="008C670F"/>
    <w:rsid w:val="008C6790"/>
    <w:rsid w:val="008C67FA"/>
    <w:rsid w:val="008C68B6"/>
    <w:rsid w:val="008C68DC"/>
    <w:rsid w:val="008C6AF5"/>
    <w:rsid w:val="008C6E13"/>
    <w:rsid w:val="008C6F5F"/>
    <w:rsid w:val="008C71B2"/>
    <w:rsid w:val="008C721D"/>
    <w:rsid w:val="008C72F9"/>
    <w:rsid w:val="008C7365"/>
    <w:rsid w:val="008C7412"/>
    <w:rsid w:val="008C74BA"/>
    <w:rsid w:val="008C74C1"/>
    <w:rsid w:val="008C7516"/>
    <w:rsid w:val="008C7736"/>
    <w:rsid w:val="008C7763"/>
    <w:rsid w:val="008C777A"/>
    <w:rsid w:val="008C77B9"/>
    <w:rsid w:val="008C7859"/>
    <w:rsid w:val="008C7952"/>
    <w:rsid w:val="008C7ADA"/>
    <w:rsid w:val="008C7C65"/>
    <w:rsid w:val="008C7D00"/>
    <w:rsid w:val="008CB10A"/>
    <w:rsid w:val="008CBA38"/>
    <w:rsid w:val="008D0082"/>
    <w:rsid w:val="008D00EA"/>
    <w:rsid w:val="008D0201"/>
    <w:rsid w:val="008D0266"/>
    <w:rsid w:val="008D029B"/>
    <w:rsid w:val="008D02AE"/>
    <w:rsid w:val="008D02F7"/>
    <w:rsid w:val="008D0349"/>
    <w:rsid w:val="008D04D7"/>
    <w:rsid w:val="008D0669"/>
    <w:rsid w:val="008D0876"/>
    <w:rsid w:val="008D08A6"/>
    <w:rsid w:val="008D0A61"/>
    <w:rsid w:val="008D0A7B"/>
    <w:rsid w:val="008D0A8B"/>
    <w:rsid w:val="008D0A9A"/>
    <w:rsid w:val="008D0C01"/>
    <w:rsid w:val="008D0CF8"/>
    <w:rsid w:val="008D0EB7"/>
    <w:rsid w:val="008D0FFA"/>
    <w:rsid w:val="008D1037"/>
    <w:rsid w:val="008D1047"/>
    <w:rsid w:val="008D1083"/>
    <w:rsid w:val="008D13A3"/>
    <w:rsid w:val="008D141C"/>
    <w:rsid w:val="008D143B"/>
    <w:rsid w:val="008D14BB"/>
    <w:rsid w:val="008D1623"/>
    <w:rsid w:val="008D177C"/>
    <w:rsid w:val="008D188A"/>
    <w:rsid w:val="008D190D"/>
    <w:rsid w:val="008D1AAC"/>
    <w:rsid w:val="008D1CA3"/>
    <w:rsid w:val="008D1DE4"/>
    <w:rsid w:val="008D1E07"/>
    <w:rsid w:val="008D209B"/>
    <w:rsid w:val="008D2217"/>
    <w:rsid w:val="008D2448"/>
    <w:rsid w:val="008D24BE"/>
    <w:rsid w:val="008D24F6"/>
    <w:rsid w:val="008D27B8"/>
    <w:rsid w:val="008D27F5"/>
    <w:rsid w:val="008D2882"/>
    <w:rsid w:val="008D28AD"/>
    <w:rsid w:val="008D2A6B"/>
    <w:rsid w:val="008D2EAD"/>
    <w:rsid w:val="008D2F45"/>
    <w:rsid w:val="008D2FF9"/>
    <w:rsid w:val="008D32FA"/>
    <w:rsid w:val="008D33BB"/>
    <w:rsid w:val="008D34AC"/>
    <w:rsid w:val="008D366D"/>
    <w:rsid w:val="008D3673"/>
    <w:rsid w:val="008D3799"/>
    <w:rsid w:val="008D37E1"/>
    <w:rsid w:val="008D3875"/>
    <w:rsid w:val="008D3991"/>
    <w:rsid w:val="008D3992"/>
    <w:rsid w:val="008D3ADA"/>
    <w:rsid w:val="008D3B3B"/>
    <w:rsid w:val="008D3CD3"/>
    <w:rsid w:val="008D3CE0"/>
    <w:rsid w:val="008D3DA4"/>
    <w:rsid w:val="008D3E6E"/>
    <w:rsid w:val="008D3ECC"/>
    <w:rsid w:val="008D3EE8"/>
    <w:rsid w:val="008D3F58"/>
    <w:rsid w:val="008D4004"/>
    <w:rsid w:val="008D4094"/>
    <w:rsid w:val="008D41ED"/>
    <w:rsid w:val="008D447B"/>
    <w:rsid w:val="008D44CE"/>
    <w:rsid w:val="008D44D2"/>
    <w:rsid w:val="008D44E6"/>
    <w:rsid w:val="008D45DE"/>
    <w:rsid w:val="008D4694"/>
    <w:rsid w:val="008D4700"/>
    <w:rsid w:val="008D4755"/>
    <w:rsid w:val="008D47CA"/>
    <w:rsid w:val="008D483F"/>
    <w:rsid w:val="008D4856"/>
    <w:rsid w:val="008D490C"/>
    <w:rsid w:val="008D4971"/>
    <w:rsid w:val="008D4A4B"/>
    <w:rsid w:val="008D4CC1"/>
    <w:rsid w:val="008D4D19"/>
    <w:rsid w:val="008D4D52"/>
    <w:rsid w:val="008D4DB2"/>
    <w:rsid w:val="008D4F2D"/>
    <w:rsid w:val="008D51DB"/>
    <w:rsid w:val="008D5200"/>
    <w:rsid w:val="008D5268"/>
    <w:rsid w:val="008D5320"/>
    <w:rsid w:val="008D54C9"/>
    <w:rsid w:val="008D556A"/>
    <w:rsid w:val="008D561B"/>
    <w:rsid w:val="008D5788"/>
    <w:rsid w:val="008D594D"/>
    <w:rsid w:val="008D5B8B"/>
    <w:rsid w:val="008D5CCD"/>
    <w:rsid w:val="008D5D61"/>
    <w:rsid w:val="008D5E82"/>
    <w:rsid w:val="008D5F7A"/>
    <w:rsid w:val="008D6153"/>
    <w:rsid w:val="008D63C9"/>
    <w:rsid w:val="008D6556"/>
    <w:rsid w:val="008D658E"/>
    <w:rsid w:val="008D65F0"/>
    <w:rsid w:val="008D6719"/>
    <w:rsid w:val="008D6831"/>
    <w:rsid w:val="008D6AF5"/>
    <w:rsid w:val="008D6B40"/>
    <w:rsid w:val="008D6C1C"/>
    <w:rsid w:val="008D6DC5"/>
    <w:rsid w:val="008D6FB6"/>
    <w:rsid w:val="008D6FF3"/>
    <w:rsid w:val="008D7143"/>
    <w:rsid w:val="008D7159"/>
    <w:rsid w:val="008D72A4"/>
    <w:rsid w:val="008D7389"/>
    <w:rsid w:val="008D74EF"/>
    <w:rsid w:val="008D751C"/>
    <w:rsid w:val="008D7521"/>
    <w:rsid w:val="008D75BC"/>
    <w:rsid w:val="008D75D4"/>
    <w:rsid w:val="008D7694"/>
    <w:rsid w:val="008D7757"/>
    <w:rsid w:val="008D784F"/>
    <w:rsid w:val="008D7A1C"/>
    <w:rsid w:val="008D7D23"/>
    <w:rsid w:val="008D7D35"/>
    <w:rsid w:val="008D7E12"/>
    <w:rsid w:val="008D7E1B"/>
    <w:rsid w:val="008D7E93"/>
    <w:rsid w:val="008D7EE2"/>
    <w:rsid w:val="008D7EEB"/>
    <w:rsid w:val="008D7F9D"/>
    <w:rsid w:val="008DDBCF"/>
    <w:rsid w:val="008E0062"/>
    <w:rsid w:val="008E0157"/>
    <w:rsid w:val="008E01B0"/>
    <w:rsid w:val="008E0225"/>
    <w:rsid w:val="008E032F"/>
    <w:rsid w:val="008E0406"/>
    <w:rsid w:val="008E041E"/>
    <w:rsid w:val="008E072F"/>
    <w:rsid w:val="008E0762"/>
    <w:rsid w:val="008E080E"/>
    <w:rsid w:val="008E08E7"/>
    <w:rsid w:val="008E0CCB"/>
    <w:rsid w:val="008E0CDF"/>
    <w:rsid w:val="008E0DA4"/>
    <w:rsid w:val="008E0DE2"/>
    <w:rsid w:val="008E0FA1"/>
    <w:rsid w:val="008E0FE9"/>
    <w:rsid w:val="008E10B3"/>
    <w:rsid w:val="008E1199"/>
    <w:rsid w:val="008E11FD"/>
    <w:rsid w:val="008E1349"/>
    <w:rsid w:val="008E13CA"/>
    <w:rsid w:val="008E143C"/>
    <w:rsid w:val="008E15DD"/>
    <w:rsid w:val="008E16A7"/>
    <w:rsid w:val="008E18D1"/>
    <w:rsid w:val="008E19C4"/>
    <w:rsid w:val="008E1E1D"/>
    <w:rsid w:val="008E1E3B"/>
    <w:rsid w:val="008E1E97"/>
    <w:rsid w:val="008E1EF0"/>
    <w:rsid w:val="008E1FEA"/>
    <w:rsid w:val="008E203C"/>
    <w:rsid w:val="008E209D"/>
    <w:rsid w:val="008E215E"/>
    <w:rsid w:val="008E21B7"/>
    <w:rsid w:val="008E22A8"/>
    <w:rsid w:val="008E2434"/>
    <w:rsid w:val="008E2624"/>
    <w:rsid w:val="008E263F"/>
    <w:rsid w:val="008E2652"/>
    <w:rsid w:val="008E26CE"/>
    <w:rsid w:val="008E28B7"/>
    <w:rsid w:val="008E2991"/>
    <w:rsid w:val="008E2AB3"/>
    <w:rsid w:val="008E2BA1"/>
    <w:rsid w:val="008E2C27"/>
    <w:rsid w:val="008E2D7A"/>
    <w:rsid w:val="008E2E7F"/>
    <w:rsid w:val="008E2F70"/>
    <w:rsid w:val="008E3321"/>
    <w:rsid w:val="008E3327"/>
    <w:rsid w:val="008E346F"/>
    <w:rsid w:val="008E3519"/>
    <w:rsid w:val="008E3580"/>
    <w:rsid w:val="008E358A"/>
    <w:rsid w:val="008E3616"/>
    <w:rsid w:val="008E3B65"/>
    <w:rsid w:val="008E3B86"/>
    <w:rsid w:val="008E3BB9"/>
    <w:rsid w:val="008E3BCA"/>
    <w:rsid w:val="008E3DD3"/>
    <w:rsid w:val="008E3F07"/>
    <w:rsid w:val="008E400D"/>
    <w:rsid w:val="008E4136"/>
    <w:rsid w:val="008E440B"/>
    <w:rsid w:val="008E4532"/>
    <w:rsid w:val="008E45D9"/>
    <w:rsid w:val="008E46B8"/>
    <w:rsid w:val="008E47A0"/>
    <w:rsid w:val="008E4A95"/>
    <w:rsid w:val="008E4ABF"/>
    <w:rsid w:val="008E4BFA"/>
    <w:rsid w:val="008E4C9A"/>
    <w:rsid w:val="008E4CF5"/>
    <w:rsid w:val="008E4E93"/>
    <w:rsid w:val="008E4EA7"/>
    <w:rsid w:val="008E4FC8"/>
    <w:rsid w:val="008E4FED"/>
    <w:rsid w:val="008E5141"/>
    <w:rsid w:val="008E51C1"/>
    <w:rsid w:val="008E5388"/>
    <w:rsid w:val="008E53BE"/>
    <w:rsid w:val="008E5527"/>
    <w:rsid w:val="008E5691"/>
    <w:rsid w:val="008E57BD"/>
    <w:rsid w:val="008E5800"/>
    <w:rsid w:val="008E5852"/>
    <w:rsid w:val="008E59E6"/>
    <w:rsid w:val="008E5A1D"/>
    <w:rsid w:val="008E5CB4"/>
    <w:rsid w:val="008E5D75"/>
    <w:rsid w:val="008E5E34"/>
    <w:rsid w:val="008E5F4E"/>
    <w:rsid w:val="008E5FC6"/>
    <w:rsid w:val="008E60E9"/>
    <w:rsid w:val="008E6160"/>
    <w:rsid w:val="008E61C4"/>
    <w:rsid w:val="008E6266"/>
    <w:rsid w:val="008E626F"/>
    <w:rsid w:val="008E6377"/>
    <w:rsid w:val="008E639B"/>
    <w:rsid w:val="008E6558"/>
    <w:rsid w:val="008E6C2B"/>
    <w:rsid w:val="008E7007"/>
    <w:rsid w:val="008E70DC"/>
    <w:rsid w:val="008E7108"/>
    <w:rsid w:val="008E7199"/>
    <w:rsid w:val="008E72A4"/>
    <w:rsid w:val="008E7312"/>
    <w:rsid w:val="008E74A6"/>
    <w:rsid w:val="008E74B2"/>
    <w:rsid w:val="008E754D"/>
    <w:rsid w:val="008E7958"/>
    <w:rsid w:val="008E79E3"/>
    <w:rsid w:val="008E7A48"/>
    <w:rsid w:val="008E7BDB"/>
    <w:rsid w:val="008E7DEC"/>
    <w:rsid w:val="008E7EFA"/>
    <w:rsid w:val="008F00FF"/>
    <w:rsid w:val="008F01A7"/>
    <w:rsid w:val="008F035B"/>
    <w:rsid w:val="008F03E9"/>
    <w:rsid w:val="008F075E"/>
    <w:rsid w:val="008F086C"/>
    <w:rsid w:val="008F0AE3"/>
    <w:rsid w:val="008F0B2E"/>
    <w:rsid w:val="008F0B88"/>
    <w:rsid w:val="008F0BC5"/>
    <w:rsid w:val="008F0C62"/>
    <w:rsid w:val="008F0CCD"/>
    <w:rsid w:val="008F0CF6"/>
    <w:rsid w:val="008F0E02"/>
    <w:rsid w:val="008F100F"/>
    <w:rsid w:val="008F10FB"/>
    <w:rsid w:val="008F111D"/>
    <w:rsid w:val="008F1320"/>
    <w:rsid w:val="008F137E"/>
    <w:rsid w:val="008F14DA"/>
    <w:rsid w:val="008F1588"/>
    <w:rsid w:val="008F15E6"/>
    <w:rsid w:val="008F16FB"/>
    <w:rsid w:val="008F1786"/>
    <w:rsid w:val="008F1871"/>
    <w:rsid w:val="008F1978"/>
    <w:rsid w:val="008F1A76"/>
    <w:rsid w:val="008F1ABC"/>
    <w:rsid w:val="008F1B01"/>
    <w:rsid w:val="008F1CEA"/>
    <w:rsid w:val="008F1D0D"/>
    <w:rsid w:val="008F1D12"/>
    <w:rsid w:val="008F1E52"/>
    <w:rsid w:val="008F1EB8"/>
    <w:rsid w:val="008F1EFE"/>
    <w:rsid w:val="008F1F15"/>
    <w:rsid w:val="008F1F27"/>
    <w:rsid w:val="008F20DA"/>
    <w:rsid w:val="008F2105"/>
    <w:rsid w:val="008F227C"/>
    <w:rsid w:val="008F2285"/>
    <w:rsid w:val="008F22E6"/>
    <w:rsid w:val="008F2307"/>
    <w:rsid w:val="008F234E"/>
    <w:rsid w:val="008F23E2"/>
    <w:rsid w:val="008F2465"/>
    <w:rsid w:val="008F2535"/>
    <w:rsid w:val="008F258D"/>
    <w:rsid w:val="008F2606"/>
    <w:rsid w:val="008F261F"/>
    <w:rsid w:val="008F262B"/>
    <w:rsid w:val="008F278B"/>
    <w:rsid w:val="008F294B"/>
    <w:rsid w:val="008F2A61"/>
    <w:rsid w:val="008F2A6E"/>
    <w:rsid w:val="008F2B46"/>
    <w:rsid w:val="008F2C27"/>
    <w:rsid w:val="008F2C59"/>
    <w:rsid w:val="008F2D17"/>
    <w:rsid w:val="008F2E16"/>
    <w:rsid w:val="008F2ECD"/>
    <w:rsid w:val="008F2F1F"/>
    <w:rsid w:val="008F3050"/>
    <w:rsid w:val="008F3066"/>
    <w:rsid w:val="008F30C3"/>
    <w:rsid w:val="008F31FB"/>
    <w:rsid w:val="008F341F"/>
    <w:rsid w:val="008F35C9"/>
    <w:rsid w:val="008F37E3"/>
    <w:rsid w:val="008F3922"/>
    <w:rsid w:val="008F3A5C"/>
    <w:rsid w:val="008F3AB1"/>
    <w:rsid w:val="008F3B28"/>
    <w:rsid w:val="008F3C6D"/>
    <w:rsid w:val="008F3DC9"/>
    <w:rsid w:val="008F3E35"/>
    <w:rsid w:val="008F3EA4"/>
    <w:rsid w:val="008F3EFC"/>
    <w:rsid w:val="008F3F7A"/>
    <w:rsid w:val="008F4180"/>
    <w:rsid w:val="008F41F3"/>
    <w:rsid w:val="008F42B7"/>
    <w:rsid w:val="008F46F3"/>
    <w:rsid w:val="008F4A8B"/>
    <w:rsid w:val="008F4AD5"/>
    <w:rsid w:val="008F4ADB"/>
    <w:rsid w:val="008F4B0E"/>
    <w:rsid w:val="008F4B14"/>
    <w:rsid w:val="008F4BA3"/>
    <w:rsid w:val="008F4C2D"/>
    <w:rsid w:val="008F4DA5"/>
    <w:rsid w:val="008F4E40"/>
    <w:rsid w:val="008F4E5B"/>
    <w:rsid w:val="008F4E78"/>
    <w:rsid w:val="008F4E79"/>
    <w:rsid w:val="008F4F8D"/>
    <w:rsid w:val="008F4FDF"/>
    <w:rsid w:val="008F5021"/>
    <w:rsid w:val="008F5075"/>
    <w:rsid w:val="008F5146"/>
    <w:rsid w:val="008F521B"/>
    <w:rsid w:val="008F52C5"/>
    <w:rsid w:val="008F567D"/>
    <w:rsid w:val="008F5749"/>
    <w:rsid w:val="008F58E3"/>
    <w:rsid w:val="008F5946"/>
    <w:rsid w:val="008F5954"/>
    <w:rsid w:val="008F5A2D"/>
    <w:rsid w:val="008F5D4C"/>
    <w:rsid w:val="008F5D4E"/>
    <w:rsid w:val="008F5DF8"/>
    <w:rsid w:val="008F6036"/>
    <w:rsid w:val="008F621C"/>
    <w:rsid w:val="008F627A"/>
    <w:rsid w:val="008F63C4"/>
    <w:rsid w:val="008F6496"/>
    <w:rsid w:val="008F6584"/>
    <w:rsid w:val="008F65E3"/>
    <w:rsid w:val="008F67F9"/>
    <w:rsid w:val="008F685B"/>
    <w:rsid w:val="008F68A6"/>
    <w:rsid w:val="008F6A6D"/>
    <w:rsid w:val="008F6AA6"/>
    <w:rsid w:val="008F6B7E"/>
    <w:rsid w:val="008F6C39"/>
    <w:rsid w:val="008F6C51"/>
    <w:rsid w:val="008F6E74"/>
    <w:rsid w:val="008F6FC3"/>
    <w:rsid w:val="008F73B2"/>
    <w:rsid w:val="008F746B"/>
    <w:rsid w:val="008F74D2"/>
    <w:rsid w:val="008F7795"/>
    <w:rsid w:val="008F7831"/>
    <w:rsid w:val="008F785A"/>
    <w:rsid w:val="008F7A0A"/>
    <w:rsid w:val="008F7A24"/>
    <w:rsid w:val="008F7B64"/>
    <w:rsid w:val="008F7C23"/>
    <w:rsid w:val="008F7C2A"/>
    <w:rsid w:val="008F7CE9"/>
    <w:rsid w:val="008F7D7F"/>
    <w:rsid w:val="008F7DDD"/>
    <w:rsid w:val="00900061"/>
    <w:rsid w:val="00900063"/>
    <w:rsid w:val="009000DA"/>
    <w:rsid w:val="009000EF"/>
    <w:rsid w:val="009001BF"/>
    <w:rsid w:val="00900373"/>
    <w:rsid w:val="0090038B"/>
    <w:rsid w:val="009003D0"/>
    <w:rsid w:val="009005B8"/>
    <w:rsid w:val="0090060B"/>
    <w:rsid w:val="00900647"/>
    <w:rsid w:val="00900770"/>
    <w:rsid w:val="009008FB"/>
    <w:rsid w:val="00900916"/>
    <w:rsid w:val="00900924"/>
    <w:rsid w:val="00900999"/>
    <w:rsid w:val="00900A4A"/>
    <w:rsid w:val="00900BC6"/>
    <w:rsid w:val="00900C84"/>
    <w:rsid w:val="00900EE1"/>
    <w:rsid w:val="00900F76"/>
    <w:rsid w:val="00900F9C"/>
    <w:rsid w:val="00901521"/>
    <w:rsid w:val="009015D8"/>
    <w:rsid w:val="00901616"/>
    <w:rsid w:val="00901AFE"/>
    <w:rsid w:val="00901B25"/>
    <w:rsid w:val="00901C3B"/>
    <w:rsid w:val="00901D48"/>
    <w:rsid w:val="00902066"/>
    <w:rsid w:val="00902194"/>
    <w:rsid w:val="00902198"/>
    <w:rsid w:val="0090237D"/>
    <w:rsid w:val="00902439"/>
    <w:rsid w:val="009024E3"/>
    <w:rsid w:val="009025CB"/>
    <w:rsid w:val="0090265E"/>
    <w:rsid w:val="00902733"/>
    <w:rsid w:val="00902779"/>
    <w:rsid w:val="009027FB"/>
    <w:rsid w:val="0090285D"/>
    <w:rsid w:val="00902BBB"/>
    <w:rsid w:val="00902CC5"/>
    <w:rsid w:val="00902D18"/>
    <w:rsid w:val="00902EC2"/>
    <w:rsid w:val="00902FAE"/>
    <w:rsid w:val="00903086"/>
    <w:rsid w:val="009032D0"/>
    <w:rsid w:val="009033A7"/>
    <w:rsid w:val="00903441"/>
    <w:rsid w:val="00903514"/>
    <w:rsid w:val="009035B7"/>
    <w:rsid w:val="009037BE"/>
    <w:rsid w:val="009037E6"/>
    <w:rsid w:val="00903861"/>
    <w:rsid w:val="009039B7"/>
    <w:rsid w:val="009039EE"/>
    <w:rsid w:val="00903CB8"/>
    <w:rsid w:val="00903CF7"/>
    <w:rsid w:val="00903E50"/>
    <w:rsid w:val="00903EF0"/>
    <w:rsid w:val="00903EF7"/>
    <w:rsid w:val="0090421D"/>
    <w:rsid w:val="0090424F"/>
    <w:rsid w:val="009042DB"/>
    <w:rsid w:val="00904352"/>
    <w:rsid w:val="009043A6"/>
    <w:rsid w:val="0090440C"/>
    <w:rsid w:val="009044C7"/>
    <w:rsid w:val="00904777"/>
    <w:rsid w:val="009047E7"/>
    <w:rsid w:val="009047F1"/>
    <w:rsid w:val="00904808"/>
    <w:rsid w:val="00904823"/>
    <w:rsid w:val="00904C5E"/>
    <w:rsid w:val="00904E74"/>
    <w:rsid w:val="009050D2"/>
    <w:rsid w:val="00905409"/>
    <w:rsid w:val="0090554D"/>
    <w:rsid w:val="009055A3"/>
    <w:rsid w:val="00905678"/>
    <w:rsid w:val="009056B9"/>
    <w:rsid w:val="009056EB"/>
    <w:rsid w:val="00905714"/>
    <w:rsid w:val="0090584D"/>
    <w:rsid w:val="0090585E"/>
    <w:rsid w:val="009058B1"/>
    <w:rsid w:val="00905960"/>
    <w:rsid w:val="00905999"/>
    <w:rsid w:val="00905A11"/>
    <w:rsid w:val="00905B55"/>
    <w:rsid w:val="00905D17"/>
    <w:rsid w:val="00905DAB"/>
    <w:rsid w:val="00905FA8"/>
    <w:rsid w:val="00905FB3"/>
    <w:rsid w:val="009061D2"/>
    <w:rsid w:val="009062B6"/>
    <w:rsid w:val="0090645C"/>
    <w:rsid w:val="00906609"/>
    <w:rsid w:val="009066AB"/>
    <w:rsid w:val="009066E4"/>
    <w:rsid w:val="00906744"/>
    <w:rsid w:val="00906897"/>
    <w:rsid w:val="00906934"/>
    <w:rsid w:val="00906992"/>
    <w:rsid w:val="00906A16"/>
    <w:rsid w:val="00906A5B"/>
    <w:rsid w:val="00906BD9"/>
    <w:rsid w:val="00906C52"/>
    <w:rsid w:val="00906E11"/>
    <w:rsid w:val="00906EA2"/>
    <w:rsid w:val="00906FF1"/>
    <w:rsid w:val="0090704A"/>
    <w:rsid w:val="00907077"/>
    <w:rsid w:val="009072DD"/>
    <w:rsid w:val="0090749E"/>
    <w:rsid w:val="0090760E"/>
    <w:rsid w:val="00907916"/>
    <w:rsid w:val="00907920"/>
    <w:rsid w:val="00907C2F"/>
    <w:rsid w:val="00907D19"/>
    <w:rsid w:val="00907F40"/>
    <w:rsid w:val="0090EE40"/>
    <w:rsid w:val="009100F7"/>
    <w:rsid w:val="0091021C"/>
    <w:rsid w:val="00910224"/>
    <w:rsid w:val="00910295"/>
    <w:rsid w:val="00910436"/>
    <w:rsid w:val="009104B5"/>
    <w:rsid w:val="009104C4"/>
    <w:rsid w:val="009105B1"/>
    <w:rsid w:val="00910603"/>
    <w:rsid w:val="00910818"/>
    <w:rsid w:val="00910825"/>
    <w:rsid w:val="0091094C"/>
    <w:rsid w:val="00910A49"/>
    <w:rsid w:val="00910B4B"/>
    <w:rsid w:val="00911085"/>
    <w:rsid w:val="009111D7"/>
    <w:rsid w:val="009112DA"/>
    <w:rsid w:val="0091141C"/>
    <w:rsid w:val="0091143E"/>
    <w:rsid w:val="00911445"/>
    <w:rsid w:val="009114B7"/>
    <w:rsid w:val="0091164B"/>
    <w:rsid w:val="0091168D"/>
    <w:rsid w:val="009118B4"/>
    <w:rsid w:val="00911A2C"/>
    <w:rsid w:val="00911BFB"/>
    <w:rsid w:val="00911C03"/>
    <w:rsid w:val="00911D7B"/>
    <w:rsid w:val="00911D7D"/>
    <w:rsid w:val="00911E8E"/>
    <w:rsid w:val="009122B0"/>
    <w:rsid w:val="009122F9"/>
    <w:rsid w:val="009123BC"/>
    <w:rsid w:val="00912418"/>
    <w:rsid w:val="00912633"/>
    <w:rsid w:val="009127BE"/>
    <w:rsid w:val="00912863"/>
    <w:rsid w:val="00912A49"/>
    <w:rsid w:val="00912AE4"/>
    <w:rsid w:val="00912BD7"/>
    <w:rsid w:val="00912DC7"/>
    <w:rsid w:val="00912DDB"/>
    <w:rsid w:val="00912E3B"/>
    <w:rsid w:val="00912F0D"/>
    <w:rsid w:val="009130B8"/>
    <w:rsid w:val="0091312A"/>
    <w:rsid w:val="0091313F"/>
    <w:rsid w:val="0091334B"/>
    <w:rsid w:val="0091335F"/>
    <w:rsid w:val="00913410"/>
    <w:rsid w:val="0091342C"/>
    <w:rsid w:val="00913470"/>
    <w:rsid w:val="009134E6"/>
    <w:rsid w:val="00913523"/>
    <w:rsid w:val="009137DF"/>
    <w:rsid w:val="009139B1"/>
    <w:rsid w:val="009139C2"/>
    <w:rsid w:val="009139EC"/>
    <w:rsid w:val="009139FD"/>
    <w:rsid w:val="00913DAD"/>
    <w:rsid w:val="009141DC"/>
    <w:rsid w:val="009142C2"/>
    <w:rsid w:val="0091439F"/>
    <w:rsid w:val="00914468"/>
    <w:rsid w:val="00914607"/>
    <w:rsid w:val="009146D6"/>
    <w:rsid w:val="0091473E"/>
    <w:rsid w:val="009147E9"/>
    <w:rsid w:val="009147F1"/>
    <w:rsid w:val="00914896"/>
    <w:rsid w:val="009148B9"/>
    <w:rsid w:val="0091491C"/>
    <w:rsid w:val="00914ABC"/>
    <w:rsid w:val="00914AEF"/>
    <w:rsid w:val="00914B30"/>
    <w:rsid w:val="00914B83"/>
    <w:rsid w:val="00914B8C"/>
    <w:rsid w:val="00914BD7"/>
    <w:rsid w:val="00914CCA"/>
    <w:rsid w:val="00914D21"/>
    <w:rsid w:val="00914F28"/>
    <w:rsid w:val="00914F75"/>
    <w:rsid w:val="00915230"/>
    <w:rsid w:val="009153DD"/>
    <w:rsid w:val="00915569"/>
    <w:rsid w:val="0091567C"/>
    <w:rsid w:val="009157CD"/>
    <w:rsid w:val="009157E2"/>
    <w:rsid w:val="0091585E"/>
    <w:rsid w:val="00915A8A"/>
    <w:rsid w:val="00915B68"/>
    <w:rsid w:val="00915E53"/>
    <w:rsid w:val="00915F77"/>
    <w:rsid w:val="00916006"/>
    <w:rsid w:val="00916289"/>
    <w:rsid w:val="009164F0"/>
    <w:rsid w:val="00916531"/>
    <w:rsid w:val="009165C1"/>
    <w:rsid w:val="00916660"/>
    <w:rsid w:val="0091670E"/>
    <w:rsid w:val="00916715"/>
    <w:rsid w:val="0091674D"/>
    <w:rsid w:val="00916802"/>
    <w:rsid w:val="00916AB0"/>
    <w:rsid w:val="00916B95"/>
    <w:rsid w:val="00916D52"/>
    <w:rsid w:val="00916DA3"/>
    <w:rsid w:val="00916E35"/>
    <w:rsid w:val="009170D6"/>
    <w:rsid w:val="009170F5"/>
    <w:rsid w:val="00917236"/>
    <w:rsid w:val="00917345"/>
    <w:rsid w:val="00917363"/>
    <w:rsid w:val="00917582"/>
    <w:rsid w:val="009176C0"/>
    <w:rsid w:val="009177CA"/>
    <w:rsid w:val="009177FB"/>
    <w:rsid w:val="00917842"/>
    <w:rsid w:val="00917846"/>
    <w:rsid w:val="009178D5"/>
    <w:rsid w:val="00917A70"/>
    <w:rsid w:val="00917A85"/>
    <w:rsid w:val="00917AAA"/>
    <w:rsid w:val="00917ADB"/>
    <w:rsid w:val="00917B10"/>
    <w:rsid w:val="00917B90"/>
    <w:rsid w:val="00917D73"/>
    <w:rsid w:val="00917FC0"/>
    <w:rsid w:val="0091E532"/>
    <w:rsid w:val="0092009C"/>
    <w:rsid w:val="00920101"/>
    <w:rsid w:val="0092012E"/>
    <w:rsid w:val="009202CD"/>
    <w:rsid w:val="00920418"/>
    <w:rsid w:val="0092044C"/>
    <w:rsid w:val="009204EC"/>
    <w:rsid w:val="00920635"/>
    <w:rsid w:val="009207FE"/>
    <w:rsid w:val="0092095E"/>
    <w:rsid w:val="009209D7"/>
    <w:rsid w:val="00920B98"/>
    <w:rsid w:val="00920CD3"/>
    <w:rsid w:val="00920CF1"/>
    <w:rsid w:val="00920D53"/>
    <w:rsid w:val="00921156"/>
    <w:rsid w:val="00921164"/>
    <w:rsid w:val="0092119B"/>
    <w:rsid w:val="00921274"/>
    <w:rsid w:val="00921310"/>
    <w:rsid w:val="0092145E"/>
    <w:rsid w:val="00921473"/>
    <w:rsid w:val="00921496"/>
    <w:rsid w:val="009216B4"/>
    <w:rsid w:val="009216D2"/>
    <w:rsid w:val="00921A7B"/>
    <w:rsid w:val="00921BC6"/>
    <w:rsid w:val="00921C72"/>
    <w:rsid w:val="00921CE1"/>
    <w:rsid w:val="00921D6F"/>
    <w:rsid w:val="00921FDA"/>
    <w:rsid w:val="009220BD"/>
    <w:rsid w:val="0092219A"/>
    <w:rsid w:val="009221FE"/>
    <w:rsid w:val="00922201"/>
    <w:rsid w:val="00922369"/>
    <w:rsid w:val="0092279A"/>
    <w:rsid w:val="0092282D"/>
    <w:rsid w:val="009229BA"/>
    <w:rsid w:val="009229F4"/>
    <w:rsid w:val="009229F9"/>
    <w:rsid w:val="00922AFC"/>
    <w:rsid w:val="00922B95"/>
    <w:rsid w:val="00922B9F"/>
    <w:rsid w:val="00922C56"/>
    <w:rsid w:val="00922CC8"/>
    <w:rsid w:val="00922EF8"/>
    <w:rsid w:val="00922F30"/>
    <w:rsid w:val="00922FA6"/>
    <w:rsid w:val="00923095"/>
    <w:rsid w:val="00923129"/>
    <w:rsid w:val="0092312A"/>
    <w:rsid w:val="009231EB"/>
    <w:rsid w:val="009235D8"/>
    <w:rsid w:val="009235FD"/>
    <w:rsid w:val="00923638"/>
    <w:rsid w:val="009237EC"/>
    <w:rsid w:val="00923823"/>
    <w:rsid w:val="00923A18"/>
    <w:rsid w:val="00923B4A"/>
    <w:rsid w:val="00923B8B"/>
    <w:rsid w:val="00923BC0"/>
    <w:rsid w:val="00923C03"/>
    <w:rsid w:val="00923E90"/>
    <w:rsid w:val="00923EA4"/>
    <w:rsid w:val="00923F92"/>
    <w:rsid w:val="00924001"/>
    <w:rsid w:val="0092405C"/>
    <w:rsid w:val="00924171"/>
    <w:rsid w:val="009241EF"/>
    <w:rsid w:val="00924307"/>
    <w:rsid w:val="00924505"/>
    <w:rsid w:val="00924774"/>
    <w:rsid w:val="009247FA"/>
    <w:rsid w:val="00924C4A"/>
    <w:rsid w:val="00924C8A"/>
    <w:rsid w:val="00924DDB"/>
    <w:rsid w:val="00924FD8"/>
    <w:rsid w:val="00925000"/>
    <w:rsid w:val="00925119"/>
    <w:rsid w:val="00925154"/>
    <w:rsid w:val="009252B4"/>
    <w:rsid w:val="0092546C"/>
    <w:rsid w:val="009254B9"/>
    <w:rsid w:val="00925522"/>
    <w:rsid w:val="0092553C"/>
    <w:rsid w:val="009255BD"/>
    <w:rsid w:val="009256A4"/>
    <w:rsid w:val="009256AF"/>
    <w:rsid w:val="00925750"/>
    <w:rsid w:val="0092575E"/>
    <w:rsid w:val="00925804"/>
    <w:rsid w:val="00925858"/>
    <w:rsid w:val="009258E4"/>
    <w:rsid w:val="0092590C"/>
    <w:rsid w:val="009259C8"/>
    <w:rsid w:val="00925AC3"/>
    <w:rsid w:val="00925B42"/>
    <w:rsid w:val="00925B59"/>
    <w:rsid w:val="00925C32"/>
    <w:rsid w:val="00925C67"/>
    <w:rsid w:val="00925DFE"/>
    <w:rsid w:val="00925E53"/>
    <w:rsid w:val="00925F21"/>
    <w:rsid w:val="00925FDB"/>
    <w:rsid w:val="009262BF"/>
    <w:rsid w:val="009262E5"/>
    <w:rsid w:val="0092633D"/>
    <w:rsid w:val="009264DC"/>
    <w:rsid w:val="0092668A"/>
    <w:rsid w:val="00926853"/>
    <w:rsid w:val="0092691F"/>
    <w:rsid w:val="00926B2E"/>
    <w:rsid w:val="00926B5C"/>
    <w:rsid w:val="00926B60"/>
    <w:rsid w:val="00926B97"/>
    <w:rsid w:val="00926BBE"/>
    <w:rsid w:val="00926CB5"/>
    <w:rsid w:val="00926CC8"/>
    <w:rsid w:val="00926DC2"/>
    <w:rsid w:val="00926F9F"/>
    <w:rsid w:val="00927121"/>
    <w:rsid w:val="009272C0"/>
    <w:rsid w:val="00927352"/>
    <w:rsid w:val="009273CC"/>
    <w:rsid w:val="0092758E"/>
    <w:rsid w:val="009277BD"/>
    <w:rsid w:val="00927B80"/>
    <w:rsid w:val="00927BAE"/>
    <w:rsid w:val="00927BC9"/>
    <w:rsid w:val="00927D08"/>
    <w:rsid w:val="00927E7D"/>
    <w:rsid w:val="00927E97"/>
    <w:rsid w:val="00930193"/>
    <w:rsid w:val="00930362"/>
    <w:rsid w:val="00930395"/>
    <w:rsid w:val="00930469"/>
    <w:rsid w:val="00930516"/>
    <w:rsid w:val="009305FA"/>
    <w:rsid w:val="009305FF"/>
    <w:rsid w:val="0093064E"/>
    <w:rsid w:val="009308B9"/>
    <w:rsid w:val="009308C2"/>
    <w:rsid w:val="0093091F"/>
    <w:rsid w:val="00930A96"/>
    <w:rsid w:val="00930BEC"/>
    <w:rsid w:val="00930D40"/>
    <w:rsid w:val="00930D60"/>
    <w:rsid w:val="00930D64"/>
    <w:rsid w:val="00930FA1"/>
    <w:rsid w:val="00931288"/>
    <w:rsid w:val="009312F3"/>
    <w:rsid w:val="0093138C"/>
    <w:rsid w:val="00931457"/>
    <w:rsid w:val="00931537"/>
    <w:rsid w:val="0093161B"/>
    <w:rsid w:val="00931628"/>
    <w:rsid w:val="0093162C"/>
    <w:rsid w:val="009318EA"/>
    <w:rsid w:val="00931983"/>
    <w:rsid w:val="009319B1"/>
    <w:rsid w:val="00931A3C"/>
    <w:rsid w:val="00931A77"/>
    <w:rsid w:val="00931B5C"/>
    <w:rsid w:val="00931C8F"/>
    <w:rsid w:val="00931E80"/>
    <w:rsid w:val="0093204F"/>
    <w:rsid w:val="00932177"/>
    <w:rsid w:val="00932271"/>
    <w:rsid w:val="0093227C"/>
    <w:rsid w:val="00932309"/>
    <w:rsid w:val="00932561"/>
    <w:rsid w:val="0093262C"/>
    <w:rsid w:val="009326EA"/>
    <w:rsid w:val="00932701"/>
    <w:rsid w:val="00932960"/>
    <w:rsid w:val="00932B35"/>
    <w:rsid w:val="00932B5E"/>
    <w:rsid w:val="00932B68"/>
    <w:rsid w:val="00932F26"/>
    <w:rsid w:val="00932F92"/>
    <w:rsid w:val="00932FBA"/>
    <w:rsid w:val="00933077"/>
    <w:rsid w:val="009331FD"/>
    <w:rsid w:val="009332D5"/>
    <w:rsid w:val="009335F0"/>
    <w:rsid w:val="009336F0"/>
    <w:rsid w:val="00933780"/>
    <w:rsid w:val="009337C7"/>
    <w:rsid w:val="009339C2"/>
    <w:rsid w:val="00933A5A"/>
    <w:rsid w:val="00933AAA"/>
    <w:rsid w:val="00933B54"/>
    <w:rsid w:val="00933C7A"/>
    <w:rsid w:val="00933CE9"/>
    <w:rsid w:val="00933D41"/>
    <w:rsid w:val="00933DAF"/>
    <w:rsid w:val="00934226"/>
    <w:rsid w:val="0093445B"/>
    <w:rsid w:val="00934516"/>
    <w:rsid w:val="00934625"/>
    <w:rsid w:val="0093466D"/>
    <w:rsid w:val="009346AA"/>
    <w:rsid w:val="009346BF"/>
    <w:rsid w:val="009346C0"/>
    <w:rsid w:val="0093495F"/>
    <w:rsid w:val="00934966"/>
    <w:rsid w:val="00934AEB"/>
    <w:rsid w:val="00934C08"/>
    <w:rsid w:val="00934DED"/>
    <w:rsid w:val="00934E94"/>
    <w:rsid w:val="009351EE"/>
    <w:rsid w:val="00935384"/>
    <w:rsid w:val="0093556E"/>
    <w:rsid w:val="009355C3"/>
    <w:rsid w:val="00935613"/>
    <w:rsid w:val="00935755"/>
    <w:rsid w:val="009357C3"/>
    <w:rsid w:val="0093588D"/>
    <w:rsid w:val="00935897"/>
    <w:rsid w:val="0093592C"/>
    <w:rsid w:val="009359C2"/>
    <w:rsid w:val="00935A78"/>
    <w:rsid w:val="00935BF0"/>
    <w:rsid w:val="00935CFD"/>
    <w:rsid w:val="00935EBC"/>
    <w:rsid w:val="00935F04"/>
    <w:rsid w:val="00935FB7"/>
    <w:rsid w:val="0093600D"/>
    <w:rsid w:val="009360DF"/>
    <w:rsid w:val="0093611F"/>
    <w:rsid w:val="00936146"/>
    <w:rsid w:val="009362AD"/>
    <w:rsid w:val="009362E4"/>
    <w:rsid w:val="0093636B"/>
    <w:rsid w:val="009363E0"/>
    <w:rsid w:val="00936423"/>
    <w:rsid w:val="009365E4"/>
    <w:rsid w:val="00936605"/>
    <w:rsid w:val="00936857"/>
    <w:rsid w:val="0093686E"/>
    <w:rsid w:val="00936896"/>
    <w:rsid w:val="00936974"/>
    <w:rsid w:val="009369A8"/>
    <w:rsid w:val="00936B84"/>
    <w:rsid w:val="00936EC0"/>
    <w:rsid w:val="00936F12"/>
    <w:rsid w:val="00936FC0"/>
    <w:rsid w:val="00937073"/>
    <w:rsid w:val="009371CB"/>
    <w:rsid w:val="00937271"/>
    <w:rsid w:val="009372FA"/>
    <w:rsid w:val="009374DC"/>
    <w:rsid w:val="009376C5"/>
    <w:rsid w:val="00937727"/>
    <w:rsid w:val="0093782E"/>
    <w:rsid w:val="00937891"/>
    <w:rsid w:val="00937A38"/>
    <w:rsid w:val="00937A3B"/>
    <w:rsid w:val="00937C8E"/>
    <w:rsid w:val="00937CA8"/>
    <w:rsid w:val="00937D96"/>
    <w:rsid w:val="00937F8F"/>
    <w:rsid w:val="00937FD8"/>
    <w:rsid w:val="0093CAC8"/>
    <w:rsid w:val="0093EA65"/>
    <w:rsid w:val="0094002B"/>
    <w:rsid w:val="009400A0"/>
    <w:rsid w:val="0094011E"/>
    <w:rsid w:val="00940257"/>
    <w:rsid w:val="009402AD"/>
    <w:rsid w:val="0094030D"/>
    <w:rsid w:val="009403A5"/>
    <w:rsid w:val="0094044C"/>
    <w:rsid w:val="00940619"/>
    <w:rsid w:val="00940691"/>
    <w:rsid w:val="009409F1"/>
    <w:rsid w:val="00940B3C"/>
    <w:rsid w:val="00940CAE"/>
    <w:rsid w:val="00940CFA"/>
    <w:rsid w:val="00940D0D"/>
    <w:rsid w:val="00940DD8"/>
    <w:rsid w:val="00940DE4"/>
    <w:rsid w:val="0094101D"/>
    <w:rsid w:val="00941130"/>
    <w:rsid w:val="00941194"/>
    <w:rsid w:val="00941232"/>
    <w:rsid w:val="00941295"/>
    <w:rsid w:val="009412B0"/>
    <w:rsid w:val="0094133C"/>
    <w:rsid w:val="00941395"/>
    <w:rsid w:val="009413C7"/>
    <w:rsid w:val="009416E1"/>
    <w:rsid w:val="009418DC"/>
    <w:rsid w:val="00941A5D"/>
    <w:rsid w:val="00941D04"/>
    <w:rsid w:val="00941DCD"/>
    <w:rsid w:val="00941E95"/>
    <w:rsid w:val="00941EA0"/>
    <w:rsid w:val="00941F73"/>
    <w:rsid w:val="009421B2"/>
    <w:rsid w:val="00942233"/>
    <w:rsid w:val="009422C4"/>
    <w:rsid w:val="0094234A"/>
    <w:rsid w:val="009425FB"/>
    <w:rsid w:val="009427D7"/>
    <w:rsid w:val="00942817"/>
    <w:rsid w:val="0094291D"/>
    <w:rsid w:val="0094299F"/>
    <w:rsid w:val="00942ACE"/>
    <w:rsid w:val="00942CB2"/>
    <w:rsid w:val="00942DB3"/>
    <w:rsid w:val="00942FBD"/>
    <w:rsid w:val="009430CF"/>
    <w:rsid w:val="0094311E"/>
    <w:rsid w:val="0094334E"/>
    <w:rsid w:val="00943376"/>
    <w:rsid w:val="00943380"/>
    <w:rsid w:val="00943476"/>
    <w:rsid w:val="0094350C"/>
    <w:rsid w:val="00943660"/>
    <w:rsid w:val="009436DB"/>
    <w:rsid w:val="00943737"/>
    <w:rsid w:val="00943875"/>
    <w:rsid w:val="0094395E"/>
    <w:rsid w:val="00943B19"/>
    <w:rsid w:val="00943BD5"/>
    <w:rsid w:val="00943BE9"/>
    <w:rsid w:val="00943BF1"/>
    <w:rsid w:val="00943CBF"/>
    <w:rsid w:val="00943D5E"/>
    <w:rsid w:val="00943E60"/>
    <w:rsid w:val="00943EB3"/>
    <w:rsid w:val="00944044"/>
    <w:rsid w:val="009440DF"/>
    <w:rsid w:val="0094411C"/>
    <w:rsid w:val="0094412D"/>
    <w:rsid w:val="00944149"/>
    <w:rsid w:val="0094415C"/>
    <w:rsid w:val="0094420A"/>
    <w:rsid w:val="00944568"/>
    <w:rsid w:val="0094487A"/>
    <w:rsid w:val="00944A7F"/>
    <w:rsid w:val="00944CB7"/>
    <w:rsid w:val="00944E5F"/>
    <w:rsid w:val="0094502D"/>
    <w:rsid w:val="0094514F"/>
    <w:rsid w:val="0094518B"/>
    <w:rsid w:val="009452DC"/>
    <w:rsid w:val="009453BF"/>
    <w:rsid w:val="009453E3"/>
    <w:rsid w:val="00945605"/>
    <w:rsid w:val="00945666"/>
    <w:rsid w:val="0094592B"/>
    <w:rsid w:val="00945971"/>
    <w:rsid w:val="00945A08"/>
    <w:rsid w:val="00945A48"/>
    <w:rsid w:val="00945D9E"/>
    <w:rsid w:val="00945F17"/>
    <w:rsid w:val="0094608A"/>
    <w:rsid w:val="009460CA"/>
    <w:rsid w:val="00946126"/>
    <w:rsid w:val="0094619F"/>
    <w:rsid w:val="0094642E"/>
    <w:rsid w:val="0094643B"/>
    <w:rsid w:val="0094645A"/>
    <w:rsid w:val="00946478"/>
    <w:rsid w:val="00946572"/>
    <w:rsid w:val="009466CE"/>
    <w:rsid w:val="00946879"/>
    <w:rsid w:val="0094687E"/>
    <w:rsid w:val="009469CC"/>
    <w:rsid w:val="00946AED"/>
    <w:rsid w:val="00946DFB"/>
    <w:rsid w:val="00946F53"/>
    <w:rsid w:val="00946FB1"/>
    <w:rsid w:val="00947001"/>
    <w:rsid w:val="0094702A"/>
    <w:rsid w:val="0094721A"/>
    <w:rsid w:val="00947232"/>
    <w:rsid w:val="00947256"/>
    <w:rsid w:val="00947336"/>
    <w:rsid w:val="009473CD"/>
    <w:rsid w:val="00947519"/>
    <w:rsid w:val="009475C7"/>
    <w:rsid w:val="009476B3"/>
    <w:rsid w:val="00947774"/>
    <w:rsid w:val="009477BA"/>
    <w:rsid w:val="00947A16"/>
    <w:rsid w:val="00947BF9"/>
    <w:rsid w:val="00947C2A"/>
    <w:rsid w:val="00947CD5"/>
    <w:rsid w:val="00947E3E"/>
    <w:rsid w:val="009500B1"/>
    <w:rsid w:val="009502BE"/>
    <w:rsid w:val="009502D1"/>
    <w:rsid w:val="009502DB"/>
    <w:rsid w:val="009504D5"/>
    <w:rsid w:val="009504FB"/>
    <w:rsid w:val="009505CA"/>
    <w:rsid w:val="009506D3"/>
    <w:rsid w:val="00950978"/>
    <w:rsid w:val="009509C5"/>
    <w:rsid w:val="00950C69"/>
    <w:rsid w:val="00950D66"/>
    <w:rsid w:val="00950F4B"/>
    <w:rsid w:val="00950F7F"/>
    <w:rsid w:val="009510F9"/>
    <w:rsid w:val="0095110A"/>
    <w:rsid w:val="00951135"/>
    <w:rsid w:val="009511DD"/>
    <w:rsid w:val="00951245"/>
    <w:rsid w:val="00951256"/>
    <w:rsid w:val="00951356"/>
    <w:rsid w:val="009513F8"/>
    <w:rsid w:val="0095170E"/>
    <w:rsid w:val="0095172D"/>
    <w:rsid w:val="009517D3"/>
    <w:rsid w:val="009517E3"/>
    <w:rsid w:val="0095181E"/>
    <w:rsid w:val="009518A5"/>
    <w:rsid w:val="00951A76"/>
    <w:rsid w:val="00951A91"/>
    <w:rsid w:val="00951B58"/>
    <w:rsid w:val="00951C71"/>
    <w:rsid w:val="00951CFF"/>
    <w:rsid w:val="00951D93"/>
    <w:rsid w:val="00951EF0"/>
    <w:rsid w:val="00951F20"/>
    <w:rsid w:val="00951F7E"/>
    <w:rsid w:val="00951FB8"/>
    <w:rsid w:val="0095211C"/>
    <w:rsid w:val="009521C2"/>
    <w:rsid w:val="00952274"/>
    <w:rsid w:val="009522BC"/>
    <w:rsid w:val="009522D5"/>
    <w:rsid w:val="00952432"/>
    <w:rsid w:val="009524E1"/>
    <w:rsid w:val="0095254D"/>
    <w:rsid w:val="00952591"/>
    <w:rsid w:val="0095275B"/>
    <w:rsid w:val="009527F5"/>
    <w:rsid w:val="009528A6"/>
    <w:rsid w:val="009528C4"/>
    <w:rsid w:val="00952A27"/>
    <w:rsid w:val="00952BFE"/>
    <w:rsid w:val="00952C37"/>
    <w:rsid w:val="00952DD8"/>
    <w:rsid w:val="00952E8F"/>
    <w:rsid w:val="00952FD2"/>
    <w:rsid w:val="0095301E"/>
    <w:rsid w:val="009531B0"/>
    <w:rsid w:val="0095336A"/>
    <w:rsid w:val="00953441"/>
    <w:rsid w:val="00953632"/>
    <w:rsid w:val="00953694"/>
    <w:rsid w:val="00953743"/>
    <w:rsid w:val="00953777"/>
    <w:rsid w:val="00953813"/>
    <w:rsid w:val="009538F1"/>
    <w:rsid w:val="00953911"/>
    <w:rsid w:val="00953957"/>
    <w:rsid w:val="00953A37"/>
    <w:rsid w:val="00953D4D"/>
    <w:rsid w:val="00953DEF"/>
    <w:rsid w:val="00954015"/>
    <w:rsid w:val="00954107"/>
    <w:rsid w:val="00954168"/>
    <w:rsid w:val="00954360"/>
    <w:rsid w:val="009543E2"/>
    <w:rsid w:val="00954494"/>
    <w:rsid w:val="009544E7"/>
    <w:rsid w:val="009546F8"/>
    <w:rsid w:val="0095485B"/>
    <w:rsid w:val="00954926"/>
    <w:rsid w:val="00954929"/>
    <w:rsid w:val="00954A09"/>
    <w:rsid w:val="00954A29"/>
    <w:rsid w:val="00954ADD"/>
    <w:rsid w:val="00954C73"/>
    <w:rsid w:val="00954E8A"/>
    <w:rsid w:val="00955183"/>
    <w:rsid w:val="009551E8"/>
    <w:rsid w:val="0095546A"/>
    <w:rsid w:val="00955476"/>
    <w:rsid w:val="009555A0"/>
    <w:rsid w:val="00955608"/>
    <w:rsid w:val="0095565C"/>
    <w:rsid w:val="00955918"/>
    <w:rsid w:val="00955ABA"/>
    <w:rsid w:val="00955AD2"/>
    <w:rsid w:val="00955B03"/>
    <w:rsid w:val="00955B28"/>
    <w:rsid w:val="00955BA9"/>
    <w:rsid w:val="00955C71"/>
    <w:rsid w:val="00955E9A"/>
    <w:rsid w:val="00955F6E"/>
    <w:rsid w:val="00956231"/>
    <w:rsid w:val="0095628D"/>
    <w:rsid w:val="00956378"/>
    <w:rsid w:val="00956393"/>
    <w:rsid w:val="009563A8"/>
    <w:rsid w:val="009564AA"/>
    <w:rsid w:val="009565B1"/>
    <w:rsid w:val="00956773"/>
    <w:rsid w:val="00956807"/>
    <w:rsid w:val="00956911"/>
    <w:rsid w:val="0095693A"/>
    <w:rsid w:val="00956A69"/>
    <w:rsid w:val="00956B78"/>
    <w:rsid w:val="00956C1F"/>
    <w:rsid w:val="00956F37"/>
    <w:rsid w:val="00956F96"/>
    <w:rsid w:val="009570DB"/>
    <w:rsid w:val="009570EB"/>
    <w:rsid w:val="009571A6"/>
    <w:rsid w:val="009571CE"/>
    <w:rsid w:val="0095726F"/>
    <w:rsid w:val="0095756A"/>
    <w:rsid w:val="00957707"/>
    <w:rsid w:val="00957872"/>
    <w:rsid w:val="00957C04"/>
    <w:rsid w:val="00957D25"/>
    <w:rsid w:val="00957D5A"/>
    <w:rsid w:val="00957D5B"/>
    <w:rsid w:val="00957D60"/>
    <w:rsid w:val="00957E3A"/>
    <w:rsid w:val="00957E6E"/>
    <w:rsid w:val="00957FF6"/>
    <w:rsid w:val="0095EAB4"/>
    <w:rsid w:val="00960127"/>
    <w:rsid w:val="009601AD"/>
    <w:rsid w:val="0096029E"/>
    <w:rsid w:val="009602FC"/>
    <w:rsid w:val="00960437"/>
    <w:rsid w:val="009604A5"/>
    <w:rsid w:val="009606A4"/>
    <w:rsid w:val="009607F7"/>
    <w:rsid w:val="00960884"/>
    <w:rsid w:val="00960980"/>
    <w:rsid w:val="009609A6"/>
    <w:rsid w:val="00960AC0"/>
    <w:rsid w:val="00960FCF"/>
    <w:rsid w:val="00961017"/>
    <w:rsid w:val="009610F0"/>
    <w:rsid w:val="009611C1"/>
    <w:rsid w:val="00961274"/>
    <w:rsid w:val="0096143E"/>
    <w:rsid w:val="00961881"/>
    <w:rsid w:val="009618FD"/>
    <w:rsid w:val="00961903"/>
    <w:rsid w:val="00961C7C"/>
    <w:rsid w:val="00961E17"/>
    <w:rsid w:val="00961E2B"/>
    <w:rsid w:val="00961FAA"/>
    <w:rsid w:val="00961FAC"/>
    <w:rsid w:val="009621EE"/>
    <w:rsid w:val="009622B8"/>
    <w:rsid w:val="00962322"/>
    <w:rsid w:val="00962454"/>
    <w:rsid w:val="009624B6"/>
    <w:rsid w:val="00962550"/>
    <w:rsid w:val="009625CA"/>
    <w:rsid w:val="009625CD"/>
    <w:rsid w:val="009625EC"/>
    <w:rsid w:val="009626D8"/>
    <w:rsid w:val="0096275F"/>
    <w:rsid w:val="009628EA"/>
    <w:rsid w:val="0096295C"/>
    <w:rsid w:val="0096299C"/>
    <w:rsid w:val="00962D3F"/>
    <w:rsid w:val="00962E0B"/>
    <w:rsid w:val="00962EC8"/>
    <w:rsid w:val="00962F1B"/>
    <w:rsid w:val="00962F25"/>
    <w:rsid w:val="00962F48"/>
    <w:rsid w:val="00962F52"/>
    <w:rsid w:val="00962F65"/>
    <w:rsid w:val="00962F94"/>
    <w:rsid w:val="009630A2"/>
    <w:rsid w:val="00963224"/>
    <w:rsid w:val="00963258"/>
    <w:rsid w:val="009632CE"/>
    <w:rsid w:val="00963304"/>
    <w:rsid w:val="00963368"/>
    <w:rsid w:val="009635CC"/>
    <w:rsid w:val="00963686"/>
    <w:rsid w:val="00963A7D"/>
    <w:rsid w:val="00963AB9"/>
    <w:rsid w:val="00963B5C"/>
    <w:rsid w:val="00963BDF"/>
    <w:rsid w:val="00963CC8"/>
    <w:rsid w:val="00963DC6"/>
    <w:rsid w:val="00963EAA"/>
    <w:rsid w:val="00963EC0"/>
    <w:rsid w:val="0096400A"/>
    <w:rsid w:val="009640F2"/>
    <w:rsid w:val="00964153"/>
    <w:rsid w:val="00964242"/>
    <w:rsid w:val="00964255"/>
    <w:rsid w:val="009642C9"/>
    <w:rsid w:val="00964378"/>
    <w:rsid w:val="0096455F"/>
    <w:rsid w:val="009645BE"/>
    <w:rsid w:val="009648A5"/>
    <w:rsid w:val="00964910"/>
    <w:rsid w:val="00964949"/>
    <w:rsid w:val="00964B5E"/>
    <w:rsid w:val="00964D36"/>
    <w:rsid w:val="00964D3C"/>
    <w:rsid w:val="00964E70"/>
    <w:rsid w:val="00964EC3"/>
    <w:rsid w:val="00964F24"/>
    <w:rsid w:val="00964FBC"/>
    <w:rsid w:val="0096502A"/>
    <w:rsid w:val="00965128"/>
    <w:rsid w:val="0096519E"/>
    <w:rsid w:val="009651F3"/>
    <w:rsid w:val="009655CE"/>
    <w:rsid w:val="009655FF"/>
    <w:rsid w:val="00965609"/>
    <w:rsid w:val="0096584D"/>
    <w:rsid w:val="00965A91"/>
    <w:rsid w:val="00965BEB"/>
    <w:rsid w:val="00965CC8"/>
    <w:rsid w:val="00965D52"/>
    <w:rsid w:val="00965D8A"/>
    <w:rsid w:val="00965EC3"/>
    <w:rsid w:val="00965EC5"/>
    <w:rsid w:val="00965F40"/>
    <w:rsid w:val="00965F98"/>
    <w:rsid w:val="00965FA1"/>
    <w:rsid w:val="00965FAE"/>
    <w:rsid w:val="00966018"/>
    <w:rsid w:val="0096606C"/>
    <w:rsid w:val="00966118"/>
    <w:rsid w:val="0096618A"/>
    <w:rsid w:val="00966260"/>
    <w:rsid w:val="009662C8"/>
    <w:rsid w:val="00966315"/>
    <w:rsid w:val="00966321"/>
    <w:rsid w:val="00966348"/>
    <w:rsid w:val="009663E8"/>
    <w:rsid w:val="00966469"/>
    <w:rsid w:val="0096650F"/>
    <w:rsid w:val="0096653C"/>
    <w:rsid w:val="009665EC"/>
    <w:rsid w:val="009667AB"/>
    <w:rsid w:val="0096695E"/>
    <w:rsid w:val="009669B7"/>
    <w:rsid w:val="00966A83"/>
    <w:rsid w:val="00966B9F"/>
    <w:rsid w:val="00966E03"/>
    <w:rsid w:val="00967113"/>
    <w:rsid w:val="00967128"/>
    <w:rsid w:val="00967299"/>
    <w:rsid w:val="00967418"/>
    <w:rsid w:val="00967431"/>
    <w:rsid w:val="009674AB"/>
    <w:rsid w:val="009674B6"/>
    <w:rsid w:val="0096755F"/>
    <w:rsid w:val="00967700"/>
    <w:rsid w:val="00967B47"/>
    <w:rsid w:val="00967C1A"/>
    <w:rsid w:val="00967DF1"/>
    <w:rsid w:val="00967E41"/>
    <w:rsid w:val="00967ECF"/>
    <w:rsid w:val="0097008D"/>
    <w:rsid w:val="00970264"/>
    <w:rsid w:val="00970366"/>
    <w:rsid w:val="009705AF"/>
    <w:rsid w:val="009706A0"/>
    <w:rsid w:val="0097076C"/>
    <w:rsid w:val="00970A28"/>
    <w:rsid w:val="00970AF6"/>
    <w:rsid w:val="00970C2A"/>
    <w:rsid w:val="00970C62"/>
    <w:rsid w:val="00970D44"/>
    <w:rsid w:val="00970E2F"/>
    <w:rsid w:val="00970E41"/>
    <w:rsid w:val="00970E7D"/>
    <w:rsid w:val="00970E8F"/>
    <w:rsid w:val="00970F3F"/>
    <w:rsid w:val="00970FDF"/>
    <w:rsid w:val="00971014"/>
    <w:rsid w:val="0097115A"/>
    <w:rsid w:val="009711AB"/>
    <w:rsid w:val="009713A3"/>
    <w:rsid w:val="009713C1"/>
    <w:rsid w:val="00971436"/>
    <w:rsid w:val="00971444"/>
    <w:rsid w:val="009715B4"/>
    <w:rsid w:val="0097164A"/>
    <w:rsid w:val="00971772"/>
    <w:rsid w:val="009717BE"/>
    <w:rsid w:val="009717D0"/>
    <w:rsid w:val="0097188D"/>
    <w:rsid w:val="00971B05"/>
    <w:rsid w:val="00971C81"/>
    <w:rsid w:val="00971D30"/>
    <w:rsid w:val="00971EFA"/>
    <w:rsid w:val="00971FC2"/>
    <w:rsid w:val="00972061"/>
    <w:rsid w:val="00972114"/>
    <w:rsid w:val="00972320"/>
    <w:rsid w:val="00972414"/>
    <w:rsid w:val="00972459"/>
    <w:rsid w:val="00972481"/>
    <w:rsid w:val="00972E1F"/>
    <w:rsid w:val="00972F04"/>
    <w:rsid w:val="00973045"/>
    <w:rsid w:val="00973099"/>
    <w:rsid w:val="009733CA"/>
    <w:rsid w:val="00973402"/>
    <w:rsid w:val="00973533"/>
    <w:rsid w:val="00973620"/>
    <w:rsid w:val="009737DD"/>
    <w:rsid w:val="00973831"/>
    <w:rsid w:val="00973914"/>
    <w:rsid w:val="0097399A"/>
    <w:rsid w:val="00973A4F"/>
    <w:rsid w:val="00973AB7"/>
    <w:rsid w:val="00973B79"/>
    <w:rsid w:val="00973C44"/>
    <w:rsid w:val="00973CA7"/>
    <w:rsid w:val="00973F8F"/>
    <w:rsid w:val="00973FD9"/>
    <w:rsid w:val="0097405E"/>
    <w:rsid w:val="009741C7"/>
    <w:rsid w:val="00974233"/>
    <w:rsid w:val="009742AE"/>
    <w:rsid w:val="009743FF"/>
    <w:rsid w:val="00974496"/>
    <w:rsid w:val="009747DB"/>
    <w:rsid w:val="00974827"/>
    <w:rsid w:val="0097490D"/>
    <w:rsid w:val="00974A8D"/>
    <w:rsid w:val="00974C8B"/>
    <w:rsid w:val="00974FC2"/>
    <w:rsid w:val="0097509E"/>
    <w:rsid w:val="009750C5"/>
    <w:rsid w:val="0097510D"/>
    <w:rsid w:val="009751BB"/>
    <w:rsid w:val="00975245"/>
    <w:rsid w:val="0097538B"/>
    <w:rsid w:val="0097544D"/>
    <w:rsid w:val="009754DC"/>
    <w:rsid w:val="0097552B"/>
    <w:rsid w:val="0097580D"/>
    <w:rsid w:val="00975812"/>
    <w:rsid w:val="00975876"/>
    <w:rsid w:val="00975898"/>
    <w:rsid w:val="00975921"/>
    <w:rsid w:val="00975A46"/>
    <w:rsid w:val="00975B52"/>
    <w:rsid w:val="00975BF7"/>
    <w:rsid w:val="00975C52"/>
    <w:rsid w:val="00975D70"/>
    <w:rsid w:val="00975F1E"/>
    <w:rsid w:val="00975F4C"/>
    <w:rsid w:val="00975FB5"/>
    <w:rsid w:val="0097606A"/>
    <w:rsid w:val="00976271"/>
    <w:rsid w:val="009762A4"/>
    <w:rsid w:val="00976334"/>
    <w:rsid w:val="009763F0"/>
    <w:rsid w:val="00976437"/>
    <w:rsid w:val="00976505"/>
    <w:rsid w:val="00976510"/>
    <w:rsid w:val="0097663C"/>
    <w:rsid w:val="0097663D"/>
    <w:rsid w:val="0097676D"/>
    <w:rsid w:val="00976994"/>
    <w:rsid w:val="00976A73"/>
    <w:rsid w:val="00976BC1"/>
    <w:rsid w:val="00976C63"/>
    <w:rsid w:val="00976F8B"/>
    <w:rsid w:val="00977082"/>
    <w:rsid w:val="009770CA"/>
    <w:rsid w:val="00977171"/>
    <w:rsid w:val="00977199"/>
    <w:rsid w:val="009771D4"/>
    <w:rsid w:val="00977318"/>
    <w:rsid w:val="0097747E"/>
    <w:rsid w:val="009774C5"/>
    <w:rsid w:val="00977A32"/>
    <w:rsid w:val="00977A35"/>
    <w:rsid w:val="00977A53"/>
    <w:rsid w:val="00977BE7"/>
    <w:rsid w:val="00977C91"/>
    <w:rsid w:val="00977D64"/>
    <w:rsid w:val="00977DDF"/>
    <w:rsid w:val="00977E6F"/>
    <w:rsid w:val="00977E8C"/>
    <w:rsid w:val="00977FCC"/>
    <w:rsid w:val="00977FFB"/>
    <w:rsid w:val="0098009B"/>
    <w:rsid w:val="00980300"/>
    <w:rsid w:val="0098052A"/>
    <w:rsid w:val="009805DF"/>
    <w:rsid w:val="0098063D"/>
    <w:rsid w:val="009806E9"/>
    <w:rsid w:val="00980723"/>
    <w:rsid w:val="00980AEA"/>
    <w:rsid w:val="00980B6E"/>
    <w:rsid w:val="00980C31"/>
    <w:rsid w:val="00980D66"/>
    <w:rsid w:val="00980DDD"/>
    <w:rsid w:val="009811BD"/>
    <w:rsid w:val="00981267"/>
    <w:rsid w:val="009812D6"/>
    <w:rsid w:val="00981346"/>
    <w:rsid w:val="0098155D"/>
    <w:rsid w:val="00981601"/>
    <w:rsid w:val="009816AB"/>
    <w:rsid w:val="00981724"/>
    <w:rsid w:val="009817C2"/>
    <w:rsid w:val="00981805"/>
    <w:rsid w:val="0098192A"/>
    <w:rsid w:val="00981957"/>
    <w:rsid w:val="00981A7E"/>
    <w:rsid w:val="00981AB1"/>
    <w:rsid w:val="00981ACF"/>
    <w:rsid w:val="00981C36"/>
    <w:rsid w:val="00981DBC"/>
    <w:rsid w:val="00981EBD"/>
    <w:rsid w:val="00981F22"/>
    <w:rsid w:val="00981F7E"/>
    <w:rsid w:val="00981FAA"/>
    <w:rsid w:val="00982079"/>
    <w:rsid w:val="0098212E"/>
    <w:rsid w:val="009821E9"/>
    <w:rsid w:val="00982233"/>
    <w:rsid w:val="009823A5"/>
    <w:rsid w:val="009825B0"/>
    <w:rsid w:val="00982743"/>
    <w:rsid w:val="0098277E"/>
    <w:rsid w:val="00982793"/>
    <w:rsid w:val="009829CC"/>
    <w:rsid w:val="009829F6"/>
    <w:rsid w:val="00982A64"/>
    <w:rsid w:val="00982C41"/>
    <w:rsid w:val="00982C42"/>
    <w:rsid w:val="00982C47"/>
    <w:rsid w:val="00982C7C"/>
    <w:rsid w:val="00982C8E"/>
    <w:rsid w:val="00982E9C"/>
    <w:rsid w:val="00983099"/>
    <w:rsid w:val="009831C8"/>
    <w:rsid w:val="00983248"/>
    <w:rsid w:val="00983288"/>
    <w:rsid w:val="009832FA"/>
    <w:rsid w:val="00983352"/>
    <w:rsid w:val="009833EB"/>
    <w:rsid w:val="009835D8"/>
    <w:rsid w:val="009836B9"/>
    <w:rsid w:val="009836DE"/>
    <w:rsid w:val="00983893"/>
    <w:rsid w:val="00983929"/>
    <w:rsid w:val="00983936"/>
    <w:rsid w:val="00983977"/>
    <w:rsid w:val="00983A42"/>
    <w:rsid w:val="00983A5E"/>
    <w:rsid w:val="00983ABB"/>
    <w:rsid w:val="00983BC2"/>
    <w:rsid w:val="00983CF8"/>
    <w:rsid w:val="00983D0F"/>
    <w:rsid w:val="00983D3B"/>
    <w:rsid w:val="00984075"/>
    <w:rsid w:val="0098414A"/>
    <w:rsid w:val="00984220"/>
    <w:rsid w:val="00984358"/>
    <w:rsid w:val="0098438F"/>
    <w:rsid w:val="009843EB"/>
    <w:rsid w:val="00984426"/>
    <w:rsid w:val="0098445F"/>
    <w:rsid w:val="009845BB"/>
    <w:rsid w:val="00984752"/>
    <w:rsid w:val="009847E2"/>
    <w:rsid w:val="00984867"/>
    <w:rsid w:val="00984895"/>
    <w:rsid w:val="009848A1"/>
    <w:rsid w:val="0098493B"/>
    <w:rsid w:val="00984A4E"/>
    <w:rsid w:val="00984B72"/>
    <w:rsid w:val="00984BA6"/>
    <w:rsid w:val="00984BFE"/>
    <w:rsid w:val="00984CEF"/>
    <w:rsid w:val="00984D07"/>
    <w:rsid w:val="00984D3B"/>
    <w:rsid w:val="00984D8B"/>
    <w:rsid w:val="00984DF6"/>
    <w:rsid w:val="00984E41"/>
    <w:rsid w:val="00984FD4"/>
    <w:rsid w:val="0098508B"/>
    <w:rsid w:val="0098565F"/>
    <w:rsid w:val="00985934"/>
    <w:rsid w:val="009859F4"/>
    <w:rsid w:val="00985B08"/>
    <w:rsid w:val="00985B9C"/>
    <w:rsid w:val="00985BB6"/>
    <w:rsid w:val="00985BE5"/>
    <w:rsid w:val="00985BE9"/>
    <w:rsid w:val="00985C10"/>
    <w:rsid w:val="00985E12"/>
    <w:rsid w:val="00985F50"/>
    <w:rsid w:val="0098603B"/>
    <w:rsid w:val="009860A7"/>
    <w:rsid w:val="009860DA"/>
    <w:rsid w:val="0098610A"/>
    <w:rsid w:val="00986173"/>
    <w:rsid w:val="0098666E"/>
    <w:rsid w:val="009866EC"/>
    <w:rsid w:val="009867F7"/>
    <w:rsid w:val="00986A89"/>
    <w:rsid w:val="00986A95"/>
    <w:rsid w:val="00986BD6"/>
    <w:rsid w:val="00986BD8"/>
    <w:rsid w:val="00986D15"/>
    <w:rsid w:val="00986D51"/>
    <w:rsid w:val="00986E6A"/>
    <w:rsid w:val="00986EF9"/>
    <w:rsid w:val="00987074"/>
    <w:rsid w:val="0098710E"/>
    <w:rsid w:val="0098716C"/>
    <w:rsid w:val="0098721B"/>
    <w:rsid w:val="0098738B"/>
    <w:rsid w:val="009873F2"/>
    <w:rsid w:val="009877B4"/>
    <w:rsid w:val="009878CD"/>
    <w:rsid w:val="00987A62"/>
    <w:rsid w:val="00987AAC"/>
    <w:rsid w:val="00987BAC"/>
    <w:rsid w:val="00987DE1"/>
    <w:rsid w:val="00987E7D"/>
    <w:rsid w:val="00990151"/>
    <w:rsid w:val="009904BF"/>
    <w:rsid w:val="009904DB"/>
    <w:rsid w:val="009904F1"/>
    <w:rsid w:val="00990738"/>
    <w:rsid w:val="009907B4"/>
    <w:rsid w:val="009907D4"/>
    <w:rsid w:val="009908BB"/>
    <w:rsid w:val="00990940"/>
    <w:rsid w:val="009909EF"/>
    <w:rsid w:val="00990A33"/>
    <w:rsid w:val="00990A72"/>
    <w:rsid w:val="00990B72"/>
    <w:rsid w:val="00990D2B"/>
    <w:rsid w:val="00990D93"/>
    <w:rsid w:val="00990DD9"/>
    <w:rsid w:val="00990E16"/>
    <w:rsid w:val="00990FB3"/>
    <w:rsid w:val="009910DA"/>
    <w:rsid w:val="00991231"/>
    <w:rsid w:val="0099128B"/>
    <w:rsid w:val="009912C8"/>
    <w:rsid w:val="0099144D"/>
    <w:rsid w:val="00991517"/>
    <w:rsid w:val="009915B3"/>
    <w:rsid w:val="00991701"/>
    <w:rsid w:val="00991702"/>
    <w:rsid w:val="0099188E"/>
    <w:rsid w:val="00991951"/>
    <w:rsid w:val="00991995"/>
    <w:rsid w:val="00991A07"/>
    <w:rsid w:val="00991A18"/>
    <w:rsid w:val="00991A54"/>
    <w:rsid w:val="00991DC6"/>
    <w:rsid w:val="00991FF3"/>
    <w:rsid w:val="009920BC"/>
    <w:rsid w:val="009920F4"/>
    <w:rsid w:val="009923D6"/>
    <w:rsid w:val="0099244D"/>
    <w:rsid w:val="009924A1"/>
    <w:rsid w:val="0099253D"/>
    <w:rsid w:val="009925E0"/>
    <w:rsid w:val="00992828"/>
    <w:rsid w:val="00992857"/>
    <w:rsid w:val="00992881"/>
    <w:rsid w:val="009929B1"/>
    <w:rsid w:val="00992C49"/>
    <w:rsid w:val="00992F0F"/>
    <w:rsid w:val="00992FAF"/>
    <w:rsid w:val="009938B0"/>
    <w:rsid w:val="009938C7"/>
    <w:rsid w:val="009938CE"/>
    <w:rsid w:val="00993A98"/>
    <w:rsid w:val="00993B6E"/>
    <w:rsid w:val="00993B7A"/>
    <w:rsid w:val="00993CDB"/>
    <w:rsid w:val="00993CE6"/>
    <w:rsid w:val="00993DB3"/>
    <w:rsid w:val="00993DEF"/>
    <w:rsid w:val="00993F48"/>
    <w:rsid w:val="00993F8D"/>
    <w:rsid w:val="009940A3"/>
    <w:rsid w:val="00994192"/>
    <w:rsid w:val="0099430A"/>
    <w:rsid w:val="0099456F"/>
    <w:rsid w:val="009945B5"/>
    <w:rsid w:val="00994703"/>
    <w:rsid w:val="00994825"/>
    <w:rsid w:val="00994864"/>
    <w:rsid w:val="00994A4C"/>
    <w:rsid w:val="00994B60"/>
    <w:rsid w:val="00994B8E"/>
    <w:rsid w:val="00994CD6"/>
    <w:rsid w:val="00994D02"/>
    <w:rsid w:val="00994D65"/>
    <w:rsid w:val="00994DC8"/>
    <w:rsid w:val="00994F4F"/>
    <w:rsid w:val="00995321"/>
    <w:rsid w:val="00995463"/>
    <w:rsid w:val="009954F2"/>
    <w:rsid w:val="0099550E"/>
    <w:rsid w:val="0099551F"/>
    <w:rsid w:val="009955CB"/>
    <w:rsid w:val="00995798"/>
    <w:rsid w:val="00995826"/>
    <w:rsid w:val="00995870"/>
    <w:rsid w:val="00995881"/>
    <w:rsid w:val="00995953"/>
    <w:rsid w:val="00995969"/>
    <w:rsid w:val="00995976"/>
    <w:rsid w:val="00995B2A"/>
    <w:rsid w:val="00995E14"/>
    <w:rsid w:val="00996105"/>
    <w:rsid w:val="009961A4"/>
    <w:rsid w:val="00996654"/>
    <w:rsid w:val="00996751"/>
    <w:rsid w:val="00996A7F"/>
    <w:rsid w:val="00996AD2"/>
    <w:rsid w:val="00996B7D"/>
    <w:rsid w:val="00996C59"/>
    <w:rsid w:val="00996C9F"/>
    <w:rsid w:val="00996CB4"/>
    <w:rsid w:val="00996CBB"/>
    <w:rsid w:val="00996E9D"/>
    <w:rsid w:val="00996EC5"/>
    <w:rsid w:val="00996F21"/>
    <w:rsid w:val="00997412"/>
    <w:rsid w:val="009974A3"/>
    <w:rsid w:val="00997538"/>
    <w:rsid w:val="0099760C"/>
    <w:rsid w:val="00997773"/>
    <w:rsid w:val="009977D9"/>
    <w:rsid w:val="00997828"/>
    <w:rsid w:val="00997D2C"/>
    <w:rsid w:val="00997D2E"/>
    <w:rsid w:val="00997E33"/>
    <w:rsid w:val="00997EDB"/>
    <w:rsid w:val="00997F47"/>
    <w:rsid w:val="0099DE69"/>
    <w:rsid w:val="009A01EA"/>
    <w:rsid w:val="009A027B"/>
    <w:rsid w:val="009A036A"/>
    <w:rsid w:val="009A037D"/>
    <w:rsid w:val="009A043C"/>
    <w:rsid w:val="009A0464"/>
    <w:rsid w:val="009A052B"/>
    <w:rsid w:val="009A052E"/>
    <w:rsid w:val="009A0586"/>
    <w:rsid w:val="009A05D1"/>
    <w:rsid w:val="009A0635"/>
    <w:rsid w:val="009A069A"/>
    <w:rsid w:val="009A06C1"/>
    <w:rsid w:val="009A0770"/>
    <w:rsid w:val="009A09A3"/>
    <w:rsid w:val="009A0A5C"/>
    <w:rsid w:val="009A0B57"/>
    <w:rsid w:val="009A0C2E"/>
    <w:rsid w:val="009A0C62"/>
    <w:rsid w:val="009A0CE0"/>
    <w:rsid w:val="009A0E2C"/>
    <w:rsid w:val="009A10AE"/>
    <w:rsid w:val="009A112A"/>
    <w:rsid w:val="009A117A"/>
    <w:rsid w:val="009A124B"/>
    <w:rsid w:val="009A12D9"/>
    <w:rsid w:val="009A131C"/>
    <w:rsid w:val="009A13AC"/>
    <w:rsid w:val="009A13DA"/>
    <w:rsid w:val="009A1492"/>
    <w:rsid w:val="009A14C8"/>
    <w:rsid w:val="009A156B"/>
    <w:rsid w:val="009A16A6"/>
    <w:rsid w:val="009A1943"/>
    <w:rsid w:val="009A1B2D"/>
    <w:rsid w:val="009A1E19"/>
    <w:rsid w:val="009A1E45"/>
    <w:rsid w:val="009A1F1E"/>
    <w:rsid w:val="009A1F83"/>
    <w:rsid w:val="009A203F"/>
    <w:rsid w:val="009A2138"/>
    <w:rsid w:val="009A22AF"/>
    <w:rsid w:val="009A24E4"/>
    <w:rsid w:val="009A2530"/>
    <w:rsid w:val="009A258F"/>
    <w:rsid w:val="009A25C3"/>
    <w:rsid w:val="009A264D"/>
    <w:rsid w:val="009A277D"/>
    <w:rsid w:val="009A27C5"/>
    <w:rsid w:val="009A28CC"/>
    <w:rsid w:val="009A2AAE"/>
    <w:rsid w:val="009A2AEE"/>
    <w:rsid w:val="009A2E33"/>
    <w:rsid w:val="009A2ED9"/>
    <w:rsid w:val="009A2F4F"/>
    <w:rsid w:val="009A3025"/>
    <w:rsid w:val="009A3159"/>
    <w:rsid w:val="009A31A9"/>
    <w:rsid w:val="009A3260"/>
    <w:rsid w:val="009A3592"/>
    <w:rsid w:val="009A37D1"/>
    <w:rsid w:val="009A3855"/>
    <w:rsid w:val="009A3876"/>
    <w:rsid w:val="009A388E"/>
    <w:rsid w:val="009A39CD"/>
    <w:rsid w:val="009A39D0"/>
    <w:rsid w:val="009A3B31"/>
    <w:rsid w:val="009A3B5B"/>
    <w:rsid w:val="009A3C98"/>
    <w:rsid w:val="009A3D1F"/>
    <w:rsid w:val="009A3D20"/>
    <w:rsid w:val="009A3D49"/>
    <w:rsid w:val="009A3E93"/>
    <w:rsid w:val="009A3F9F"/>
    <w:rsid w:val="009A3FA5"/>
    <w:rsid w:val="009A4158"/>
    <w:rsid w:val="009A4281"/>
    <w:rsid w:val="009A438D"/>
    <w:rsid w:val="009A43D3"/>
    <w:rsid w:val="009A4491"/>
    <w:rsid w:val="009A44D8"/>
    <w:rsid w:val="009A4585"/>
    <w:rsid w:val="009A46BC"/>
    <w:rsid w:val="009A47F8"/>
    <w:rsid w:val="009A4804"/>
    <w:rsid w:val="009A4860"/>
    <w:rsid w:val="009A4867"/>
    <w:rsid w:val="009A48CF"/>
    <w:rsid w:val="009A492A"/>
    <w:rsid w:val="009A494A"/>
    <w:rsid w:val="009A4B0A"/>
    <w:rsid w:val="009A4C6C"/>
    <w:rsid w:val="009A4CF9"/>
    <w:rsid w:val="009A4D31"/>
    <w:rsid w:val="009A4D65"/>
    <w:rsid w:val="009A4DD8"/>
    <w:rsid w:val="009A5117"/>
    <w:rsid w:val="009A5273"/>
    <w:rsid w:val="009A52B5"/>
    <w:rsid w:val="009A533D"/>
    <w:rsid w:val="009A5358"/>
    <w:rsid w:val="009A539D"/>
    <w:rsid w:val="009A54F4"/>
    <w:rsid w:val="009A55CA"/>
    <w:rsid w:val="009A5635"/>
    <w:rsid w:val="009A5652"/>
    <w:rsid w:val="009A5666"/>
    <w:rsid w:val="009A572F"/>
    <w:rsid w:val="009A57C2"/>
    <w:rsid w:val="009A5B86"/>
    <w:rsid w:val="009A5BB8"/>
    <w:rsid w:val="009A5BBD"/>
    <w:rsid w:val="009A5C25"/>
    <w:rsid w:val="009A5C61"/>
    <w:rsid w:val="009A5E1B"/>
    <w:rsid w:val="009A5F16"/>
    <w:rsid w:val="009A5F55"/>
    <w:rsid w:val="009A613F"/>
    <w:rsid w:val="009A621C"/>
    <w:rsid w:val="009A6238"/>
    <w:rsid w:val="009A6313"/>
    <w:rsid w:val="009A63B9"/>
    <w:rsid w:val="009A65E1"/>
    <w:rsid w:val="009A6603"/>
    <w:rsid w:val="009A6622"/>
    <w:rsid w:val="009A6631"/>
    <w:rsid w:val="009A6644"/>
    <w:rsid w:val="009A6662"/>
    <w:rsid w:val="009A6705"/>
    <w:rsid w:val="009A67A5"/>
    <w:rsid w:val="009A6950"/>
    <w:rsid w:val="009A69DA"/>
    <w:rsid w:val="009A6A5B"/>
    <w:rsid w:val="009A6BB5"/>
    <w:rsid w:val="009A6BBB"/>
    <w:rsid w:val="009A6BEE"/>
    <w:rsid w:val="009A6C94"/>
    <w:rsid w:val="009A6F3B"/>
    <w:rsid w:val="009A71C2"/>
    <w:rsid w:val="009A71FD"/>
    <w:rsid w:val="009A7201"/>
    <w:rsid w:val="009A7298"/>
    <w:rsid w:val="009A72D6"/>
    <w:rsid w:val="009A730D"/>
    <w:rsid w:val="009A7330"/>
    <w:rsid w:val="009A73AB"/>
    <w:rsid w:val="009A7423"/>
    <w:rsid w:val="009A7465"/>
    <w:rsid w:val="009A75EA"/>
    <w:rsid w:val="009A77FE"/>
    <w:rsid w:val="009A796C"/>
    <w:rsid w:val="009A7A69"/>
    <w:rsid w:val="009A7B15"/>
    <w:rsid w:val="009A7C21"/>
    <w:rsid w:val="009A7E47"/>
    <w:rsid w:val="009A7E6C"/>
    <w:rsid w:val="009A7F94"/>
    <w:rsid w:val="009B0033"/>
    <w:rsid w:val="009B02AE"/>
    <w:rsid w:val="009B04B4"/>
    <w:rsid w:val="009B04D1"/>
    <w:rsid w:val="009B05DC"/>
    <w:rsid w:val="009B0807"/>
    <w:rsid w:val="009B08D7"/>
    <w:rsid w:val="009B09AF"/>
    <w:rsid w:val="009B0AB2"/>
    <w:rsid w:val="009B0B0D"/>
    <w:rsid w:val="009B0BFB"/>
    <w:rsid w:val="009B0C51"/>
    <w:rsid w:val="009B0D5F"/>
    <w:rsid w:val="009B0E2F"/>
    <w:rsid w:val="009B0EB3"/>
    <w:rsid w:val="009B0F88"/>
    <w:rsid w:val="009B0FA5"/>
    <w:rsid w:val="009B101B"/>
    <w:rsid w:val="009B111D"/>
    <w:rsid w:val="009B134E"/>
    <w:rsid w:val="009B148D"/>
    <w:rsid w:val="009B153E"/>
    <w:rsid w:val="009B15BB"/>
    <w:rsid w:val="009B16F7"/>
    <w:rsid w:val="009B171F"/>
    <w:rsid w:val="009B186D"/>
    <w:rsid w:val="009B19E2"/>
    <w:rsid w:val="009B1AEF"/>
    <w:rsid w:val="009B1B52"/>
    <w:rsid w:val="009B1F38"/>
    <w:rsid w:val="009B206B"/>
    <w:rsid w:val="009B21A9"/>
    <w:rsid w:val="009B2259"/>
    <w:rsid w:val="009B248B"/>
    <w:rsid w:val="009B24A4"/>
    <w:rsid w:val="009B24A9"/>
    <w:rsid w:val="009B25BC"/>
    <w:rsid w:val="009B25DC"/>
    <w:rsid w:val="009B2649"/>
    <w:rsid w:val="009B291C"/>
    <w:rsid w:val="009B2A42"/>
    <w:rsid w:val="009B2D21"/>
    <w:rsid w:val="009B2E42"/>
    <w:rsid w:val="009B3194"/>
    <w:rsid w:val="009B31BD"/>
    <w:rsid w:val="009B32F7"/>
    <w:rsid w:val="009B33A2"/>
    <w:rsid w:val="009B33DE"/>
    <w:rsid w:val="009B3471"/>
    <w:rsid w:val="009B3502"/>
    <w:rsid w:val="009B3508"/>
    <w:rsid w:val="009B3524"/>
    <w:rsid w:val="009B3570"/>
    <w:rsid w:val="009B3697"/>
    <w:rsid w:val="009B39AA"/>
    <w:rsid w:val="009B3AB3"/>
    <w:rsid w:val="009B3BC8"/>
    <w:rsid w:val="009B3C8E"/>
    <w:rsid w:val="009B3D9C"/>
    <w:rsid w:val="009B3E0A"/>
    <w:rsid w:val="009B4163"/>
    <w:rsid w:val="009B418D"/>
    <w:rsid w:val="009B4275"/>
    <w:rsid w:val="009B42EB"/>
    <w:rsid w:val="009B44AD"/>
    <w:rsid w:val="009B4588"/>
    <w:rsid w:val="009B4643"/>
    <w:rsid w:val="009B4679"/>
    <w:rsid w:val="009B4682"/>
    <w:rsid w:val="009B46F1"/>
    <w:rsid w:val="009B4859"/>
    <w:rsid w:val="009B48DB"/>
    <w:rsid w:val="009B4A42"/>
    <w:rsid w:val="009B4A97"/>
    <w:rsid w:val="009B4C18"/>
    <w:rsid w:val="009B4C6F"/>
    <w:rsid w:val="009B4C7C"/>
    <w:rsid w:val="009B4EE8"/>
    <w:rsid w:val="009B5013"/>
    <w:rsid w:val="009B5086"/>
    <w:rsid w:val="009B520F"/>
    <w:rsid w:val="009B5281"/>
    <w:rsid w:val="009B5520"/>
    <w:rsid w:val="009B55B9"/>
    <w:rsid w:val="009B5639"/>
    <w:rsid w:val="009B56D2"/>
    <w:rsid w:val="009B57EA"/>
    <w:rsid w:val="009B583C"/>
    <w:rsid w:val="009B58D6"/>
    <w:rsid w:val="009B5964"/>
    <w:rsid w:val="009B5A35"/>
    <w:rsid w:val="009B5A4C"/>
    <w:rsid w:val="009B5ACB"/>
    <w:rsid w:val="009B5B2E"/>
    <w:rsid w:val="009B5BFB"/>
    <w:rsid w:val="009B5D88"/>
    <w:rsid w:val="009B5E59"/>
    <w:rsid w:val="009B5E65"/>
    <w:rsid w:val="009B5E73"/>
    <w:rsid w:val="009B5F21"/>
    <w:rsid w:val="009B5F4E"/>
    <w:rsid w:val="009B60CD"/>
    <w:rsid w:val="009B61C8"/>
    <w:rsid w:val="009B63F4"/>
    <w:rsid w:val="009B6646"/>
    <w:rsid w:val="009B67DF"/>
    <w:rsid w:val="009B69D7"/>
    <w:rsid w:val="009B6BFB"/>
    <w:rsid w:val="009B6E1C"/>
    <w:rsid w:val="009B6FE9"/>
    <w:rsid w:val="009B71DB"/>
    <w:rsid w:val="009B73A4"/>
    <w:rsid w:val="009B74E7"/>
    <w:rsid w:val="009B763F"/>
    <w:rsid w:val="009B76FD"/>
    <w:rsid w:val="009B7893"/>
    <w:rsid w:val="009B7A42"/>
    <w:rsid w:val="009B7A48"/>
    <w:rsid w:val="009B7C8B"/>
    <w:rsid w:val="009B7CD4"/>
    <w:rsid w:val="009B7D97"/>
    <w:rsid w:val="009B7E4E"/>
    <w:rsid w:val="009B7F33"/>
    <w:rsid w:val="009B7FCB"/>
    <w:rsid w:val="009BDC05"/>
    <w:rsid w:val="009C0131"/>
    <w:rsid w:val="009C0234"/>
    <w:rsid w:val="009C0391"/>
    <w:rsid w:val="009C0406"/>
    <w:rsid w:val="009C04FF"/>
    <w:rsid w:val="009C06FF"/>
    <w:rsid w:val="009C07F2"/>
    <w:rsid w:val="009C08D8"/>
    <w:rsid w:val="009C0936"/>
    <w:rsid w:val="009C09D9"/>
    <w:rsid w:val="009C0C72"/>
    <w:rsid w:val="009C0D47"/>
    <w:rsid w:val="009C100F"/>
    <w:rsid w:val="009C1175"/>
    <w:rsid w:val="009C1221"/>
    <w:rsid w:val="009C1226"/>
    <w:rsid w:val="009C12B5"/>
    <w:rsid w:val="009C130A"/>
    <w:rsid w:val="009C1379"/>
    <w:rsid w:val="009C145E"/>
    <w:rsid w:val="009C147A"/>
    <w:rsid w:val="009C16F0"/>
    <w:rsid w:val="009C178D"/>
    <w:rsid w:val="009C1803"/>
    <w:rsid w:val="009C186C"/>
    <w:rsid w:val="009C18A7"/>
    <w:rsid w:val="009C193A"/>
    <w:rsid w:val="009C1989"/>
    <w:rsid w:val="009C19A2"/>
    <w:rsid w:val="009C1A4A"/>
    <w:rsid w:val="009C1B3A"/>
    <w:rsid w:val="009C1BBF"/>
    <w:rsid w:val="009C1BCB"/>
    <w:rsid w:val="009C1E4C"/>
    <w:rsid w:val="009C1F6F"/>
    <w:rsid w:val="009C1FFD"/>
    <w:rsid w:val="009C2064"/>
    <w:rsid w:val="009C21EC"/>
    <w:rsid w:val="009C22A0"/>
    <w:rsid w:val="009C2345"/>
    <w:rsid w:val="009C23F6"/>
    <w:rsid w:val="009C243B"/>
    <w:rsid w:val="009C24A5"/>
    <w:rsid w:val="009C269B"/>
    <w:rsid w:val="009C26F5"/>
    <w:rsid w:val="009C2982"/>
    <w:rsid w:val="009C2C8D"/>
    <w:rsid w:val="009C2C97"/>
    <w:rsid w:val="009C2D6A"/>
    <w:rsid w:val="009C2DE3"/>
    <w:rsid w:val="009C2E5F"/>
    <w:rsid w:val="009C2ECD"/>
    <w:rsid w:val="009C2ECE"/>
    <w:rsid w:val="009C3172"/>
    <w:rsid w:val="009C320D"/>
    <w:rsid w:val="009C33EF"/>
    <w:rsid w:val="009C34E7"/>
    <w:rsid w:val="009C3506"/>
    <w:rsid w:val="009C3573"/>
    <w:rsid w:val="009C35FD"/>
    <w:rsid w:val="009C3617"/>
    <w:rsid w:val="009C377B"/>
    <w:rsid w:val="009C387D"/>
    <w:rsid w:val="009C3A55"/>
    <w:rsid w:val="009C3AD9"/>
    <w:rsid w:val="009C3B97"/>
    <w:rsid w:val="009C3C2C"/>
    <w:rsid w:val="009C3EB2"/>
    <w:rsid w:val="009C3EE8"/>
    <w:rsid w:val="009C3F29"/>
    <w:rsid w:val="009C3F35"/>
    <w:rsid w:val="009C41A2"/>
    <w:rsid w:val="009C428B"/>
    <w:rsid w:val="009C4354"/>
    <w:rsid w:val="009C447B"/>
    <w:rsid w:val="009C45AB"/>
    <w:rsid w:val="009C45B2"/>
    <w:rsid w:val="009C483F"/>
    <w:rsid w:val="009C4A0D"/>
    <w:rsid w:val="009C4A30"/>
    <w:rsid w:val="009C4BE9"/>
    <w:rsid w:val="009C4C41"/>
    <w:rsid w:val="009C4C6A"/>
    <w:rsid w:val="009C4DE8"/>
    <w:rsid w:val="009C5037"/>
    <w:rsid w:val="009C50A1"/>
    <w:rsid w:val="009C50A3"/>
    <w:rsid w:val="009C5156"/>
    <w:rsid w:val="009C51D1"/>
    <w:rsid w:val="009C529F"/>
    <w:rsid w:val="009C5352"/>
    <w:rsid w:val="009C55D7"/>
    <w:rsid w:val="009C5672"/>
    <w:rsid w:val="009C5742"/>
    <w:rsid w:val="009C580D"/>
    <w:rsid w:val="009C5AE1"/>
    <w:rsid w:val="009C5AE3"/>
    <w:rsid w:val="009C5B85"/>
    <w:rsid w:val="009C5C4E"/>
    <w:rsid w:val="009C5DD6"/>
    <w:rsid w:val="009C5EBC"/>
    <w:rsid w:val="009C5F44"/>
    <w:rsid w:val="009C620D"/>
    <w:rsid w:val="009C6255"/>
    <w:rsid w:val="009C629F"/>
    <w:rsid w:val="009C6422"/>
    <w:rsid w:val="009C64F5"/>
    <w:rsid w:val="009C6754"/>
    <w:rsid w:val="009C68A1"/>
    <w:rsid w:val="009C68DA"/>
    <w:rsid w:val="009C6924"/>
    <w:rsid w:val="009C6FF8"/>
    <w:rsid w:val="009C726A"/>
    <w:rsid w:val="009C7307"/>
    <w:rsid w:val="009C7389"/>
    <w:rsid w:val="009C739C"/>
    <w:rsid w:val="009C75B8"/>
    <w:rsid w:val="009C76BE"/>
    <w:rsid w:val="009C7710"/>
    <w:rsid w:val="009C7793"/>
    <w:rsid w:val="009C77C5"/>
    <w:rsid w:val="009C79F4"/>
    <w:rsid w:val="009C7BAD"/>
    <w:rsid w:val="009C7C15"/>
    <w:rsid w:val="009C7CF5"/>
    <w:rsid w:val="009C7D37"/>
    <w:rsid w:val="009C7F60"/>
    <w:rsid w:val="009CFF98"/>
    <w:rsid w:val="009D00FA"/>
    <w:rsid w:val="009D0145"/>
    <w:rsid w:val="009D02A8"/>
    <w:rsid w:val="009D02B7"/>
    <w:rsid w:val="009D02C9"/>
    <w:rsid w:val="009D02D0"/>
    <w:rsid w:val="009D0389"/>
    <w:rsid w:val="009D03B3"/>
    <w:rsid w:val="009D03C5"/>
    <w:rsid w:val="009D0415"/>
    <w:rsid w:val="009D04A5"/>
    <w:rsid w:val="009D056B"/>
    <w:rsid w:val="009D08DC"/>
    <w:rsid w:val="009D0BC9"/>
    <w:rsid w:val="009D109A"/>
    <w:rsid w:val="009D10AF"/>
    <w:rsid w:val="009D10C4"/>
    <w:rsid w:val="009D11A9"/>
    <w:rsid w:val="009D12CC"/>
    <w:rsid w:val="009D1404"/>
    <w:rsid w:val="009D15A4"/>
    <w:rsid w:val="009D184F"/>
    <w:rsid w:val="009D18E6"/>
    <w:rsid w:val="009D1AE7"/>
    <w:rsid w:val="009D1B9B"/>
    <w:rsid w:val="009D1D08"/>
    <w:rsid w:val="009D1D10"/>
    <w:rsid w:val="009D1D67"/>
    <w:rsid w:val="009D1ED1"/>
    <w:rsid w:val="009D1EF0"/>
    <w:rsid w:val="009D1F3C"/>
    <w:rsid w:val="009D2144"/>
    <w:rsid w:val="009D216F"/>
    <w:rsid w:val="009D228E"/>
    <w:rsid w:val="009D2318"/>
    <w:rsid w:val="009D23C1"/>
    <w:rsid w:val="009D2483"/>
    <w:rsid w:val="009D25A0"/>
    <w:rsid w:val="009D2718"/>
    <w:rsid w:val="009D27AB"/>
    <w:rsid w:val="009D27E9"/>
    <w:rsid w:val="009D2B24"/>
    <w:rsid w:val="009D2BC2"/>
    <w:rsid w:val="009D2C2F"/>
    <w:rsid w:val="009D2E5D"/>
    <w:rsid w:val="009D2E7C"/>
    <w:rsid w:val="009D2F4D"/>
    <w:rsid w:val="009D3097"/>
    <w:rsid w:val="009D328F"/>
    <w:rsid w:val="009D32F5"/>
    <w:rsid w:val="009D347E"/>
    <w:rsid w:val="009D3635"/>
    <w:rsid w:val="009D3673"/>
    <w:rsid w:val="009D368B"/>
    <w:rsid w:val="009D3A49"/>
    <w:rsid w:val="009D3AAB"/>
    <w:rsid w:val="009D3AE9"/>
    <w:rsid w:val="009D3B57"/>
    <w:rsid w:val="009D3C08"/>
    <w:rsid w:val="009D3CB8"/>
    <w:rsid w:val="009D3F04"/>
    <w:rsid w:val="009D3FE1"/>
    <w:rsid w:val="009D430D"/>
    <w:rsid w:val="009D453C"/>
    <w:rsid w:val="009D4734"/>
    <w:rsid w:val="009D4783"/>
    <w:rsid w:val="009D483D"/>
    <w:rsid w:val="009D4907"/>
    <w:rsid w:val="009D4917"/>
    <w:rsid w:val="009D4C15"/>
    <w:rsid w:val="009D4C6D"/>
    <w:rsid w:val="009D4D4D"/>
    <w:rsid w:val="009D4E98"/>
    <w:rsid w:val="009D500C"/>
    <w:rsid w:val="009D501E"/>
    <w:rsid w:val="009D502D"/>
    <w:rsid w:val="009D5208"/>
    <w:rsid w:val="009D5288"/>
    <w:rsid w:val="009D52F7"/>
    <w:rsid w:val="009D54F1"/>
    <w:rsid w:val="009D5739"/>
    <w:rsid w:val="009D5819"/>
    <w:rsid w:val="009D587A"/>
    <w:rsid w:val="009D5A27"/>
    <w:rsid w:val="009D5AC1"/>
    <w:rsid w:val="009D5B29"/>
    <w:rsid w:val="009D5B7E"/>
    <w:rsid w:val="009D5C01"/>
    <w:rsid w:val="009D5CFE"/>
    <w:rsid w:val="009D5D40"/>
    <w:rsid w:val="009D5E82"/>
    <w:rsid w:val="009D5EB8"/>
    <w:rsid w:val="009D5F78"/>
    <w:rsid w:val="009D5FFC"/>
    <w:rsid w:val="009D626F"/>
    <w:rsid w:val="009D62EE"/>
    <w:rsid w:val="009D641A"/>
    <w:rsid w:val="009D66ED"/>
    <w:rsid w:val="009D6848"/>
    <w:rsid w:val="009D6925"/>
    <w:rsid w:val="009D6943"/>
    <w:rsid w:val="009D6A2F"/>
    <w:rsid w:val="009D6AB6"/>
    <w:rsid w:val="009D6B57"/>
    <w:rsid w:val="009D6C21"/>
    <w:rsid w:val="009D6D47"/>
    <w:rsid w:val="009D6DDE"/>
    <w:rsid w:val="009D6FA2"/>
    <w:rsid w:val="009D6FF9"/>
    <w:rsid w:val="009D6FFE"/>
    <w:rsid w:val="009D707F"/>
    <w:rsid w:val="009D71D9"/>
    <w:rsid w:val="009D733B"/>
    <w:rsid w:val="009D7418"/>
    <w:rsid w:val="009D74E1"/>
    <w:rsid w:val="009D7568"/>
    <w:rsid w:val="009D76BA"/>
    <w:rsid w:val="009D794B"/>
    <w:rsid w:val="009D79F2"/>
    <w:rsid w:val="009D7A2F"/>
    <w:rsid w:val="009D7A64"/>
    <w:rsid w:val="009D7ABA"/>
    <w:rsid w:val="009D7C0A"/>
    <w:rsid w:val="009D7C68"/>
    <w:rsid w:val="009D7C81"/>
    <w:rsid w:val="009E008A"/>
    <w:rsid w:val="009E017A"/>
    <w:rsid w:val="009E0393"/>
    <w:rsid w:val="009E04BA"/>
    <w:rsid w:val="009E07C4"/>
    <w:rsid w:val="009E081D"/>
    <w:rsid w:val="009E087D"/>
    <w:rsid w:val="009E08F6"/>
    <w:rsid w:val="009E090D"/>
    <w:rsid w:val="009E096D"/>
    <w:rsid w:val="009E0991"/>
    <w:rsid w:val="009E0A22"/>
    <w:rsid w:val="009E0C60"/>
    <w:rsid w:val="009E0CDE"/>
    <w:rsid w:val="009E0D46"/>
    <w:rsid w:val="009E0D5B"/>
    <w:rsid w:val="009E0D72"/>
    <w:rsid w:val="009E0E66"/>
    <w:rsid w:val="009E1269"/>
    <w:rsid w:val="009E12F9"/>
    <w:rsid w:val="009E13A6"/>
    <w:rsid w:val="009E13AC"/>
    <w:rsid w:val="009E14F8"/>
    <w:rsid w:val="009E162A"/>
    <w:rsid w:val="009E162E"/>
    <w:rsid w:val="009E1781"/>
    <w:rsid w:val="009E1809"/>
    <w:rsid w:val="009E1877"/>
    <w:rsid w:val="009E18A7"/>
    <w:rsid w:val="009E1927"/>
    <w:rsid w:val="009E1990"/>
    <w:rsid w:val="009E1A34"/>
    <w:rsid w:val="009E1B06"/>
    <w:rsid w:val="009E1CBD"/>
    <w:rsid w:val="009E1D05"/>
    <w:rsid w:val="009E1D0C"/>
    <w:rsid w:val="009E1F2E"/>
    <w:rsid w:val="009E20F7"/>
    <w:rsid w:val="009E2149"/>
    <w:rsid w:val="009E217A"/>
    <w:rsid w:val="009E21FD"/>
    <w:rsid w:val="009E2283"/>
    <w:rsid w:val="009E22E2"/>
    <w:rsid w:val="009E2498"/>
    <w:rsid w:val="009E2574"/>
    <w:rsid w:val="009E257F"/>
    <w:rsid w:val="009E2627"/>
    <w:rsid w:val="009E2920"/>
    <w:rsid w:val="009E2BAB"/>
    <w:rsid w:val="009E2F68"/>
    <w:rsid w:val="009E308A"/>
    <w:rsid w:val="009E30AF"/>
    <w:rsid w:val="009E30D9"/>
    <w:rsid w:val="009E310E"/>
    <w:rsid w:val="009E31BE"/>
    <w:rsid w:val="009E3214"/>
    <w:rsid w:val="009E3221"/>
    <w:rsid w:val="009E3249"/>
    <w:rsid w:val="009E3257"/>
    <w:rsid w:val="009E325E"/>
    <w:rsid w:val="009E32AE"/>
    <w:rsid w:val="009E3456"/>
    <w:rsid w:val="009E3473"/>
    <w:rsid w:val="009E34D3"/>
    <w:rsid w:val="009E351A"/>
    <w:rsid w:val="009E3578"/>
    <w:rsid w:val="009E35A2"/>
    <w:rsid w:val="009E363D"/>
    <w:rsid w:val="009E3669"/>
    <w:rsid w:val="009E37CE"/>
    <w:rsid w:val="009E39AA"/>
    <w:rsid w:val="009E39D1"/>
    <w:rsid w:val="009E3A57"/>
    <w:rsid w:val="009E3A5F"/>
    <w:rsid w:val="009E3A97"/>
    <w:rsid w:val="009E3D30"/>
    <w:rsid w:val="009E3DD2"/>
    <w:rsid w:val="009E3F4A"/>
    <w:rsid w:val="009E3FDF"/>
    <w:rsid w:val="009E400C"/>
    <w:rsid w:val="009E434C"/>
    <w:rsid w:val="009E44EC"/>
    <w:rsid w:val="009E450D"/>
    <w:rsid w:val="009E455D"/>
    <w:rsid w:val="009E45BC"/>
    <w:rsid w:val="009E45C7"/>
    <w:rsid w:val="009E46EB"/>
    <w:rsid w:val="009E47F6"/>
    <w:rsid w:val="009E485E"/>
    <w:rsid w:val="009E4872"/>
    <w:rsid w:val="009E48C7"/>
    <w:rsid w:val="009E48D1"/>
    <w:rsid w:val="009E4B38"/>
    <w:rsid w:val="009E4CF0"/>
    <w:rsid w:val="009E4E5B"/>
    <w:rsid w:val="009E4F85"/>
    <w:rsid w:val="009E50BC"/>
    <w:rsid w:val="009E51C2"/>
    <w:rsid w:val="009E51EA"/>
    <w:rsid w:val="009E5268"/>
    <w:rsid w:val="009E52F7"/>
    <w:rsid w:val="009E537C"/>
    <w:rsid w:val="009E5491"/>
    <w:rsid w:val="009E573E"/>
    <w:rsid w:val="009E591B"/>
    <w:rsid w:val="009E5944"/>
    <w:rsid w:val="009E59FB"/>
    <w:rsid w:val="009E5AAE"/>
    <w:rsid w:val="009E5C79"/>
    <w:rsid w:val="009E6026"/>
    <w:rsid w:val="009E6051"/>
    <w:rsid w:val="009E6059"/>
    <w:rsid w:val="009E62AC"/>
    <w:rsid w:val="009E62B5"/>
    <w:rsid w:val="009E62EB"/>
    <w:rsid w:val="009E65DE"/>
    <w:rsid w:val="009E65E1"/>
    <w:rsid w:val="009E6721"/>
    <w:rsid w:val="009E672C"/>
    <w:rsid w:val="009E68F0"/>
    <w:rsid w:val="009E6B36"/>
    <w:rsid w:val="009E6C30"/>
    <w:rsid w:val="009E6CEE"/>
    <w:rsid w:val="009E6DE4"/>
    <w:rsid w:val="009E6E36"/>
    <w:rsid w:val="009E6E67"/>
    <w:rsid w:val="009E6EC2"/>
    <w:rsid w:val="009E6EE5"/>
    <w:rsid w:val="009E735A"/>
    <w:rsid w:val="009E739B"/>
    <w:rsid w:val="009E7400"/>
    <w:rsid w:val="009E757D"/>
    <w:rsid w:val="009E7597"/>
    <w:rsid w:val="009E760C"/>
    <w:rsid w:val="009E7637"/>
    <w:rsid w:val="009E77B2"/>
    <w:rsid w:val="009E7A0F"/>
    <w:rsid w:val="009E7C3F"/>
    <w:rsid w:val="009E7D61"/>
    <w:rsid w:val="009E7DE4"/>
    <w:rsid w:val="009F0012"/>
    <w:rsid w:val="009F0054"/>
    <w:rsid w:val="009F011C"/>
    <w:rsid w:val="009F032D"/>
    <w:rsid w:val="009F03E4"/>
    <w:rsid w:val="009F055F"/>
    <w:rsid w:val="009F0575"/>
    <w:rsid w:val="009F0583"/>
    <w:rsid w:val="009F06F9"/>
    <w:rsid w:val="009F070B"/>
    <w:rsid w:val="009F0742"/>
    <w:rsid w:val="009F0775"/>
    <w:rsid w:val="009F07C8"/>
    <w:rsid w:val="009F0846"/>
    <w:rsid w:val="009F0903"/>
    <w:rsid w:val="009F0947"/>
    <w:rsid w:val="009F0A79"/>
    <w:rsid w:val="009F0AC5"/>
    <w:rsid w:val="009F0B15"/>
    <w:rsid w:val="009F0C51"/>
    <w:rsid w:val="009F0C67"/>
    <w:rsid w:val="009F0E77"/>
    <w:rsid w:val="009F10FD"/>
    <w:rsid w:val="009F116A"/>
    <w:rsid w:val="009F1279"/>
    <w:rsid w:val="009F1537"/>
    <w:rsid w:val="009F1578"/>
    <w:rsid w:val="009F15F8"/>
    <w:rsid w:val="009F1639"/>
    <w:rsid w:val="009F1665"/>
    <w:rsid w:val="009F1695"/>
    <w:rsid w:val="009F16B3"/>
    <w:rsid w:val="009F175B"/>
    <w:rsid w:val="009F17CA"/>
    <w:rsid w:val="009F1851"/>
    <w:rsid w:val="009F1BE2"/>
    <w:rsid w:val="009F1BE6"/>
    <w:rsid w:val="009F1C77"/>
    <w:rsid w:val="009F1CEF"/>
    <w:rsid w:val="009F1DE4"/>
    <w:rsid w:val="009F20EA"/>
    <w:rsid w:val="009F21FE"/>
    <w:rsid w:val="009F224A"/>
    <w:rsid w:val="009F227B"/>
    <w:rsid w:val="009F297A"/>
    <w:rsid w:val="009F2B9C"/>
    <w:rsid w:val="009F2CB5"/>
    <w:rsid w:val="009F2FDB"/>
    <w:rsid w:val="009F30CD"/>
    <w:rsid w:val="009F30D8"/>
    <w:rsid w:val="009F3127"/>
    <w:rsid w:val="009F31B6"/>
    <w:rsid w:val="009F3278"/>
    <w:rsid w:val="009F33AD"/>
    <w:rsid w:val="009F3579"/>
    <w:rsid w:val="009F37A3"/>
    <w:rsid w:val="009F37FE"/>
    <w:rsid w:val="009F3923"/>
    <w:rsid w:val="009F3947"/>
    <w:rsid w:val="009F3A83"/>
    <w:rsid w:val="009F3B6B"/>
    <w:rsid w:val="009F3D87"/>
    <w:rsid w:val="009F3E63"/>
    <w:rsid w:val="009F3F0D"/>
    <w:rsid w:val="009F40D1"/>
    <w:rsid w:val="009F4242"/>
    <w:rsid w:val="009F4616"/>
    <w:rsid w:val="009F470D"/>
    <w:rsid w:val="009F4896"/>
    <w:rsid w:val="009F48CD"/>
    <w:rsid w:val="009F491C"/>
    <w:rsid w:val="009F4922"/>
    <w:rsid w:val="009F4997"/>
    <w:rsid w:val="009F4CB2"/>
    <w:rsid w:val="009F4CE5"/>
    <w:rsid w:val="009F4D46"/>
    <w:rsid w:val="009F4D66"/>
    <w:rsid w:val="009F4E4C"/>
    <w:rsid w:val="009F4EB0"/>
    <w:rsid w:val="009F4F6F"/>
    <w:rsid w:val="009F4FAA"/>
    <w:rsid w:val="009F50AF"/>
    <w:rsid w:val="009F5280"/>
    <w:rsid w:val="009F52F2"/>
    <w:rsid w:val="009F53DC"/>
    <w:rsid w:val="009F5445"/>
    <w:rsid w:val="009F5475"/>
    <w:rsid w:val="009F55C7"/>
    <w:rsid w:val="009F5618"/>
    <w:rsid w:val="009F5640"/>
    <w:rsid w:val="009F564A"/>
    <w:rsid w:val="009F5656"/>
    <w:rsid w:val="009F5853"/>
    <w:rsid w:val="009F59DE"/>
    <w:rsid w:val="009F5A39"/>
    <w:rsid w:val="009F5A68"/>
    <w:rsid w:val="009F5B0B"/>
    <w:rsid w:val="009F5B27"/>
    <w:rsid w:val="009F5B66"/>
    <w:rsid w:val="009F5F5E"/>
    <w:rsid w:val="009F6030"/>
    <w:rsid w:val="009F6068"/>
    <w:rsid w:val="009F60FD"/>
    <w:rsid w:val="009F61B6"/>
    <w:rsid w:val="009F623C"/>
    <w:rsid w:val="009F6264"/>
    <w:rsid w:val="009F65D8"/>
    <w:rsid w:val="009F6614"/>
    <w:rsid w:val="009F66F4"/>
    <w:rsid w:val="009F674D"/>
    <w:rsid w:val="009F685C"/>
    <w:rsid w:val="009F688D"/>
    <w:rsid w:val="009F68E9"/>
    <w:rsid w:val="009F68FC"/>
    <w:rsid w:val="009F696C"/>
    <w:rsid w:val="009F6E87"/>
    <w:rsid w:val="009F7166"/>
    <w:rsid w:val="009F720D"/>
    <w:rsid w:val="009F73A1"/>
    <w:rsid w:val="009F7407"/>
    <w:rsid w:val="009F7450"/>
    <w:rsid w:val="009F74EB"/>
    <w:rsid w:val="009F759B"/>
    <w:rsid w:val="009F759E"/>
    <w:rsid w:val="009F75FC"/>
    <w:rsid w:val="009F76D0"/>
    <w:rsid w:val="009F7749"/>
    <w:rsid w:val="009F77BB"/>
    <w:rsid w:val="009F7972"/>
    <w:rsid w:val="009F79D8"/>
    <w:rsid w:val="009F79EF"/>
    <w:rsid w:val="009F7C46"/>
    <w:rsid w:val="009F7C8A"/>
    <w:rsid w:val="009F7CF9"/>
    <w:rsid w:val="009F7D25"/>
    <w:rsid w:val="009F7D66"/>
    <w:rsid w:val="009F7DBB"/>
    <w:rsid w:val="009F7F33"/>
    <w:rsid w:val="009F9F36"/>
    <w:rsid w:val="009FAAA6"/>
    <w:rsid w:val="00A00204"/>
    <w:rsid w:val="00A0022A"/>
    <w:rsid w:val="00A0044E"/>
    <w:rsid w:val="00A00574"/>
    <w:rsid w:val="00A0068B"/>
    <w:rsid w:val="00A006CA"/>
    <w:rsid w:val="00A007E0"/>
    <w:rsid w:val="00A00868"/>
    <w:rsid w:val="00A00928"/>
    <w:rsid w:val="00A009D3"/>
    <w:rsid w:val="00A009E3"/>
    <w:rsid w:val="00A00B17"/>
    <w:rsid w:val="00A00C9D"/>
    <w:rsid w:val="00A00D8A"/>
    <w:rsid w:val="00A00E6D"/>
    <w:rsid w:val="00A01076"/>
    <w:rsid w:val="00A0108D"/>
    <w:rsid w:val="00A010BB"/>
    <w:rsid w:val="00A01123"/>
    <w:rsid w:val="00A01158"/>
    <w:rsid w:val="00A01191"/>
    <w:rsid w:val="00A012E8"/>
    <w:rsid w:val="00A01353"/>
    <w:rsid w:val="00A01441"/>
    <w:rsid w:val="00A015B2"/>
    <w:rsid w:val="00A01979"/>
    <w:rsid w:val="00A01B72"/>
    <w:rsid w:val="00A01BBB"/>
    <w:rsid w:val="00A01C37"/>
    <w:rsid w:val="00A01C6C"/>
    <w:rsid w:val="00A01C81"/>
    <w:rsid w:val="00A01ECD"/>
    <w:rsid w:val="00A01EEC"/>
    <w:rsid w:val="00A01F64"/>
    <w:rsid w:val="00A0203B"/>
    <w:rsid w:val="00A0209A"/>
    <w:rsid w:val="00A02159"/>
    <w:rsid w:val="00A022BC"/>
    <w:rsid w:val="00A02363"/>
    <w:rsid w:val="00A02471"/>
    <w:rsid w:val="00A025A9"/>
    <w:rsid w:val="00A02683"/>
    <w:rsid w:val="00A02767"/>
    <w:rsid w:val="00A028E2"/>
    <w:rsid w:val="00A0297B"/>
    <w:rsid w:val="00A02984"/>
    <w:rsid w:val="00A02D3E"/>
    <w:rsid w:val="00A02E30"/>
    <w:rsid w:val="00A02E7A"/>
    <w:rsid w:val="00A02ED0"/>
    <w:rsid w:val="00A02FEE"/>
    <w:rsid w:val="00A03012"/>
    <w:rsid w:val="00A03192"/>
    <w:rsid w:val="00A031CC"/>
    <w:rsid w:val="00A031D9"/>
    <w:rsid w:val="00A0322A"/>
    <w:rsid w:val="00A0326A"/>
    <w:rsid w:val="00A033AF"/>
    <w:rsid w:val="00A0359D"/>
    <w:rsid w:val="00A03602"/>
    <w:rsid w:val="00A03692"/>
    <w:rsid w:val="00A036CA"/>
    <w:rsid w:val="00A03735"/>
    <w:rsid w:val="00A0377E"/>
    <w:rsid w:val="00A037CE"/>
    <w:rsid w:val="00A0384A"/>
    <w:rsid w:val="00A03864"/>
    <w:rsid w:val="00A038CA"/>
    <w:rsid w:val="00A039D2"/>
    <w:rsid w:val="00A03C89"/>
    <w:rsid w:val="00A03DEB"/>
    <w:rsid w:val="00A0405A"/>
    <w:rsid w:val="00A04389"/>
    <w:rsid w:val="00A04540"/>
    <w:rsid w:val="00A046EE"/>
    <w:rsid w:val="00A048D5"/>
    <w:rsid w:val="00A04936"/>
    <w:rsid w:val="00A04953"/>
    <w:rsid w:val="00A04C19"/>
    <w:rsid w:val="00A04C4F"/>
    <w:rsid w:val="00A04DB7"/>
    <w:rsid w:val="00A0501D"/>
    <w:rsid w:val="00A052DF"/>
    <w:rsid w:val="00A052E1"/>
    <w:rsid w:val="00A05301"/>
    <w:rsid w:val="00A0532C"/>
    <w:rsid w:val="00A0559E"/>
    <w:rsid w:val="00A05784"/>
    <w:rsid w:val="00A057D4"/>
    <w:rsid w:val="00A05A05"/>
    <w:rsid w:val="00A05A37"/>
    <w:rsid w:val="00A05A5B"/>
    <w:rsid w:val="00A05AC1"/>
    <w:rsid w:val="00A05B3D"/>
    <w:rsid w:val="00A05B6A"/>
    <w:rsid w:val="00A05D39"/>
    <w:rsid w:val="00A05D8A"/>
    <w:rsid w:val="00A05E7E"/>
    <w:rsid w:val="00A05F94"/>
    <w:rsid w:val="00A06069"/>
    <w:rsid w:val="00A06095"/>
    <w:rsid w:val="00A062CF"/>
    <w:rsid w:val="00A06317"/>
    <w:rsid w:val="00A06343"/>
    <w:rsid w:val="00A0647D"/>
    <w:rsid w:val="00A064BE"/>
    <w:rsid w:val="00A065E6"/>
    <w:rsid w:val="00A065F9"/>
    <w:rsid w:val="00A069D5"/>
    <w:rsid w:val="00A069F4"/>
    <w:rsid w:val="00A069FA"/>
    <w:rsid w:val="00A06A45"/>
    <w:rsid w:val="00A06A70"/>
    <w:rsid w:val="00A06B7A"/>
    <w:rsid w:val="00A06B88"/>
    <w:rsid w:val="00A06BE0"/>
    <w:rsid w:val="00A06DCF"/>
    <w:rsid w:val="00A06E29"/>
    <w:rsid w:val="00A06E32"/>
    <w:rsid w:val="00A06E38"/>
    <w:rsid w:val="00A06FDE"/>
    <w:rsid w:val="00A07003"/>
    <w:rsid w:val="00A07112"/>
    <w:rsid w:val="00A072B0"/>
    <w:rsid w:val="00A072EA"/>
    <w:rsid w:val="00A073B6"/>
    <w:rsid w:val="00A0744C"/>
    <w:rsid w:val="00A07500"/>
    <w:rsid w:val="00A075E8"/>
    <w:rsid w:val="00A0760D"/>
    <w:rsid w:val="00A0760E"/>
    <w:rsid w:val="00A07732"/>
    <w:rsid w:val="00A0773C"/>
    <w:rsid w:val="00A077E0"/>
    <w:rsid w:val="00A07836"/>
    <w:rsid w:val="00A07AA9"/>
    <w:rsid w:val="00A07C52"/>
    <w:rsid w:val="00A08841"/>
    <w:rsid w:val="00A0B5C2"/>
    <w:rsid w:val="00A0D2F9"/>
    <w:rsid w:val="00A100DF"/>
    <w:rsid w:val="00A10241"/>
    <w:rsid w:val="00A10335"/>
    <w:rsid w:val="00A10447"/>
    <w:rsid w:val="00A1045A"/>
    <w:rsid w:val="00A10802"/>
    <w:rsid w:val="00A10A9E"/>
    <w:rsid w:val="00A10B49"/>
    <w:rsid w:val="00A10D35"/>
    <w:rsid w:val="00A10D58"/>
    <w:rsid w:val="00A10D63"/>
    <w:rsid w:val="00A10E62"/>
    <w:rsid w:val="00A10EA6"/>
    <w:rsid w:val="00A11223"/>
    <w:rsid w:val="00A113A1"/>
    <w:rsid w:val="00A113FF"/>
    <w:rsid w:val="00A11431"/>
    <w:rsid w:val="00A1155C"/>
    <w:rsid w:val="00A11619"/>
    <w:rsid w:val="00A11701"/>
    <w:rsid w:val="00A1187D"/>
    <w:rsid w:val="00A119B1"/>
    <w:rsid w:val="00A11B41"/>
    <w:rsid w:val="00A11C4E"/>
    <w:rsid w:val="00A11E1E"/>
    <w:rsid w:val="00A11E50"/>
    <w:rsid w:val="00A120FC"/>
    <w:rsid w:val="00A122DE"/>
    <w:rsid w:val="00A122F3"/>
    <w:rsid w:val="00A124DA"/>
    <w:rsid w:val="00A12632"/>
    <w:rsid w:val="00A1286E"/>
    <w:rsid w:val="00A128F4"/>
    <w:rsid w:val="00A1296C"/>
    <w:rsid w:val="00A12A55"/>
    <w:rsid w:val="00A12D67"/>
    <w:rsid w:val="00A12E18"/>
    <w:rsid w:val="00A12E6A"/>
    <w:rsid w:val="00A1304F"/>
    <w:rsid w:val="00A13084"/>
    <w:rsid w:val="00A1314F"/>
    <w:rsid w:val="00A13159"/>
    <w:rsid w:val="00A13263"/>
    <w:rsid w:val="00A132A0"/>
    <w:rsid w:val="00A1359B"/>
    <w:rsid w:val="00A136D9"/>
    <w:rsid w:val="00A13804"/>
    <w:rsid w:val="00A13918"/>
    <w:rsid w:val="00A13941"/>
    <w:rsid w:val="00A1394A"/>
    <w:rsid w:val="00A13DDC"/>
    <w:rsid w:val="00A13DEA"/>
    <w:rsid w:val="00A13E4A"/>
    <w:rsid w:val="00A13EE9"/>
    <w:rsid w:val="00A13F63"/>
    <w:rsid w:val="00A13FEC"/>
    <w:rsid w:val="00A13FF3"/>
    <w:rsid w:val="00A140DC"/>
    <w:rsid w:val="00A14281"/>
    <w:rsid w:val="00A1435E"/>
    <w:rsid w:val="00A14420"/>
    <w:rsid w:val="00A1445B"/>
    <w:rsid w:val="00A145DD"/>
    <w:rsid w:val="00A14616"/>
    <w:rsid w:val="00A146DF"/>
    <w:rsid w:val="00A14897"/>
    <w:rsid w:val="00A14A7D"/>
    <w:rsid w:val="00A14B0A"/>
    <w:rsid w:val="00A14DBD"/>
    <w:rsid w:val="00A14EAF"/>
    <w:rsid w:val="00A14F66"/>
    <w:rsid w:val="00A1504A"/>
    <w:rsid w:val="00A1521F"/>
    <w:rsid w:val="00A1522A"/>
    <w:rsid w:val="00A15256"/>
    <w:rsid w:val="00A15334"/>
    <w:rsid w:val="00A15509"/>
    <w:rsid w:val="00A15565"/>
    <w:rsid w:val="00A15570"/>
    <w:rsid w:val="00A1562B"/>
    <w:rsid w:val="00A15AB5"/>
    <w:rsid w:val="00A15BCA"/>
    <w:rsid w:val="00A15D09"/>
    <w:rsid w:val="00A15DBD"/>
    <w:rsid w:val="00A15DD9"/>
    <w:rsid w:val="00A15F06"/>
    <w:rsid w:val="00A15F73"/>
    <w:rsid w:val="00A1602C"/>
    <w:rsid w:val="00A16137"/>
    <w:rsid w:val="00A161BB"/>
    <w:rsid w:val="00A1622A"/>
    <w:rsid w:val="00A166AC"/>
    <w:rsid w:val="00A168BB"/>
    <w:rsid w:val="00A16B17"/>
    <w:rsid w:val="00A16C46"/>
    <w:rsid w:val="00A16CAC"/>
    <w:rsid w:val="00A16D08"/>
    <w:rsid w:val="00A16EC6"/>
    <w:rsid w:val="00A16EFA"/>
    <w:rsid w:val="00A17068"/>
    <w:rsid w:val="00A17097"/>
    <w:rsid w:val="00A172DE"/>
    <w:rsid w:val="00A17313"/>
    <w:rsid w:val="00A17473"/>
    <w:rsid w:val="00A174BF"/>
    <w:rsid w:val="00A176CC"/>
    <w:rsid w:val="00A178E6"/>
    <w:rsid w:val="00A1796C"/>
    <w:rsid w:val="00A17B52"/>
    <w:rsid w:val="00A17E0A"/>
    <w:rsid w:val="00A20190"/>
    <w:rsid w:val="00A201EC"/>
    <w:rsid w:val="00A2033B"/>
    <w:rsid w:val="00A20452"/>
    <w:rsid w:val="00A2055F"/>
    <w:rsid w:val="00A205FF"/>
    <w:rsid w:val="00A20732"/>
    <w:rsid w:val="00A2078B"/>
    <w:rsid w:val="00A2079D"/>
    <w:rsid w:val="00A20B31"/>
    <w:rsid w:val="00A20B48"/>
    <w:rsid w:val="00A20CA0"/>
    <w:rsid w:val="00A20CAC"/>
    <w:rsid w:val="00A20D38"/>
    <w:rsid w:val="00A210A7"/>
    <w:rsid w:val="00A210BA"/>
    <w:rsid w:val="00A21128"/>
    <w:rsid w:val="00A2128D"/>
    <w:rsid w:val="00A212E9"/>
    <w:rsid w:val="00A2134E"/>
    <w:rsid w:val="00A21464"/>
    <w:rsid w:val="00A214C5"/>
    <w:rsid w:val="00A214E7"/>
    <w:rsid w:val="00A21654"/>
    <w:rsid w:val="00A218E1"/>
    <w:rsid w:val="00A2194C"/>
    <w:rsid w:val="00A21A4D"/>
    <w:rsid w:val="00A21B0E"/>
    <w:rsid w:val="00A21BB0"/>
    <w:rsid w:val="00A21CB3"/>
    <w:rsid w:val="00A21E22"/>
    <w:rsid w:val="00A2201C"/>
    <w:rsid w:val="00A22117"/>
    <w:rsid w:val="00A2222A"/>
    <w:rsid w:val="00A222C7"/>
    <w:rsid w:val="00A22434"/>
    <w:rsid w:val="00A2254F"/>
    <w:rsid w:val="00A225E7"/>
    <w:rsid w:val="00A228C7"/>
    <w:rsid w:val="00A229A5"/>
    <w:rsid w:val="00A22BD5"/>
    <w:rsid w:val="00A22BE0"/>
    <w:rsid w:val="00A22DEF"/>
    <w:rsid w:val="00A22E60"/>
    <w:rsid w:val="00A22F51"/>
    <w:rsid w:val="00A231CA"/>
    <w:rsid w:val="00A23569"/>
    <w:rsid w:val="00A236A0"/>
    <w:rsid w:val="00A236B6"/>
    <w:rsid w:val="00A2383B"/>
    <w:rsid w:val="00A23987"/>
    <w:rsid w:val="00A23A20"/>
    <w:rsid w:val="00A23A70"/>
    <w:rsid w:val="00A23AE8"/>
    <w:rsid w:val="00A23BF2"/>
    <w:rsid w:val="00A23E1C"/>
    <w:rsid w:val="00A23E43"/>
    <w:rsid w:val="00A23F3E"/>
    <w:rsid w:val="00A23F62"/>
    <w:rsid w:val="00A241F8"/>
    <w:rsid w:val="00A2420C"/>
    <w:rsid w:val="00A242C1"/>
    <w:rsid w:val="00A2458F"/>
    <w:rsid w:val="00A245F1"/>
    <w:rsid w:val="00A24626"/>
    <w:rsid w:val="00A24664"/>
    <w:rsid w:val="00A24669"/>
    <w:rsid w:val="00A24716"/>
    <w:rsid w:val="00A2489B"/>
    <w:rsid w:val="00A24D2C"/>
    <w:rsid w:val="00A24DE6"/>
    <w:rsid w:val="00A24FF2"/>
    <w:rsid w:val="00A25354"/>
    <w:rsid w:val="00A253DF"/>
    <w:rsid w:val="00A253F3"/>
    <w:rsid w:val="00A25440"/>
    <w:rsid w:val="00A2561B"/>
    <w:rsid w:val="00A2567B"/>
    <w:rsid w:val="00A256A9"/>
    <w:rsid w:val="00A25793"/>
    <w:rsid w:val="00A257B8"/>
    <w:rsid w:val="00A257EE"/>
    <w:rsid w:val="00A25A8C"/>
    <w:rsid w:val="00A25AB6"/>
    <w:rsid w:val="00A25CA4"/>
    <w:rsid w:val="00A25DAF"/>
    <w:rsid w:val="00A25DDA"/>
    <w:rsid w:val="00A25ED6"/>
    <w:rsid w:val="00A25FAD"/>
    <w:rsid w:val="00A2610B"/>
    <w:rsid w:val="00A26176"/>
    <w:rsid w:val="00A2620F"/>
    <w:rsid w:val="00A26366"/>
    <w:rsid w:val="00A26385"/>
    <w:rsid w:val="00A264B0"/>
    <w:rsid w:val="00A2697C"/>
    <w:rsid w:val="00A26BBD"/>
    <w:rsid w:val="00A26C74"/>
    <w:rsid w:val="00A26D3F"/>
    <w:rsid w:val="00A26DA7"/>
    <w:rsid w:val="00A26F27"/>
    <w:rsid w:val="00A26FAE"/>
    <w:rsid w:val="00A27055"/>
    <w:rsid w:val="00A2720D"/>
    <w:rsid w:val="00A2738D"/>
    <w:rsid w:val="00A2739C"/>
    <w:rsid w:val="00A275B7"/>
    <w:rsid w:val="00A275FB"/>
    <w:rsid w:val="00A2768E"/>
    <w:rsid w:val="00A276BB"/>
    <w:rsid w:val="00A27802"/>
    <w:rsid w:val="00A2789E"/>
    <w:rsid w:val="00A279D8"/>
    <w:rsid w:val="00A279E5"/>
    <w:rsid w:val="00A279E8"/>
    <w:rsid w:val="00A27A01"/>
    <w:rsid w:val="00A27ED9"/>
    <w:rsid w:val="00A27F19"/>
    <w:rsid w:val="00A2930B"/>
    <w:rsid w:val="00A2D2FE"/>
    <w:rsid w:val="00A3014B"/>
    <w:rsid w:val="00A30159"/>
    <w:rsid w:val="00A3016F"/>
    <w:rsid w:val="00A30236"/>
    <w:rsid w:val="00A302EB"/>
    <w:rsid w:val="00A30333"/>
    <w:rsid w:val="00A303E2"/>
    <w:rsid w:val="00A305F0"/>
    <w:rsid w:val="00A308DA"/>
    <w:rsid w:val="00A30940"/>
    <w:rsid w:val="00A309BD"/>
    <w:rsid w:val="00A309C4"/>
    <w:rsid w:val="00A30B65"/>
    <w:rsid w:val="00A30BD5"/>
    <w:rsid w:val="00A30BED"/>
    <w:rsid w:val="00A30D52"/>
    <w:rsid w:val="00A30F0A"/>
    <w:rsid w:val="00A30F47"/>
    <w:rsid w:val="00A30F50"/>
    <w:rsid w:val="00A31027"/>
    <w:rsid w:val="00A311B0"/>
    <w:rsid w:val="00A311E6"/>
    <w:rsid w:val="00A313A2"/>
    <w:rsid w:val="00A3147A"/>
    <w:rsid w:val="00A314BA"/>
    <w:rsid w:val="00A31824"/>
    <w:rsid w:val="00A31960"/>
    <w:rsid w:val="00A31AAD"/>
    <w:rsid w:val="00A31B43"/>
    <w:rsid w:val="00A31C38"/>
    <w:rsid w:val="00A31C65"/>
    <w:rsid w:val="00A31D2F"/>
    <w:rsid w:val="00A31D66"/>
    <w:rsid w:val="00A31FC8"/>
    <w:rsid w:val="00A3206F"/>
    <w:rsid w:val="00A32102"/>
    <w:rsid w:val="00A32227"/>
    <w:rsid w:val="00A32273"/>
    <w:rsid w:val="00A32318"/>
    <w:rsid w:val="00A3234A"/>
    <w:rsid w:val="00A3239A"/>
    <w:rsid w:val="00A324BE"/>
    <w:rsid w:val="00A325CA"/>
    <w:rsid w:val="00A3261B"/>
    <w:rsid w:val="00A3281A"/>
    <w:rsid w:val="00A328A3"/>
    <w:rsid w:val="00A32928"/>
    <w:rsid w:val="00A32976"/>
    <w:rsid w:val="00A32A48"/>
    <w:rsid w:val="00A32D0A"/>
    <w:rsid w:val="00A32D0C"/>
    <w:rsid w:val="00A32D3C"/>
    <w:rsid w:val="00A32DA5"/>
    <w:rsid w:val="00A32DDE"/>
    <w:rsid w:val="00A32DEC"/>
    <w:rsid w:val="00A32E22"/>
    <w:rsid w:val="00A32E6D"/>
    <w:rsid w:val="00A32F4B"/>
    <w:rsid w:val="00A32F77"/>
    <w:rsid w:val="00A32FE5"/>
    <w:rsid w:val="00A3332F"/>
    <w:rsid w:val="00A333D5"/>
    <w:rsid w:val="00A334AE"/>
    <w:rsid w:val="00A3376A"/>
    <w:rsid w:val="00A33847"/>
    <w:rsid w:val="00A339B3"/>
    <w:rsid w:val="00A339C9"/>
    <w:rsid w:val="00A33A0F"/>
    <w:rsid w:val="00A33BA1"/>
    <w:rsid w:val="00A33D9D"/>
    <w:rsid w:val="00A33E17"/>
    <w:rsid w:val="00A33E65"/>
    <w:rsid w:val="00A33EBA"/>
    <w:rsid w:val="00A33F0C"/>
    <w:rsid w:val="00A33F3A"/>
    <w:rsid w:val="00A33F3C"/>
    <w:rsid w:val="00A33F8E"/>
    <w:rsid w:val="00A34073"/>
    <w:rsid w:val="00A3421B"/>
    <w:rsid w:val="00A34385"/>
    <w:rsid w:val="00A3448D"/>
    <w:rsid w:val="00A344B6"/>
    <w:rsid w:val="00A34669"/>
    <w:rsid w:val="00A347C5"/>
    <w:rsid w:val="00A34ABF"/>
    <w:rsid w:val="00A34AF7"/>
    <w:rsid w:val="00A34B46"/>
    <w:rsid w:val="00A34C01"/>
    <w:rsid w:val="00A34CB8"/>
    <w:rsid w:val="00A34D0C"/>
    <w:rsid w:val="00A34D62"/>
    <w:rsid w:val="00A34D7B"/>
    <w:rsid w:val="00A34E71"/>
    <w:rsid w:val="00A34E74"/>
    <w:rsid w:val="00A34F49"/>
    <w:rsid w:val="00A34F56"/>
    <w:rsid w:val="00A35022"/>
    <w:rsid w:val="00A351CA"/>
    <w:rsid w:val="00A35240"/>
    <w:rsid w:val="00A35308"/>
    <w:rsid w:val="00A3535F"/>
    <w:rsid w:val="00A35420"/>
    <w:rsid w:val="00A35480"/>
    <w:rsid w:val="00A35759"/>
    <w:rsid w:val="00A35777"/>
    <w:rsid w:val="00A35914"/>
    <w:rsid w:val="00A359A8"/>
    <w:rsid w:val="00A35A1E"/>
    <w:rsid w:val="00A35A2B"/>
    <w:rsid w:val="00A35ABF"/>
    <w:rsid w:val="00A35B68"/>
    <w:rsid w:val="00A35C96"/>
    <w:rsid w:val="00A35DB9"/>
    <w:rsid w:val="00A35F67"/>
    <w:rsid w:val="00A3623E"/>
    <w:rsid w:val="00A362D6"/>
    <w:rsid w:val="00A36332"/>
    <w:rsid w:val="00A36345"/>
    <w:rsid w:val="00A363AC"/>
    <w:rsid w:val="00A363B5"/>
    <w:rsid w:val="00A363DF"/>
    <w:rsid w:val="00A36800"/>
    <w:rsid w:val="00A36A80"/>
    <w:rsid w:val="00A36C72"/>
    <w:rsid w:val="00A36EBC"/>
    <w:rsid w:val="00A36F3D"/>
    <w:rsid w:val="00A37080"/>
    <w:rsid w:val="00A370E1"/>
    <w:rsid w:val="00A37211"/>
    <w:rsid w:val="00A375E0"/>
    <w:rsid w:val="00A377CC"/>
    <w:rsid w:val="00A3784F"/>
    <w:rsid w:val="00A379BD"/>
    <w:rsid w:val="00A379BF"/>
    <w:rsid w:val="00A37A77"/>
    <w:rsid w:val="00A37A91"/>
    <w:rsid w:val="00A37AAC"/>
    <w:rsid w:val="00A37B06"/>
    <w:rsid w:val="00A37CC4"/>
    <w:rsid w:val="00A37D17"/>
    <w:rsid w:val="00A37D3D"/>
    <w:rsid w:val="00A37D62"/>
    <w:rsid w:val="00A37D6F"/>
    <w:rsid w:val="00A37D91"/>
    <w:rsid w:val="00A37DAA"/>
    <w:rsid w:val="00A4015D"/>
    <w:rsid w:val="00A40163"/>
    <w:rsid w:val="00A40179"/>
    <w:rsid w:val="00A4044C"/>
    <w:rsid w:val="00A40503"/>
    <w:rsid w:val="00A4052C"/>
    <w:rsid w:val="00A4054D"/>
    <w:rsid w:val="00A405BD"/>
    <w:rsid w:val="00A405FC"/>
    <w:rsid w:val="00A40698"/>
    <w:rsid w:val="00A406B3"/>
    <w:rsid w:val="00A408F3"/>
    <w:rsid w:val="00A40901"/>
    <w:rsid w:val="00A40907"/>
    <w:rsid w:val="00A4091E"/>
    <w:rsid w:val="00A40AE9"/>
    <w:rsid w:val="00A40B09"/>
    <w:rsid w:val="00A40BC7"/>
    <w:rsid w:val="00A40BE8"/>
    <w:rsid w:val="00A40D06"/>
    <w:rsid w:val="00A40E6E"/>
    <w:rsid w:val="00A40E7A"/>
    <w:rsid w:val="00A40EC7"/>
    <w:rsid w:val="00A40EFD"/>
    <w:rsid w:val="00A40F09"/>
    <w:rsid w:val="00A40F1A"/>
    <w:rsid w:val="00A40F3C"/>
    <w:rsid w:val="00A40F87"/>
    <w:rsid w:val="00A41126"/>
    <w:rsid w:val="00A41134"/>
    <w:rsid w:val="00A411E0"/>
    <w:rsid w:val="00A412C4"/>
    <w:rsid w:val="00A412ED"/>
    <w:rsid w:val="00A41380"/>
    <w:rsid w:val="00A413B4"/>
    <w:rsid w:val="00A41495"/>
    <w:rsid w:val="00A41513"/>
    <w:rsid w:val="00A4157D"/>
    <w:rsid w:val="00A41750"/>
    <w:rsid w:val="00A41B1E"/>
    <w:rsid w:val="00A41C6A"/>
    <w:rsid w:val="00A41C9B"/>
    <w:rsid w:val="00A41E0C"/>
    <w:rsid w:val="00A41E6B"/>
    <w:rsid w:val="00A420EB"/>
    <w:rsid w:val="00A421C8"/>
    <w:rsid w:val="00A422C6"/>
    <w:rsid w:val="00A42427"/>
    <w:rsid w:val="00A42483"/>
    <w:rsid w:val="00A42586"/>
    <w:rsid w:val="00A42624"/>
    <w:rsid w:val="00A4264C"/>
    <w:rsid w:val="00A42669"/>
    <w:rsid w:val="00A4279B"/>
    <w:rsid w:val="00A4283D"/>
    <w:rsid w:val="00A428E4"/>
    <w:rsid w:val="00A428FE"/>
    <w:rsid w:val="00A42999"/>
    <w:rsid w:val="00A42A59"/>
    <w:rsid w:val="00A42B7F"/>
    <w:rsid w:val="00A42B9B"/>
    <w:rsid w:val="00A42CDA"/>
    <w:rsid w:val="00A42E2A"/>
    <w:rsid w:val="00A42ED9"/>
    <w:rsid w:val="00A43041"/>
    <w:rsid w:val="00A430B3"/>
    <w:rsid w:val="00A43163"/>
    <w:rsid w:val="00A431B4"/>
    <w:rsid w:val="00A431C7"/>
    <w:rsid w:val="00A431E3"/>
    <w:rsid w:val="00A431E9"/>
    <w:rsid w:val="00A4336C"/>
    <w:rsid w:val="00A4338C"/>
    <w:rsid w:val="00A4348D"/>
    <w:rsid w:val="00A434AD"/>
    <w:rsid w:val="00A43529"/>
    <w:rsid w:val="00A436AA"/>
    <w:rsid w:val="00A4370F"/>
    <w:rsid w:val="00A4391C"/>
    <w:rsid w:val="00A43981"/>
    <w:rsid w:val="00A439AA"/>
    <w:rsid w:val="00A43A0E"/>
    <w:rsid w:val="00A43AB8"/>
    <w:rsid w:val="00A43B3C"/>
    <w:rsid w:val="00A43B79"/>
    <w:rsid w:val="00A43E08"/>
    <w:rsid w:val="00A43E81"/>
    <w:rsid w:val="00A43F32"/>
    <w:rsid w:val="00A43F7E"/>
    <w:rsid w:val="00A44030"/>
    <w:rsid w:val="00A44080"/>
    <w:rsid w:val="00A4409E"/>
    <w:rsid w:val="00A440E7"/>
    <w:rsid w:val="00A440F0"/>
    <w:rsid w:val="00A4426B"/>
    <w:rsid w:val="00A44302"/>
    <w:rsid w:val="00A44317"/>
    <w:rsid w:val="00A4437A"/>
    <w:rsid w:val="00A44416"/>
    <w:rsid w:val="00A44438"/>
    <w:rsid w:val="00A44473"/>
    <w:rsid w:val="00A446AB"/>
    <w:rsid w:val="00A44924"/>
    <w:rsid w:val="00A44BB5"/>
    <w:rsid w:val="00A44D83"/>
    <w:rsid w:val="00A44DAF"/>
    <w:rsid w:val="00A44F65"/>
    <w:rsid w:val="00A44FC9"/>
    <w:rsid w:val="00A45027"/>
    <w:rsid w:val="00A45413"/>
    <w:rsid w:val="00A45594"/>
    <w:rsid w:val="00A456A9"/>
    <w:rsid w:val="00A457E7"/>
    <w:rsid w:val="00A4580F"/>
    <w:rsid w:val="00A45A42"/>
    <w:rsid w:val="00A45A8A"/>
    <w:rsid w:val="00A45B28"/>
    <w:rsid w:val="00A45BD7"/>
    <w:rsid w:val="00A45C2B"/>
    <w:rsid w:val="00A45D39"/>
    <w:rsid w:val="00A45DB7"/>
    <w:rsid w:val="00A45FF3"/>
    <w:rsid w:val="00A4617C"/>
    <w:rsid w:val="00A461FF"/>
    <w:rsid w:val="00A46214"/>
    <w:rsid w:val="00A463E4"/>
    <w:rsid w:val="00A4663B"/>
    <w:rsid w:val="00A4663E"/>
    <w:rsid w:val="00A467A7"/>
    <w:rsid w:val="00A46858"/>
    <w:rsid w:val="00A4695E"/>
    <w:rsid w:val="00A46A57"/>
    <w:rsid w:val="00A46AA7"/>
    <w:rsid w:val="00A46C0F"/>
    <w:rsid w:val="00A46C8D"/>
    <w:rsid w:val="00A46D33"/>
    <w:rsid w:val="00A46FD3"/>
    <w:rsid w:val="00A47055"/>
    <w:rsid w:val="00A471BE"/>
    <w:rsid w:val="00A4730E"/>
    <w:rsid w:val="00A4776A"/>
    <w:rsid w:val="00A477B6"/>
    <w:rsid w:val="00A4780D"/>
    <w:rsid w:val="00A47874"/>
    <w:rsid w:val="00A4788C"/>
    <w:rsid w:val="00A47937"/>
    <w:rsid w:val="00A47AD4"/>
    <w:rsid w:val="00A47DFA"/>
    <w:rsid w:val="00A47E8D"/>
    <w:rsid w:val="00A501AB"/>
    <w:rsid w:val="00A50281"/>
    <w:rsid w:val="00A50415"/>
    <w:rsid w:val="00A504C8"/>
    <w:rsid w:val="00A504E8"/>
    <w:rsid w:val="00A50756"/>
    <w:rsid w:val="00A507EB"/>
    <w:rsid w:val="00A5089F"/>
    <w:rsid w:val="00A50961"/>
    <w:rsid w:val="00A50A3D"/>
    <w:rsid w:val="00A50BDA"/>
    <w:rsid w:val="00A50C73"/>
    <w:rsid w:val="00A50CEE"/>
    <w:rsid w:val="00A50D3F"/>
    <w:rsid w:val="00A50F72"/>
    <w:rsid w:val="00A5104C"/>
    <w:rsid w:val="00A51059"/>
    <w:rsid w:val="00A5106B"/>
    <w:rsid w:val="00A5111C"/>
    <w:rsid w:val="00A51335"/>
    <w:rsid w:val="00A5133B"/>
    <w:rsid w:val="00A51404"/>
    <w:rsid w:val="00A51511"/>
    <w:rsid w:val="00A5161F"/>
    <w:rsid w:val="00A5168E"/>
    <w:rsid w:val="00A516E2"/>
    <w:rsid w:val="00A5177F"/>
    <w:rsid w:val="00A51B71"/>
    <w:rsid w:val="00A51C2B"/>
    <w:rsid w:val="00A51FB2"/>
    <w:rsid w:val="00A52072"/>
    <w:rsid w:val="00A52091"/>
    <w:rsid w:val="00A52100"/>
    <w:rsid w:val="00A521A2"/>
    <w:rsid w:val="00A522FC"/>
    <w:rsid w:val="00A5286C"/>
    <w:rsid w:val="00A528C1"/>
    <w:rsid w:val="00A52B9F"/>
    <w:rsid w:val="00A52BFA"/>
    <w:rsid w:val="00A52E0F"/>
    <w:rsid w:val="00A52E66"/>
    <w:rsid w:val="00A52E67"/>
    <w:rsid w:val="00A52FB7"/>
    <w:rsid w:val="00A53043"/>
    <w:rsid w:val="00A530FE"/>
    <w:rsid w:val="00A53127"/>
    <w:rsid w:val="00A53131"/>
    <w:rsid w:val="00A5345E"/>
    <w:rsid w:val="00A53493"/>
    <w:rsid w:val="00A534CB"/>
    <w:rsid w:val="00A534FA"/>
    <w:rsid w:val="00A53701"/>
    <w:rsid w:val="00A53726"/>
    <w:rsid w:val="00A538E8"/>
    <w:rsid w:val="00A5391C"/>
    <w:rsid w:val="00A53A40"/>
    <w:rsid w:val="00A53A89"/>
    <w:rsid w:val="00A53FC3"/>
    <w:rsid w:val="00A54049"/>
    <w:rsid w:val="00A540F5"/>
    <w:rsid w:val="00A541D5"/>
    <w:rsid w:val="00A54200"/>
    <w:rsid w:val="00A54214"/>
    <w:rsid w:val="00A542FA"/>
    <w:rsid w:val="00A54484"/>
    <w:rsid w:val="00A5478F"/>
    <w:rsid w:val="00A5490E"/>
    <w:rsid w:val="00A54955"/>
    <w:rsid w:val="00A549BB"/>
    <w:rsid w:val="00A549E2"/>
    <w:rsid w:val="00A54A27"/>
    <w:rsid w:val="00A54BC0"/>
    <w:rsid w:val="00A54CC3"/>
    <w:rsid w:val="00A55085"/>
    <w:rsid w:val="00A550B7"/>
    <w:rsid w:val="00A5527A"/>
    <w:rsid w:val="00A55580"/>
    <w:rsid w:val="00A555E8"/>
    <w:rsid w:val="00A5563B"/>
    <w:rsid w:val="00A5571D"/>
    <w:rsid w:val="00A55A50"/>
    <w:rsid w:val="00A55AAF"/>
    <w:rsid w:val="00A55B04"/>
    <w:rsid w:val="00A55C54"/>
    <w:rsid w:val="00A55D15"/>
    <w:rsid w:val="00A56030"/>
    <w:rsid w:val="00A56122"/>
    <w:rsid w:val="00A562DA"/>
    <w:rsid w:val="00A562F3"/>
    <w:rsid w:val="00A5646C"/>
    <w:rsid w:val="00A566E7"/>
    <w:rsid w:val="00A56726"/>
    <w:rsid w:val="00A567B2"/>
    <w:rsid w:val="00A56997"/>
    <w:rsid w:val="00A5699C"/>
    <w:rsid w:val="00A56A66"/>
    <w:rsid w:val="00A56B32"/>
    <w:rsid w:val="00A56D8C"/>
    <w:rsid w:val="00A56DF1"/>
    <w:rsid w:val="00A56E69"/>
    <w:rsid w:val="00A56F6F"/>
    <w:rsid w:val="00A570D1"/>
    <w:rsid w:val="00A57388"/>
    <w:rsid w:val="00A5753F"/>
    <w:rsid w:val="00A5780E"/>
    <w:rsid w:val="00A57903"/>
    <w:rsid w:val="00A57997"/>
    <w:rsid w:val="00A579DB"/>
    <w:rsid w:val="00A57C38"/>
    <w:rsid w:val="00A57C77"/>
    <w:rsid w:val="00A57EDC"/>
    <w:rsid w:val="00A57F6F"/>
    <w:rsid w:val="00A5B710"/>
    <w:rsid w:val="00A5CC0A"/>
    <w:rsid w:val="00A6001C"/>
    <w:rsid w:val="00A60071"/>
    <w:rsid w:val="00A6013E"/>
    <w:rsid w:val="00A60207"/>
    <w:rsid w:val="00A60239"/>
    <w:rsid w:val="00A6027B"/>
    <w:rsid w:val="00A6034C"/>
    <w:rsid w:val="00A60492"/>
    <w:rsid w:val="00A604CC"/>
    <w:rsid w:val="00A60632"/>
    <w:rsid w:val="00A60816"/>
    <w:rsid w:val="00A608A5"/>
    <w:rsid w:val="00A608FD"/>
    <w:rsid w:val="00A60A94"/>
    <w:rsid w:val="00A60B0A"/>
    <w:rsid w:val="00A60C21"/>
    <w:rsid w:val="00A60C37"/>
    <w:rsid w:val="00A60DE3"/>
    <w:rsid w:val="00A60DE5"/>
    <w:rsid w:val="00A610B7"/>
    <w:rsid w:val="00A610F9"/>
    <w:rsid w:val="00A611AD"/>
    <w:rsid w:val="00A612D5"/>
    <w:rsid w:val="00A612E1"/>
    <w:rsid w:val="00A6146E"/>
    <w:rsid w:val="00A6159A"/>
    <w:rsid w:val="00A61797"/>
    <w:rsid w:val="00A61884"/>
    <w:rsid w:val="00A618D3"/>
    <w:rsid w:val="00A61925"/>
    <w:rsid w:val="00A61965"/>
    <w:rsid w:val="00A6199F"/>
    <w:rsid w:val="00A61A93"/>
    <w:rsid w:val="00A61AEC"/>
    <w:rsid w:val="00A61B29"/>
    <w:rsid w:val="00A62114"/>
    <w:rsid w:val="00A621CC"/>
    <w:rsid w:val="00A621DD"/>
    <w:rsid w:val="00A62313"/>
    <w:rsid w:val="00A623A5"/>
    <w:rsid w:val="00A62542"/>
    <w:rsid w:val="00A626F9"/>
    <w:rsid w:val="00A62746"/>
    <w:rsid w:val="00A628B0"/>
    <w:rsid w:val="00A62A32"/>
    <w:rsid w:val="00A62A84"/>
    <w:rsid w:val="00A62B8D"/>
    <w:rsid w:val="00A62BA3"/>
    <w:rsid w:val="00A62C25"/>
    <w:rsid w:val="00A62C6F"/>
    <w:rsid w:val="00A62DB0"/>
    <w:rsid w:val="00A62E62"/>
    <w:rsid w:val="00A62EAF"/>
    <w:rsid w:val="00A62F4B"/>
    <w:rsid w:val="00A6300C"/>
    <w:rsid w:val="00A63225"/>
    <w:rsid w:val="00A632CC"/>
    <w:rsid w:val="00A63438"/>
    <w:rsid w:val="00A63625"/>
    <w:rsid w:val="00A636B7"/>
    <w:rsid w:val="00A636CE"/>
    <w:rsid w:val="00A6373B"/>
    <w:rsid w:val="00A637A0"/>
    <w:rsid w:val="00A638AF"/>
    <w:rsid w:val="00A639F4"/>
    <w:rsid w:val="00A63AAC"/>
    <w:rsid w:val="00A63BFB"/>
    <w:rsid w:val="00A63CD7"/>
    <w:rsid w:val="00A63DBE"/>
    <w:rsid w:val="00A63DCD"/>
    <w:rsid w:val="00A63E80"/>
    <w:rsid w:val="00A640ED"/>
    <w:rsid w:val="00A64335"/>
    <w:rsid w:val="00A6436C"/>
    <w:rsid w:val="00A643CF"/>
    <w:rsid w:val="00A64409"/>
    <w:rsid w:val="00A64466"/>
    <w:rsid w:val="00A6469D"/>
    <w:rsid w:val="00A646D0"/>
    <w:rsid w:val="00A6473C"/>
    <w:rsid w:val="00A64BCF"/>
    <w:rsid w:val="00A64CC0"/>
    <w:rsid w:val="00A64DD6"/>
    <w:rsid w:val="00A64ED6"/>
    <w:rsid w:val="00A651E0"/>
    <w:rsid w:val="00A65379"/>
    <w:rsid w:val="00A6554D"/>
    <w:rsid w:val="00A655FB"/>
    <w:rsid w:val="00A65783"/>
    <w:rsid w:val="00A657B8"/>
    <w:rsid w:val="00A657C8"/>
    <w:rsid w:val="00A65865"/>
    <w:rsid w:val="00A65C00"/>
    <w:rsid w:val="00A65C11"/>
    <w:rsid w:val="00A65DB0"/>
    <w:rsid w:val="00A65E18"/>
    <w:rsid w:val="00A66118"/>
    <w:rsid w:val="00A66207"/>
    <w:rsid w:val="00A66241"/>
    <w:rsid w:val="00A66249"/>
    <w:rsid w:val="00A66487"/>
    <w:rsid w:val="00A664F6"/>
    <w:rsid w:val="00A665A9"/>
    <w:rsid w:val="00A665F8"/>
    <w:rsid w:val="00A666AB"/>
    <w:rsid w:val="00A666EA"/>
    <w:rsid w:val="00A6693E"/>
    <w:rsid w:val="00A66A33"/>
    <w:rsid w:val="00A66A53"/>
    <w:rsid w:val="00A66AAF"/>
    <w:rsid w:val="00A66D55"/>
    <w:rsid w:val="00A66FBF"/>
    <w:rsid w:val="00A670CB"/>
    <w:rsid w:val="00A67345"/>
    <w:rsid w:val="00A6747D"/>
    <w:rsid w:val="00A67540"/>
    <w:rsid w:val="00A675C2"/>
    <w:rsid w:val="00A6776D"/>
    <w:rsid w:val="00A67808"/>
    <w:rsid w:val="00A67899"/>
    <w:rsid w:val="00A678CB"/>
    <w:rsid w:val="00A6798E"/>
    <w:rsid w:val="00A679E6"/>
    <w:rsid w:val="00A67A33"/>
    <w:rsid w:val="00A67B8F"/>
    <w:rsid w:val="00A67CA2"/>
    <w:rsid w:val="00A67D21"/>
    <w:rsid w:val="00A67DB9"/>
    <w:rsid w:val="00A67DD6"/>
    <w:rsid w:val="00A67F8A"/>
    <w:rsid w:val="00A67FBF"/>
    <w:rsid w:val="00A68849"/>
    <w:rsid w:val="00A6D9DF"/>
    <w:rsid w:val="00A7010C"/>
    <w:rsid w:val="00A703BC"/>
    <w:rsid w:val="00A70415"/>
    <w:rsid w:val="00A70515"/>
    <w:rsid w:val="00A70642"/>
    <w:rsid w:val="00A7096B"/>
    <w:rsid w:val="00A70A26"/>
    <w:rsid w:val="00A70A40"/>
    <w:rsid w:val="00A70A7B"/>
    <w:rsid w:val="00A70AFE"/>
    <w:rsid w:val="00A70B7E"/>
    <w:rsid w:val="00A70DD3"/>
    <w:rsid w:val="00A71055"/>
    <w:rsid w:val="00A711D2"/>
    <w:rsid w:val="00A7129B"/>
    <w:rsid w:val="00A7138E"/>
    <w:rsid w:val="00A71463"/>
    <w:rsid w:val="00A71728"/>
    <w:rsid w:val="00A71918"/>
    <w:rsid w:val="00A71AEF"/>
    <w:rsid w:val="00A71BA3"/>
    <w:rsid w:val="00A71CED"/>
    <w:rsid w:val="00A71E51"/>
    <w:rsid w:val="00A71E62"/>
    <w:rsid w:val="00A71FF7"/>
    <w:rsid w:val="00A7201D"/>
    <w:rsid w:val="00A720BD"/>
    <w:rsid w:val="00A72114"/>
    <w:rsid w:val="00A723AC"/>
    <w:rsid w:val="00A72707"/>
    <w:rsid w:val="00A727F4"/>
    <w:rsid w:val="00A7280D"/>
    <w:rsid w:val="00A72A96"/>
    <w:rsid w:val="00A72CF8"/>
    <w:rsid w:val="00A72EA7"/>
    <w:rsid w:val="00A73009"/>
    <w:rsid w:val="00A73292"/>
    <w:rsid w:val="00A732C8"/>
    <w:rsid w:val="00A7332C"/>
    <w:rsid w:val="00A7334B"/>
    <w:rsid w:val="00A73502"/>
    <w:rsid w:val="00A73689"/>
    <w:rsid w:val="00A73740"/>
    <w:rsid w:val="00A737EB"/>
    <w:rsid w:val="00A737F6"/>
    <w:rsid w:val="00A73A24"/>
    <w:rsid w:val="00A73AC8"/>
    <w:rsid w:val="00A74064"/>
    <w:rsid w:val="00A740CD"/>
    <w:rsid w:val="00A74116"/>
    <w:rsid w:val="00A741BD"/>
    <w:rsid w:val="00A741FB"/>
    <w:rsid w:val="00A74271"/>
    <w:rsid w:val="00A742B6"/>
    <w:rsid w:val="00A743AB"/>
    <w:rsid w:val="00A7445B"/>
    <w:rsid w:val="00A745B1"/>
    <w:rsid w:val="00A748A6"/>
    <w:rsid w:val="00A74941"/>
    <w:rsid w:val="00A749A0"/>
    <w:rsid w:val="00A74A32"/>
    <w:rsid w:val="00A74A36"/>
    <w:rsid w:val="00A751E8"/>
    <w:rsid w:val="00A75689"/>
    <w:rsid w:val="00A756AD"/>
    <w:rsid w:val="00A7589F"/>
    <w:rsid w:val="00A759EC"/>
    <w:rsid w:val="00A75B45"/>
    <w:rsid w:val="00A75B83"/>
    <w:rsid w:val="00A75BFA"/>
    <w:rsid w:val="00A75E90"/>
    <w:rsid w:val="00A75FDF"/>
    <w:rsid w:val="00A76009"/>
    <w:rsid w:val="00A7621A"/>
    <w:rsid w:val="00A7641C"/>
    <w:rsid w:val="00A76524"/>
    <w:rsid w:val="00A7659D"/>
    <w:rsid w:val="00A765D4"/>
    <w:rsid w:val="00A765D7"/>
    <w:rsid w:val="00A766D5"/>
    <w:rsid w:val="00A76845"/>
    <w:rsid w:val="00A7695C"/>
    <w:rsid w:val="00A7696D"/>
    <w:rsid w:val="00A769F1"/>
    <w:rsid w:val="00A76AF5"/>
    <w:rsid w:val="00A76B05"/>
    <w:rsid w:val="00A76B09"/>
    <w:rsid w:val="00A76BA8"/>
    <w:rsid w:val="00A76BAF"/>
    <w:rsid w:val="00A76BE6"/>
    <w:rsid w:val="00A76BF6"/>
    <w:rsid w:val="00A76D7C"/>
    <w:rsid w:val="00A76D90"/>
    <w:rsid w:val="00A76DF1"/>
    <w:rsid w:val="00A77008"/>
    <w:rsid w:val="00A77059"/>
    <w:rsid w:val="00A770B1"/>
    <w:rsid w:val="00A77282"/>
    <w:rsid w:val="00A77380"/>
    <w:rsid w:val="00A773A8"/>
    <w:rsid w:val="00A7756D"/>
    <w:rsid w:val="00A775B0"/>
    <w:rsid w:val="00A77685"/>
    <w:rsid w:val="00A776E8"/>
    <w:rsid w:val="00A77746"/>
    <w:rsid w:val="00A77936"/>
    <w:rsid w:val="00A7793D"/>
    <w:rsid w:val="00A779BB"/>
    <w:rsid w:val="00A77B0A"/>
    <w:rsid w:val="00A77B10"/>
    <w:rsid w:val="00A77B6B"/>
    <w:rsid w:val="00A77B7F"/>
    <w:rsid w:val="00A77BEA"/>
    <w:rsid w:val="00A77CE5"/>
    <w:rsid w:val="00A77E46"/>
    <w:rsid w:val="00A77F47"/>
    <w:rsid w:val="00A77F7D"/>
    <w:rsid w:val="00A77FD3"/>
    <w:rsid w:val="00A78E44"/>
    <w:rsid w:val="00A7AF40"/>
    <w:rsid w:val="00A7FF67"/>
    <w:rsid w:val="00A80014"/>
    <w:rsid w:val="00A80101"/>
    <w:rsid w:val="00A80171"/>
    <w:rsid w:val="00A8017B"/>
    <w:rsid w:val="00A80293"/>
    <w:rsid w:val="00A80499"/>
    <w:rsid w:val="00A804C5"/>
    <w:rsid w:val="00A8058F"/>
    <w:rsid w:val="00A805A0"/>
    <w:rsid w:val="00A80671"/>
    <w:rsid w:val="00A807E2"/>
    <w:rsid w:val="00A80839"/>
    <w:rsid w:val="00A80A41"/>
    <w:rsid w:val="00A80B2A"/>
    <w:rsid w:val="00A80D94"/>
    <w:rsid w:val="00A80DDA"/>
    <w:rsid w:val="00A80DF4"/>
    <w:rsid w:val="00A80E37"/>
    <w:rsid w:val="00A80FDC"/>
    <w:rsid w:val="00A812E7"/>
    <w:rsid w:val="00A812F5"/>
    <w:rsid w:val="00A81316"/>
    <w:rsid w:val="00A8141F"/>
    <w:rsid w:val="00A81458"/>
    <w:rsid w:val="00A814FA"/>
    <w:rsid w:val="00A81680"/>
    <w:rsid w:val="00A81779"/>
    <w:rsid w:val="00A817C7"/>
    <w:rsid w:val="00A817E9"/>
    <w:rsid w:val="00A81876"/>
    <w:rsid w:val="00A818D4"/>
    <w:rsid w:val="00A81B61"/>
    <w:rsid w:val="00A81BDF"/>
    <w:rsid w:val="00A81C17"/>
    <w:rsid w:val="00A81C39"/>
    <w:rsid w:val="00A81DF6"/>
    <w:rsid w:val="00A81E36"/>
    <w:rsid w:val="00A81F8F"/>
    <w:rsid w:val="00A81FCE"/>
    <w:rsid w:val="00A82003"/>
    <w:rsid w:val="00A8217C"/>
    <w:rsid w:val="00A824F6"/>
    <w:rsid w:val="00A825FF"/>
    <w:rsid w:val="00A826EC"/>
    <w:rsid w:val="00A82769"/>
    <w:rsid w:val="00A82827"/>
    <w:rsid w:val="00A828C8"/>
    <w:rsid w:val="00A82A19"/>
    <w:rsid w:val="00A82A73"/>
    <w:rsid w:val="00A82B19"/>
    <w:rsid w:val="00A82B30"/>
    <w:rsid w:val="00A82BBF"/>
    <w:rsid w:val="00A82D04"/>
    <w:rsid w:val="00A82F82"/>
    <w:rsid w:val="00A83075"/>
    <w:rsid w:val="00A83101"/>
    <w:rsid w:val="00A8324B"/>
    <w:rsid w:val="00A83261"/>
    <w:rsid w:val="00A83458"/>
    <w:rsid w:val="00A834EF"/>
    <w:rsid w:val="00A836F4"/>
    <w:rsid w:val="00A83856"/>
    <w:rsid w:val="00A83C5E"/>
    <w:rsid w:val="00A83D14"/>
    <w:rsid w:val="00A83D5C"/>
    <w:rsid w:val="00A83EC3"/>
    <w:rsid w:val="00A83F2F"/>
    <w:rsid w:val="00A84232"/>
    <w:rsid w:val="00A843E0"/>
    <w:rsid w:val="00A8441D"/>
    <w:rsid w:val="00A84420"/>
    <w:rsid w:val="00A847E0"/>
    <w:rsid w:val="00A847F2"/>
    <w:rsid w:val="00A8483B"/>
    <w:rsid w:val="00A848CD"/>
    <w:rsid w:val="00A8499D"/>
    <w:rsid w:val="00A849DC"/>
    <w:rsid w:val="00A84A61"/>
    <w:rsid w:val="00A84BB5"/>
    <w:rsid w:val="00A84CB4"/>
    <w:rsid w:val="00A84CD0"/>
    <w:rsid w:val="00A84D31"/>
    <w:rsid w:val="00A84D33"/>
    <w:rsid w:val="00A84D7E"/>
    <w:rsid w:val="00A84F7C"/>
    <w:rsid w:val="00A8513F"/>
    <w:rsid w:val="00A85289"/>
    <w:rsid w:val="00A85295"/>
    <w:rsid w:val="00A85301"/>
    <w:rsid w:val="00A85396"/>
    <w:rsid w:val="00A853A0"/>
    <w:rsid w:val="00A853C5"/>
    <w:rsid w:val="00A854E9"/>
    <w:rsid w:val="00A85517"/>
    <w:rsid w:val="00A8581D"/>
    <w:rsid w:val="00A859CA"/>
    <w:rsid w:val="00A85C1B"/>
    <w:rsid w:val="00A85C87"/>
    <w:rsid w:val="00A85D59"/>
    <w:rsid w:val="00A85EC1"/>
    <w:rsid w:val="00A85F33"/>
    <w:rsid w:val="00A85F38"/>
    <w:rsid w:val="00A85FB2"/>
    <w:rsid w:val="00A85FFC"/>
    <w:rsid w:val="00A86030"/>
    <w:rsid w:val="00A86068"/>
    <w:rsid w:val="00A8617F"/>
    <w:rsid w:val="00A86189"/>
    <w:rsid w:val="00A86418"/>
    <w:rsid w:val="00A8663C"/>
    <w:rsid w:val="00A8665B"/>
    <w:rsid w:val="00A8695E"/>
    <w:rsid w:val="00A86999"/>
    <w:rsid w:val="00A86B44"/>
    <w:rsid w:val="00A86B50"/>
    <w:rsid w:val="00A86C66"/>
    <w:rsid w:val="00A86CA1"/>
    <w:rsid w:val="00A86CD0"/>
    <w:rsid w:val="00A86DC1"/>
    <w:rsid w:val="00A86F72"/>
    <w:rsid w:val="00A86FA9"/>
    <w:rsid w:val="00A87001"/>
    <w:rsid w:val="00A87119"/>
    <w:rsid w:val="00A873DC"/>
    <w:rsid w:val="00A87477"/>
    <w:rsid w:val="00A876EE"/>
    <w:rsid w:val="00A87838"/>
    <w:rsid w:val="00A87841"/>
    <w:rsid w:val="00A878B7"/>
    <w:rsid w:val="00A878BB"/>
    <w:rsid w:val="00A879BA"/>
    <w:rsid w:val="00A87A02"/>
    <w:rsid w:val="00A87ACF"/>
    <w:rsid w:val="00A87C0F"/>
    <w:rsid w:val="00A87CCB"/>
    <w:rsid w:val="00A87D3F"/>
    <w:rsid w:val="00A88493"/>
    <w:rsid w:val="00A9006C"/>
    <w:rsid w:val="00A900D3"/>
    <w:rsid w:val="00A901E0"/>
    <w:rsid w:val="00A90235"/>
    <w:rsid w:val="00A902BA"/>
    <w:rsid w:val="00A902D5"/>
    <w:rsid w:val="00A90338"/>
    <w:rsid w:val="00A904E3"/>
    <w:rsid w:val="00A90513"/>
    <w:rsid w:val="00A90526"/>
    <w:rsid w:val="00A90622"/>
    <w:rsid w:val="00A907E0"/>
    <w:rsid w:val="00A90807"/>
    <w:rsid w:val="00A908D4"/>
    <w:rsid w:val="00A90AB2"/>
    <w:rsid w:val="00A90AC6"/>
    <w:rsid w:val="00A90BC5"/>
    <w:rsid w:val="00A90C9A"/>
    <w:rsid w:val="00A90D0D"/>
    <w:rsid w:val="00A90DAF"/>
    <w:rsid w:val="00A90DFC"/>
    <w:rsid w:val="00A90EE9"/>
    <w:rsid w:val="00A91157"/>
    <w:rsid w:val="00A91288"/>
    <w:rsid w:val="00A91363"/>
    <w:rsid w:val="00A91544"/>
    <w:rsid w:val="00A9171C"/>
    <w:rsid w:val="00A9173D"/>
    <w:rsid w:val="00A9174F"/>
    <w:rsid w:val="00A918AE"/>
    <w:rsid w:val="00A9199E"/>
    <w:rsid w:val="00A91B39"/>
    <w:rsid w:val="00A91C02"/>
    <w:rsid w:val="00A91C43"/>
    <w:rsid w:val="00A91C83"/>
    <w:rsid w:val="00A91C8B"/>
    <w:rsid w:val="00A91CA1"/>
    <w:rsid w:val="00A91CB6"/>
    <w:rsid w:val="00A91DD5"/>
    <w:rsid w:val="00A91DF8"/>
    <w:rsid w:val="00A91F4F"/>
    <w:rsid w:val="00A92157"/>
    <w:rsid w:val="00A92202"/>
    <w:rsid w:val="00A92278"/>
    <w:rsid w:val="00A92543"/>
    <w:rsid w:val="00A9257A"/>
    <w:rsid w:val="00A92691"/>
    <w:rsid w:val="00A926D9"/>
    <w:rsid w:val="00A92781"/>
    <w:rsid w:val="00A928F5"/>
    <w:rsid w:val="00A92902"/>
    <w:rsid w:val="00A92A30"/>
    <w:rsid w:val="00A92ABB"/>
    <w:rsid w:val="00A92D61"/>
    <w:rsid w:val="00A92DE1"/>
    <w:rsid w:val="00A92F7A"/>
    <w:rsid w:val="00A93185"/>
    <w:rsid w:val="00A931CC"/>
    <w:rsid w:val="00A932CF"/>
    <w:rsid w:val="00A93567"/>
    <w:rsid w:val="00A93614"/>
    <w:rsid w:val="00A9369A"/>
    <w:rsid w:val="00A93702"/>
    <w:rsid w:val="00A9374F"/>
    <w:rsid w:val="00A937E2"/>
    <w:rsid w:val="00A938BA"/>
    <w:rsid w:val="00A938F2"/>
    <w:rsid w:val="00A9393C"/>
    <w:rsid w:val="00A93A60"/>
    <w:rsid w:val="00A93B37"/>
    <w:rsid w:val="00A93D02"/>
    <w:rsid w:val="00A93D79"/>
    <w:rsid w:val="00A93E8E"/>
    <w:rsid w:val="00A94040"/>
    <w:rsid w:val="00A94123"/>
    <w:rsid w:val="00A94183"/>
    <w:rsid w:val="00A94184"/>
    <w:rsid w:val="00A94190"/>
    <w:rsid w:val="00A941D3"/>
    <w:rsid w:val="00A94359"/>
    <w:rsid w:val="00A943BD"/>
    <w:rsid w:val="00A9441E"/>
    <w:rsid w:val="00A94448"/>
    <w:rsid w:val="00A944F2"/>
    <w:rsid w:val="00A94673"/>
    <w:rsid w:val="00A946B9"/>
    <w:rsid w:val="00A9481C"/>
    <w:rsid w:val="00A9488C"/>
    <w:rsid w:val="00A948F0"/>
    <w:rsid w:val="00A948FF"/>
    <w:rsid w:val="00A949E9"/>
    <w:rsid w:val="00A94AAA"/>
    <w:rsid w:val="00A94B11"/>
    <w:rsid w:val="00A94BEA"/>
    <w:rsid w:val="00A94C4D"/>
    <w:rsid w:val="00A94D9B"/>
    <w:rsid w:val="00A95423"/>
    <w:rsid w:val="00A95435"/>
    <w:rsid w:val="00A95633"/>
    <w:rsid w:val="00A95764"/>
    <w:rsid w:val="00A9587A"/>
    <w:rsid w:val="00A95882"/>
    <w:rsid w:val="00A9589F"/>
    <w:rsid w:val="00A958E9"/>
    <w:rsid w:val="00A95B6A"/>
    <w:rsid w:val="00A95B80"/>
    <w:rsid w:val="00A95BBA"/>
    <w:rsid w:val="00A95C77"/>
    <w:rsid w:val="00A95C7F"/>
    <w:rsid w:val="00A95C86"/>
    <w:rsid w:val="00A95D2F"/>
    <w:rsid w:val="00A95D32"/>
    <w:rsid w:val="00A95D48"/>
    <w:rsid w:val="00A95D51"/>
    <w:rsid w:val="00A95E12"/>
    <w:rsid w:val="00A95F57"/>
    <w:rsid w:val="00A96156"/>
    <w:rsid w:val="00A962EE"/>
    <w:rsid w:val="00A96506"/>
    <w:rsid w:val="00A9674B"/>
    <w:rsid w:val="00A96798"/>
    <w:rsid w:val="00A9683F"/>
    <w:rsid w:val="00A96872"/>
    <w:rsid w:val="00A968DB"/>
    <w:rsid w:val="00A96962"/>
    <w:rsid w:val="00A969EC"/>
    <w:rsid w:val="00A969F9"/>
    <w:rsid w:val="00A96A02"/>
    <w:rsid w:val="00A96A56"/>
    <w:rsid w:val="00A96A79"/>
    <w:rsid w:val="00A96B53"/>
    <w:rsid w:val="00A96CAF"/>
    <w:rsid w:val="00A96CD5"/>
    <w:rsid w:val="00A96E54"/>
    <w:rsid w:val="00A96EB9"/>
    <w:rsid w:val="00A96EE4"/>
    <w:rsid w:val="00A96F36"/>
    <w:rsid w:val="00A96F43"/>
    <w:rsid w:val="00A970D8"/>
    <w:rsid w:val="00A971BC"/>
    <w:rsid w:val="00A9721A"/>
    <w:rsid w:val="00A97346"/>
    <w:rsid w:val="00A97554"/>
    <w:rsid w:val="00A978BD"/>
    <w:rsid w:val="00A979DC"/>
    <w:rsid w:val="00A97C92"/>
    <w:rsid w:val="00A97D02"/>
    <w:rsid w:val="00A97D4F"/>
    <w:rsid w:val="00A97E78"/>
    <w:rsid w:val="00A97ED9"/>
    <w:rsid w:val="00A97F80"/>
    <w:rsid w:val="00A9A3CB"/>
    <w:rsid w:val="00A9BB81"/>
    <w:rsid w:val="00AA0182"/>
    <w:rsid w:val="00AA01EA"/>
    <w:rsid w:val="00AA02A6"/>
    <w:rsid w:val="00AA0521"/>
    <w:rsid w:val="00AA0783"/>
    <w:rsid w:val="00AA07E2"/>
    <w:rsid w:val="00AA090F"/>
    <w:rsid w:val="00AA0AD3"/>
    <w:rsid w:val="00AA0CA2"/>
    <w:rsid w:val="00AA0E2A"/>
    <w:rsid w:val="00AA1146"/>
    <w:rsid w:val="00AA1152"/>
    <w:rsid w:val="00AA134A"/>
    <w:rsid w:val="00AA138B"/>
    <w:rsid w:val="00AA13CF"/>
    <w:rsid w:val="00AA14B7"/>
    <w:rsid w:val="00AA153E"/>
    <w:rsid w:val="00AA15CC"/>
    <w:rsid w:val="00AA168F"/>
    <w:rsid w:val="00AA16FD"/>
    <w:rsid w:val="00AA173B"/>
    <w:rsid w:val="00AA1776"/>
    <w:rsid w:val="00AA17B8"/>
    <w:rsid w:val="00AA17FF"/>
    <w:rsid w:val="00AA189F"/>
    <w:rsid w:val="00AA18D2"/>
    <w:rsid w:val="00AA18EA"/>
    <w:rsid w:val="00AA19F6"/>
    <w:rsid w:val="00AA1A1A"/>
    <w:rsid w:val="00AA1B6B"/>
    <w:rsid w:val="00AA1B98"/>
    <w:rsid w:val="00AA1BBB"/>
    <w:rsid w:val="00AA1D10"/>
    <w:rsid w:val="00AA1E96"/>
    <w:rsid w:val="00AA1EB4"/>
    <w:rsid w:val="00AA202A"/>
    <w:rsid w:val="00AA20B6"/>
    <w:rsid w:val="00AA2116"/>
    <w:rsid w:val="00AA22C9"/>
    <w:rsid w:val="00AA23F9"/>
    <w:rsid w:val="00AA2516"/>
    <w:rsid w:val="00AA2529"/>
    <w:rsid w:val="00AA2547"/>
    <w:rsid w:val="00AA256F"/>
    <w:rsid w:val="00AA2758"/>
    <w:rsid w:val="00AA2C43"/>
    <w:rsid w:val="00AA2CD1"/>
    <w:rsid w:val="00AA2EB6"/>
    <w:rsid w:val="00AA2F22"/>
    <w:rsid w:val="00AA3042"/>
    <w:rsid w:val="00AA309B"/>
    <w:rsid w:val="00AA30B5"/>
    <w:rsid w:val="00AA317C"/>
    <w:rsid w:val="00AA327E"/>
    <w:rsid w:val="00AA33CE"/>
    <w:rsid w:val="00AA3504"/>
    <w:rsid w:val="00AA3544"/>
    <w:rsid w:val="00AA36BA"/>
    <w:rsid w:val="00AA385D"/>
    <w:rsid w:val="00AA3DCC"/>
    <w:rsid w:val="00AA3EEC"/>
    <w:rsid w:val="00AA3F4A"/>
    <w:rsid w:val="00AA435E"/>
    <w:rsid w:val="00AA4484"/>
    <w:rsid w:val="00AA462B"/>
    <w:rsid w:val="00AA4663"/>
    <w:rsid w:val="00AA46BB"/>
    <w:rsid w:val="00AA486E"/>
    <w:rsid w:val="00AA4B82"/>
    <w:rsid w:val="00AA4BC4"/>
    <w:rsid w:val="00AA4BCD"/>
    <w:rsid w:val="00AA4C90"/>
    <w:rsid w:val="00AA4DE7"/>
    <w:rsid w:val="00AA4E0E"/>
    <w:rsid w:val="00AA51F0"/>
    <w:rsid w:val="00AA51FF"/>
    <w:rsid w:val="00AA52FB"/>
    <w:rsid w:val="00AA53AD"/>
    <w:rsid w:val="00AA53BF"/>
    <w:rsid w:val="00AA5518"/>
    <w:rsid w:val="00AA5612"/>
    <w:rsid w:val="00AA5646"/>
    <w:rsid w:val="00AA56C5"/>
    <w:rsid w:val="00AA574E"/>
    <w:rsid w:val="00AA581D"/>
    <w:rsid w:val="00AA5D3F"/>
    <w:rsid w:val="00AA5DC3"/>
    <w:rsid w:val="00AA5E21"/>
    <w:rsid w:val="00AA5FA2"/>
    <w:rsid w:val="00AA6016"/>
    <w:rsid w:val="00AA6174"/>
    <w:rsid w:val="00AA61CE"/>
    <w:rsid w:val="00AA6230"/>
    <w:rsid w:val="00AA6289"/>
    <w:rsid w:val="00AA6799"/>
    <w:rsid w:val="00AA681C"/>
    <w:rsid w:val="00AA6859"/>
    <w:rsid w:val="00AA68CB"/>
    <w:rsid w:val="00AA69C0"/>
    <w:rsid w:val="00AA6A0D"/>
    <w:rsid w:val="00AA6AC6"/>
    <w:rsid w:val="00AA6AF2"/>
    <w:rsid w:val="00AA6BF3"/>
    <w:rsid w:val="00AA6C9D"/>
    <w:rsid w:val="00AA6E8E"/>
    <w:rsid w:val="00AA6E91"/>
    <w:rsid w:val="00AA701D"/>
    <w:rsid w:val="00AA7024"/>
    <w:rsid w:val="00AA7057"/>
    <w:rsid w:val="00AA70DF"/>
    <w:rsid w:val="00AA7260"/>
    <w:rsid w:val="00AA72A0"/>
    <w:rsid w:val="00AA72AF"/>
    <w:rsid w:val="00AA7323"/>
    <w:rsid w:val="00AA73DD"/>
    <w:rsid w:val="00AA73FA"/>
    <w:rsid w:val="00AA74AC"/>
    <w:rsid w:val="00AA768B"/>
    <w:rsid w:val="00AA76D3"/>
    <w:rsid w:val="00AA7701"/>
    <w:rsid w:val="00AA79BC"/>
    <w:rsid w:val="00AA7B35"/>
    <w:rsid w:val="00AA7B7D"/>
    <w:rsid w:val="00AA7BE5"/>
    <w:rsid w:val="00AA7C5E"/>
    <w:rsid w:val="00AA7C9E"/>
    <w:rsid w:val="00AA7CF1"/>
    <w:rsid w:val="00AA7D71"/>
    <w:rsid w:val="00AA7DBC"/>
    <w:rsid w:val="00AA7ECD"/>
    <w:rsid w:val="00AB016A"/>
    <w:rsid w:val="00AB0385"/>
    <w:rsid w:val="00AB0504"/>
    <w:rsid w:val="00AB05CF"/>
    <w:rsid w:val="00AB061A"/>
    <w:rsid w:val="00AB0786"/>
    <w:rsid w:val="00AB0824"/>
    <w:rsid w:val="00AB0A7C"/>
    <w:rsid w:val="00AB0BD8"/>
    <w:rsid w:val="00AB0C1A"/>
    <w:rsid w:val="00AB1087"/>
    <w:rsid w:val="00AB1204"/>
    <w:rsid w:val="00AB133A"/>
    <w:rsid w:val="00AB140F"/>
    <w:rsid w:val="00AB1429"/>
    <w:rsid w:val="00AB159C"/>
    <w:rsid w:val="00AB15E3"/>
    <w:rsid w:val="00AB1608"/>
    <w:rsid w:val="00AB16CD"/>
    <w:rsid w:val="00AB175C"/>
    <w:rsid w:val="00AB1868"/>
    <w:rsid w:val="00AB18B5"/>
    <w:rsid w:val="00AB1C46"/>
    <w:rsid w:val="00AB1EDD"/>
    <w:rsid w:val="00AB1F53"/>
    <w:rsid w:val="00AB1FDE"/>
    <w:rsid w:val="00AB201A"/>
    <w:rsid w:val="00AB2031"/>
    <w:rsid w:val="00AB2083"/>
    <w:rsid w:val="00AB2276"/>
    <w:rsid w:val="00AB249C"/>
    <w:rsid w:val="00AB279C"/>
    <w:rsid w:val="00AB28DC"/>
    <w:rsid w:val="00AB2937"/>
    <w:rsid w:val="00AB29A9"/>
    <w:rsid w:val="00AB2B18"/>
    <w:rsid w:val="00AB2B1E"/>
    <w:rsid w:val="00AB2BA2"/>
    <w:rsid w:val="00AB2BEF"/>
    <w:rsid w:val="00AB2C7E"/>
    <w:rsid w:val="00AB2C9E"/>
    <w:rsid w:val="00AB2EB5"/>
    <w:rsid w:val="00AB2F8D"/>
    <w:rsid w:val="00AB2FB9"/>
    <w:rsid w:val="00AB3288"/>
    <w:rsid w:val="00AB32C5"/>
    <w:rsid w:val="00AB33D1"/>
    <w:rsid w:val="00AB353D"/>
    <w:rsid w:val="00AB35AA"/>
    <w:rsid w:val="00AB36FF"/>
    <w:rsid w:val="00AB3925"/>
    <w:rsid w:val="00AB397F"/>
    <w:rsid w:val="00AB39B1"/>
    <w:rsid w:val="00AB3D75"/>
    <w:rsid w:val="00AB3D77"/>
    <w:rsid w:val="00AB4083"/>
    <w:rsid w:val="00AB4106"/>
    <w:rsid w:val="00AB4279"/>
    <w:rsid w:val="00AB430C"/>
    <w:rsid w:val="00AB431A"/>
    <w:rsid w:val="00AB4428"/>
    <w:rsid w:val="00AB448F"/>
    <w:rsid w:val="00AB4537"/>
    <w:rsid w:val="00AB45D7"/>
    <w:rsid w:val="00AB48D7"/>
    <w:rsid w:val="00AB49A6"/>
    <w:rsid w:val="00AB4A5F"/>
    <w:rsid w:val="00AB4BBA"/>
    <w:rsid w:val="00AB4C16"/>
    <w:rsid w:val="00AB4CDC"/>
    <w:rsid w:val="00AB4D8A"/>
    <w:rsid w:val="00AB4DB5"/>
    <w:rsid w:val="00AB4F4C"/>
    <w:rsid w:val="00AB507D"/>
    <w:rsid w:val="00AB50D4"/>
    <w:rsid w:val="00AB51DE"/>
    <w:rsid w:val="00AB535D"/>
    <w:rsid w:val="00AB538C"/>
    <w:rsid w:val="00AB54F1"/>
    <w:rsid w:val="00AB5522"/>
    <w:rsid w:val="00AB5715"/>
    <w:rsid w:val="00AB5790"/>
    <w:rsid w:val="00AB5842"/>
    <w:rsid w:val="00AB58D1"/>
    <w:rsid w:val="00AB59A6"/>
    <w:rsid w:val="00AB59DE"/>
    <w:rsid w:val="00AB59ED"/>
    <w:rsid w:val="00AB5A43"/>
    <w:rsid w:val="00AB5B65"/>
    <w:rsid w:val="00AB5C6D"/>
    <w:rsid w:val="00AB5D50"/>
    <w:rsid w:val="00AB5E37"/>
    <w:rsid w:val="00AB5F8D"/>
    <w:rsid w:val="00AB6137"/>
    <w:rsid w:val="00AB61E3"/>
    <w:rsid w:val="00AB6538"/>
    <w:rsid w:val="00AB6646"/>
    <w:rsid w:val="00AB6681"/>
    <w:rsid w:val="00AB69FA"/>
    <w:rsid w:val="00AB6B73"/>
    <w:rsid w:val="00AB6BDC"/>
    <w:rsid w:val="00AB6C90"/>
    <w:rsid w:val="00AB6EA1"/>
    <w:rsid w:val="00AB6F03"/>
    <w:rsid w:val="00AB6F7C"/>
    <w:rsid w:val="00AB7190"/>
    <w:rsid w:val="00AB72EB"/>
    <w:rsid w:val="00AB7325"/>
    <w:rsid w:val="00AB732B"/>
    <w:rsid w:val="00AB74A7"/>
    <w:rsid w:val="00AB74FB"/>
    <w:rsid w:val="00AB7880"/>
    <w:rsid w:val="00AB7904"/>
    <w:rsid w:val="00AB796C"/>
    <w:rsid w:val="00AB7994"/>
    <w:rsid w:val="00AB7A57"/>
    <w:rsid w:val="00AB7D85"/>
    <w:rsid w:val="00AB7E7A"/>
    <w:rsid w:val="00AB7EED"/>
    <w:rsid w:val="00AB7F93"/>
    <w:rsid w:val="00ABDE34"/>
    <w:rsid w:val="00AC000B"/>
    <w:rsid w:val="00AC0087"/>
    <w:rsid w:val="00AC00E3"/>
    <w:rsid w:val="00AC01BB"/>
    <w:rsid w:val="00AC0392"/>
    <w:rsid w:val="00AC0394"/>
    <w:rsid w:val="00AC061A"/>
    <w:rsid w:val="00AC066C"/>
    <w:rsid w:val="00AC0809"/>
    <w:rsid w:val="00AC08AF"/>
    <w:rsid w:val="00AC09FD"/>
    <w:rsid w:val="00AC0C7A"/>
    <w:rsid w:val="00AC0D3F"/>
    <w:rsid w:val="00AC0ECD"/>
    <w:rsid w:val="00AC105D"/>
    <w:rsid w:val="00AC105E"/>
    <w:rsid w:val="00AC118B"/>
    <w:rsid w:val="00AC126C"/>
    <w:rsid w:val="00AC129E"/>
    <w:rsid w:val="00AC12F7"/>
    <w:rsid w:val="00AC16F0"/>
    <w:rsid w:val="00AC170C"/>
    <w:rsid w:val="00AC19B1"/>
    <w:rsid w:val="00AC1ADC"/>
    <w:rsid w:val="00AC1B2A"/>
    <w:rsid w:val="00AC1C90"/>
    <w:rsid w:val="00AC1CBB"/>
    <w:rsid w:val="00AC1D29"/>
    <w:rsid w:val="00AC1DFE"/>
    <w:rsid w:val="00AC1E46"/>
    <w:rsid w:val="00AC1EDC"/>
    <w:rsid w:val="00AC1FEF"/>
    <w:rsid w:val="00AC2051"/>
    <w:rsid w:val="00AC20B1"/>
    <w:rsid w:val="00AC22C0"/>
    <w:rsid w:val="00AC23D9"/>
    <w:rsid w:val="00AC23FD"/>
    <w:rsid w:val="00AC2457"/>
    <w:rsid w:val="00AC24E3"/>
    <w:rsid w:val="00AC25A1"/>
    <w:rsid w:val="00AC2646"/>
    <w:rsid w:val="00AC26BF"/>
    <w:rsid w:val="00AC27BB"/>
    <w:rsid w:val="00AC280E"/>
    <w:rsid w:val="00AC2887"/>
    <w:rsid w:val="00AC2AB1"/>
    <w:rsid w:val="00AC2BB7"/>
    <w:rsid w:val="00AC2C1A"/>
    <w:rsid w:val="00AC2C87"/>
    <w:rsid w:val="00AC2CEF"/>
    <w:rsid w:val="00AC2D19"/>
    <w:rsid w:val="00AC2D38"/>
    <w:rsid w:val="00AC2D39"/>
    <w:rsid w:val="00AC2D49"/>
    <w:rsid w:val="00AC2E58"/>
    <w:rsid w:val="00AC2E79"/>
    <w:rsid w:val="00AC2EB2"/>
    <w:rsid w:val="00AC2FFC"/>
    <w:rsid w:val="00AC3185"/>
    <w:rsid w:val="00AC3209"/>
    <w:rsid w:val="00AC33ED"/>
    <w:rsid w:val="00AC34A4"/>
    <w:rsid w:val="00AC3532"/>
    <w:rsid w:val="00AC36E5"/>
    <w:rsid w:val="00AC3727"/>
    <w:rsid w:val="00AC3956"/>
    <w:rsid w:val="00AC39B8"/>
    <w:rsid w:val="00AC3B9D"/>
    <w:rsid w:val="00AC3D6A"/>
    <w:rsid w:val="00AC3D8B"/>
    <w:rsid w:val="00AC3DF2"/>
    <w:rsid w:val="00AC3E14"/>
    <w:rsid w:val="00AC3E56"/>
    <w:rsid w:val="00AC3F95"/>
    <w:rsid w:val="00AC4055"/>
    <w:rsid w:val="00AC4082"/>
    <w:rsid w:val="00AC4218"/>
    <w:rsid w:val="00AC4290"/>
    <w:rsid w:val="00AC465D"/>
    <w:rsid w:val="00AC48F6"/>
    <w:rsid w:val="00AC4E67"/>
    <w:rsid w:val="00AC4F1F"/>
    <w:rsid w:val="00AC4FDF"/>
    <w:rsid w:val="00AC5083"/>
    <w:rsid w:val="00AC5110"/>
    <w:rsid w:val="00AC5231"/>
    <w:rsid w:val="00AC524A"/>
    <w:rsid w:val="00AC5437"/>
    <w:rsid w:val="00AC5471"/>
    <w:rsid w:val="00AC5951"/>
    <w:rsid w:val="00AC59E5"/>
    <w:rsid w:val="00AC5B07"/>
    <w:rsid w:val="00AC5CE7"/>
    <w:rsid w:val="00AC5CF0"/>
    <w:rsid w:val="00AC5E03"/>
    <w:rsid w:val="00AC5ED6"/>
    <w:rsid w:val="00AC5F26"/>
    <w:rsid w:val="00AC5F61"/>
    <w:rsid w:val="00AC60B2"/>
    <w:rsid w:val="00AC61CD"/>
    <w:rsid w:val="00AC6669"/>
    <w:rsid w:val="00AC6673"/>
    <w:rsid w:val="00AC677E"/>
    <w:rsid w:val="00AC6955"/>
    <w:rsid w:val="00AC6997"/>
    <w:rsid w:val="00AC6A93"/>
    <w:rsid w:val="00AC6AB8"/>
    <w:rsid w:val="00AC6BAF"/>
    <w:rsid w:val="00AC6BCB"/>
    <w:rsid w:val="00AC6C8D"/>
    <w:rsid w:val="00AC6D1F"/>
    <w:rsid w:val="00AC6E12"/>
    <w:rsid w:val="00AC6E52"/>
    <w:rsid w:val="00AC7068"/>
    <w:rsid w:val="00AC7101"/>
    <w:rsid w:val="00AC725E"/>
    <w:rsid w:val="00AC728E"/>
    <w:rsid w:val="00AC734C"/>
    <w:rsid w:val="00AC7379"/>
    <w:rsid w:val="00AC74A0"/>
    <w:rsid w:val="00AC74BE"/>
    <w:rsid w:val="00AC7515"/>
    <w:rsid w:val="00AC7636"/>
    <w:rsid w:val="00AC7738"/>
    <w:rsid w:val="00AC7866"/>
    <w:rsid w:val="00AC7D52"/>
    <w:rsid w:val="00AC7E14"/>
    <w:rsid w:val="00AC7EA3"/>
    <w:rsid w:val="00ACFBB2"/>
    <w:rsid w:val="00AD003D"/>
    <w:rsid w:val="00AD0061"/>
    <w:rsid w:val="00AD0205"/>
    <w:rsid w:val="00AD0261"/>
    <w:rsid w:val="00AD028B"/>
    <w:rsid w:val="00AD0297"/>
    <w:rsid w:val="00AD0300"/>
    <w:rsid w:val="00AD0322"/>
    <w:rsid w:val="00AD03C8"/>
    <w:rsid w:val="00AD0495"/>
    <w:rsid w:val="00AD052D"/>
    <w:rsid w:val="00AD0657"/>
    <w:rsid w:val="00AD0751"/>
    <w:rsid w:val="00AD0834"/>
    <w:rsid w:val="00AD08DD"/>
    <w:rsid w:val="00AD094A"/>
    <w:rsid w:val="00AD09DB"/>
    <w:rsid w:val="00AD0BAC"/>
    <w:rsid w:val="00AD0BC4"/>
    <w:rsid w:val="00AD0C0D"/>
    <w:rsid w:val="00AD0D2D"/>
    <w:rsid w:val="00AD0DB6"/>
    <w:rsid w:val="00AD0DE2"/>
    <w:rsid w:val="00AD0E3C"/>
    <w:rsid w:val="00AD0ECB"/>
    <w:rsid w:val="00AD0F58"/>
    <w:rsid w:val="00AD123E"/>
    <w:rsid w:val="00AD168E"/>
    <w:rsid w:val="00AD1954"/>
    <w:rsid w:val="00AD1995"/>
    <w:rsid w:val="00AD19A1"/>
    <w:rsid w:val="00AD1A7B"/>
    <w:rsid w:val="00AD1ACE"/>
    <w:rsid w:val="00AD1B7A"/>
    <w:rsid w:val="00AD1BE0"/>
    <w:rsid w:val="00AD1C40"/>
    <w:rsid w:val="00AD1C98"/>
    <w:rsid w:val="00AD1DE8"/>
    <w:rsid w:val="00AD202E"/>
    <w:rsid w:val="00AD20AA"/>
    <w:rsid w:val="00AD2799"/>
    <w:rsid w:val="00AD28A9"/>
    <w:rsid w:val="00AD2979"/>
    <w:rsid w:val="00AD2BDE"/>
    <w:rsid w:val="00AD2C09"/>
    <w:rsid w:val="00AD2DA5"/>
    <w:rsid w:val="00AD2F5D"/>
    <w:rsid w:val="00AD30BE"/>
    <w:rsid w:val="00AD30F3"/>
    <w:rsid w:val="00AD3112"/>
    <w:rsid w:val="00AD31D8"/>
    <w:rsid w:val="00AD320B"/>
    <w:rsid w:val="00AD32BD"/>
    <w:rsid w:val="00AD3528"/>
    <w:rsid w:val="00AD35A5"/>
    <w:rsid w:val="00AD35DD"/>
    <w:rsid w:val="00AD3661"/>
    <w:rsid w:val="00AD3717"/>
    <w:rsid w:val="00AD372B"/>
    <w:rsid w:val="00AD3757"/>
    <w:rsid w:val="00AD37C5"/>
    <w:rsid w:val="00AD3862"/>
    <w:rsid w:val="00AD38D9"/>
    <w:rsid w:val="00AD3ADA"/>
    <w:rsid w:val="00AD3B01"/>
    <w:rsid w:val="00AD3BCE"/>
    <w:rsid w:val="00AD3F1E"/>
    <w:rsid w:val="00AD4123"/>
    <w:rsid w:val="00AD4180"/>
    <w:rsid w:val="00AD4198"/>
    <w:rsid w:val="00AD443D"/>
    <w:rsid w:val="00AD4697"/>
    <w:rsid w:val="00AD46DE"/>
    <w:rsid w:val="00AD477B"/>
    <w:rsid w:val="00AD49AC"/>
    <w:rsid w:val="00AD4ACC"/>
    <w:rsid w:val="00AD4C10"/>
    <w:rsid w:val="00AD4DC0"/>
    <w:rsid w:val="00AD4E22"/>
    <w:rsid w:val="00AD4F1F"/>
    <w:rsid w:val="00AD4F4D"/>
    <w:rsid w:val="00AD4FD5"/>
    <w:rsid w:val="00AD5088"/>
    <w:rsid w:val="00AD5249"/>
    <w:rsid w:val="00AD5468"/>
    <w:rsid w:val="00AD5525"/>
    <w:rsid w:val="00AD5712"/>
    <w:rsid w:val="00AD579C"/>
    <w:rsid w:val="00AD5831"/>
    <w:rsid w:val="00AD59C2"/>
    <w:rsid w:val="00AD5B17"/>
    <w:rsid w:val="00AD5BA9"/>
    <w:rsid w:val="00AD5C22"/>
    <w:rsid w:val="00AD5CA8"/>
    <w:rsid w:val="00AD5E2D"/>
    <w:rsid w:val="00AD6043"/>
    <w:rsid w:val="00AD62B4"/>
    <w:rsid w:val="00AD62BC"/>
    <w:rsid w:val="00AD636A"/>
    <w:rsid w:val="00AD643F"/>
    <w:rsid w:val="00AD6826"/>
    <w:rsid w:val="00AD682A"/>
    <w:rsid w:val="00AD685D"/>
    <w:rsid w:val="00AD686E"/>
    <w:rsid w:val="00AD698F"/>
    <w:rsid w:val="00AD6A29"/>
    <w:rsid w:val="00AD6A57"/>
    <w:rsid w:val="00AD6B1C"/>
    <w:rsid w:val="00AD6B9D"/>
    <w:rsid w:val="00AD6CAE"/>
    <w:rsid w:val="00AD6DF8"/>
    <w:rsid w:val="00AD6E33"/>
    <w:rsid w:val="00AD6E4F"/>
    <w:rsid w:val="00AD6EC6"/>
    <w:rsid w:val="00AD6F38"/>
    <w:rsid w:val="00AD71B4"/>
    <w:rsid w:val="00AD7350"/>
    <w:rsid w:val="00AD74E4"/>
    <w:rsid w:val="00AD75EF"/>
    <w:rsid w:val="00AD76C0"/>
    <w:rsid w:val="00AD77E1"/>
    <w:rsid w:val="00AD78AF"/>
    <w:rsid w:val="00AD7979"/>
    <w:rsid w:val="00AD7993"/>
    <w:rsid w:val="00AD7AE0"/>
    <w:rsid w:val="00AD7B3E"/>
    <w:rsid w:val="00AD7C0E"/>
    <w:rsid w:val="00AD7C57"/>
    <w:rsid w:val="00AD7E01"/>
    <w:rsid w:val="00AD7E5D"/>
    <w:rsid w:val="00AD7E6B"/>
    <w:rsid w:val="00AD7FBA"/>
    <w:rsid w:val="00AD9A09"/>
    <w:rsid w:val="00ADA234"/>
    <w:rsid w:val="00ADA8B3"/>
    <w:rsid w:val="00ADEDCF"/>
    <w:rsid w:val="00AE0057"/>
    <w:rsid w:val="00AE0258"/>
    <w:rsid w:val="00AE0273"/>
    <w:rsid w:val="00AE02F7"/>
    <w:rsid w:val="00AE041E"/>
    <w:rsid w:val="00AE0553"/>
    <w:rsid w:val="00AE0588"/>
    <w:rsid w:val="00AE089B"/>
    <w:rsid w:val="00AE08BE"/>
    <w:rsid w:val="00AE091B"/>
    <w:rsid w:val="00AE0AE3"/>
    <w:rsid w:val="00AE0E0C"/>
    <w:rsid w:val="00AE0E2B"/>
    <w:rsid w:val="00AE107F"/>
    <w:rsid w:val="00AE10D2"/>
    <w:rsid w:val="00AE1307"/>
    <w:rsid w:val="00AE1561"/>
    <w:rsid w:val="00AE15EB"/>
    <w:rsid w:val="00AE1757"/>
    <w:rsid w:val="00AE18E4"/>
    <w:rsid w:val="00AE1927"/>
    <w:rsid w:val="00AE1959"/>
    <w:rsid w:val="00AE1A25"/>
    <w:rsid w:val="00AE1BA5"/>
    <w:rsid w:val="00AE1E01"/>
    <w:rsid w:val="00AE1EF6"/>
    <w:rsid w:val="00AE1FCC"/>
    <w:rsid w:val="00AE20D5"/>
    <w:rsid w:val="00AE2158"/>
    <w:rsid w:val="00AE2236"/>
    <w:rsid w:val="00AE225C"/>
    <w:rsid w:val="00AE22BB"/>
    <w:rsid w:val="00AE22BE"/>
    <w:rsid w:val="00AE22CA"/>
    <w:rsid w:val="00AE2349"/>
    <w:rsid w:val="00AE244A"/>
    <w:rsid w:val="00AE2721"/>
    <w:rsid w:val="00AE28DD"/>
    <w:rsid w:val="00AE2A62"/>
    <w:rsid w:val="00AE2C70"/>
    <w:rsid w:val="00AE2D36"/>
    <w:rsid w:val="00AE2D5F"/>
    <w:rsid w:val="00AE2E6C"/>
    <w:rsid w:val="00AE309A"/>
    <w:rsid w:val="00AE3108"/>
    <w:rsid w:val="00AE3268"/>
    <w:rsid w:val="00AE34F3"/>
    <w:rsid w:val="00AE358E"/>
    <w:rsid w:val="00AE36CC"/>
    <w:rsid w:val="00AE37CA"/>
    <w:rsid w:val="00AE37ED"/>
    <w:rsid w:val="00AE380A"/>
    <w:rsid w:val="00AE387E"/>
    <w:rsid w:val="00AE3B8F"/>
    <w:rsid w:val="00AE3BA3"/>
    <w:rsid w:val="00AE3C5C"/>
    <w:rsid w:val="00AE3C5F"/>
    <w:rsid w:val="00AE3CA9"/>
    <w:rsid w:val="00AE3CBB"/>
    <w:rsid w:val="00AE3DE9"/>
    <w:rsid w:val="00AE3E59"/>
    <w:rsid w:val="00AE3EF2"/>
    <w:rsid w:val="00AE3F46"/>
    <w:rsid w:val="00AE406D"/>
    <w:rsid w:val="00AE4079"/>
    <w:rsid w:val="00AE4133"/>
    <w:rsid w:val="00AE4269"/>
    <w:rsid w:val="00AE4316"/>
    <w:rsid w:val="00AE43BF"/>
    <w:rsid w:val="00AE43C8"/>
    <w:rsid w:val="00AE446D"/>
    <w:rsid w:val="00AE4471"/>
    <w:rsid w:val="00AE47AB"/>
    <w:rsid w:val="00AE47B9"/>
    <w:rsid w:val="00AE47E7"/>
    <w:rsid w:val="00AE4809"/>
    <w:rsid w:val="00AE4847"/>
    <w:rsid w:val="00AE492A"/>
    <w:rsid w:val="00AE49A8"/>
    <w:rsid w:val="00AE4A43"/>
    <w:rsid w:val="00AE4AF9"/>
    <w:rsid w:val="00AE4B32"/>
    <w:rsid w:val="00AE4C05"/>
    <w:rsid w:val="00AE4ED2"/>
    <w:rsid w:val="00AE4EE0"/>
    <w:rsid w:val="00AE505F"/>
    <w:rsid w:val="00AE507F"/>
    <w:rsid w:val="00AE50F1"/>
    <w:rsid w:val="00AE522E"/>
    <w:rsid w:val="00AE53DA"/>
    <w:rsid w:val="00AE566B"/>
    <w:rsid w:val="00AE5756"/>
    <w:rsid w:val="00AE5934"/>
    <w:rsid w:val="00AE59C3"/>
    <w:rsid w:val="00AE5AEB"/>
    <w:rsid w:val="00AE5B04"/>
    <w:rsid w:val="00AE5B08"/>
    <w:rsid w:val="00AE5B2A"/>
    <w:rsid w:val="00AE5E17"/>
    <w:rsid w:val="00AE5EB0"/>
    <w:rsid w:val="00AE5FF1"/>
    <w:rsid w:val="00AE64EB"/>
    <w:rsid w:val="00AE6522"/>
    <w:rsid w:val="00AE667A"/>
    <w:rsid w:val="00AE68BF"/>
    <w:rsid w:val="00AE6BF0"/>
    <w:rsid w:val="00AE6C04"/>
    <w:rsid w:val="00AE6C0B"/>
    <w:rsid w:val="00AE6C9A"/>
    <w:rsid w:val="00AE6F08"/>
    <w:rsid w:val="00AE6F25"/>
    <w:rsid w:val="00AE703E"/>
    <w:rsid w:val="00AE70F9"/>
    <w:rsid w:val="00AE7164"/>
    <w:rsid w:val="00AE7374"/>
    <w:rsid w:val="00AE73BF"/>
    <w:rsid w:val="00AE751B"/>
    <w:rsid w:val="00AE7650"/>
    <w:rsid w:val="00AE76CB"/>
    <w:rsid w:val="00AE7713"/>
    <w:rsid w:val="00AE7742"/>
    <w:rsid w:val="00AE77DB"/>
    <w:rsid w:val="00AE7885"/>
    <w:rsid w:val="00AE79D3"/>
    <w:rsid w:val="00AE7BEB"/>
    <w:rsid w:val="00AE7C9B"/>
    <w:rsid w:val="00AE7D2A"/>
    <w:rsid w:val="00AE7D3C"/>
    <w:rsid w:val="00AE7D46"/>
    <w:rsid w:val="00AE7F19"/>
    <w:rsid w:val="00AEF123"/>
    <w:rsid w:val="00AF001A"/>
    <w:rsid w:val="00AF0296"/>
    <w:rsid w:val="00AF037A"/>
    <w:rsid w:val="00AF03BD"/>
    <w:rsid w:val="00AF03D3"/>
    <w:rsid w:val="00AF04AB"/>
    <w:rsid w:val="00AF04B8"/>
    <w:rsid w:val="00AF0776"/>
    <w:rsid w:val="00AF08D3"/>
    <w:rsid w:val="00AF09C6"/>
    <w:rsid w:val="00AF0BAA"/>
    <w:rsid w:val="00AF0D3C"/>
    <w:rsid w:val="00AF0D9D"/>
    <w:rsid w:val="00AF0DD8"/>
    <w:rsid w:val="00AF0EB4"/>
    <w:rsid w:val="00AF0F33"/>
    <w:rsid w:val="00AF1075"/>
    <w:rsid w:val="00AF1286"/>
    <w:rsid w:val="00AF1559"/>
    <w:rsid w:val="00AF1585"/>
    <w:rsid w:val="00AF15F6"/>
    <w:rsid w:val="00AF16A4"/>
    <w:rsid w:val="00AF172C"/>
    <w:rsid w:val="00AF18F4"/>
    <w:rsid w:val="00AF1A21"/>
    <w:rsid w:val="00AF1B4E"/>
    <w:rsid w:val="00AF1F72"/>
    <w:rsid w:val="00AF1F98"/>
    <w:rsid w:val="00AF20C3"/>
    <w:rsid w:val="00AF20D2"/>
    <w:rsid w:val="00AF2330"/>
    <w:rsid w:val="00AF23A9"/>
    <w:rsid w:val="00AF249A"/>
    <w:rsid w:val="00AF2736"/>
    <w:rsid w:val="00AF275A"/>
    <w:rsid w:val="00AF2909"/>
    <w:rsid w:val="00AF291A"/>
    <w:rsid w:val="00AF29CB"/>
    <w:rsid w:val="00AF2AE0"/>
    <w:rsid w:val="00AF2AEF"/>
    <w:rsid w:val="00AF2B88"/>
    <w:rsid w:val="00AF2C10"/>
    <w:rsid w:val="00AF2C33"/>
    <w:rsid w:val="00AF2CB9"/>
    <w:rsid w:val="00AF2CC5"/>
    <w:rsid w:val="00AF2D2F"/>
    <w:rsid w:val="00AF3054"/>
    <w:rsid w:val="00AF30B8"/>
    <w:rsid w:val="00AF317A"/>
    <w:rsid w:val="00AF3365"/>
    <w:rsid w:val="00AF3383"/>
    <w:rsid w:val="00AF34A7"/>
    <w:rsid w:val="00AF34EE"/>
    <w:rsid w:val="00AF3847"/>
    <w:rsid w:val="00AF39BA"/>
    <w:rsid w:val="00AF3B45"/>
    <w:rsid w:val="00AF3C15"/>
    <w:rsid w:val="00AF3E05"/>
    <w:rsid w:val="00AF40A6"/>
    <w:rsid w:val="00AF4150"/>
    <w:rsid w:val="00AF41B6"/>
    <w:rsid w:val="00AF4231"/>
    <w:rsid w:val="00AF4623"/>
    <w:rsid w:val="00AF4630"/>
    <w:rsid w:val="00AF46A0"/>
    <w:rsid w:val="00AF46F7"/>
    <w:rsid w:val="00AF4726"/>
    <w:rsid w:val="00AF4880"/>
    <w:rsid w:val="00AF4B44"/>
    <w:rsid w:val="00AF4BB5"/>
    <w:rsid w:val="00AF4CA1"/>
    <w:rsid w:val="00AF4D07"/>
    <w:rsid w:val="00AF4D4A"/>
    <w:rsid w:val="00AF4D58"/>
    <w:rsid w:val="00AF4DA4"/>
    <w:rsid w:val="00AF4F71"/>
    <w:rsid w:val="00AF5030"/>
    <w:rsid w:val="00AF53D1"/>
    <w:rsid w:val="00AF53FC"/>
    <w:rsid w:val="00AF54F0"/>
    <w:rsid w:val="00AF58E8"/>
    <w:rsid w:val="00AF5905"/>
    <w:rsid w:val="00AF593C"/>
    <w:rsid w:val="00AF5A94"/>
    <w:rsid w:val="00AF5BF0"/>
    <w:rsid w:val="00AF5C51"/>
    <w:rsid w:val="00AF5C9D"/>
    <w:rsid w:val="00AF5FD3"/>
    <w:rsid w:val="00AF6115"/>
    <w:rsid w:val="00AF612D"/>
    <w:rsid w:val="00AF617E"/>
    <w:rsid w:val="00AF6253"/>
    <w:rsid w:val="00AF62EB"/>
    <w:rsid w:val="00AF632F"/>
    <w:rsid w:val="00AF63F5"/>
    <w:rsid w:val="00AF659B"/>
    <w:rsid w:val="00AF65CA"/>
    <w:rsid w:val="00AF6669"/>
    <w:rsid w:val="00AF66BD"/>
    <w:rsid w:val="00AF674F"/>
    <w:rsid w:val="00AF67FD"/>
    <w:rsid w:val="00AF6890"/>
    <w:rsid w:val="00AF6978"/>
    <w:rsid w:val="00AF69D0"/>
    <w:rsid w:val="00AF6AC8"/>
    <w:rsid w:val="00AF6AED"/>
    <w:rsid w:val="00AF6B06"/>
    <w:rsid w:val="00AF6C77"/>
    <w:rsid w:val="00AF6C84"/>
    <w:rsid w:val="00AF6E76"/>
    <w:rsid w:val="00AF6F3F"/>
    <w:rsid w:val="00AF6FA4"/>
    <w:rsid w:val="00AF6FDA"/>
    <w:rsid w:val="00AF7014"/>
    <w:rsid w:val="00AF704E"/>
    <w:rsid w:val="00AF7119"/>
    <w:rsid w:val="00AF71E7"/>
    <w:rsid w:val="00AF723C"/>
    <w:rsid w:val="00AF7354"/>
    <w:rsid w:val="00AF74AB"/>
    <w:rsid w:val="00AF74F5"/>
    <w:rsid w:val="00AF78D4"/>
    <w:rsid w:val="00AF78FB"/>
    <w:rsid w:val="00AF7923"/>
    <w:rsid w:val="00AF79C1"/>
    <w:rsid w:val="00AF7A04"/>
    <w:rsid w:val="00AF7A0B"/>
    <w:rsid w:val="00AF7A6B"/>
    <w:rsid w:val="00AF7ADC"/>
    <w:rsid w:val="00AF7BC3"/>
    <w:rsid w:val="00AF7BD1"/>
    <w:rsid w:val="00AF7CCD"/>
    <w:rsid w:val="00AF7CFC"/>
    <w:rsid w:val="00AF7DCA"/>
    <w:rsid w:val="00AF7DCF"/>
    <w:rsid w:val="00AF7E75"/>
    <w:rsid w:val="00AF7F5B"/>
    <w:rsid w:val="00AF7FED"/>
    <w:rsid w:val="00AF7FF9"/>
    <w:rsid w:val="00AFA858"/>
    <w:rsid w:val="00B00277"/>
    <w:rsid w:val="00B00289"/>
    <w:rsid w:val="00B00331"/>
    <w:rsid w:val="00B00346"/>
    <w:rsid w:val="00B0034C"/>
    <w:rsid w:val="00B00489"/>
    <w:rsid w:val="00B0068A"/>
    <w:rsid w:val="00B0076D"/>
    <w:rsid w:val="00B007D0"/>
    <w:rsid w:val="00B00A01"/>
    <w:rsid w:val="00B00C79"/>
    <w:rsid w:val="00B00DF8"/>
    <w:rsid w:val="00B00E73"/>
    <w:rsid w:val="00B00EAD"/>
    <w:rsid w:val="00B00FF0"/>
    <w:rsid w:val="00B01027"/>
    <w:rsid w:val="00B01090"/>
    <w:rsid w:val="00B0109F"/>
    <w:rsid w:val="00B01173"/>
    <w:rsid w:val="00B011B1"/>
    <w:rsid w:val="00B011C6"/>
    <w:rsid w:val="00B01600"/>
    <w:rsid w:val="00B01643"/>
    <w:rsid w:val="00B017A3"/>
    <w:rsid w:val="00B018C8"/>
    <w:rsid w:val="00B019DB"/>
    <w:rsid w:val="00B01A7D"/>
    <w:rsid w:val="00B01AB1"/>
    <w:rsid w:val="00B01AF8"/>
    <w:rsid w:val="00B01B47"/>
    <w:rsid w:val="00B01C65"/>
    <w:rsid w:val="00B01D67"/>
    <w:rsid w:val="00B01DCE"/>
    <w:rsid w:val="00B01EB5"/>
    <w:rsid w:val="00B01EFE"/>
    <w:rsid w:val="00B01F25"/>
    <w:rsid w:val="00B01F97"/>
    <w:rsid w:val="00B020B8"/>
    <w:rsid w:val="00B021C7"/>
    <w:rsid w:val="00B0249D"/>
    <w:rsid w:val="00B024E4"/>
    <w:rsid w:val="00B02525"/>
    <w:rsid w:val="00B02593"/>
    <w:rsid w:val="00B02753"/>
    <w:rsid w:val="00B02A46"/>
    <w:rsid w:val="00B02A78"/>
    <w:rsid w:val="00B02B80"/>
    <w:rsid w:val="00B02CB5"/>
    <w:rsid w:val="00B02E0E"/>
    <w:rsid w:val="00B02FB8"/>
    <w:rsid w:val="00B02FCC"/>
    <w:rsid w:val="00B03048"/>
    <w:rsid w:val="00B0335A"/>
    <w:rsid w:val="00B03896"/>
    <w:rsid w:val="00B03947"/>
    <w:rsid w:val="00B03CC0"/>
    <w:rsid w:val="00B03D96"/>
    <w:rsid w:val="00B03F8C"/>
    <w:rsid w:val="00B040A5"/>
    <w:rsid w:val="00B041AF"/>
    <w:rsid w:val="00B041CC"/>
    <w:rsid w:val="00B04385"/>
    <w:rsid w:val="00B04454"/>
    <w:rsid w:val="00B044C4"/>
    <w:rsid w:val="00B045DD"/>
    <w:rsid w:val="00B04684"/>
    <w:rsid w:val="00B048C0"/>
    <w:rsid w:val="00B0492F"/>
    <w:rsid w:val="00B04A1A"/>
    <w:rsid w:val="00B04A32"/>
    <w:rsid w:val="00B04A54"/>
    <w:rsid w:val="00B04D8B"/>
    <w:rsid w:val="00B04EB8"/>
    <w:rsid w:val="00B04F72"/>
    <w:rsid w:val="00B04F73"/>
    <w:rsid w:val="00B04FE9"/>
    <w:rsid w:val="00B04FEB"/>
    <w:rsid w:val="00B05042"/>
    <w:rsid w:val="00B05076"/>
    <w:rsid w:val="00B05120"/>
    <w:rsid w:val="00B0525D"/>
    <w:rsid w:val="00B0541E"/>
    <w:rsid w:val="00B05545"/>
    <w:rsid w:val="00B056F6"/>
    <w:rsid w:val="00B057C5"/>
    <w:rsid w:val="00B05973"/>
    <w:rsid w:val="00B05B05"/>
    <w:rsid w:val="00B05B12"/>
    <w:rsid w:val="00B05BCB"/>
    <w:rsid w:val="00B05D79"/>
    <w:rsid w:val="00B05E3E"/>
    <w:rsid w:val="00B05E5A"/>
    <w:rsid w:val="00B05E5E"/>
    <w:rsid w:val="00B05EC4"/>
    <w:rsid w:val="00B05F55"/>
    <w:rsid w:val="00B06293"/>
    <w:rsid w:val="00B06379"/>
    <w:rsid w:val="00B063CC"/>
    <w:rsid w:val="00B063F2"/>
    <w:rsid w:val="00B063FD"/>
    <w:rsid w:val="00B0675B"/>
    <w:rsid w:val="00B0676A"/>
    <w:rsid w:val="00B0677C"/>
    <w:rsid w:val="00B067EB"/>
    <w:rsid w:val="00B069F5"/>
    <w:rsid w:val="00B069FD"/>
    <w:rsid w:val="00B06A24"/>
    <w:rsid w:val="00B06A36"/>
    <w:rsid w:val="00B06C44"/>
    <w:rsid w:val="00B06CB1"/>
    <w:rsid w:val="00B06D1D"/>
    <w:rsid w:val="00B06D7E"/>
    <w:rsid w:val="00B06FFC"/>
    <w:rsid w:val="00B070C1"/>
    <w:rsid w:val="00B071E0"/>
    <w:rsid w:val="00B07352"/>
    <w:rsid w:val="00B073D5"/>
    <w:rsid w:val="00B0742B"/>
    <w:rsid w:val="00B07439"/>
    <w:rsid w:val="00B075E4"/>
    <w:rsid w:val="00B078B2"/>
    <w:rsid w:val="00B0794F"/>
    <w:rsid w:val="00B07989"/>
    <w:rsid w:val="00B07A80"/>
    <w:rsid w:val="00B07BF2"/>
    <w:rsid w:val="00B07CB1"/>
    <w:rsid w:val="00B07D55"/>
    <w:rsid w:val="00B07D90"/>
    <w:rsid w:val="00B09B94"/>
    <w:rsid w:val="00B0ECF7"/>
    <w:rsid w:val="00B0F1A7"/>
    <w:rsid w:val="00B1010F"/>
    <w:rsid w:val="00B1012A"/>
    <w:rsid w:val="00B1017D"/>
    <w:rsid w:val="00B10237"/>
    <w:rsid w:val="00B10289"/>
    <w:rsid w:val="00B1029B"/>
    <w:rsid w:val="00B105CB"/>
    <w:rsid w:val="00B106D4"/>
    <w:rsid w:val="00B10711"/>
    <w:rsid w:val="00B10715"/>
    <w:rsid w:val="00B10980"/>
    <w:rsid w:val="00B10A0E"/>
    <w:rsid w:val="00B10A5C"/>
    <w:rsid w:val="00B10A78"/>
    <w:rsid w:val="00B10C4D"/>
    <w:rsid w:val="00B10D8A"/>
    <w:rsid w:val="00B10DB6"/>
    <w:rsid w:val="00B10E9A"/>
    <w:rsid w:val="00B1108D"/>
    <w:rsid w:val="00B11119"/>
    <w:rsid w:val="00B1124B"/>
    <w:rsid w:val="00B11354"/>
    <w:rsid w:val="00B1144A"/>
    <w:rsid w:val="00B1146A"/>
    <w:rsid w:val="00B1152B"/>
    <w:rsid w:val="00B1176F"/>
    <w:rsid w:val="00B117E2"/>
    <w:rsid w:val="00B11888"/>
    <w:rsid w:val="00B11895"/>
    <w:rsid w:val="00B11999"/>
    <w:rsid w:val="00B119DC"/>
    <w:rsid w:val="00B11B57"/>
    <w:rsid w:val="00B11C02"/>
    <w:rsid w:val="00B11CB4"/>
    <w:rsid w:val="00B11D0A"/>
    <w:rsid w:val="00B11DA5"/>
    <w:rsid w:val="00B11E09"/>
    <w:rsid w:val="00B11EC8"/>
    <w:rsid w:val="00B11ECB"/>
    <w:rsid w:val="00B121BF"/>
    <w:rsid w:val="00B124AB"/>
    <w:rsid w:val="00B12529"/>
    <w:rsid w:val="00B1260A"/>
    <w:rsid w:val="00B12649"/>
    <w:rsid w:val="00B1269E"/>
    <w:rsid w:val="00B127E2"/>
    <w:rsid w:val="00B1298C"/>
    <w:rsid w:val="00B129A2"/>
    <w:rsid w:val="00B129F1"/>
    <w:rsid w:val="00B12AE4"/>
    <w:rsid w:val="00B12B15"/>
    <w:rsid w:val="00B12D75"/>
    <w:rsid w:val="00B12F60"/>
    <w:rsid w:val="00B131B4"/>
    <w:rsid w:val="00B13229"/>
    <w:rsid w:val="00B132EC"/>
    <w:rsid w:val="00B132F5"/>
    <w:rsid w:val="00B13301"/>
    <w:rsid w:val="00B133B1"/>
    <w:rsid w:val="00B1340D"/>
    <w:rsid w:val="00B13583"/>
    <w:rsid w:val="00B135AF"/>
    <w:rsid w:val="00B13643"/>
    <w:rsid w:val="00B1371A"/>
    <w:rsid w:val="00B137AB"/>
    <w:rsid w:val="00B1381E"/>
    <w:rsid w:val="00B13AD3"/>
    <w:rsid w:val="00B13D19"/>
    <w:rsid w:val="00B1400D"/>
    <w:rsid w:val="00B14059"/>
    <w:rsid w:val="00B1409F"/>
    <w:rsid w:val="00B140BF"/>
    <w:rsid w:val="00B140FA"/>
    <w:rsid w:val="00B1412C"/>
    <w:rsid w:val="00B14176"/>
    <w:rsid w:val="00B144A4"/>
    <w:rsid w:val="00B14633"/>
    <w:rsid w:val="00B1466F"/>
    <w:rsid w:val="00B1468D"/>
    <w:rsid w:val="00B146BC"/>
    <w:rsid w:val="00B1471F"/>
    <w:rsid w:val="00B148C6"/>
    <w:rsid w:val="00B148CB"/>
    <w:rsid w:val="00B1498B"/>
    <w:rsid w:val="00B14B83"/>
    <w:rsid w:val="00B14C1A"/>
    <w:rsid w:val="00B14D17"/>
    <w:rsid w:val="00B14D69"/>
    <w:rsid w:val="00B14DB3"/>
    <w:rsid w:val="00B14EE3"/>
    <w:rsid w:val="00B15026"/>
    <w:rsid w:val="00B15074"/>
    <w:rsid w:val="00B150E0"/>
    <w:rsid w:val="00B15138"/>
    <w:rsid w:val="00B15168"/>
    <w:rsid w:val="00B15243"/>
    <w:rsid w:val="00B152A1"/>
    <w:rsid w:val="00B156EB"/>
    <w:rsid w:val="00B15749"/>
    <w:rsid w:val="00B15819"/>
    <w:rsid w:val="00B1587C"/>
    <w:rsid w:val="00B15B16"/>
    <w:rsid w:val="00B15B17"/>
    <w:rsid w:val="00B15C79"/>
    <w:rsid w:val="00B15CA6"/>
    <w:rsid w:val="00B15DFF"/>
    <w:rsid w:val="00B15EF7"/>
    <w:rsid w:val="00B15F34"/>
    <w:rsid w:val="00B15F6A"/>
    <w:rsid w:val="00B1606C"/>
    <w:rsid w:val="00B16111"/>
    <w:rsid w:val="00B161C3"/>
    <w:rsid w:val="00B16480"/>
    <w:rsid w:val="00B165D6"/>
    <w:rsid w:val="00B16693"/>
    <w:rsid w:val="00B16733"/>
    <w:rsid w:val="00B167D3"/>
    <w:rsid w:val="00B168C2"/>
    <w:rsid w:val="00B1692B"/>
    <w:rsid w:val="00B1693A"/>
    <w:rsid w:val="00B169ED"/>
    <w:rsid w:val="00B16A4C"/>
    <w:rsid w:val="00B16B02"/>
    <w:rsid w:val="00B16B87"/>
    <w:rsid w:val="00B16EDA"/>
    <w:rsid w:val="00B16F8A"/>
    <w:rsid w:val="00B16FE3"/>
    <w:rsid w:val="00B170C9"/>
    <w:rsid w:val="00B17256"/>
    <w:rsid w:val="00B1728A"/>
    <w:rsid w:val="00B172C2"/>
    <w:rsid w:val="00B1743C"/>
    <w:rsid w:val="00B17545"/>
    <w:rsid w:val="00B175FB"/>
    <w:rsid w:val="00B1761B"/>
    <w:rsid w:val="00B17995"/>
    <w:rsid w:val="00B17ABB"/>
    <w:rsid w:val="00B17B6A"/>
    <w:rsid w:val="00B17C07"/>
    <w:rsid w:val="00B17C62"/>
    <w:rsid w:val="00B17CC7"/>
    <w:rsid w:val="00B17D8F"/>
    <w:rsid w:val="00B17E6E"/>
    <w:rsid w:val="00B2016C"/>
    <w:rsid w:val="00B2016D"/>
    <w:rsid w:val="00B201A0"/>
    <w:rsid w:val="00B2029C"/>
    <w:rsid w:val="00B2034F"/>
    <w:rsid w:val="00B20498"/>
    <w:rsid w:val="00B204E0"/>
    <w:rsid w:val="00B20617"/>
    <w:rsid w:val="00B20639"/>
    <w:rsid w:val="00B20736"/>
    <w:rsid w:val="00B208DA"/>
    <w:rsid w:val="00B20CE5"/>
    <w:rsid w:val="00B20CEA"/>
    <w:rsid w:val="00B20D07"/>
    <w:rsid w:val="00B20D8A"/>
    <w:rsid w:val="00B20F98"/>
    <w:rsid w:val="00B20FAF"/>
    <w:rsid w:val="00B21071"/>
    <w:rsid w:val="00B21191"/>
    <w:rsid w:val="00B21386"/>
    <w:rsid w:val="00B21447"/>
    <w:rsid w:val="00B21471"/>
    <w:rsid w:val="00B21536"/>
    <w:rsid w:val="00B216C7"/>
    <w:rsid w:val="00B21814"/>
    <w:rsid w:val="00B21A57"/>
    <w:rsid w:val="00B21B56"/>
    <w:rsid w:val="00B21BAE"/>
    <w:rsid w:val="00B21C42"/>
    <w:rsid w:val="00B21C8C"/>
    <w:rsid w:val="00B21D3F"/>
    <w:rsid w:val="00B21D7D"/>
    <w:rsid w:val="00B21DFF"/>
    <w:rsid w:val="00B21E5C"/>
    <w:rsid w:val="00B21E90"/>
    <w:rsid w:val="00B21F25"/>
    <w:rsid w:val="00B2213B"/>
    <w:rsid w:val="00B2216E"/>
    <w:rsid w:val="00B2229D"/>
    <w:rsid w:val="00B223E1"/>
    <w:rsid w:val="00B224AF"/>
    <w:rsid w:val="00B224FE"/>
    <w:rsid w:val="00B22501"/>
    <w:rsid w:val="00B2255C"/>
    <w:rsid w:val="00B225D2"/>
    <w:rsid w:val="00B22766"/>
    <w:rsid w:val="00B22778"/>
    <w:rsid w:val="00B227C4"/>
    <w:rsid w:val="00B2281D"/>
    <w:rsid w:val="00B22DCD"/>
    <w:rsid w:val="00B22E70"/>
    <w:rsid w:val="00B22E9B"/>
    <w:rsid w:val="00B22EFF"/>
    <w:rsid w:val="00B22F06"/>
    <w:rsid w:val="00B22FF6"/>
    <w:rsid w:val="00B2307F"/>
    <w:rsid w:val="00B230CF"/>
    <w:rsid w:val="00B23154"/>
    <w:rsid w:val="00B232F3"/>
    <w:rsid w:val="00B2333B"/>
    <w:rsid w:val="00B23346"/>
    <w:rsid w:val="00B23352"/>
    <w:rsid w:val="00B233D8"/>
    <w:rsid w:val="00B234F0"/>
    <w:rsid w:val="00B23595"/>
    <w:rsid w:val="00B235A4"/>
    <w:rsid w:val="00B23654"/>
    <w:rsid w:val="00B238B2"/>
    <w:rsid w:val="00B23AC3"/>
    <w:rsid w:val="00B23C74"/>
    <w:rsid w:val="00B23D5B"/>
    <w:rsid w:val="00B23D96"/>
    <w:rsid w:val="00B23D9D"/>
    <w:rsid w:val="00B23E4F"/>
    <w:rsid w:val="00B23FD0"/>
    <w:rsid w:val="00B24068"/>
    <w:rsid w:val="00B24198"/>
    <w:rsid w:val="00B242F2"/>
    <w:rsid w:val="00B2458D"/>
    <w:rsid w:val="00B245A3"/>
    <w:rsid w:val="00B24706"/>
    <w:rsid w:val="00B247A9"/>
    <w:rsid w:val="00B24940"/>
    <w:rsid w:val="00B24B9A"/>
    <w:rsid w:val="00B24CD9"/>
    <w:rsid w:val="00B24D03"/>
    <w:rsid w:val="00B24E6B"/>
    <w:rsid w:val="00B24F7D"/>
    <w:rsid w:val="00B25138"/>
    <w:rsid w:val="00B25180"/>
    <w:rsid w:val="00B2528B"/>
    <w:rsid w:val="00B25308"/>
    <w:rsid w:val="00B2538F"/>
    <w:rsid w:val="00B253A9"/>
    <w:rsid w:val="00B2540B"/>
    <w:rsid w:val="00B25798"/>
    <w:rsid w:val="00B25799"/>
    <w:rsid w:val="00B257A6"/>
    <w:rsid w:val="00B25A69"/>
    <w:rsid w:val="00B25B89"/>
    <w:rsid w:val="00B25C66"/>
    <w:rsid w:val="00B25EEE"/>
    <w:rsid w:val="00B2603D"/>
    <w:rsid w:val="00B261C2"/>
    <w:rsid w:val="00B261C6"/>
    <w:rsid w:val="00B2643F"/>
    <w:rsid w:val="00B265EA"/>
    <w:rsid w:val="00B26623"/>
    <w:rsid w:val="00B267AA"/>
    <w:rsid w:val="00B26866"/>
    <w:rsid w:val="00B268BC"/>
    <w:rsid w:val="00B2694F"/>
    <w:rsid w:val="00B269B3"/>
    <w:rsid w:val="00B269BB"/>
    <w:rsid w:val="00B26BE8"/>
    <w:rsid w:val="00B26D07"/>
    <w:rsid w:val="00B26F68"/>
    <w:rsid w:val="00B26FC4"/>
    <w:rsid w:val="00B27112"/>
    <w:rsid w:val="00B2725E"/>
    <w:rsid w:val="00B274DC"/>
    <w:rsid w:val="00B2754D"/>
    <w:rsid w:val="00B278D8"/>
    <w:rsid w:val="00B278E2"/>
    <w:rsid w:val="00B27AAB"/>
    <w:rsid w:val="00B27B00"/>
    <w:rsid w:val="00B27CE3"/>
    <w:rsid w:val="00B27CFA"/>
    <w:rsid w:val="00B27D2C"/>
    <w:rsid w:val="00B27E18"/>
    <w:rsid w:val="00B27EFD"/>
    <w:rsid w:val="00B2A12C"/>
    <w:rsid w:val="00B300A5"/>
    <w:rsid w:val="00B30162"/>
    <w:rsid w:val="00B30300"/>
    <w:rsid w:val="00B30431"/>
    <w:rsid w:val="00B3045E"/>
    <w:rsid w:val="00B30495"/>
    <w:rsid w:val="00B30819"/>
    <w:rsid w:val="00B30831"/>
    <w:rsid w:val="00B308DE"/>
    <w:rsid w:val="00B309A7"/>
    <w:rsid w:val="00B309BE"/>
    <w:rsid w:val="00B30D43"/>
    <w:rsid w:val="00B30F2A"/>
    <w:rsid w:val="00B30F96"/>
    <w:rsid w:val="00B310B0"/>
    <w:rsid w:val="00B3113E"/>
    <w:rsid w:val="00B3162A"/>
    <w:rsid w:val="00B3168E"/>
    <w:rsid w:val="00B316A1"/>
    <w:rsid w:val="00B31804"/>
    <w:rsid w:val="00B31808"/>
    <w:rsid w:val="00B31867"/>
    <w:rsid w:val="00B3199F"/>
    <w:rsid w:val="00B31ADF"/>
    <w:rsid w:val="00B31B61"/>
    <w:rsid w:val="00B31B6F"/>
    <w:rsid w:val="00B31CA3"/>
    <w:rsid w:val="00B31CB0"/>
    <w:rsid w:val="00B31DBE"/>
    <w:rsid w:val="00B3256D"/>
    <w:rsid w:val="00B32603"/>
    <w:rsid w:val="00B32644"/>
    <w:rsid w:val="00B326E1"/>
    <w:rsid w:val="00B329D3"/>
    <w:rsid w:val="00B32A92"/>
    <w:rsid w:val="00B32B31"/>
    <w:rsid w:val="00B32E46"/>
    <w:rsid w:val="00B33038"/>
    <w:rsid w:val="00B33064"/>
    <w:rsid w:val="00B333F6"/>
    <w:rsid w:val="00B33419"/>
    <w:rsid w:val="00B335C2"/>
    <w:rsid w:val="00B33651"/>
    <w:rsid w:val="00B3369D"/>
    <w:rsid w:val="00B33744"/>
    <w:rsid w:val="00B3376F"/>
    <w:rsid w:val="00B33856"/>
    <w:rsid w:val="00B339A8"/>
    <w:rsid w:val="00B339D4"/>
    <w:rsid w:val="00B33A60"/>
    <w:rsid w:val="00B33C48"/>
    <w:rsid w:val="00B33CEE"/>
    <w:rsid w:val="00B33D41"/>
    <w:rsid w:val="00B33DAB"/>
    <w:rsid w:val="00B33DCC"/>
    <w:rsid w:val="00B33E48"/>
    <w:rsid w:val="00B33EC1"/>
    <w:rsid w:val="00B33FA2"/>
    <w:rsid w:val="00B34013"/>
    <w:rsid w:val="00B3404C"/>
    <w:rsid w:val="00B34055"/>
    <w:rsid w:val="00B34080"/>
    <w:rsid w:val="00B34122"/>
    <w:rsid w:val="00B34378"/>
    <w:rsid w:val="00B3444C"/>
    <w:rsid w:val="00B34452"/>
    <w:rsid w:val="00B344BC"/>
    <w:rsid w:val="00B34541"/>
    <w:rsid w:val="00B345A2"/>
    <w:rsid w:val="00B34864"/>
    <w:rsid w:val="00B34877"/>
    <w:rsid w:val="00B348A4"/>
    <w:rsid w:val="00B349F2"/>
    <w:rsid w:val="00B34A6E"/>
    <w:rsid w:val="00B34AA9"/>
    <w:rsid w:val="00B34B25"/>
    <w:rsid w:val="00B34CD2"/>
    <w:rsid w:val="00B34CDA"/>
    <w:rsid w:val="00B34F94"/>
    <w:rsid w:val="00B3504F"/>
    <w:rsid w:val="00B350B2"/>
    <w:rsid w:val="00B35171"/>
    <w:rsid w:val="00B35329"/>
    <w:rsid w:val="00B35342"/>
    <w:rsid w:val="00B353B8"/>
    <w:rsid w:val="00B35583"/>
    <w:rsid w:val="00B355A5"/>
    <w:rsid w:val="00B3562B"/>
    <w:rsid w:val="00B356C0"/>
    <w:rsid w:val="00B3582E"/>
    <w:rsid w:val="00B359B3"/>
    <w:rsid w:val="00B359D5"/>
    <w:rsid w:val="00B35BAF"/>
    <w:rsid w:val="00B35CD6"/>
    <w:rsid w:val="00B35CF9"/>
    <w:rsid w:val="00B35D3D"/>
    <w:rsid w:val="00B35E54"/>
    <w:rsid w:val="00B3610E"/>
    <w:rsid w:val="00B361B2"/>
    <w:rsid w:val="00B36329"/>
    <w:rsid w:val="00B36373"/>
    <w:rsid w:val="00B36425"/>
    <w:rsid w:val="00B365F2"/>
    <w:rsid w:val="00B3662C"/>
    <w:rsid w:val="00B36694"/>
    <w:rsid w:val="00B367CF"/>
    <w:rsid w:val="00B36843"/>
    <w:rsid w:val="00B369DE"/>
    <w:rsid w:val="00B36C08"/>
    <w:rsid w:val="00B36D3B"/>
    <w:rsid w:val="00B36D4C"/>
    <w:rsid w:val="00B36EF9"/>
    <w:rsid w:val="00B36F8A"/>
    <w:rsid w:val="00B370BB"/>
    <w:rsid w:val="00B37163"/>
    <w:rsid w:val="00B371EB"/>
    <w:rsid w:val="00B37315"/>
    <w:rsid w:val="00B3746B"/>
    <w:rsid w:val="00B374A5"/>
    <w:rsid w:val="00B37BD9"/>
    <w:rsid w:val="00B37C93"/>
    <w:rsid w:val="00B37DE9"/>
    <w:rsid w:val="00B37E3B"/>
    <w:rsid w:val="00B37FB9"/>
    <w:rsid w:val="00B37FC8"/>
    <w:rsid w:val="00B400D9"/>
    <w:rsid w:val="00B401DA"/>
    <w:rsid w:val="00B40226"/>
    <w:rsid w:val="00B40261"/>
    <w:rsid w:val="00B402A8"/>
    <w:rsid w:val="00B40315"/>
    <w:rsid w:val="00B404A9"/>
    <w:rsid w:val="00B404AB"/>
    <w:rsid w:val="00B40687"/>
    <w:rsid w:val="00B407B9"/>
    <w:rsid w:val="00B408F0"/>
    <w:rsid w:val="00B4094C"/>
    <w:rsid w:val="00B40A70"/>
    <w:rsid w:val="00B40B41"/>
    <w:rsid w:val="00B40B77"/>
    <w:rsid w:val="00B40D35"/>
    <w:rsid w:val="00B40D68"/>
    <w:rsid w:val="00B40D7F"/>
    <w:rsid w:val="00B40E02"/>
    <w:rsid w:val="00B40E19"/>
    <w:rsid w:val="00B40E76"/>
    <w:rsid w:val="00B40E8E"/>
    <w:rsid w:val="00B41025"/>
    <w:rsid w:val="00B41054"/>
    <w:rsid w:val="00B411EC"/>
    <w:rsid w:val="00B41429"/>
    <w:rsid w:val="00B41461"/>
    <w:rsid w:val="00B4155B"/>
    <w:rsid w:val="00B416B0"/>
    <w:rsid w:val="00B416B9"/>
    <w:rsid w:val="00B417B0"/>
    <w:rsid w:val="00B417BB"/>
    <w:rsid w:val="00B4193E"/>
    <w:rsid w:val="00B41D19"/>
    <w:rsid w:val="00B41E30"/>
    <w:rsid w:val="00B41E62"/>
    <w:rsid w:val="00B41F73"/>
    <w:rsid w:val="00B41FCF"/>
    <w:rsid w:val="00B420D5"/>
    <w:rsid w:val="00B420EE"/>
    <w:rsid w:val="00B4240A"/>
    <w:rsid w:val="00B42454"/>
    <w:rsid w:val="00B425D5"/>
    <w:rsid w:val="00B42637"/>
    <w:rsid w:val="00B4275C"/>
    <w:rsid w:val="00B42894"/>
    <w:rsid w:val="00B42899"/>
    <w:rsid w:val="00B42942"/>
    <w:rsid w:val="00B42A30"/>
    <w:rsid w:val="00B42EA9"/>
    <w:rsid w:val="00B430C6"/>
    <w:rsid w:val="00B431C8"/>
    <w:rsid w:val="00B43227"/>
    <w:rsid w:val="00B432C2"/>
    <w:rsid w:val="00B4341E"/>
    <w:rsid w:val="00B4352A"/>
    <w:rsid w:val="00B437A4"/>
    <w:rsid w:val="00B437DD"/>
    <w:rsid w:val="00B43806"/>
    <w:rsid w:val="00B43912"/>
    <w:rsid w:val="00B43A53"/>
    <w:rsid w:val="00B44022"/>
    <w:rsid w:val="00B441C2"/>
    <w:rsid w:val="00B443B2"/>
    <w:rsid w:val="00B444E9"/>
    <w:rsid w:val="00B44750"/>
    <w:rsid w:val="00B4480A"/>
    <w:rsid w:val="00B448C2"/>
    <w:rsid w:val="00B449DE"/>
    <w:rsid w:val="00B44A01"/>
    <w:rsid w:val="00B44AE8"/>
    <w:rsid w:val="00B44B34"/>
    <w:rsid w:val="00B44B93"/>
    <w:rsid w:val="00B44D8C"/>
    <w:rsid w:val="00B44EB1"/>
    <w:rsid w:val="00B45097"/>
    <w:rsid w:val="00B450A9"/>
    <w:rsid w:val="00B45199"/>
    <w:rsid w:val="00B454B9"/>
    <w:rsid w:val="00B454FB"/>
    <w:rsid w:val="00B45549"/>
    <w:rsid w:val="00B45622"/>
    <w:rsid w:val="00B45731"/>
    <w:rsid w:val="00B4577E"/>
    <w:rsid w:val="00B45811"/>
    <w:rsid w:val="00B4582D"/>
    <w:rsid w:val="00B459C6"/>
    <w:rsid w:val="00B45AD2"/>
    <w:rsid w:val="00B45C3B"/>
    <w:rsid w:val="00B45CD6"/>
    <w:rsid w:val="00B45D21"/>
    <w:rsid w:val="00B45D83"/>
    <w:rsid w:val="00B45E02"/>
    <w:rsid w:val="00B45E26"/>
    <w:rsid w:val="00B45FA2"/>
    <w:rsid w:val="00B46024"/>
    <w:rsid w:val="00B4603D"/>
    <w:rsid w:val="00B463FB"/>
    <w:rsid w:val="00B4640B"/>
    <w:rsid w:val="00B46676"/>
    <w:rsid w:val="00B46689"/>
    <w:rsid w:val="00B46993"/>
    <w:rsid w:val="00B46A03"/>
    <w:rsid w:val="00B46BDB"/>
    <w:rsid w:val="00B46C05"/>
    <w:rsid w:val="00B46C60"/>
    <w:rsid w:val="00B46EB3"/>
    <w:rsid w:val="00B46EE4"/>
    <w:rsid w:val="00B46F1D"/>
    <w:rsid w:val="00B46F8B"/>
    <w:rsid w:val="00B47044"/>
    <w:rsid w:val="00B4725E"/>
    <w:rsid w:val="00B47282"/>
    <w:rsid w:val="00B473C6"/>
    <w:rsid w:val="00B4752F"/>
    <w:rsid w:val="00B4770B"/>
    <w:rsid w:val="00B4770E"/>
    <w:rsid w:val="00B4799A"/>
    <w:rsid w:val="00B47C7D"/>
    <w:rsid w:val="00B47C83"/>
    <w:rsid w:val="00B47CE6"/>
    <w:rsid w:val="00B47D19"/>
    <w:rsid w:val="00B47D33"/>
    <w:rsid w:val="00B47D9E"/>
    <w:rsid w:val="00B47E6F"/>
    <w:rsid w:val="00B50049"/>
    <w:rsid w:val="00B50073"/>
    <w:rsid w:val="00B5029C"/>
    <w:rsid w:val="00B502DB"/>
    <w:rsid w:val="00B50300"/>
    <w:rsid w:val="00B50332"/>
    <w:rsid w:val="00B50430"/>
    <w:rsid w:val="00B50532"/>
    <w:rsid w:val="00B50566"/>
    <w:rsid w:val="00B5063D"/>
    <w:rsid w:val="00B50A73"/>
    <w:rsid w:val="00B50ABD"/>
    <w:rsid w:val="00B50AC0"/>
    <w:rsid w:val="00B50C1B"/>
    <w:rsid w:val="00B50CEC"/>
    <w:rsid w:val="00B50D5C"/>
    <w:rsid w:val="00B50E92"/>
    <w:rsid w:val="00B50F2D"/>
    <w:rsid w:val="00B50F80"/>
    <w:rsid w:val="00B51180"/>
    <w:rsid w:val="00B51320"/>
    <w:rsid w:val="00B5141E"/>
    <w:rsid w:val="00B5152E"/>
    <w:rsid w:val="00B515BE"/>
    <w:rsid w:val="00B51605"/>
    <w:rsid w:val="00B51628"/>
    <w:rsid w:val="00B5176F"/>
    <w:rsid w:val="00B51B46"/>
    <w:rsid w:val="00B51B9A"/>
    <w:rsid w:val="00B51BD2"/>
    <w:rsid w:val="00B51E49"/>
    <w:rsid w:val="00B51E99"/>
    <w:rsid w:val="00B51FD1"/>
    <w:rsid w:val="00B523EC"/>
    <w:rsid w:val="00B5241F"/>
    <w:rsid w:val="00B52428"/>
    <w:rsid w:val="00B52471"/>
    <w:rsid w:val="00B527CE"/>
    <w:rsid w:val="00B52829"/>
    <w:rsid w:val="00B52AAD"/>
    <w:rsid w:val="00B52AB2"/>
    <w:rsid w:val="00B52CC7"/>
    <w:rsid w:val="00B52CD9"/>
    <w:rsid w:val="00B52D83"/>
    <w:rsid w:val="00B52DE7"/>
    <w:rsid w:val="00B52F62"/>
    <w:rsid w:val="00B52FC3"/>
    <w:rsid w:val="00B53094"/>
    <w:rsid w:val="00B53150"/>
    <w:rsid w:val="00B534AC"/>
    <w:rsid w:val="00B537DA"/>
    <w:rsid w:val="00B537E5"/>
    <w:rsid w:val="00B537E9"/>
    <w:rsid w:val="00B5380B"/>
    <w:rsid w:val="00B53820"/>
    <w:rsid w:val="00B5383F"/>
    <w:rsid w:val="00B53937"/>
    <w:rsid w:val="00B53A82"/>
    <w:rsid w:val="00B53C97"/>
    <w:rsid w:val="00B53DFA"/>
    <w:rsid w:val="00B53E23"/>
    <w:rsid w:val="00B53FCF"/>
    <w:rsid w:val="00B543EB"/>
    <w:rsid w:val="00B545BD"/>
    <w:rsid w:val="00B546F6"/>
    <w:rsid w:val="00B54870"/>
    <w:rsid w:val="00B54890"/>
    <w:rsid w:val="00B54926"/>
    <w:rsid w:val="00B54989"/>
    <w:rsid w:val="00B54AC0"/>
    <w:rsid w:val="00B54BF6"/>
    <w:rsid w:val="00B54D28"/>
    <w:rsid w:val="00B54E94"/>
    <w:rsid w:val="00B54ED9"/>
    <w:rsid w:val="00B54F99"/>
    <w:rsid w:val="00B5501A"/>
    <w:rsid w:val="00B5509D"/>
    <w:rsid w:val="00B550E9"/>
    <w:rsid w:val="00B552E1"/>
    <w:rsid w:val="00B55318"/>
    <w:rsid w:val="00B553D6"/>
    <w:rsid w:val="00B554A2"/>
    <w:rsid w:val="00B55549"/>
    <w:rsid w:val="00B55676"/>
    <w:rsid w:val="00B556F1"/>
    <w:rsid w:val="00B556F5"/>
    <w:rsid w:val="00B557F0"/>
    <w:rsid w:val="00B55836"/>
    <w:rsid w:val="00B55A4B"/>
    <w:rsid w:val="00B55B51"/>
    <w:rsid w:val="00B55B8D"/>
    <w:rsid w:val="00B55BEC"/>
    <w:rsid w:val="00B55CCE"/>
    <w:rsid w:val="00B55D79"/>
    <w:rsid w:val="00B5602E"/>
    <w:rsid w:val="00B5604F"/>
    <w:rsid w:val="00B56054"/>
    <w:rsid w:val="00B5609A"/>
    <w:rsid w:val="00B56149"/>
    <w:rsid w:val="00B563CE"/>
    <w:rsid w:val="00B56467"/>
    <w:rsid w:val="00B5651E"/>
    <w:rsid w:val="00B56713"/>
    <w:rsid w:val="00B5671A"/>
    <w:rsid w:val="00B56773"/>
    <w:rsid w:val="00B567E7"/>
    <w:rsid w:val="00B56818"/>
    <w:rsid w:val="00B56882"/>
    <w:rsid w:val="00B56A2D"/>
    <w:rsid w:val="00B56A85"/>
    <w:rsid w:val="00B56BBA"/>
    <w:rsid w:val="00B56BD0"/>
    <w:rsid w:val="00B56C52"/>
    <w:rsid w:val="00B56D6F"/>
    <w:rsid w:val="00B56F91"/>
    <w:rsid w:val="00B5700E"/>
    <w:rsid w:val="00B5720B"/>
    <w:rsid w:val="00B572BB"/>
    <w:rsid w:val="00B572CC"/>
    <w:rsid w:val="00B5739F"/>
    <w:rsid w:val="00B57482"/>
    <w:rsid w:val="00B5759E"/>
    <w:rsid w:val="00B577DC"/>
    <w:rsid w:val="00B577EF"/>
    <w:rsid w:val="00B5783F"/>
    <w:rsid w:val="00B579CC"/>
    <w:rsid w:val="00B57E48"/>
    <w:rsid w:val="00B57E5B"/>
    <w:rsid w:val="00B57E5C"/>
    <w:rsid w:val="00B57E78"/>
    <w:rsid w:val="00B57ECA"/>
    <w:rsid w:val="00B6004A"/>
    <w:rsid w:val="00B600D3"/>
    <w:rsid w:val="00B60398"/>
    <w:rsid w:val="00B603E1"/>
    <w:rsid w:val="00B603E9"/>
    <w:rsid w:val="00B606AF"/>
    <w:rsid w:val="00B60789"/>
    <w:rsid w:val="00B60853"/>
    <w:rsid w:val="00B608BA"/>
    <w:rsid w:val="00B608C3"/>
    <w:rsid w:val="00B60901"/>
    <w:rsid w:val="00B609A2"/>
    <w:rsid w:val="00B609A9"/>
    <w:rsid w:val="00B60AAB"/>
    <w:rsid w:val="00B60AE1"/>
    <w:rsid w:val="00B60B27"/>
    <w:rsid w:val="00B60B8E"/>
    <w:rsid w:val="00B60C85"/>
    <w:rsid w:val="00B60DF7"/>
    <w:rsid w:val="00B60F42"/>
    <w:rsid w:val="00B610CC"/>
    <w:rsid w:val="00B61133"/>
    <w:rsid w:val="00B61135"/>
    <w:rsid w:val="00B61236"/>
    <w:rsid w:val="00B61380"/>
    <w:rsid w:val="00B6141A"/>
    <w:rsid w:val="00B61478"/>
    <w:rsid w:val="00B61567"/>
    <w:rsid w:val="00B61579"/>
    <w:rsid w:val="00B6158F"/>
    <w:rsid w:val="00B615F8"/>
    <w:rsid w:val="00B6162C"/>
    <w:rsid w:val="00B6163E"/>
    <w:rsid w:val="00B616A6"/>
    <w:rsid w:val="00B61817"/>
    <w:rsid w:val="00B61A6B"/>
    <w:rsid w:val="00B61B9E"/>
    <w:rsid w:val="00B61BAD"/>
    <w:rsid w:val="00B61C0B"/>
    <w:rsid w:val="00B61DD6"/>
    <w:rsid w:val="00B61E75"/>
    <w:rsid w:val="00B61EB6"/>
    <w:rsid w:val="00B61F8E"/>
    <w:rsid w:val="00B621A0"/>
    <w:rsid w:val="00B62207"/>
    <w:rsid w:val="00B6221F"/>
    <w:rsid w:val="00B62499"/>
    <w:rsid w:val="00B6289A"/>
    <w:rsid w:val="00B62910"/>
    <w:rsid w:val="00B62993"/>
    <w:rsid w:val="00B62A0D"/>
    <w:rsid w:val="00B62AE9"/>
    <w:rsid w:val="00B62CE8"/>
    <w:rsid w:val="00B62D71"/>
    <w:rsid w:val="00B62DA5"/>
    <w:rsid w:val="00B62E6E"/>
    <w:rsid w:val="00B62EEF"/>
    <w:rsid w:val="00B630B2"/>
    <w:rsid w:val="00B631AC"/>
    <w:rsid w:val="00B631AE"/>
    <w:rsid w:val="00B63239"/>
    <w:rsid w:val="00B633E5"/>
    <w:rsid w:val="00B634A8"/>
    <w:rsid w:val="00B634D8"/>
    <w:rsid w:val="00B63582"/>
    <w:rsid w:val="00B63621"/>
    <w:rsid w:val="00B63640"/>
    <w:rsid w:val="00B63660"/>
    <w:rsid w:val="00B636B5"/>
    <w:rsid w:val="00B63742"/>
    <w:rsid w:val="00B637D5"/>
    <w:rsid w:val="00B63827"/>
    <w:rsid w:val="00B63838"/>
    <w:rsid w:val="00B63869"/>
    <w:rsid w:val="00B6398A"/>
    <w:rsid w:val="00B63A78"/>
    <w:rsid w:val="00B63BF6"/>
    <w:rsid w:val="00B63C39"/>
    <w:rsid w:val="00B63CB4"/>
    <w:rsid w:val="00B6423E"/>
    <w:rsid w:val="00B6427A"/>
    <w:rsid w:val="00B64300"/>
    <w:rsid w:val="00B64662"/>
    <w:rsid w:val="00B646C0"/>
    <w:rsid w:val="00B6499E"/>
    <w:rsid w:val="00B64A63"/>
    <w:rsid w:val="00B64B19"/>
    <w:rsid w:val="00B64B73"/>
    <w:rsid w:val="00B64E75"/>
    <w:rsid w:val="00B64EC9"/>
    <w:rsid w:val="00B64F5C"/>
    <w:rsid w:val="00B64FA9"/>
    <w:rsid w:val="00B65017"/>
    <w:rsid w:val="00B650E8"/>
    <w:rsid w:val="00B6518F"/>
    <w:rsid w:val="00B65234"/>
    <w:rsid w:val="00B65254"/>
    <w:rsid w:val="00B652F8"/>
    <w:rsid w:val="00B65559"/>
    <w:rsid w:val="00B65635"/>
    <w:rsid w:val="00B656BE"/>
    <w:rsid w:val="00B656E9"/>
    <w:rsid w:val="00B6574E"/>
    <w:rsid w:val="00B6578F"/>
    <w:rsid w:val="00B65B45"/>
    <w:rsid w:val="00B65B5C"/>
    <w:rsid w:val="00B65B8C"/>
    <w:rsid w:val="00B65C4D"/>
    <w:rsid w:val="00B65DC1"/>
    <w:rsid w:val="00B65E7C"/>
    <w:rsid w:val="00B6605F"/>
    <w:rsid w:val="00B66095"/>
    <w:rsid w:val="00B66333"/>
    <w:rsid w:val="00B6645A"/>
    <w:rsid w:val="00B66473"/>
    <w:rsid w:val="00B665D7"/>
    <w:rsid w:val="00B66721"/>
    <w:rsid w:val="00B6683F"/>
    <w:rsid w:val="00B6686C"/>
    <w:rsid w:val="00B66990"/>
    <w:rsid w:val="00B66A72"/>
    <w:rsid w:val="00B66A86"/>
    <w:rsid w:val="00B66DCA"/>
    <w:rsid w:val="00B66DE9"/>
    <w:rsid w:val="00B66E46"/>
    <w:rsid w:val="00B67068"/>
    <w:rsid w:val="00B670AE"/>
    <w:rsid w:val="00B67364"/>
    <w:rsid w:val="00B673C6"/>
    <w:rsid w:val="00B67423"/>
    <w:rsid w:val="00B675AA"/>
    <w:rsid w:val="00B675F3"/>
    <w:rsid w:val="00B678FA"/>
    <w:rsid w:val="00B679A5"/>
    <w:rsid w:val="00B679B2"/>
    <w:rsid w:val="00B679ED"/>
    <w:rsid w:val="00B67A9E"/>
    <w:rsid w:val="00B67AAE"/>
    <w:rsid w:val="00B67B52"/>
    <w:rsid w:val="00B67EC8"/>
    <w:rsid w:val="00B67F3E"/>
    <w:rsid w:val="00B67F6F"/>
    <w:rsid w:val="00B67FBB"/>
    <w:rsid w:val="00B6FC9E"/>
    <w:rsid w:val="00B7001C"/>
    <w:rsid w:val="00B70053"/>
    <w:rsid w:val="00B701C0"/>
    <w:rsid w:val="00B70302"/>
    <w:rsid w:val="00B70330"/>
    <w:rsid w:val="00B70359"/>
    <w:rsid w:val="00B703A1"/>
    <w:rsid w:val="00B70472"/>
    <w:rsid w:val="00B705D7"/>
    <w:rsid w:val="00B70609"/>
    <w:rsid w:val="00B706BB"/>
    <w:rsid w:val="00B70B94"/>
    <w:rsid w:val="00B70CFD"/>
    <w:rsid w:val="00B70E9B"/>
    <w:rsid w:val="00B70EBF"/>
    <w:rsid w:val="00B71003"/>
    <w:rsid w:val="00B711C6"/>
    <w:rsid w:val="00B711E3"/>
    <w:rsid w:val="00B7128D"/>
    <w:rsid w:val="00B713B0"/>
    <w:rsid w:val="00B71661"/>
    <w:rsid w:val="00B716F4"/>
    <w:rsid w:val="00B71731"/>
    <w:rsid w:val="00B7177D"/>
    <w:rsid w:val="00B71884"/>
    <w:rsid w:val="00B719BA"/>
    <w:rsid w:val="00B719E5"/>
    <w:rsid w:val="00B71B52"/>
    <w:rsid w:val="00B71C45"/>
    <w:rsid w:val="00B71DF3"/>
    <w:rsid w:val="00B720E2"/>
    <w:rsid w:val="00B7226E"/>
    <w:rsid w:val="00B722EF"/>
    <w:rsid w:val="00B72383"/>
    <w:rsid w:val="00B72533"/>
    <w:rsid w:val="00B72819"/>
    <w:rsid w:val="00B72AC6"/>
    <w:rsid w:val="00B72AE3"/>
    <w:rsid w:val="00B72AE4"/>
    <w:rsid w:val="00B72B0C"/>
    <w:rsid w:val="00B72B83"/>
    <w:rsid w:val="00B72D17"/>
    <w:rsid w:val="00B72F3D"/>
    <w:rsid w:val="00B73047"/>
    <w:rsid w:val="00B730D0"/>
    <w:rsid w:val="00B731C3"/>
    <w:rsid w:val="00B7324D"/>
    <w:rsid w:val="00B7334C"/>
    <w:rsid w:val="00B7345D"/>
    <w:rsid w:val="00B7361B"/>
    <w:rsid w:val="00B73654"/>
    <w:rsid w:val="00B73656"/>
    <w:rsid w:val="00B73729"/>
    <w:rsid w:val="00B7374D"/>
    <w:rsid w:val="00B739C9"/>
    <w:rsid w:val="00B739E3"/>
    <w:rsid w:val="00B739E8"/>
    <w:rsid w:val="00B73AEA"/>
    <w:rsid w:val="00B73C82"/>
    <w:rsid w:val="00B73C8D"/>
    <w:rsid w:val="00B73D24"/>
    <w:rsid w:val="00B740B2"/>
    <w:rsid w:val="00B74307"/>
    <w:rsid w:val="00B74574"/>
    <w:rsid w:val="00B745F9"/>
    <w:rsid w:val="00B746EA"/>
    <w:rsid w:val="00B7470F"/>
    <w:rsid w:val="00B7482F"/>
    <w:rsid w:val="00B74904"/>
    <w:rsid w:val="00B749EB"/>
    <w:rsid w:val="00B74C51"/>
    <w:rsid w:val="00B74DF1"/>
    <w:rsid w:val="00B74E31"/>
    <w:rsid w:val="00B74F3E"/>
    <w:rsid w:val="00B74FD1"/>
    <w:rsid w:val="00B75111"/>
    <w:rsid w:val="00B7523B"/>
    <w:rsid w:val="00B75437"/>
    <w:rsid w:val="00B7559F"/>
    <w:rsid w:val="00B755C1"/>
    <w:rsid w:val="00B75859"/>
    <w:rsid w:val="00B75990"/>
    <w:rsid w:val="00B75BF4"/>
    <w:rsid w:val="00B75CD2"/>
    <w:rsid w:val="00B75F54"/>
    <w:rsid w:val="00B7601A"/>
    <w:rsid w:val="00B7607E"/>
    <w:rsid w:val="00B76123"/>
    <w:rsid w:val="00B761B3"/>
    <w:rsid w:val="00B761DD"/>
    <w:rsid w:val="00B76254"/>
    <w:rsid w:val="00B76326"/>
    <w:rsid w:val="00B763DC"/>
    <w:rsid w:val="00B765A6"/>
    <w:rsid w:val="00B766EA"/>
    <w:rsid w:val="00B766F4"/>
    <w:rsid w:val="00B76864"/>
    <w:rsid w:val="00B768B9"/>
    <w:rsid w:val="00B76972"/>
    <w:rsid w:val="00B76A35"/>
    <w:rsid w:val="00B76BCF"/>
    <w:rsid w:val="00B76BE9"/>
    <w:rsid w:val="00B76CF7"/>
    <w:rsid w:val="00B76F60"/>
    <w:rsid w:val="00B77251"/>
    <w:rsid w:val="00B773F6"/>
    <w:rsid w:val="00B774B4"/>
    <w:rsid w:val="00B774C3"/>
    <w:rsid w:val="00B77552"/>
    <w:rsid w:val="00B77711"/>
    <w:rsid w:val="00B77722"/>
    <w:rsid w:val="00B77808"/>
    <w:rsid w:val="00B77839"/>
    <w:rsid w:val="00B77926"/>
    <w:rsid w:val="00B77BC5"/>
    <w:rsid w:val="00B77BFB"/>
    <w:rsid w:val="00B77F20"/>
    <w:rsid w:val="00B8010E"/>
    <w:rsid w:val="00B80249"/>
    <w:rsid w:val="00B802D5"/>
    <w:rsid w:val="00B8034C"/>
    <w:rsid w:val="00B803AF"/>
    <w:rsid w:val="00B803D2"/>
    <w:rsid w:val="00B8040C"/>
    <w:rsid w:val="00B80416"/>
    <w:rsid w:val="00B8058B"/>
    <w:rsid w:val="00B806AF"/>
    <w:rsid w:val="00B806FE"/>
    <w:rsid w:val="00B807DF"/>
    <w:rsid w:val="00B80AAF"/>
    <w:rsid w:val="00B80E8E"/>
    <w:rsid w:val="00B8108E"/>
    <w:rsid w:val="00B810C7"/>
    <w:rsid w:val="00B8110C"/>
    <w:rsid w:val="00B81160"/>
    <w:rsid w:val="00B81403"/>
    <w:rsid w:val="00B81494"/>
    <w:rsid w:val="00B814DD"/>
    <w:rsid w:val="00B815CB"/>
    <w:rsid w:val="00B8185A"/>
    <w:rsid w:val="00B81879"/>
    <w:rsid w:val="00B81922"/>
    <w:rsid w:val="00B81994"/>
    <w:rsid w:val="00B81A35"/>
    <w:rsid w:val="00B81A71"/>
    <w:rsid w:val="00B81B0E"/>
    <w:rsid w:val="00B81B33"/>
    <w:rsid w:val="00B81BCB"/>
    <w:rsid w:val="00B81C8B"/>
    <w:rsid w:val="00B81D98"/>
    <w:rsid w:val="00B81DA1"/>
    <w:rsid w:val="00B81DFF"/>
    <w:rsid w:val="00B81E3C"/>
    <w:rsid w:val="00B81F0B"/>
    <w:rsid w:val="00B81F21"/>
    <w:rsid w:val="00B81F2D"/>
    <w:rsid w:val="00B82040"/>
    <w:rsid w:val="00B821E8"/>
    <w:rsid w:val="00B82272"/>
    <w:rsid w:val="00B823B5"/>
    <w:rsid w:val="00B824DD"/>
    <w:rsid w:val="00B825C9"/>
    <w:rsid w:val="00B8261F"/>
    <w:rsid w:val="00B826B9"/>
    <w:rsid w:val="00B826F9"/>
    <w:rsid w:val="00B8276F"/>
    <w:rsid w:val="00B8281E"/>
    <w:rsid w:val="00B828E0"/>
    <w:rsid w:val="00B82906"/>
    <w:rsid w:val="00B8291F"/>
    <w:rsid w:val="00B82D0D"/>
    <w:rsid w:val="00B82D6D"/>
    <w:rsid w:val="00B82E02"/>
    <w:rsid w:val="00B832C0"/>
    <w:rsid w:val="00B836AB"/>
    <w:rsid w:val="00B83748"/>
    <w:rsid w:val="00B8378C"/>
    <w:rsid w:val="00B83807"/>
    <w:rsid w:val="00B83834"/>
    <w:rsid w:val="00B83961"/>
    <w:rsid w:val="00B839C2"/>
    <w:rsid w:val="00B83AC2"/>
    <w:rsid w:val="00B83CC3"/>
    <w:rsid w:val="00B83D80"/>
    <w:rsid w:val="00B83DD2"/>
    <w:rsid w:val="00B83E16"/>
    <w:rsid w:val="00B83EB4"/>
    <w:rsid w:val="00B84119"/>
    <w:rsid w:val="00B84516"/>
    <w:rsid w:val="00B8456D"/>
    <w:rsid w:val="00B8460B"/>
    <w:rsid w:val="00B84739"/>
    <w:rsid w:val="00B849FC"/>
    <w:rsid w:val="00B84DAA"/>
    <w:rsid w:val="00B84E0F"/>
    <w:rsid w:val="00B84E36"/>
    <w:rsid w:val="00B84E7F"/>
    <w:rsid w:val="00B850B7"/>
    <w:rsid w:val="00B853D5"/>
    <w:rsid w:val="00B85448"/>
    <w:rsid w:val="00B85570"/>
    <w:rsid w:val="00B855C2"/>
    <w:rsid w:val="00B85871"/>
    <w:rsid w:val="00B85B28"/>
    <w:rsid w:val="00B85D44"/>
    <w:rsid w:val="00B85D7F"/>
    <w:rsid w:val="00B85D8B"/>
    <w:rsid w:val="00B85FB8"/>
    <w:rsid w:val="00B85FE9"/>
    <w:rsid w:val="00B85FEE"/>
    <w:rsid w:val="00B86047"/>
    <w:rsid w:val="00B8624A"/>
    <w:rsid w:val="00B862F7"/>
    <w:rsid w:val="00B86650"/>
    <w:rsid w:val="00B86711"/>
    <w:rsid w:val="00B86923"/>
    <w:rsid w:val="00B86A78"/>
    <w:rsid w:val="00B86D92"/>
    <w:rsid w:val="00B86E48"/>
    <w:rsid w:val="00B86E62"/>
    <w:rsid w:val="00B86E70"/>
    <w:rsid w:val="00B86EAA"/>
    <w:rsid w:val="00B86FFA"/>
    <w:rsid w:val="00B87021"/>
    <w:rsid w:val="00B871BD"/>
    <w:rsid w:val="00B87234"/>
    <w:rsid w:val="00B872A8"/>
    <w:rsid w:val="00B874FB"/>
    <w:rsid w:val="00B8756F"/>
    <w:rsid w:val="00B8768F"/>
    <w:rsid w:val="00B8774D"/>
    <w:rsid w:val="00B8778A"/>
    <w:rsid w:val="00B878B0"/>
    <w:rsid w:val="00B87977"/>
    <w:rsid w:val="00B87A4C"/>
    <w:rsid w:val="00B87D79"/>
    <w:rsid w:val="00B8DAEA"/>
    <w:rsid w:val="00B8E399"/>
    <w:rsid w:val="00B90068"/>
    <w:rsid w:val="00B90347"/>
    <w:rsid w:val="00B90423"/>
    <w:rsid w:val="00B90434"/>
    <w:rsid w:val="00B90483"/>
    <w:rsid w:val="00B9059C"/>
    <w:rsid w:val="00B9059F"/>
    <w:rsid w:val="00B905F7"/>
    <w:rsid w:val="00B90818"/>
    <w:rsid w:val="00B90821"/>
    <w:rsid w:val="00B90A76"/>
    <w:rsid w:val="00B90A86"/>
    <w:rsid w:val="00B90BD0"/>
    <w:rsid w:val="00B90BD3"/>
    <w:rsid w:val="00B90C56"/>
    <w:rsid w:val="00B90D24"/>
    <w:rsid w:val="00B90DEA"/>
    <w:rsid w:val="00B90E37"/>
    <w:rsid w:val="00B90E63"/>
    <w:rsid w:val="00B90F71"/>
    <w:rsid w:val="00B90F7C"/>
    <w:rsid w:val="00B90F89"/>
    <w:rsid w:val="00B910CE"/>
    <w:rsid w:val="00B912AF"/>
    <w:rsid w:val="00B91597"/>
    <w:rsid w:val="00B91A3C"/>
    <w:rsid w:val="00B91AF0"/>
    <w:rsid w:val="00B91BA5"/>
    <w:rsid w:val="00B91BFB"/>
    <w:rsid w:val="00B91CAB"/>
    <w:rsid w:val="00B91D13"/>
    <w:rsid w:val="00B91D78"/>
    <w:rsid w:val="00B91F44"/>
    <w:rsid w:val="00B91FE2"/>
    <w:rsid w:val="00B92132"/>
    <w:rsid w:val="00B921A6"/>
    <w:rsid w:val="00B922F0"/>
    <w:rsid w:val="00B92433"/>
    <w:rsid w:val="00B924DA"/>
    <w:rsid w:val="00B927C3"/>
    <w:rsid w:val="00B927E7"/>
    <w:rsid w:val="00B92C06"/>
    <w:rsid w:val="00B92C69"/>
    <w:rsid w:val="00B92C88"/>
    <w:rsid w:val="00B92E56"/>
    <w:rsid w:val="00B92EF7"/>
    <w:rsid w:val="00B92F26"/>
    <w:rsid w:val="00B93265"/>
    <w:rsid w:val="00B93536"/>
    <w:rsid w:val="00B93642"/>
    <w:rsid w:val="00B93685"/>
    <w:rsid w:val="00B936B9"/>
    <w:rsid w:val="00B9373C"/>
    <w:rsid w:val="00B9381B"/>
    <w:rsid w:val="00B939A4"/>
    <w:rsid w:val="00B93C28"/>
    <w:rsid w:val="00B93D04"/>
    <w:rsid w:val="00B93D6A"/>
    <w:rsid w:val="00B93F30"/>
    <w:rsid w:val="00B9410B"/>
    <w:rsid w:val="00B941F8"/>
    <w:rsid w:val="00B942DF"/>
    <w:rsid w:val="00B943A0"/>
    <w:rsid w:val="00B943BC"/>
    <w:rsid w:val="00B943D4"/>
    <w:rsid w:val="00B94457"/>
    <w:rsid w:val="00B945F2"/>
    <w:rsid w:val="00B946EF"/>
    <w:rsid w:val="00B94A33"/>
    <w:rsid w:val="00B94A35"/>
    <w:rsid w:val="00B94CF5"/>
    <w:rsid w:val="00B94E87"/>
    <w:rsid w:val="00B94F38"/>
    <w:rsid w:val="00B94FFF"/>
    <w:rsid w:val="00B950CA"/>
    <w:rsid w:val="00B954F7"/>
    <w:rsid w:val="00B95518"/>
    <w:rsid w:val="00B95609"/>
    <w:rsid w:val="00B957E4"/>
    <w:rsid w:val="00B95834"/>
    <w:rsid w:val="00B95937"/>
    <w:rsid w:val="00B959FB"/>
    <w:rsid w:val="00B95B10"/>
    <w:rsid w:val="00B95BAE"/>
    <w:rsid w:val="00B95F2A"/>
    <w:rsid w:val="00B95F32"/>
    <w:rsid w:val="00B9610A"/>
    <w:rsid w:val="00B9614B"/>
    <w:rsid w:val="00B961AE"/>
    <w:rsid w:val="00B961E5"/>
    <w:rsid w:val="00B962FA"/>
    <w:rsid w:val="00B9639A"/>
    <w:rsid w:val="00B9651F"/>
    <w:rsid w:val="00B966A6"/>
    <w:rsid w:val="00B966CB"/>
    <w:rsid w:val="00B96707"/>
    <w:rsid w:val="00B9681C"/>
    <w:rsid w:val="00B96919"/>
    <w:rsid w:val="00B96988"/>
    <w:rsid w:val="00B969D6"/>
    <w:rsid w:val="00B96AEE"/>
    <w:rsid w:val="00B96B0E"/>
    <w:rsid w:val="00B96D68"/>
    <w:rsid w:val="00B96E73"/>
    <w:rsid w:val="00B96FCE"/>
    <w:rsid w:val="00B972CB"/>
    <w:rsid w:val="00B9735B"/>
    <w:rsid w:val="00B9751F"/>
    <w:rsid w:val="00B9756E"/>
    <w:rsid w:val="00B97792"/>
    <w:rsid w:val="00B9786C"/>
    <w:rsid w:val="00B97969"/>
    <w:rsid w:val="00B97A67"/>
    <w:rsid w:val="00B97A80"/>
    <w:rsid w:val="00B97C3F"/>
    <w:rsid w:val="00B97CAF"/>
    <w:rsid w:val="00B97DC9"/>
    <w:rsid w:val="00B97F25"/>
    <w:rsid w:val="00B97FDC"/>
    <w:rsid w:val="00BA00B5"/>
    <w:rsid w:val="00BA038E"/>
    <w:rsid w:val="00BA04CD"/>
    <w:rsid w:val="00BA0540"/>
    <w:rsid w:val="00BA0563"/>
    <w:rsid w:val="00BA0908"/>
    <w:rsid w:val="00BA09E6"/>
    <w:rsid w:val="00BA0A67"/>
    <w:rsid w:val="00BA0A89"/>
    <w:rsid w:val="00BA0BA7"/>
    <w:rsid w:val="00BA0CD3"/>
    <w:rsid w:val="00BA0D44"/>
    <w:rsid w:val="00BA0D45"/>
    <w:rsid w:val="00BA0D6F"/>
    <w:rsid w:val="00BA10EE"/>
    <w:rsid w:val="00BA121B"/>
    <w:rsid w:val="00BA130F"/>
    <w:rsid w:val="00BA13F3"/>
    <w:rsid w:val="00BA14AB"/>
    <w:rsid w:val="00BA1610"/>
    <w:rsid w:val="00BA1634"/>
    <w:rsid w:val="00BA1667"/>
    <w:rsid w:val="00BA16ED"/>
    <w:rsid w:val="00BA1817"/>
    <w:rsid w:val="00BA18E4"/>
    <w:rsid w:val="00BA19AE"/>
    <w:rsid w:val="00BA1ADE"/>
    <w:rsid w:val="00BA1B03"/>
    <w:rsid w:val="00BA1B4E"/>
    <w:rsid w:val="00BA1C4B"/>
    <w:rsid w:val="00BA1CD5"/>
    <w:rsid w:val="00BA1E1F"/>
    <w:rsid w:val="00BA1FE7"/>
    <w:rsid w:val="00BA2070"/>
    <w:rsid w:val="00BA22A2"/>
    <w:rsid w:val="00BA22AC"/>
    <w:rsid w:val="00BA233E"/>
    <w:rsid w:val="00BA236A"/>
    <w:rsid w:val="00BA258C"/>
    <w:rsid w:val="00BA2924"/>
    <w:rsid w:val="00BA2935"/>
    <w:rsid w:val="00BA29FB"/>
    <w:rsid w:val="00BA2A49"/>
    <w:rsid w:val="00BA2AD2"/>
    <w:rsid w:val="00BA2AD3"/>
    <w:rsid w:val="00BA2C9C"/>
    <w:rsid w:val="00BA2DCC"/>
    <w:rsid w:val="00BA2F32"/>
    <w:rsid w:val="00BA317D"/>
    <w:rsid w:val="00BA3238"/>
    <w:rsid w:val="00BA3250"/>
    <w:rsid w:val="00BA34AB"/>
    <w:rsid w:val="00BA34EE"/>
    <w:rsid w:val="00BA34F3"/>
    <w:rsid w:val="00BA35C6"/>
    <w:rsid w:val="00BA3726"/>
    <w:rsid w:val="00BA376C"/>
    <w:rsid w:val="00BA38A6"/>
    <w:rsid w:val="00BA38EA"/>
    <w:rsid w:val="00BA39C4"/>
    <w:rsid w:val="00BA39F0"/>
    <w:rsid w:val="00BA3A6C"/>
    <w:rsid w:val="00BA3AEC"/>
    <w:rsid w:val="00BA3CB5"/>
    <w:rsid w:val="00BA3CCF"/>
    <w:rsid w:val="00BA3ECF"/>
    <w:rsid w:val="00BA3F2E"/>
    <w:rsid w:val="00BA3F48"/>
    <w:rsid w:val="00BA402A"/>
    <w:rsid w:val="00BA4032"/>
    <w:rsid w:val="00BA4098"/>
    <w:rsid w:val="00BA40C9"/>
    <w:rsid w:val="00BA4197"/>
    <w:rsid w:val="00BA41CB"/>
    <w:rsid w:val="00BA4268"/>
    <w:rsid w:val="00BA433B"/>
    <w:rsid w:val="00BA440D"/>
    <w:rsid w:val="00BA4554"/>
    <w:rsid w:val="00BA4683"/>
    <w:rsid w:val="00BA468F"/>
    <w:rsid w:val="00BA479E"/>
    <w:rsid w:val="00BA4829"/>
    <w:rsid w:val="00BA4845"/>
    <w:rsid w:val="00BA49C7"/>
    <w:rsid w:val="00BA49F1"/>
    <w:rsid w:val="00BA4C77"/>
    <w:rsid w:val="00BA4D7E"/>
    <w:rsid w:val="00BA4E09"/>
    <w:rsid w:val="00BA4EC7"/>
    <w:rsid w:val="00BA509B"/>
    <w:rsid w:val="00BA5138"/>
    <w:rsid w:val="00BA5519"/>
    <w:rsid w:val="00BA5723"/>
    <w:rsid w:val="00BA58AB"/>
    <w:rsid w:val="00BA5973"/>
    <w:rsid w:val="00BA59F3"/>
    <w:rsid w:val="00BA5A7A"/>
    <w:rsid w:val="00BA5ACA"/>
    <w:rsid w:val="00BA5B3D"/>
    <w:rsid w:val="00BA5B92"/>
    <w:rsid w:val="00BA5D48"/>
    <w:rsid w:val="00BA5EAA"/>
    <w:rsid w:val="00BA637F"/>
    <w:rsid w:val="00BA651C"/>
    <w:rsid w:val="00BA6631"/>
    <w:rsid w:val="00BA66AC"/>
    <w:rsid w:val="00BA66B6"/>
    <w:rsid w:val="00BA6708"/>
    <w:rsid w:val="00BA67A8"/>
    <w:rsid w:val="00BA67D2"/>
    <w:rsid w:val="00BA688D"/>
    <w:rsid w:val="00BA6AC0"/>
    <w:rsid w:val="00BA6B1D"/>
    <w:rsid w:val="00BA6BD9"/>
    <w:rsid w:val="00BA6C3C"/>
    <w:rsid w:val="00BA6CD4"/>
    <w:rsid w:val="00BA6D1A"/>
    <w:rsid w:val="00BA6D88"/>
    <w:rsid w:val="00BA6E73"/>
    <w:rsid w:val="00BA6EBB"/>
    <w:rsid w:val="00BA6F61"/>
    <w:rsid w:val="00BA71E6"/>
    <w:rsid w:val="00BA72FF"/>
    <w:rsid w:val="00BA7425"/>
    <w:rsid w:val="00BA7484"/>
    <w:rsid w:val="00BA74CB"/>
    <w:rsid w:val="00BA750C"/>
    <w:rsid w:val="00BA75C6"/>
    <w:rsid w:val="00BA7931"/>
    <w:rsid w:val="00BA7A82"/>
    <w:rsid w:val="00BA7A86"/>
    <w:rsid w:val="00BA7D40"/>
    <w:rsid w:val="00BA7D87"/>
    <w:rsid w:val="00BA7D8D"/>
    <w:rsid w:val="00BA7F6C"/>
    <w:rsid w:val="00BAAD41"/>
    <w:rsid w:val="00BAC8EF"/>
    <w:rsid w:val="00BAFAEC"/>
    <w:rsid w:val="00BB010D"/>
    <w:rsid w:val="00BB01E6"/>
    <w:rsid w:val="00BB033A"/>
    <w:rsid w:val="00BB0360"/>
    <w:rsid w:val="00BB052D"/>
    <w:rsid w:val="00BB05BE"/>
    <w:rsid w:val="00BB0682"/>
    <w:rsid w:val="00BB09AC"/>
    <w:rsid w:val="00BB0C49"/>
    <w:rsid w:val="00BB0CDA"/>
    <w:rsid w:val="00BB0DBC"/>
    <w:rsid w:val="00BB0E04"/>
    <w:rsid w:val="00BB0E1F"/>
    <w:rsid w:val="00BB0E73"/>
    <w:rsid w:val="00BB0FE0"/>
    <w:rsid w:val="00BB1315"/>
    <w:rsid w:val="00BB132B"/>
    <w:rsid w:val="00BB146D"/>
    <w:rsid w:val="00BB14A8"/>
    <w:rsid w:val="00BB153D"/>
    <w:rsid w:val="00BB1616"/>
    <w:rsid w:val="00BB164D"/>
    <w:rsid w:val="00BB16E7"/>
    <w:rsid w:val="00BB17FC"/>
    <w:rsid w:val="00BB18C0"/>
    <w:rsid w:val="00BB1904"/>
    <w:rsid w:val="00BB1915"/>
    <w:rsid w:val="00BB1B20"/>
    <w:rsid w:val="00BB1C1D"/>
    <w:rsid w:val="00BB1D48"/>
    <w:rsid w:val="00BB1D63"/>
    <w:rsid w:val="00BB2138"/>
    <w:rsid w:val="00BB2263"/>
    <w:rsid w:val="00BB26C2"/>
    <w:rsid w:val="00BB2841"/>
    <w:rsid w:val="00BB28D2"/>
    <w:rsid w:val="00BB2998"/>
    <w:rsid w:val="00BB2A02"/>
    <w:rsid w:val="00BB2B05"/>
    <w:rsid w:val="00BB2BFA"/>
    <w:rsid w:val="00BB2C31"/>
    <w:rsid w:val="00BB2C7C"/>
    <w:rsid w:val="00BB2D02"/>
    <w:rsid w:val="00BB2E31"/>
    <w:rsid w:val="00BB300A"/>
    <w:rsid w:val="00BB301E"/>
    <w:rsid w:val="00BB307A"/>
    <w:rsid w:val="00BB30AA"/>
    <w:rsid w:val="00BB30B6"/>
    <w:rsid w:val="00BB30D2"/>
    <w:rsid w:val="00BB31D7"/>
    <w:rsid w:val="00BB3211"/>
    <w:rsid w:val="00BB3299"/>
    <w:rsid w:val="00BB343C"/>
    <w:rsid w:val="00BB3725"/>
    <w:rsid w:val="00BB37E2"/>
    <w:rsid w:val="00BB388D"/>
    <w:rsid w:val="00BB38F2"/>
    <w:rsid w:val="00BB39D8"/>
    <w:rsid w:val="00BB39FD"/>
    <w:rsid w:val="00BB3A4E"/>
    <w:rsid w:val="00BB3AB5"/>
    <w:rsid w:val="00BB3B82"/>
    <w:rsid w:val="00BB3BBA"/>
    <w:rsid w:val="00BB3BC1"/>
    <w:rsid w:val="00BB3C16"/>
    <w:rsid w:val="00BB3CF8"/>
    <w:rsid w:val="00BB3DB6"/>
    <w:rsid w:val="00BB3EBD"/>
    <w:rsid w:val="00BB3F30"/>
    <w:rsid w:val="00BB3FAE"/>
    <w:rsid w:val="00BB40CD"/>
    <w:rsid w:val="00BB41EA"/>
    <w:rsid w:val="00BB4300"/>
    <w:rsid w:val="00BB49EC"/>
    <w:rsid w:val="00BB4A21"/>
    <w:rsid w:val="00BB4C41"/>
    <w:rsid w:val="00BB4C4C"/>
    <w:rsid w:val="00BB4CB2"/>
    <w:rsid w:val="00BB4E3E"/>
    <w:rsid w:val="00BB4FD7"/>
    <w:rsid w:val="00BB50C2"/>
    <w:rsid w:val="00BB5298"/>
    <w:rsid w:val="00BB5475"/>
    <w:rsid w:val="00BB5510"/>
    <w:rsid w:val="00BB5670"/>
    <w:rsid w:val="00BB5686"/>
    <w:rsid w:val="00BB5717"/>
    <w:rsid w:val="00BB576E"/>
    <w:rsid w:val="00BB5BE1"/>
    <w:rsid w:val="00BB5BF9"/>
    <w:rsid w:val="00BB5C0D"/>
    <w:rsid w:val="00BB5DEB"/>
    <w:rsid w:val="00BB6023"/>
    <w:rsid w:val="00BB613B"/>
    <w:rsid w:val="00BB61E1"/>
    <w:rsid w:val="00BB6728"/>
    <w:rsid w:val="00BB6751"/>
    <w:rsid w:val="00BB678C"/>
    <w:rsid w:val="00BB6790"/>
    <w:rsid w:val="00BB69B7"/>
    <w:rsid w:val="00BB6C61"/>
    <w:rsid w:val="00BB6C8C"/>
    <w:rsid w:val="00BB6D2F"/>
    <w:rsid w:val="00BB6D6D"/>
    <w:rsid w:val="00BB6D87"/>
    <w:rsid w:val="00BB6D88"/>
    <w:rsid w:val="00BB6D95"/>
    <w:rsid w:val="00BB6DFB"/>
    <w:rsid w:val="00BB6F52"/>
    <w:rsid w:val="00BB700C"/>
    <w:rsid w:val="00BB709C"/>
    <w:rsid w:val="00BB70C0"/>
    <w:rsid w:val="00BB7178"/>
    <w:rsid w:val="00BB7225"/>
    <w:rsid w:val="00BB723A"/>
    <w:rsid w:val="00BB7266"/>
    <w:rsid w:val="00BB7337"/>
    <w:rsid w:val="00BB747F"/>
    <w:rsid w:val="00BB7538"/>
    <w:rsid w:val="00BB7617"/>
    <w:rsid w:val="00BB76A0"/>
    <w:rsid w:val="00BB7941"/>
    <w:rsid w:val="00BB7A81"/>
    <w:rsid w:val="00BB7B51"/>
    <w:rsid w:val="00BB7BCB"/>
    <w:rsid w:val="00BB7BD5"/>
    <w:rsid w:val="00BB7CF0"/>
    <w:rsid w:val="00BB7F99"/>
    <w:rsid w:val="00BBA293"/>
    <w:rsid w:val="00BBC881"/>
    <w:rsid w:val="00BBE4C2"/>
    <w:rsid w:val="00BBF03F"/>
    <w:rsid w:val="00BBF962"/>
    <w:rsid w:val="00BC0245"/>
    <w:rsid w:val="00BC0612"/>
    <w:rsid w:val="00BC08E5"/>
    <w:rsid w:val="00BC0921"/>
    <w:rsid w:val="00BC0A64"/>
    <w:rsid w:val="00BC0AC1"/>
    <w:rsid w:val="00BC0C50"/>
    <w:rsid w:val="00BC0CE9"/>
    <w:rsid w:val="00BC0D1F"/>
    <w:rsid w:val="00BC0F97"/>
    <w:rsid w:val="00BC1179"/>
    <w:rsid w:val="00BC11F3"/>
    <w:rsid w:val="00BC133B"/>
    <w:rsid w:val="00BC142F"/>
    <w:rsid w:val="00BC143F"/>
    <w:rsid w:val="00BC159F"/>
    <w:rsid w:val="00BC16FB"/>
    <w:rsid w:val="00BC1859"/>
    <w:rsid w:val="00BC1872"/>
    <w:rsid w:val="00BC199E"/>
    <w:rsid w:val="00BC19A8"/>
    <w:rsid w:val="00BC1A45"/>
    <w:rsid w:val="00BC1C1B"/>
    <w:rsid w:val="00BC1DAC"/>
    <w:rsid w:val="00BC1F29"/>
    <w:rsid w:val="00BC1F2D"/>
    <w:rsid w:val="00BC20FB"/>
    <w:rsid w:val="00BC2210"/>
    <w:rsid w:val="00BC22DA"/>
    <w:rsid w:val="00BC245C"/>
    <w:rsid w:val="00BC2766"/>
    <w:rsid w:val="00BC27C3"/>
    <w:rsid w:val="00BC2934"/>
    <w:rsid w:val="00BC2AC1"/>
    <w:rsid w:val="00BC2CBB"/>
    <w:rsid w:val="00BC2EE5"/>
    <w:rsid w:val="00BC2FA5"/>
    <w:rsid w:val="00BC2FBD"/>
    <w:rsid w:val="00BC3085"/>
    <w:rsid w:val="00BC3095"/>
    <w:rsid w:val="00BC31FB"/>
    <w:rsid w:val="00BC33A9"/>
    <w:rsid w:val="00BC349F"/>
    <w:rsid w:val="00BC3726"/>
    <w:rsid w:val="00BC372F"/>
    <w:rsid w:val="00BC3956"/>
    <w:rsid w:val="00BC39D5"/>
    <w:rsid w:val="00BC3BF7"/>
    <w:rsid w:val="00BC3D26"/>
    <w:rsid w:val="00BC4098"/>
    <w:rsid w:val="00BC41E6"/>
    <w:rsid w:val="00BC4250"/>
    <w:rsid w:val="00BC42EF"/>
    <w:rsid w:val="00BC4323"/>
    <w:rsid w:val="00BC440C"/>
    <w:rsid w:val="00BC4638"/>
    <w:rsid w:val="00BC477E"/>
    <w:rsid w:val="00BC487B"/>
    <w:rsid w:val="00BC4967"/>
    <w:rsid w:val="00BC4B5F"/>
    <w:rsid w:val="00BC4B88"/>
    <w:rsid w:val="00BC4BE3"/>
    <w:rsid w:val="00BC4D1A"/>
    <w:rsid w:val="00BC4DAD"/>
    <w:rsid w:val="00BC4FF2"/>
    <w:rsid w:val="00BC5007"/>
    <w:rsid w:val="00BC5110"/>
    <w:rsid w:val="00BC53E8"/>
    <w:rsid w:val="00BC547D"/>
    <w:rsid w:val="00BC58E0"/>
    <w:rsid w:val="00BC5A50"/>
    <w:rsid w:val="00BC5B4B"/>
    <w:rsid w:val="00BC5B50"/>
    <w:rsid w:val="00BC5BF1"/>
    <w:rsid w:val="00BC5BF9"/>
    <w:rsid w:val="00BC5C00"/>
    <w:rsid w:val="00BC5C08"/>
    <w:rsid w:val="00BC5EAB"/>
    <w:rsid w:val="00BC5ED3"/>
    <w:rsid w:val="00BC5F6A"/>
    <w:rsid w:val="00BC6094"/>
    <w:rsid w:val="00BC627C"/>
    <w:rsid w:val="00BC639E"/>
    <w:rsid w:val="00BC6506"/>
    <w:rsid w:val="00BC651E"/>
    <w:rsid w:val="00BC65E4"/>
    <w:rsid w:val="00BC67C0"/>
    <w:rsid w:val="00BC6825"/>
    <w:rsid w:val="00BC6882"/>
    <w:rsid w:val="00BC698A"/>
    <w:rsid w:val="00BC69CF"/>
    <w:rsid w:val="00BC6B2D"/>
    <w:rsid w:val="00BC6BC5"/>
    <w:rsid w:val="00BC6C38"/>
    <w:rsid w:val="00BC6CB7"/>
    <w:rsid w:val="00BC6CD8"/>
    <w:rsid w:val="00BC6D6B"/>
    <w:rsid w:val="00BC6D9F"/>
    <w:rsid w:val="00BC6E22"/>
    <w:rsid w:val="00BC7043"/>
    <w:rsid w:val="00BC70DB"/>
    <w:rsid w:val="00BC710B"/>
    <w:rsid w:val="00BC7424"/>
    <w:rsid w:val="00BC7676"/>
    <w:rsid w:val="00BC767A"/>
    <w:rsid w:val="00BC77D7"/>
    <w:rsid w:val="00BC786C"/>
    <w:rsid w:val="00BC7A09"/>
    <w:rsid w:val="00BC7A48"/>
    <w:rsid w:val="00BC7A4F"/>
    <w:rsid w:val="00BC7B5F"/>
    <w:rsid w:val="00BC7BD9"/>
    <w:rsid w:val="00BC7F6D"/>
    <w:rsid w:val="00BC7F8C"/>
    <w:rsid w:val="00BC809C"/>
    <w:rsid w:val="00BCD7E0"/>
    <w:rsid w:val="00BCF2D9"/>
    <w:rsid w:val="00BD0027"/>
    <w:rsid w:val="00BD00BD"/>
    <w:rsid w:val="00BD02D0"/>
    <w:rsid w:val="00BD07ED"/>
    <w:rsid w:val="00BD0A00"/>
    <w:rsid w:val="00BD0AC3"/>
    <w:rsid w:val="00BD0C6E"/>
    <w:rsid w:val="00BD0D92"/>
    <w:rsid w:val="00BD0E29"/>
    <w:rsid w:val="00BD0E95"/>
    <w:rsid w:val="00BD101C"/>
    <w:rsid w:val="00BD1079"/>
    <w:rsid w:val="00BD1111"/>
    <w:rsid w:val="00BD125D"/>
    <w:rsid w:val="00BD12C1"/>
    <w:rsid w:val="00BD12F4"/>
    <w:rsid w:val="00BD12F7"/>
    <w:rsid w:val="00BD136F"/>
    <w:rsid w:val="00BD16B5"/>
    <w:rsid w:val="00BD182E"/>
    <w:rsid w:val="00BD19BD"/>
    <w:rsid w:val="00BD1A12"/>
    <w:rsid w:val="00BD1AF3"/>
    <w:rsid w:val="00BD1BB5"/>
    <w:rsid w:val="00BD1D60"/>
    <w:rsid w:val="00BD1DC0"/>
    <w:rsid w:val="00BD20AC"/>
    <w:rsid w:val="00BD2127"/>
    <w:rsid w:val="00BD2165"/>
    <w:rsid w:val="00BD223D"/>
    <w:rsid w:val="00BD2345"/>
    <w:rsid w:val="00BD235A"/>
    <w:rsid w:val="00BD2417"/>
    <w:rsid w:val="00BD242B"/>
    <w:rsid w:val="00BD242C"/>
    <w:rsid w:val="00BD2495"/>
    <w:rsid w:val="00BD25A8"/>
    <w:rsid w:val="00BD26A1"/>
    <w:rsid w:val="00BD270C"/>
    <w:rsid w:val="00BD281D"/>
    <w:rsid w:val="00BD294B"/>
    <w:rsid w:val="00BD295B"/>
    <w:rsid w:val="00BD2AA8"/>
    <w:rsid w:val="00BD2AC3"/>
    <w:rsid w:val="00BD2BB2"/>
    <w:rsid w:val="00BD2BDC"/>
    <w:rsid w:val="00BD2CA1"/>
    <w:rsid w:val="00BD2D34"/>
    <w:rsid w:val="00BD2E70"/>
    <w:rsid w:val="00BD3026"/>
    <w:rsid w:val="00BD31D8"/>
    <w:rsid w:val="00BD32AF"/>
    <w:rsid w:val="00BD3459"/>
    <w:rsid w:val="00BD34C7"/>
    <w:rsid w:val="00BD362A"/>
    <w:rsid w:val="00BD364A"/>
    <w:rsid w:val="00BD36F2"/>
    <w:rsid w:val="00BD3837"/>
    <w:rsid w:val="00BD39C6"/>
    <w:rsid w:val="00BD39D2"/>
    <w:rsid w:val="00BD3AAC"/>
    <w:rsid w:val="00BD3AF2"/>
    <w:rsid w:val="00BD3B10"/>
    <w:rsid w:val="00BD3C61"/>
    <w:rsid w:val="00BD3C99"/>
    <w:rsid w:val="00BD4145"/>
    <w:rsid w:val="00BD422B"/>
    <w:rsid w:val="00BD429C"/>
    <w:rsid w:val="00BD4837"/>
    <w:rsid w:val="00BD49DA"/>
    <w:rsid w:val="00BD4B58"/>
    <w:rsid w:val="00BD4BBB"/>
    <w:rsid w:val="00BD4F0A"/>
    <w:rsid w:val="00BD5012"/>
    <w:rsid w:val="00BD5153"/>
    <w:rsid w:val="00BD5191"/>
    <w:rsid w:val="00BD52E0"/>
    <w:rsid w:val="00BD535C"/>
    <w:rsid w:val="00BD5418"/>
    <w:rsid w:val="00BD549E"/>
    <w:rsid w:val="00BD54AF"/>
    <w:rsid w:val="00BD54D7"/>
    <w:rsid w:val="00BD55BC"/>
    <w:rsid w:val="00BD5823"/>
    <w:rsid w:val="00BD587B"/>
    <w:rsid w:val="00BD58C2"/>
    <w:rsid w:val="00BD5942"/>
    <w:rsid w:val="00BD59D8"/>
    <w:rsid w:val="00BD5A04"/>
    <w:rsid w:val="00BD5AA7"/>
    <w:rsid w:val="00BD5CB3"/>
    <w:rsid w:val="00BD5DD6"/>
    <w:rsid w:val="00BD5F72"/>
    <w:rsid w:val="00BD614D"/>
    <w:rsid w:val="00BD6617"/>
    <w:rsid w:val="00BD66DD"/>
    <w:rsid w:val="00BD6780"/>
    <w:rsid w:val="00BD6784"/>
    <w:rsid w:val="00BD68FF"/>
    <w:rsid w:val="00BD6A20"/>
    <w:rsid w:val="00BD6D8C"/>
    <w:rsid w:val="00BD6FD7"/>
    <w:rsid w:val="00BD7003"/>
    <w:rsid w:val="00BD715C"/>
    <w:rsid w:val="00BD71BE"/>
    <w:rsid w:val="00BD7598"/>
    <w:rsid w:val="00BD75EA"/>
    <w:rsid w:val="00BD76FC"/>
    <w:rsid w:val="00BD78D1"/>
    <w:rsid w:val="00BD7B38"/>
    <w:rsid w:val="00BD7D4C"/>
    <w:rsid w:val="00BDA1A7"/>
    <w:rsid w:val="00BDB1E2"/>
    <w:rsid w:val="00BE0220"/>
    <w:rsid w:val="00BE02CF"/>
    <w:rsid w:val="00BE02DA"/>
    <w:rsid w:val="00BE0447"/>
    <w:rsid w:val="00BE04C2"/>
    <w:rsid w:val="00BE04C8"/>
    <w:rsid w:val="00BE04F7"/>
    <w:rsid w:val="00BE0590"/>
    <w:rsid w:val="00BE07E5"/>
    <w:rsid w:val="00BE0A90"/>
    <w:rsid w:val="00BE0C7D"/>
    <w:rsid w:val="00BE0E0B"/>
    <w:rsid w:val="00BE0E0F"/>
    <w:rsid w:val="00BE112B"/>
    <w:rsid w:val="00BE1314"/>
    <w:rsid w:val="00BE13CC"/>
    <w:rsid w:val="00BE159B"/>
    <w:rsid w:val="00BE15EC"/>
    <w:rsid w:val="00BE162A"/>
    <w:rsid w:val="00BE1648"/>
    <w:rsid w:val="00BE16A0"/>
    <w:rsid w:val="00BE16B2"/>
    <w:rsid w:val="00BE18C6"/>
    <w:rsid w:val="00BE1A3C"/>
    <w:rsid w:val="00BE1AC4"/>
    <w:rsid w:val="00BE1AFB"/>
    <w:rsid w:val="00BE1B4B"/>
    <w:rsid w:val="00BE1C42"/>
    <w:rsid w:val="00BE1D1E"/>
    <w:rsid w:val="00BE1DA7"/>
    <w:rsid w:val="00BE1E3D"/>
    <w:rsid w:val="00BE1F11"/>
    <w:rsid w:val="00BE1F4E"/>
    <w:rsid w:val="00BE1FC9"/>
    <w:rsid w:val="00BE2174"/>
    <w:rsid w:val="00BE21E0"/>
    <w:rsid w:val="00BE2301"/>
    <w:rsid w:val="00BE24A5"/>
    <w:rsid w:val="00BE24D5"/>
    <w:rsid w:val="00BE24F9"/>
    <w:rsid w:val="00BE2886"/>
    <w:rsid w:val="00BE28CD"/>
    <w:rsid w:val="00BE294A"/>
    <w:rsid w:val="00BE29BD"/>
    <w:rsid w:val="00BE2B7C"/>
    <w:rsid w:val="00BE2B9B"/>
    <w:rsid w:val="00BE2D34"/>
    <w:rsid w:val="00BE2E4E"/>
    <w:rsid w:val="00BE2EBD"/>
    <w:rsid w:val="00BE2F67"/>
    <w:rsid w:val="00BE3061"/>
    <w:rsid w:val="00BE30E5"/>
    <w:rsid w:val="00BE315F"/>
    <w:rsid w:val="00BE31AA"/>
    <w:rsid w:val="00BE3313"/>
    <w:rsid w:val="00BE34BB"/>
    <w:rsid w:val="00BE34BE"/>
    <w:rsid w:val="00BE36B5"/>
    <w:rsid w:val="00BE36CB"/>
    <w:rsid w:val="00BE3768"/>
    <w:rsid w:val="00BE37CC"/>
    <w:rsid w:val="00BE38D5"/>
    <w:rsid w:val="00BE38E0"/>
    <w:rsid w:val="00BE391B"/>
    <w:rsid w:val="00BE392C"/>
    <w:rsid w:val="00BE39BE"/>
    <w:rsid w:val="00BE3B3F"/>
    <w:rsid w:val="00BE3BA0"/>
    <w:rsid w:val="00BE3D34"/>
    <w:rsid w:val="00BE3D51"/>
    <w:rsid w:val="00BE3D6E"/>
    <w:rsid w:val="00BE406B"/>
    <w:rsid w:val="00BE40D3"/>
    <w:rsid w:val="00BE42FE"/>
    <w:rsid w:val="00BE43CE"/>
    <w:rsid w:val="00BE43F1"/>
    <w:rsid w:val="00BE4438"/>
    <w:rsid w:val="00BE44EF"/>
    <w:rsid w:val="00BE4505"/>
    <w:rsid w:val="00BE4587"/>
    <w:rsid w:val="00BE45BA"/>
    <w:rsid w:val="00BE45E4"/>
    <w:rsid w:val="00BE4708"/>
    <w:rsid w:val="00BE47B7"/>
    <w:rsid w:val="00BE47D7"/>
    <w:rsid w:val="00BE47FD"/>
    <w:rsid w:val="00BE48D4"/>
    <w:rsid w:val="00BE4AD4"/>
    <w:rsid w:val="00BE4B6B"/>
    <w:rsid w:val="00BE4C9A"/>
    <w:rsid w:val="00BE4CC5"/>
    <w:rsid w:val="00BE4DA2"/>
    <w:rsid w:val="00BE4FE2"/>
    <w:rsid w:val="00BE503C"/>
    <w:rsid w:val="00BE5159"/>
    <w:rsid w:val="00BE5256"/>
    <w:rsid w:val="00BE527B"/>
    <w:rsid w:val="00BE527C"/>
    <w:rsid w:val="00BE5358"/>
    <w:rsid w:val="00BE53B2"/>
    <w:rsid w:val="00BE53BF"/>
    <w:rsid w:val="00BE5511"/>
    <w:rsid w:val="00BE55F4"/>
    <w:rsid w:val="00BE56B3"/>
    <w:rsid w:val="00BE584C"/>
    <w:rsid w:val="00BE5AD3"/>
    <w:rsid w:val="00BE5C1F"/>
    <w:rsid w:val="00BE5D1D"/>
    <w:rsid w:val="00BE5E20"/>
    <w:rsid w:val="00BE5E99"/>
    <w:rsid w:val="00BE5F5A"/>
    <w:rsid w:val="00BE5F67"/>
    <w:rsid w:val="00BE6062"/>
    <w:rsid w:val="00BE6410"/>
    <w:rsid w:val="00BE6587"/>
    <w:rsid w:val="00BE6665"/>
    <w:rsid w:val="00BE6711"/>
    <w:rsid w:val="00BE6815"/>
    <w:rsid w:val="00BE6A07"/>
    <w:rsid w:val="00BE6B72"/>
    <w:rsid w:val="00BE6BE3"/>
    <w:rsid w:val="00BE6CD8"/>
    <w:rsid w:val="00BE6CFF"/>
    <w:rsid w:val="00BE6E22"/>
    <w:rsid w:val="00BE6E51"/>
    <w:rsid w:val="00BE6EBB"/>
    <w:rsid w:val="00BE71BA"/>
    <w:rsid w:val="00BE71CB"/>
    <w:rsid w:val="00BE73F4"/>
    <w:rsid w:val="00BE7651"/>
    <w:rsid w:val="00BE7C55"/>
    <w:rsid w:val="00BE7C79"/>
    <w:rsid w:val="00BE7CD8"/>
    <w:rsid w:val="00BE7D0B"/>
    <w:rsid w:val="00BE7D1A"/>
    <w:rsid w:val="00BE7D30"/>
    <w:rsid w:val="00BE7FC4"/>
    <w:rsid w:val="00BE9297"/>
    <w:rsid w:val="00BF0048"/>
    <w:rsid w:val="00BF00F6"/>
    <w:rsid w:val="00BF0178"/>
    <w:rsid w:val="00BF022D"/>
    <w:rsid w:val="00BF027A"/>
    <w:rsid w:val="00BF0531"/>
    <w:rsid w:val="00BF063D"/>
    <w:rsid w:val="00BF0685"/>
    <w:rsid w:val="00BF06F6"/>
    <w:rsid w:val="00BF0720"/>
    <w:rsid w:val="00BF07AD"/>
    <w:rsid w:val="00BF08E7"/>
    <w:rsid w:val="00BF09A5"/>
    <w:rsid w:val="00BF09E9"/>
    <w:rsid w:val="00BF0A3C"/>
    <w:rsid w:val="00BF0A7A"/>
    <w:rsid w:val="00BF0B60"/>
    <w:rsid w:val="00BF0C0D"/>
    <w:rsid w:val="00BF0D8A"/>
    <w:rsid w:val="00BF0F2D"/>
    <w:rsid w:val="00BF0F37"/>
    <w:rsid w:val="00BF0F92"/>
    <w:rsid w:val="00BF0FE6"/>
    <w:rsid w:val="00BF1190"/>
    <w:rsid w:val="00BF11EA"/>
    <w:rsid w:val="00BF1336"/>
    <w:rsid w:val="00BF133A"/>
    <w:rsid w:val="00BF13FB"/>
    <w:rsid w:val="00BF1852"/>
    <w:rsid w:val="00BF1885"/>
    <w:rsid w:val="00BF18DA"/>
    <w:rsid w:val="00BF1955"/>
    <w:rsid w:val="00BF1962"/>
    <w:rsid w:val="00BF1A58"/>
    <w:rsid w:val="00BF1C1C"/>
    <w:rsid w:val="00BF1E4B"/>
    <w:rsid w:val="00BF1EE5"/>
    <w:rsid w:val="00BF1EF6"/>
    <w:rsid w:val="00BF1F1D"/>
    <w:rsid w:val="00BF202A"/>
    <w:rsid w:val="00BF2036"/>
    <w:rsid w:val="00BF210B"/>
    <w:rsid w:val="00BF2219"/>
    <w:rsid w:val="00BF23E5"/>
    <w:rsid w:val="00BF242A"/>
    <w:rsid w:val="00BF2465"/>
    <w:rsid w:val="00BF262D"/>
    <w:rsid w:val="00BF2744"/>
    <w:rsid w:val="00BF2945"/>
    <w:rsid w:val="00BF2A37"/>
    <w:rsid w:val="00BF2DF7"/>
    <w:rsid w:val="00BF2EBD"/>
    <w:rsid w:val="00BF2FAA"/>
    <w:rsid w:val="00BF2FDD"/>
    <w:rsid w:val="00BF305A"/>
    <w:rsid w:val="00BF3113"/>
    <w:rsid w:val="00BF321A"/>
    <w:rsid w:val="00BF331A"/>
    <w:rsid w:val="00BF33DA"/>
    <w:rsid w:val="00BF3426"/>
    <w:rsid w:val="00BF3453"/>
    <w:rsid w:val="00BF3548"/>
    <w:rsid w:val="00BF3568"/>
    <w:rsid w:val="00BF35F6"/>
    <w:rsid w:val="00BF36AF"/>
    <w:rsid w:val="00BF3775"/>
    <w:rsid w:val="00BF38A6"/>
    <w:rsid w:val="00BF39BC"/>
    <w:rsid w:val="00BF3A24"/>
    <w:rsid w:val="00BF3A57"/>
    <w:rsid w:val="00BF3BE1"/>
    <w:rsid w:val="00BF3CEE"/>
    <w:rsid w:val="00BF3F50"/>
    <w:rsid w:val="00BF4235"/>
    <w:rsid w:val="00BF4370"/>
    <w:rsid w:val="00BF442E"/>
    <w:rsid w:val="00BF4529"/>
    <w:rsid w:val="00BF453F"/>
    <w:rsid w:val="00BF4A0A"/>
    <w:rsid w:val="00BF4A47"/>
    <w:rsid w:val="00BF4B43"/>
    <w:rsid w:val="00BF4B92"/>
    <w:rsid w:val="00BF4B99"/>
    <w:rsid w:val="00BF4D89"/>
    <w:rsid w:val="00BF4ED0"/>
    <w:rsid w:val="00BF510C"/>
    <w:rsid w:val="00BF5388"/>
    <w:rsid w:val="00BF5446"/>
    <w:rsid w:val="00BF54E3"/>
    <w:rsid w:val="00BF5514"/>
    <w:rsid w:val="00BF5858"/>
    <w:rsid w:val="00BF58BF"/>
    <w:rsid w:val="00BF591D"/>
    <w:rsid w:val="00BF593F"/>
    <w:rsid w:val="00BF5982"/>
    <w:rsid w:val="00BF5A0C"/>
    <w:rsid w:val="00BF5BB7"/>
    <w:rsid w:val="00BF5CB4"/>
    <w:rsid w:val="00BF5D03"/>
    <w:rsid w:val="00BF5D0F"/>
    <w:rsid w:val="00BF5D4A"/>
    <w:rsid w:val="00BF5DB4"/>
    <w:rsid w:val="00BF6009"/>
    <w:rsid w:val="00BF60ED"/>
    <w:rsid w:val="00BF6124"/>
    <w:rsid w:val="00BF62B5"/>
    <w:rsid w:val="00BF6314"/>
    <w:rsid w:val="00BF64ED"/>
    <w:rsid w:val="00BF6523"/>
    <w:rsid w:val="00BF65F6"/>
    <w:rsid w:val="00BF6750"/>
    <w:rsid w:val="00BF67ED"/>
    <w:rsid w:val="00BF69B5"/>
    <w:rsid w:val="00BF69DC"/>
    <w:rsid w:val="00BF6B97"/>
    <w:rsid w:val="00BF6CDA"/>
    <w:rsid w:val="00BF6D14"/>
    <w:rsid w:val="00BF6E7F"/>
    <w:rsid w:val="00BF6E80"/>
    <w:rsid w:val="00BF6F5E"/>
    <w:rsid w:val="00BF6F7C"/>
    <w:rsid w:val="00BF7048"/>
    <w:rsid w:val="00BF72F1"/>
    <w:rsid w:val="00BF75C4"/>
    <w:rsid w:val="00BF763C"/>
    <w:rsid w:val="00BF7728"/>
    <w:rsid w:val="00BF7762"/>
    <w:rsid w:val="00BF77A1"/>
    <w:rsid w:val="00BF7973"/>
    <w:rsid w:val="00BF798C"/>
    <w:rsid w:val="00BF79C3"/>
    <w:rsid w:val="00BF7AE3"/>
    <w:rsid w:val="00BF7B83"/>
    <w:rsid w:val="00BF7BF9"/>
    <w:rsid w:val="00BF7C4A"/>
    <w:rsid w:val="00BF7D13"/>
    <w:rsid w:val="00BF7D27"/>
    <w:rsid w:val="00BF7F69"/>
    <w:rsid w:val="00BF7F70"/>
    <w:rsid w:val="00BF7FC9"/>
    <w:rsid w:val="00BF8C71"/>
    <w:rsid w:val="00BFA80E"/>
    <w:rsid w:val="00C00010"/>
    <w:rsid w:val="00C00167"/>
    <w:rsid w:val="00C00269"/>
    <w:rsid w:val="00C002E4"/>
    <w:rsid w:val="00C003DE"/>
    <w:rsid w:val="00C00435"/>
    <w:rsid w:val="00C00456"/>
    <w:rsid w:val="00C00558"/>
    <w:rsid w:val="00C00613"/>
    <w:rsid w:val="00C00632"/>
    <w:rsid w:val="00C00772"/>
    <w:rsid w:val="00C00814"/>
    <w:rsid w:val="00C00834"/>
    <w:rsid w:val="00C00845"/>
    <w:rsid w:val="00C00893"/>
    <w:rsid w:val="00C00928"/>
    <w:rsid w:val="00C009AA"/>
    <w:rsid w:val="00C00A7B"/>
    <w:rsid w:val="00C00AA3"/>
    <w:rsid w:val="00C00BB6"/>
    <w:rsid w:val="00C00BD3"/>
    <w:rsid w:val="00C00C73"/>
    <w:rsid w:val="00C00D56"/>
    <w:rsid w:val="00C00F04"/>
    <w:rsid w:val="00C00F45"/>
    <w:rsid w:val="00C0102A"/>
    <w:rsid w:val="00C0109E"/>
    <w:rsid w:val="00C01276"/>
    <w:rsid w:val="00C01341"/>
    <w:rsid w:val="00C01460"/>
    <w:rsid w:val="00C0185A"/>
    <w:rsid w:val="00C018FB"/>
    <w:rsid w:val="00C0191A"/>
    <w:rsid w:val="00C019EC"/>
    <w:rsid w:val="00C01CEF"/>
    <w:rsid w:val="00C01D22"/>
    <w:rsid w:val="00C01D3C"/>
    <w:rsid w:val="00C01DB3"/>
    <w:rsid w:val="00C01E98"/>
    <w:rsid w:val="00C01F17"/>
    <w:rsid w:val="00C02042"/>
    <w:rsid w:val="00C0209C"/>
    <w:rsid w:val="00C02233"/>
    <w:rsid w:val="00C024DA"/>
    <w:rsid w:val="00C02595"/>
    <w:rsid w:val="00C025A8"/>
    <w:rsid w:val="00C02720"/>
    <w:rsid w:val="00C0272E"/>
    <w:rsid w:val="00C028FF"/>
    <w:rsid w:val="00C02A5F"/>
    <w:rsid w:val="00C02C85"/>
    <w:rsid w:val="00C02CC7"/>
    <w:rsid w:val="00C02D6B"/>
    <w:rsid w:val="00C02EAA"/>
    <w:rsid w:val="00C0308D"/>
    <w:rsid w:val="00C0318D"/>
    <w:rsid w:val="00C032FC"/>
    <w:rsid w:val="00C03354"/>
    <w:rsid w:val="00C0338A"/>
    <w:rsid w:val="00C033B2"/>
    <w:rsid w:val="00C033B8"/>
    <w:rsid w:val="00C0343D"/>
    <w:rsid w:val="00C03739"/>
    <w:rsid w:val="00C03883"/>
    <w:rsid w:val="00C03925"/>
    <w:rsid w:val="00C03B6E"/>
    <w:rsid w:val="00C03BBB"/>
    <w:rsid w:val="00C03CE2"/>
    <w:rsid w:val="00C03CEC"/>
    <w:rsid w:val="00C03EA3"/>
    <w:rsid w:val="00C03F06"/>
    <w:rsid w:val="00C03F7E"/>
    <w:rsid w:val="00C0400D"/>
    <w:rsid w:val="00C040D8"/>
    <w:rsid w:val="00C041B3"/>
    <w:rsid w:val="00C04273"/>
    <w:rsid w:val="00C043C2"/>
    <w:rsid w:val="00C043DA"/>
    <w:rsid w:val="00C0446B"/>
    <w:rsid w:val="00C04587"/>
    <w:rsid w:val="00C045DB"/>
    <w:rsid w:val="00C0468E"/>
    <w:rsid w:val="00C046D4"/>
    <w:rsid w:val="00C048CA"/>
    <w:rsid w:val="00C04994"/>
    <w:rsid w:val="00C04B5A"/>
    <w:rsid w:val="00C04BA0"/>
    <w:rsid w:val="00C04C69"/>
    <w:rsid w:val="00C04DD0"/>
    <w:rsid w:val="00C0530D"/>
    <w:rsid w:val="00C05319"/>
    <w:rsid w:val="00C0536A"/>
    <w:rsid w:val="00C053E2"/>
    <w:rsid w:val="00C05405"/>
    <w:rsid w:val="00C054BF"/>
    <w:rsid w:val="00C05562"/>
    <w:rsid w:val="00C05620"/>
    <w:rsid w:val="00C056AB"/>
    <w:rsid w:val="00C056AE"/>
    <w:rsid w:val="00C056E3"/>
    <w:rsid w:val="00C056F9"/>
    <w:rsid w:val="00C05A3A"/>
    <w:rsid w:val="00C05B6F"/>
    <w:rsid w:val="00C05BD6"/>
    <w:rsid w:val="00C05BEE"/>
    <w:rsid w:val="00C05BF6"/>
    <w:rsid w:val="00C05CDE"/>
    <w:rsid w:val="00C05E1F"/>
    <w:rsid w:val="00C05F6B"/>
    <w:rsid w:val="00C060B3"/>
    <w:rsid w:val="00C061D6"/>
    <w:rsid w:val="00C061D8"/>
    <w:rsid w:val="00C0632F"/>
    <w:rsid w:val="00C06347"/>
    <w:rsid w:val="00C06390"/>
    <w:rsid w:val="00C063AA"/>
    <w:rsid w:val="00C063CD"/>
    <w:rsid w:val="00C06535"/>
    <w:rsid w:val="00C06545"/>
    <w:rsid w:val="00C0663D"/>
    <w:rsid w:val="00C06785"/>
    <w:rsid w:val="00C06916"/>
    <w:rsid w:val="00C069F8"/>
    <w:rsid w:val="00C06A7A"/>
    <w:rsid w:val="00C06ADB"/>
    <w:rsid w:val="00C06D25"/>
    <w:rsid w:val="00C06D3C"/>
    <w:rsid w:val="00C06DA6"/>
    <w:rsid w:val="00C0701E"/>
    <w:rsid w:val="00C07020"/>
    <w:rsid w:val="00C07437"/>
    <w:rsid w:val="00C07531"/>
    <w:rsid w:val="00C07574"/>
    <w:rsid w:val="00C07647"/>
    <w:rsid w:val="00C07889"/>
    <w:rsid w:val="00C07A24"/>
    <w:rsid w:val="00C07A27"/>
    <w:rsid w:val="00C07A36"/>
    <w:rsid w:val="00C07B1A"/>
    <w:rsid w:val="00C07C97"/>
    <w:rsid w:val="00C07E81"/>
    <w:rsid w:val="00C07EE5"/>
    <w:rsid w:val="00C0A418"/>
    <w:rsid w:val="00C0DD36"/>
    <w:rsid w:val="00C10187"/>
    <w:rsid w:val="00C10341"/>
    <w:rsid w:val="00C105A1"/>
    <w:rsid w:val="00C10709"/>
    <w:rsid w:val="00C10736"/>
    <w:rsid w:val="00C10837"/>
    <w:rsid w:val="00C10858"/>
    <w:rsid w:val="00C10986"/>
    <w:rsid w:val="00C10A32"/>
    <w:rsid w:val="00C10E62"/>
    <w:rsid w:val="00C10F2D"/>
    <w:rsid w:val="00C10FD9"/>
    <w:rsid w:val="00C11063"/>
    <w:rsid w:val="00C11087"/>
    <w:rsid w:val="00C110D4"/>
    <w:rsid w:val="00C11149"/>
    <w:rsid w:val="00C111BC"/>
    <w:rsid w:val="00C11207"/>
    <w:rsid w:val="00C112C4"/>
    <w:rsid w:val="00C11417"/>
    <w:rsid w:val="00C11428"/>
    <w:rsid w:val="00C11472"/>
    <w:rsid w:val="00C11982"/>
    <w:rsid w:val="00C11A5F"/>
    <w:rsid w:val="00C11A75"/>
    <w:rsid w:val="00C11B1E"/>
    <w:rsid w:val="00C11C24"/>
    <w:rsid w:val="00C11C87"/>
    <w:rsid w:val="00C120C5"/>
    <w:rsid w:val="00C1212B"/>
    <w:rsid w:val="00C12159"/>
    <w:rsid w:val="00C12595"/>
    <w:rsid w:val="00C12678"/>
    <w:rsid w:val="00C127EE"/>
    <w:rsid w:val="00C12919"/>
    <w:rsid w:val="00C1291C"/>
    <w:rsid w:val="00C1296A"/>
    <w:rsid w:val="00C12A89"/>
    <w:rsid w:val="00C12ADA"/>
    <w:rsid w:val="00C12B2B"/>
    <w:rsid w:val="00C12B5A"/>
    <w:rsid w:val="00C12B81"/>
    <w:rsid w:val="00C12BC9"/>
    <w:rsid w:val="00C12C6B"/>
    <w:rsid w:val="00C12CB6"/>
    <w:rsid w:val="00C12D36"/>
    <w:rsid w:val="00C12D4F"/>
    <w:rsid w:val="00C12E36"/>
    <w:rsid w:val="00C12E54"/>
    <w:rsid w:val="00C13015"/>
    <w:rsid w:val="00C13090"/>
    <w:rsid w:val="00C13367"/>
    <w:rsid w:val="00C13403"/>
    <w:rsid w:val="00C13488"/>
    <w:rsid w:val="00C13521"/>
    <w:rsid w:val="00C1359E"/>
    <w:rsid w:val="00C135E2"/>
    <w:rsid w:val="00C13889"/>
    <w:rsid w:val="00C138ED"/>
    <w:rsid w:val="00C13915"/>
    <w:rsid w:val="00C13AE2"/>
    <w:rsid w:val="00C13C63"/>
    <w:rsid w:val="00C13D3A"/>
    <w:rsid w:val="00C13E6E"/>
    <w:rsid w:val="00C13F6B"/>
    <w:rsid w:val="00C13FBB"/>
    <w:rsid w:val="00C1402C"/>
    <w:rsid w:val="00C142CA"/>
    <w:rsid w:val="00C14541"/>
    <w:rsid w:val="00C14995"/>
    <w:rsid w:val="00C14BDE"/>
    <w:rsid w:val="00C14FA4"/>
    <w:rsid w:val="00C1500E"/>
    <w:rsid w:val="00C1509A"/>
    <w:rsid w:val="00C150D6"/>
    <w:rsid w:val="00C15155"/>
    <w:rsid w:val="00C1525A"/>
    <w:rsid w:val="00C1574D"/>
    <w:rsid w:val="00C157C9"/>
    <w:rsid w:val="00C15855"/>
    <w:rsid w:val="00C15926"/>
    <w:rsid w:val="00C15A8A"/>
    <w:rsid w:val="00C15B9C"/>
    <w:rsid w:val="00C15C6A"/>
    <w:rsid w:val="00C15DA7"/>
    <w:rsid w:val="00C15E51"/>
    <w:rsid w:val="00C160F4"/>
    <w:rsid w:val="00C1613C"/>
    <w:rsid w:val="00C1614C"/>
    <w:rsid w:val="00C161A3"/>
    <w:rsid w:val="00C161E9"/>
    <w:rsid w:val="00C165BB"/>
    <w:rsid w:val="00C167C9"/>
    <w:rsid w:val="00C1696A"/>
    <w:rsid w:val="00C16A27"/>
    <w:rsid w:val="00C16B18"/>
    <w:rsid w:val="00C16B1B"/>
    <w:rsid w:val="00C16B4E"/>
    <w:rsid w:val="00C16CC4"/>
    <w:rsid w:val="00C16D5D"/>
    <w:rsid w:val="00C16EEF"/>
    <w:rsid w:val="00C16F2B"/>
    <w:rsid w:val="00C17165"/>
    <w:rsid w:val="00C1739D"/>
    <w:rsid w:val="00C17410"/>
    <w:rsid w:val="00C1768D"/>
    <w:rsid w:val="00C17849"/>
    <w:rsid w:val="00C17981"/>
    <w:rsid w:val="00C17A06"/>
    <w:rsid w:val="00C17A55"/>
    <w:rsid w:val="00C17ADC"/>
    <w:rsid w:val="00C17B95"/>
    <w:rsid w:val="00C17BBB"/>
    <w:rsid w:val="00C17C0F"/>
    <w:rsid w:val="00C17DE7"/>
    <w:rsid w:val="00C17EC3"/>
    <w:rsid w:val="00C17F12"/>
    <w:rsid w:val="00C19F74"/>
    <w:rsid w:val="00C20017"/>
    <w:rsid w:val="00C20254"/>
    <w:rsid w:val="00C203D9"/>
    <w:rsid w:val="00C20539"/>
    <w:rsid w:val="00C206C2"/>
    <w:rsid w:val="00C2081F"/>
    <w:rsid w:val="00C20826"/>
    <w:rsid w:val="00C2084E"/>
    <w:rsid w:val="00C20B18"/>
    <w:rsid w:val="00C20B30"/>
    <w:rsid w:val="00C20B58"/>
    <w:rsid w:val="00C20C64"/>
    <w:rsid w:val="00C20CE8"/>
    <w:rsid w:val="00C20DE5"/>
    <w:rsid w:val="00C20EA2"/>
    <w:rsid w:val="00C211B7"/>
    <w:rsid w:val="00C21227"/>
    <w:rsid w:val="00C2132B"/>
    <w:rsid w:val="00C213A1"/>
    <w:rsid w:val="00C2193F"/>
    <w:rsid w:val="00C21A10"/>
    <w:rsid w:val="00C21AC9"/>
    <w:rsid w:val="00C21B80"/>
    <w:rsid w:val="00C21CC5"/>
    <w:rsid w:val="00C21CDC"/>
    <w:rsid w:val="00C21DFE"/>
    <w:rsid w:val="00C21EA3"/>
    <w:rsid w:val="00C22273"/>
    <w:rsid w:val="00C222A1"/>
    <w:rsid w:val="00C22671"/>
    <w:rsid w:val="00C226F7"/>
    <w:rsid w:val="00C22889"/>
    <w:rsid w:val="00C22A0B"/>
    <w:rsid w:val="00C23161"/>
    <w:rsid w:val="00C23264"/>
    <w:rsid w:val="00C233AF"/>
    <w:rsid w:val="00C233BA"/>
    <w:rsid w:val="00C23681"/>
    <w:rsid w:val="00C237E5"/>
    <w:rsid w:val="00C23863"/>
    <w:rsid w:val="00C23898"/>
    <w:rsid w:val="00C2391C"/>
    <w:rsid w:val="00C23FAA"/>
    <w:rsid w:val="00C241CD"/>
    <w:rsid w:val="00C24332"/>
    <w:rsid w:val="00C2434E"/>
    <w:rsid w:val="00C246EC"/>
    <w:rsid w:val="00C247EE"/>
    <w:rsid w:val="00C249E0"/>
    <w:rsid w:val="00C24B40"/>
    <w:rsid w:val="00C24C79"/>
    <w:rsid w:val="00C24CF0"/>
    <w:rsid w:val="00C24E0D"/>
    <w:rsid w:val="00C24E2C"/>
    <w:rsid w:val="00C24FA2"/>
    <w:rsid w:val="00C25267"/>
    <w:rsid w:val="00C252BD"/>
    <w:rsid w:val="00C25713"/>
    <w:rsid w:val="00C257B4"/>
    <w:rsid w:val="00C257C4"/>
    <w:rsid w:val="00C25A32"/>
    <w:rsid w:val="00C25B3A"/>
    <w:rsid w:val="00C25D7D"/>
    <w:rsid w:val="00C25E09"/>
    <w:rsid w:val="00C25E13"/>
    <w:rsid w:val="00C2600E"/>
    <w:rsid w:val="00C2650F"/>
    <w:rsid w:val="00C26765"/>
    <w:rsid w:val="00C26886"/>
    <w:rsid w:val="00C2694C"/>
    <w:rsid w:val="00C26C8F"/>
    <w:rsid w:val="00C26D86"/>
    <w:rsid w:val="00C26DB6"/>
    <w:rsid w:val="00C26EAF"/>
    <w:rsid w:val="00C26F05"/>
    <w:rsid w:val="00C26F6F"/>
    <w:rsid w:val="00C270E7"/>
    <w:rsid w:val="00C272FA"/>
    <w:rsid w:val="00C274CA"/>
    <w:rsid w:val="00C276B1"/>
    <w:rsid w:val="00C277B5"/>
    <w:rsid w:val="00C27899"/>
    <w:rsid w:val="00C27B15"/>
    <w:rsid w:val="00C27BB2"/>
    <w:rsid w:val="00C27BF0"/>
    <w:rsid w:val="00C27CC8"/>
    <w:rsid w:val="00C27D7F"/>
    <w:rsid w:val="00C27DA6"/>
    <w:rsid w:val="00C30113"/>
    <w:rsid w:val="00C302A7"/>
    <w:rsid w:val="00C303F7"/>
    <w:rsid w:val="00C3045E"/>
    <w:rsid w:val="00C30579"/>
    <w:rsid w:val="00C307E8"/>
    <w:rsid w:val="00C3087A"/>
    <w:rsid w:val="00C30885"/>
    <w:rsid w:val="00C30A22"/>
    <w:rsid w:val="00C30A52"/>
    <w:rsid w:val="00C30BDC"/>
    <w:rsid w:val="00C30C84"/>
    <w:rsid w:val="00C30E9B"/>
    <w:rsid w:val="00C31001"/>
    <w:rsid w:val="00C3105D"/>
    <w:rsid w:val="00C310EA"/>
    <w:rsid w:val="00C311BD"/>
    <w:rsid w:val="00C3142E"/>
    <w:rsid w:val="00C314C1"/>
    <w:rsid w:val="00C31519"/>
    <w:rsid w:val="00C31619"/>
    <w:rsid w:val="00C3161A"/>
    <w:rsid w:val="00C31638"/>
    <w:rsid w:val="00C3181B"/>
    <w:rsid w:val="00C31825"/>
    <w:rsid w:val="00C31941"/>
    <w:rsid w:val="00C31B58"/>
    <w:rsid w:val="00C31E79"/>
    <w:rsid w:val="00C31E81"/>
    <w:rsid w:val="00C31FAE"/>
    <w:rsid w:val="00C321BF"/>
    <w:rsid w:val="00C321C3"/>
    <w:rsid w:val="00C32223"/>
    <w:rsid w:val="00C3229D"/>
    <w:rsid w:val="00C32349"/>
    <w:rsid w:val="00C32410"/>
    <w:rsid w:val="00C3244D"/>
    <w:rsid w:val="00C32453"/>
    <w:rsid w:val="00C326C8"/>
    <w:rsid w:val="00C3272C"/>
    <w:rsid w:val="00C3273A"/>
    <w:rsid w:val="00C32870"/>
    <w:rsid w:val="00C3291B"/>
    <w:rsid w:val="00C329B2"/>
    <w:rsid w:val="00C32A40"/>
    <w:rsid w:val="00C32A6E"/>
    <w:rsid w:val="00C32B42"/>
    <w:rsid w:val="00C32B78"/>
    <w:rsid w:val="00C32CA3"/>
    <w:rsid w:val="00C32E5D"/>
    <w:rsid w:val="00C32F88"/>
    <w:rsid w:val="00C3300F"/>
    <w:rsid w:val="00C33054"/>
    <w:rsid w:val="00C33203"/>
    <w:rsid w:val="00C3365A"/>
    <w:rsid w:val="00C3367C"/>
    <w:rsid w:val="00C336C8"/>
    <w:rsid w:val="00C33869"/>
    <w:rsid w:val="00C339FD"/>
    <w:rsid w:val="00C33A34"/>
    <w:rsid w:val="00C33B2B"/>
    <w:rsid w:val="00C33B33"/>
    <w:rsid w:val="00C33D57"/>
    <w:rsid w:val="00C33D7E"/>
    <w:rsid w:val="00C33F21"/>
    <w:rsid w:val="00C33F4E"/>
    <w:rsid w:val="00C33F8D"/>
    <w:rsid w:val="00C34027"/>
    <w:rsid w:val="00C34088"/>
    <w:rsid w:val="00C34151"/>
    <w:rsid w:val="00C343E3"/>
    <w:rsid w:val="00C345FB"/>
    <w:rsid w:val="00C347FD"/>
    <w:rsid w:val="00C3485D"/>
    <w:rsid w:val="00C3485E"/>
    <w:rsid w:val="00C3490D"/>
    <w:rsid w:val="00C34988"/>
    <w:rsid w:val="00C34A13"/>
    <w:rsid w:val="00C34BA8"/>
    <w:rsid w:val="00C34C45"/>
    <w:rsid w:val="00C34D76"/>
    <w:rsid w:val="00C34DF4"/>
    <w:rsid w:val="00C34E28"/>
    <w:rsid w:val="00C34E63"/>
    <w:rsid w:val="00C34E89"/>
    <w:rsid w:val="00C34F97"/>
    <w:rsid w:val="00C34FDB"/>
    <w:rsid w:val="00C350E7"/>
    <w:rsid w:val="00C352C2"/>
    <w:rsid w:val="00C3533E"/>
    <w:rsid w:val="00C353CB"/>
    <w:rsid w:val="00C354D7"/>
    <w:rsid w:val="00C35510"/>
    <w:rsid w:val="00C35758"/>
    <w:rsid w:val="00C357CC"/>
    <w:rsid w:val="00C3589E"/>
    <w:rsid w:val="00C3591E"/>
    <w:rsid w:val="00C359F3"/>
    <w:rsid w:val="00C35A31"/>
    <w:rsid w:val="00C35B11"/>
    <w:rsid w:val="00C35BD8"/>
    <w:rsid w:val="00C35DA0"/>
    <w:rsid w:val="00C35E10"/>
    <w:rsid w:val="00C35E84"/>
    <w:rsid w:val="00C35EAB"/>
    <w:rsid w:val="00C35EC8"/>
    <w:rsid w:val="00C35F4D"/>
    <w:rsid w:val="00C36051"/>
    <w:rsid w:val="00C36055"/>
    <w:rsid w:val="00C36675"/>
    <w:rsid w:val="00C3682E"/>
    <w:rsid w:val="00C3689E"/>
    <w:rsid w:val="00C36A81"/>
    <w:rsid w:val="00C36A90"/>
    <w:rsid w:val="00C36D76"/>
    <w:rsid w:val="00C36E3D"/>
    <w:rsid w:val="00C3712F"/>
    <w:rsid w:val="00C371A5"/>
    <w:rsid w:val="00C3736E"/>
    <w:rsid w:val="00C373D9"/>
    <w:rsid w:val="00C3743D"/>
    <w:rsid w:val="00C37548"/>
    <w:rsid w:val="00C37596"/>
    <w:rsid w:val="00C376A3"/>
    <w:rsid w:val="00C37762"/>
    <w:rsid w:val="00C37799"/>
    <w:rsid w:val="00C377DE"/>
    <w:rsid w:val="00C379D7"/>
    <w:rsid w:val="00C37A53"/>
    <w:rsid w:val="00C37D5D"/>
    <w:rsid w:val="00C37D92"/>
    <w:rsid w:val="00C37DA6"/>
    <w:rsid w:val="00C37E52"/>
    <w:rsid w:val="00C37E64"/>
    <w:rsid w:val="00C37E8E"/>
    <w:rsid w:val="00C37EB2"/>
    <w:rsid w:val="00C37F6C"/>
    <w:rsid w:val="00C3B86E"/>
    <w:rsid w:val="00C40094"/>
    <w:rsid w:val="00C4017C"/>
    <w:rsid w:val="00C401E7"/>
    <w:rsid w:val="00C40236"/>
    <w:rsid w:val="00C40335"/>
    <w:rsid w:val="00C4051B"/>
    <w:rsid w:val="00C40578"/>
    <w:rsid w:val="00C40594"/>
    <w:rsid w:val="00C40624"/>
    <w:rsid w:val="00C406B5"/>
    <w:rsid w:val="00C40703"/>
    <w:rsid w:val="00C40734"/>
    <w:rsid w:val="00C40761"/>
    <w:rsid w:val="00C4093A"/>
    <w:rsid w:val="00C40996"/>
    <w:rsid w:val="00C409C3"/>
    <w:rsid w:val="00C409D2"/>
    <w:rsid w:val="00C40B3E"/>
    <w:rsid w:val="00C40BA5"/>
    <w:rsid w:val="00C40C0E"/>
    <w:rsid w:val="00C40C6B"/>
    <w:rsid w:val="00C40CE0"/>
    <w:rsid w:val="00C40ED9"/>
    <w:rsid w:val="00C40FCA"/>
    <w:rsid w:val="00C41056"/>
    <w:rsid w:val="00C411D7"/>
    <w:rsid w:val="00C411F5"/>
    <w:rsid w:val="00C41380"/>
    <w:rsid w:val="00C4142D"/>
    <w:rsid w:val="00C414F9"/>
    <w:rsid w:val="00C414FA"/>
    <w:rsid w:val="00C416E8"/>
    <w:rsid w:val="00C4188E"/>
    <w:rsid w:val="00C41966"/>
    <w:rsid w:val="00C41AB9"/>
    <w:rsid w:val="00C41AFD"/>
    <w:rsid w:val="00C41CBC"/>
    <w:rsid w:val="00C41CC3"/>
    <w:rsid w:val="00C41D11"/>
    <w:rsid w:val="00C421FC"/>
    <w:rsid w:val="00C42202"/>
    <w:rsid w:val="00C42302"/>
    <w:rsid w:val="00C42318"/>
    <w:rsid w:val="00C424F5"/>
    <w:rsid w:val="00C42681"/>
    <w:rsid w:val="00C426B2"/>
    <w:rsid w:val="00C42790"/>
    <w:rsid w:val="00C428B3"/>
    <w:rsid w:val="00C42A6E"/>
    <w:rsid w:val="00C42E2A"/>
    <w:rsid w:val="00C42FCB"/>
    <w:rsid w:val="00C434E2"/>
    <w:rsid w:val="00C4368D"/>
    <w:rsid w:val="00C436D0"/>
    <w:rsid w:val="00C4375A"/>
    <w:rsid w:val="00C4388B"/>
    <w:rsid w:val="00C43898"/>
    <w:rsid w:val="00C43A21"/>
    <w:rsid w:val="00C43CAC"/>
    <w:rsid w:val="00C43E00"/>
    <w:rsid w:val="00C43E90"/>
    <w:rsid w:val="00C44205"/>
    <w:rsid w:val="00C4421B"/>
    <w:rsid w:val="00C44256"/>
    <w:rsid w:val="00C4438D"/>
    <w:rsid w:val="00C44433"/>
    <w:rsid w:val="00C4448C"/>
    <w:rsid w:val="00C444B7"/>
    <w:rsid w:val="00C4468C"/>
    <w:rsid w:val="00C4476D"/>
    <w:rsid w:val="00C4488C"/>
    <w:rsid w:val="00C4495B"/>
    <w:rsid w:val="00C449A9"/>
    <w:rsid w:val="00C44A0A"/>
    <w:rsid w:val="00C44B3A"/>
    <w:rsid w:val="00C44CB3"/>
    <w:rsid w:val="00C44D80"/>
    <w:rsid w:val="00C44DC2"/>
    <w:rsid w:val="00C44DD8"/>
    <w:rsid w:val="00C44DEC"/>
    <w:rsid w:val="00C44F13"/>
    <w:rsid w:val="00C44FF5"/>
    <w:rsid w:val="00C45007"/>
    <w:rsid w:val="00C45018"/>
    <w:rsid w:val="00C4512F"/>
    <w:rsid w:val="00C452AC"/>
    <w:rsid w:val="00C45325"/>
    <w:rsid w:val="00C453F6"/>
    <w:rsid w:val="00C45482"/>
    <w:rsid w:val="00C455F8"/>
    <w:rsid w:val="00C45605"/>
    <w:rsid w:val="00C45AF3"/>
    <w:rsid w:val="00C45B1D"/>
    <w:rsid w:val="00C45E23"/>
    <w:rsid w:val="00C45E40"/>
    <w:rsid w:val="00C45E5C"/>
    <w:rsid w:val="00C4608C"/>
    <w:rsid w:val="00C4612B"/>
    <w:rsid w:val="00C46245"/>
    <w:rsid w:val="00C46260"/>
    <w:rsid w:val="00C46304"/>
    <w:rsid w:val="00C4640F"/>
    <w:rsid w:val="00C46534"/>
    <w:rsid w:val="00C46592"/>
    <w:rsid w:val="00C465A5"/>
    <w:rsid w:val="00C46725"/>
    <w:rsid w:val="00C4690C"/>
    <w:rsid w:val="00C469A0"/>
    <w:rsid w:val="00C469BA"/>
    <w:rsid w:val="00C469EF"/>
    <w:rsid w:val="00C46BB0"/>
    <w:rsid w:val="00C46BE7"/>
    <w:rsid w:val="00C46C30"/>
    <w:rsid w:val="00C46CD4"/>
    <w:rsid w:val="00C46D15"/>
    <w:rsid w:val="00C46E1C"/>
    <w:rsid w:val="00C46EA9"/>
    <w:rsid w:val="00C46EF8"/>
    <w:rsid w:val="00C46FFC"/>
    <w:rsid w:val="00C47103"/>
    <w:rsid w:val="00C4715A"/>
    <w:rsid w:val="00C4716C"/>
    <w:rsid w:val="00C4727E"/>
    <w:rsid w:val="00C47400"/>
    <w:rsid w:val="00C474BD"/>
    <w:rsid w:val="00C4750C"/>
    <w:rsid w:val="00C476D1"/>
    <w:rsid w:val="00C47711"/>
    <w:rsid w:val="00C4772F"/>
    <w:rsid w:val="00C47748"/>
    <w:rsid w:val="00C47840"/>
    <w:rsid w:val="00C47A54"/>
    <w:rsid w:val="00C47BFB"/>
    <w:rsid w:val="00C47C05"/>
    <w:rsid w:val="00C47E13"/>
    <w:rsid w:val="00C47E52"/>
    <w:rsid w:val="00C47E57"/>
    <w:rsid w:val="00C47F9C"/>
    <w:rsid w:val="00C4F9EF"/>
    <w:rsid w:val="00C500A2"/>
    <w:rsid w:val="00C50133"/>
    <w:rsid w:val="00C50180"/>
    <w:rsid w:val="00C5024C"/>
    <w:rsid w:val="00C502BB"/>
    <w:rsid w:val="00C5037D"/>
    <w:rsid w:val="00C50509"/>
    <w:rsid w:val="00C505B2"/>
    <w:rsid w:val="00C509AD"/>
    <w:rsid w:val="00C50B1D"/>
    <w:rsid w:val="00C50BD0"/>
    <w:rsid w:val="00C50BEE"/>
    <w:rsid w:val="00C50C0D"/>
    <w:rsid w:val="00C50C16"/>
    <w:rsid w:val="00C50CAA"/>
    <w:rsid w:val="00C50E9E"/>
    <w:rsid w:val="00C50F13"/>
    <w:rsid w:val="00C50F1E"/>
    <w:rsid w:val="00C50FC6"/>
    <w:rsid w:val="00C50FF5"/>
    <w:rsid w:val="00C51054"/>
    <w:rsid w:val="00C5125D"/>
    <w:rsid w:val="00C5149D"/>
    <w:rsid w:val="00C514FD"/>
    <w:rsid w:val="00C51515"/>
    <w:rsid w:val="00C5163F"/>
    <w:rsid w:val="00C516F3"/>
    <w:rsid w:val="00C51864"/>
    <w:rsid w:val="00C51A68"/>
    <w:rsid w:val="00C51B89"/>
    <w:rsid w:val="00C51BD2"/>
    <w:rsid w:val="00C51BF1"/>
    <w:rsid w:val="00C51C91"/>
    <w:rsid w:val="00C51F60"/>
    <w:rsid w:val="00C520D5"/>
    <w:rsid w:val="00C52123"/>
    <w:rsid w:val="00C5217B"/>
    <w:rsid w:val="00C5223B"/>
    <w:rsid w:val="00C5233F"/>
    <w:rsid w:val="00C52381"/>
    <w:rsid w:val="00C523BF"/>
    <w:rsid w:val="00C52453"/>
    <w:rsid w:val="00C52462"/>
    <w:rsid w:val="00C524A5"/>
    <w:rsid w:val="00C5262F"/>
    <w:rsid w:val="00C5267F"/>
    <w:rsid w:val="00C52A57"/>
    <w:rsid w:val="00C52C5D"/>
    <w:rsid w:val="00C52DEF"/>
    <w:rsid w:val="00C52E02"/>
    <w:rsid w:val="00C52EE8"/>
    <w:rsid w:val="00C52F9D"/>
    <w:rsid w:val="00C531EF"/>
    <w:rsid w:val="00C53329"/>
    <w:rsid w:val="00C53387"/>
    <w:rsid w:val="00C53432"/>
    <w:rsid w:val="00C5369A"/>
    <w:rsid w:val="00C536BB"/>
    <w:rsid w:val="00C5373D"/>
    <w:rsid w:val="00C53769"/>
    <w:rsid w:val="00C537EE"/>
    <w:rsid w:val="00C53836"/>
    <w:rsid w:val="00C538A2"/>
    <w:rsid w:val="00C538EE"/>
    <w:rsid w:val="00C5393B"/>
    <w:rsid w:val="00C5394D"/>
    <w:rsid w:val="00C53AE3"/>
    <w:rsid w:val="00C53CEC"/>
    <w:rsid w:val="00C53F43"/>
    <w:rsid w:val="00C53F5C"/>
    <w:rsid w:val="00C54132"/>
    <w:rsid w:val="00C541A5"/>
    <w:rsid w:val="00C54297"/>
    <w:rsid w:val="00C545A9"/>
    <w:rsid w:val="00C5478D"/>
    <w:rsid w:val="00C5485B"/>
    <w:rsid w:val="00C54915"/>
    <w:rsid w:val="00C54947"/>
    <w:rsid w:val="00C549F1"/>
    <w:rsid w:val="00C54B67"/>
    <w:rsid w:val="00C54B84"/>
    <w:rsid w:val="00C54CD9"/>
    <w:rsid w:val="00C54E7B"/>
    <w:rsid w:val="00C54F50"/>
    <w:rsid w:val="00C54F90"/>
    <w:rsid w:val="00C550FF"/>
    <w:rsid w:val="00C5514A"/>
    <w:rsid w:val="00C552EF"/>
    <w:rsid w:val="00C553C2"/>
    <w:rsid w:val="00C55442"/>
    <w:rsid w:val="00C55557"/>
    <w:rsid w:val="00C556D7"/>
    <w:rsid w:val="00C55863"/>
    <w:rsid w:val="00C5590E"/>
    <w:rsid w:val="00C5597B"/>
    <w:rsid w:val="00C5597D"/>
    <w:rsid w:val="00C559D6"/>
    <w:rsid w:val="00C559E8"/>
    <w:rsid w:val="00C55B6E"/>
    <w:rsid w:val="00C55BC6"/>
    <w:rsid w:val="00C55BC9"/>
    <w:rsid w:val="00C55C47"/>
    <w:rsid w:val="00C55EAF"/>
    <w:rsid w:val="00C55EF2"/>
    <w:rsid w:val="00C560B7"/>
    <w:rsid w:val="00C561F7"/>
    <w:rsid w:val="00C56237"/>
    <w:rsid w:val="00C562C9"/>
    <w:rsid w:val="00C563B9"/>
    <w:rsid w:val="00C563F4"/>
    <w:rsid w:val="00C5643A"/>
    <w:rsid w:val="00C565BB"/>
    <w:rsid w:val="00C56606"/>
    <w:rsid w:val="00C56669"/>
    <w:rsid w:val="00C566B7"/>
    <w:rsid w:val="00C566F5"/>
    <w:rsid w:val="00C56940"/>
    <w:rsid w:val="00C56A0D"/>
    <w:rsid w:val="00C56A1D"/>
    <w:rsid w:val="00C56B9D"/>
    <w:rsid w:val="00C56C5B"/>
    <w:rsid w:val="00C56D96"/>
    <w:rsid w:val="00C56DD8"/>
    <w:rsid w:val="00C57281"/>
    <w:rsid w:val="00C57298"/>
    <w:rsid w:val="00C572BC"/>
    <w:rsid w:val="00C572DD"/>
    <w:rsid w:val="00C572F2"/>
    <w:rsid w:val="00C5734C"/>
    <w:rsid w:val="00C57370"/>
    <w:rsid w:val="00C57426"/>
    <w:rsid w:val="00C57470"/>
    <w:rsid w:val="00C574A2"/>
    <w:rsid w:val="00C57503"/>
    <w:rsid w:val="00C576AE"/>
    <w:rsid w:val="00C576B2"/>
    <w:rsid w:val="00C579E4"/>
    <w:rsid w:val="00C57A9D"/>
    <w:rsid w:val="00C57B10"/>
    <w:rsid w:val="00C57B38"/>
    <w:rsid w:val="00C57C5E"/>
    <w:rsid w:val="00C57CF7"/>
    <w:rsid w:val="00C57CF8"/>
    <w:rsid w:val="00C57F70"/>
    <w:rsid w:val="00C57F86"/>
    <w:rsid w:val="00C57FAE"/>
    <w:rsid w:val="00C5FC05"/>
    <w:rsid w:val="00C600BB"/>
    <w:rsid w:val="00C60136"/>
    <w:rsid w:val="00C6019A"/>
    <w:rsid w:val="00C6029E"/>
    <w:rsid w:val="00C603F3"/>
    <w:rsid w:val="00C60472"/>
    <w:rsid w:val="00C6057A"/>
    <w:rsid w:val="00C605D9"/>
    <w:rsid w:val="00C608E3"/>
    <w:rsid w:val="00C60C63"/>
    <w:rsid w:val="00C60DE2"/>
    <w:rsid w:val="00C60DEE"/>
    <w:rsid w:val="00C60DF0"/>
    <w:rsid w:val="00C6100E"/>
    <w:rsid w:val="00C611E0"/>
    <w:rsid w:val="00C61289"/>
    <w:rsid w:val="00C6132D"/>
    <w:rsid w:val="00C613C1"/>
    <w:rsid w:val="00C614BB"/>
    <w:rsid w:val="00C61655"/>
    <w:rsid w:val="00C616CA"/>
    <w:rsid w:val="00C617E0"/>
    <w:rsid w:val="00C61AEE"/>
    <w:rsid w:val="00C61B60"/>
    <w:rsid w:val="00C61BD5"/>
    <w:rsid w:val="00C61EFB"/>
    <w:rsid w:val="00C61FE9"/>
    <w:rsid w:val="00C62017"/>
    <w:rsid w:val="00C62043"/>
    <w:rsid w:val="00C62084"/>
    <w:rsid w:val="00C62122"/>
    <w:rsid w:val="00C62281"/>
    <w:rsid w:val="00C622B3"/>
    <w:rsid w:val="00C62666"/>
    <w:rsid w:val="00C62756"/>
    <w:rsid w:val="00C62869"/>
    <w:rsid w:val="00C628D0"/>
    <w:rsid w:val="00C628E9"/>
    <w:rsid w:val="00C62A0F"/>
    <w:rsid w:val="00C62A5C"/>
    <w:rsid w:val="00C62ABD"/>
    <w:rsid w:val="00C62D07"/>
    <w:rsid w:val="00C62D0E"/>
    <w:rsid w:val="00C62D56"/>
    <w:rsid w:val="00C62FCA"/>
    <w:rsid w:val="00C63088"/>
    <w:rsid w:val="00C63124"/>
    <w:rsid w:val="00C632E6"/>
    <w:rsid w:val="00C63305"/>
    <w:rsid w:val="00C633AB"/>
    <w:rsid w:val="00C6342D"/>
    <w:rsid w:val="00C6343E"/>
    <w:rsid w:val="00C63497"/>
    <w:rsid w:val="00C634F4"/>
    <w:rsid w:val="00C63508"/>
    <w:rsid w:val="00C6397D"/>
    <w:rsid w:val="00C63AE0"/>
    <w:rsid w:val="00C63B85"/>
    <w:rsid w:val="00C63CF3"/>
    <w:rsid w:val="00C63E05"/>
    <w:rsid w:val="00C63F1B"/>
    <w:rsid w:val="00C6409D"/>
    <w:rsid w:val="00C640A2"/>
    <w:rsid w:val="00C64465"/>
    <w:rsid w:val="00C6446E"/>
    <w:rsid w:val="00C6462B"/>
    <w:rsid w:val="00C64667"/>
    <w:rsid w:val="00C6471A"/>
    <w:rsid w:val="00C64816"/>
    <w:rsid w:val="00C64939"/>
    <w:rsid w:val="00C64953"/>
    <w:rsid w:val="00C6497C"/>
    <w:rsid w:val="00C649EB"/>
    <w:rsid w:val="00C64AA3"/>
    <w:rsid w:val="00C64AB2"/>
    <w:rsid w:val="00C64BA4"/>
    <w:rsid w:val="00C64BFD"/>
    <w:rsid w:val="00C64C41"/>
    <w:rsid w:val="00C64E4B"/>
    <w:rsid w:val="00C64E74"/>
    <w:rsid w:val="00C64ED9"/>
    <w:rsid w:val="00C64FF9"/>
    <w:rsid w:val="00C65005"/>
    <w:rsid w:val="00C65308"/>
    <w:rsid w:val="00C65378"/>
    <w:rsid w:val="00C654E0"/>
    <w:rsid w:val="00C654FB"/>
    <w:rsid w:val="00C65537"/>
    <w:rsid w:val="00C6555B"/>
    <w:rsid w:val="00C65584"/>
    <w:rsid w:val="00C65630"/>
    <w:rsid w:val="00C659FE"/>
    <w:rsid w:val="00C65C27"/>
    <w:rsid w:val="00C65C43"/>
    <w:rsid w:val="00C65C9B"/>
    <w:rsid w:val="00C65D72"/>
    <w:rsid w:val="00C65F62"/>
    <w:rsid w:val="00C66198"/>
    <w:rsid w:val="00C662DD"/>
    <w:rsid w:val="00C6631F"/>
    <w:rsid w:val="00C66441"/>
    <w:rsid w:val="00C66509"/>
    <w:rsid w:val="00C667B6"/>
    <w:rsid w:val="00C667D4"/>
    <w:rsid w:val="00C66825"/>
    <w:rsid w:val="00C6698A"/>
    <w:rsid w:val="00C66CBC"/>
    <w:rsid w:val="00C66CD3"/>
    <w:rsid w:val="00C66D2B"/>
    <w:rsid w:val="00C66DA9"/>
    <w:rsid w:val="00C66F80"/>
    <w:rsid w:val="00C6702E"/>
    <w:rsid w:val="00C67191"/>
    <w:rsid w:val="00C675AC"/>
    <w:rsid w:val="00C678E6"/>
    <w:rsid w:val="00C67910"/>
    <w:rsid w:val="00C679A0"/>
    <w:rsid w:val="00C67A0B"/>
    <w:rsid w:val="00C67A23"/>
    <w:rsid w:val="00C67B95"/>
    <w:rsid w:val="00C67C5C"/>
    <w:rsid w:val="00C67CFE"/>
    <w:rsid w:val="00C67E3D"/>
    <w:rsid w:val="00C67F01"/>
    <w:rsid w:val="00C67F0B"/>
    <w:rsid w:val="00C67F23"/>
    <w:rsid w:val="00C6C2E2"/>
    <w:rsid w:val="00C70042"/>
    <w:rsid w:val="00C700BB"/>
    <w:rsid w:val="00C704F8"/>
    <w:rsid w:val="00C70650"/>
    <w:rsid w:val="00C7070E"/>
    <w:rsid w:val="00C70990"/>
    <w:rsid w:val="00C709CD"/>
    <w:rsid w:val="00C70A85"/>
    <w:rsid w:val="00C70B2F"/>
    <w:rsid w:val="00C70D40"/>
    <w:rsid w:val="00C70D50"/>
    <w:rsid w:val="00C7118E"/>
    <w:rsid w:val="00C711FD"/>
    <w:rsid w:val="00C71279"/>
    <w:rsid w:val="00C7131F"/>
    <w:rsid w:val="00C71573"/>
    <w:rsid w:val="00C715EB"/>
    <w:rsid w:val="00C7177A"/>
    <w:rsid w:val="00C7186B"/>
    <w:rsid w:val="00C7193D"/>
    <w:rsid w:val="00C71990"/>
    <w:rsid w:val="00C71A24"/>
    <w:rsid w:val="00C71B2B"/>
    <w:rsid w:val="00C71B50"/>
    <w:rsid w:val="00C71DD7"/>
    <w:rsid w:val="00C71E9B"/>
    <w:rsid w:val="00C71EC9"/>
    <w:rsid w:val="00C71F86"/>
    <w:rsid w:val="00C71FDF"/>
    <w:rsid w:val="00C71FEF"/>
    <w:rsid w:val="00C72060"/>
    <w:rsid w:val="00C72089"/>
    <w:rsid w:val="00C723E5"/>
    <w:rsid w:val="00C72427"/>
    <w:rsid w:val="00C7247C"/>
    <w:rsid w:val="00C7269E"/>
    <w:rsid w:val="00C726AA"/>
    <w:rsid w:val="00C726FC"/>
    <w:rsid w:val="00C7272E"/>
    <w:rsid w:val="00C7279F"/>
    <w:rsid w:val="00C728A0"/>
    <w:rsid w:val="00C72A8A"/>
    <w:rsid w:val="00C72D75"/>
    <w:rsid w:val="00C72E60"/>
    <w:rsid w:val="00C72FAC"/>
    <w:rsid w:val="00C730F8"/>
    <w:rsid w:val="00C731DC"/>
    <w:rsid w:val="00C73329"/>
    <w:rsid w:val="00C7355A"/>
    <w:rsid w:val="00C736E9"/>
    <w:rsid w:val="00C738B3"/>
    <w:rsid w:val="00C7390E"/>
    <w:rsid w:val="00C7394A"/>
    <w:rsid w:val="00C73991"/>
    <w:rsid w:val="00C739B3"/>
    <w:rsid w:val="00C73E17"/>
    <w:rsid w:val="00C73ECB"/>
    <w:rsid w:val="00C73F02"/>
    <w:rsid w:val="00C74004"/>
    <w:rsid w:val="00C74009"/>
    <w:rsid w:val="00C74111"/>
    <w:rsid w:val="00C74218"/>
    <w:rsid w:val="00C742D4"/>
    <w:rsid w:val="00C743D6"/>
    <w:rsid w:val="00C7475B"/>
    <w:rsid w:val="00C74895"/>
    <w:rsid w:val="00C74CD5"/>
    <w:rsid w:val="00C74CDD"/>
    <w:rsid w:val="00C74CFD"/>
    <w:rsid w:val="00C74D58"/>
    <w:rsid w:val="00C74D9A"/>
    <w:rsid w:val="00C74DCC"/>
    <w:rsid w:val="00C75156"/>
    <w:rsid w:val="00C751BC"/>
    <w:rsid w:val="00C752A1"/>
    <w:rsid w:val="00C7543B"/>
    <w:rsid w:val="00C7544F"/>
    <w:rsid w:val="00C75644"/>
    <w:rsid w:val="00C7569B"/>
    <w:rsid w:val="00C75949"/>
    <w:rsid w:val="00C759C8"/>
    <w:rsid w:val="00C75D1B"/>
    <w:rsid w:val="00C75D8A"/>
    <w:rsid w:val="00C75FC2"/>
    <w:rsid w:val="00C7604A"/>
    <w:rsid w:val="00C76328"/>
    <w:rsid w:val="00C76389"/>
    <w:rsid w:val="00C76396"/>
    <w:rsid w:val="00C76406"/>
    <w:rsid w:val="00C76423"/>
    <w:rsid w:val="00C765A4"/>
    <w:rsid w:val="00C767B6"/>
    <w:rsid w:val="00C767C2"/>
    <w:rsid w:val="00C76A9F"/>
    <w:rsid w:val="00C76CB3"/>
    <w:rsid w:val="00C76D48"/>
    <w:rsid w:val="00C76E32"/>
    <w:rsid w:val="00C7726D"/>
    <w:rsid w:val="00C77376"/>
    <w:rsid w:val="00C7742B"/>
    <w:rsid w:val="00C774D1"/>
    <w:rsid w:val="00C77594"/>
    <w:rsid w:val="00C77699"/>
    <w:rsid w:val="00C77904"/>
    <w:rsid w:val="00C77AE4"/>
    <w:rsid w:val="00C77B58"/>
    <w:rsid w:val="00C77C65"/>
    <w:rsid w:val="00C77CE5"/>
    <w:rsid w:val="00C77DBC"/>
    <w:rsid w:val="00C77E16"/>
    <w:rsid w:val="00C7DEA8"/>
    <w:rsid w:val="00C8003E"/>
    <w:rsid w:val="00C8017E"/>
    <w:rsid w:val="00C8018C"/>
    <w:rsid w:val="00C801F8"/>
    <w:rsid w:val="00C80320"/>
    <w:rsid w:val="00C80413"/>
    <w:rsid w:val="00C80566"/>
    <w:rsid w:val="00C80785"/>
    <w:rsid w:val="00C809A1"/>
    <w:rsid w:val="00C809B7"/>
    <w:rsid w:val="00C80B4F"/>
    <w:rsid w:val="00C80C17"/>
    <w:rsid w:val="00C80C3E"/>
    <w:rsid w:val="00C80DD7"/>
    <w:rsid w:val="00C80E16"/>
    <w:rsid w:val="00C80E7C"/>
    <w:rsid w:val="00C80EB2"/>
    <w:rsid w:val="00C80F45"/>
    <w:rsid w:val="00C80FE6"/>
    <w:rsid w:val="00C8104B"/>
    <w:rsid w:val="00C81291"/>
    <w:rsid w:val="00C8132F"/>
    <w:rsid w:val="00C81371"/>
    <w:rsid w:val="00C8143B"/>
    <w:rsid w:val="00C814AE"/>
    <w:rsid w:val="00C81620"/>
    <w:rsid w:val="00C81B2F"/>
    <w:rsid w:val="00C81BBF"/>
    <w:rsid w:val="00C81C8A"/>
    <w:rsid w:val="00C81DB7"/>
    <w:rsid w:val="00C81E51"/>
    <w:rsid w:val="00C81E7A"/>
    <w:rsid w:val="00C81EB4"/>
    <w:rsid w:val="00C81FB0"/>
    <w:rsid w:val="00C821FC"/>
    <w:rsid w:val="00C8223E"/>
    <w:rsid w:val="00C8227D"/>
    <w:rsid w:val="00C8240A"/>
    <w:rsid w:val="00C82631"/>
    <w:rsid w:val="00C82694"/>
    <w:rsid w:val="00C826D9"/>
    <w:rsid w:val="00C82795"/>
    <w:rsid w:val="00C82995"/>
    <w:rsid w:val="00C82C40"/>
    <w:rsid w:val="00C82CDB"/>
    <w:rsid w:val="00C82D3F"/>
    <w:rsid w:val="00C82FE8"/>
    <w:rsid w:val="00C831EB"/>
    <w:rsid w:val="00C8329A"/>
    <w:rsid w:val="00C834C0"/>
    <w:rsid w:val="00C835B7"/>
    <w:rsid w:val="00C836B2"/>
    <w:rsid w:val="00C837A6"/>
    <w:rsid w:val="00C83832"/>
    <w:rsid w:val="00C83ACF"/>
    <w:rsid w:val="00C83B66"/>
    <w:rsid w:val="00C83B9B"/>
    <w:rsid w:val="00C83C86"/>
    <w:rsid w:val="00C83CF9"/>
    <w:rsid w:val="00C83D32"/>
    <w:rsid w:val="00C83DD8"/>
    <w:rsid w:val="00C83E9D"/>
    <w:rsid w:val="00C83EBA"/>
    <w:rsid w:val="00C83F1D"/>
    <w:rsid w:val="00C83F71"/>
    <w:rsid w:val="00C83F9A"/>
    <w:rsid w:val="00C840E4"/>
    <w:rsid w:val="00C8436B"/>
    <w:rsid w:val="00C8436E"/>
    <w:rsid w:val="00C844E8"/>
    <w:rsid w:val="00C8461F"/>
    <w:rsid w:val="00C846FB"/>
    <w:rsid w:val="00C847DE"/>
    <w:rsid w:val="00C84863"/>
    <w:rsid w:val="00C8488A"/>
    <w:rsid w:val="00C848A5"/>
    <w:rsid w:val="00C84ADB"/>
    <w:rsid w:val="00C84DD4"/>
    <w:rsid w:val="00C84E90"/>
    <w:rsid w:val="00C84F9D"/>
    <w:rsid w:val="00C84FB8"/>
    <w:rsid w:val="00C8513A"/>
    <w:rsid w:val="00C851A1"/>
    <w:rsid w:val="00C851C0"/>
    <w:rsid w:val="00C852D6"/>
    <w:rsid w:val="00C853D2"/>
    <w:rsid w:val="00C854FD"/>
    <w:rsid w:val="00C85676"/>
    <w:rsid w:val="00C85869"/>
    <w:rsid w:val="00C858F5"/>
    <w:rsid w:val="00C859DA"/>
    <w:rsid w:val="00C85B12"/>
    <w:rsid w:val="00C85B9A"/>
    <w:rsid w:val="00C85D01"/>
    <w:rsid w:val="00C85D9B"/>
    <w:rsid w:val="00C85DD1"/>
    <w:rsid w:val="00C85F6D"/>
    <w:rsid w:val="00C860DF"/>
    <w:rsid w:val="00C8616E"/>
    <w:rsid w:val="00C8625F"/>
    <w:rsid w:val="00C86267"/>
    <w:rsid w:val="00C862A7"/>
    <w:rsid w:val="00C863C6"/>
    <w:rsid w:val="00C863CA"/>
    <w:rsid w:val="00C8656D"/>
    <w:rsid w:val="00C8691E"/>
    <w:rsid w:val="00C86A38"/>
    <w:rsid w:val="00C86ACA"/>
    <w:rsid w:val="00C86B3A"/>
    <w:rsid w:val="00C86B40"/>
    <w:rsid w:val="00C86C0E"/>
    <w:rsid w:val="00C86C9D"/>
    <w:rsid w:val="00C87043"/>
    <w:rsid w:val="00C871F3"/>
    <w:rsid w:val="00C872E3"/>
    <w:rsid w:val="00C87671"/>
    <w:rsid w:val="00C876D6"/>
    <w:rsid w:val="00C876F3"/>
    <w:rsid w:val="00C87868"/>
    <w:rsid w:val="00C879F1"/>
    <w:rsid w:val="00C879FC"/>
    <w:rsid w:val="00C87A74"/>
    <w:rsid w:val="00C87BD5"/>
    <w:rsid w:val="00C87CB7"/>
    <w:rsid w:val="00C87E60"/>
    <w:rsid w:val="00C90027"/>
    <w:rsid w:val="00C90096"/>
    <w:rsid w:val="00C90152"/>
    <w:rsid w:val="00C90156"/>
    <w:rsid w:val="00C901F0"/>
    <w:rsid w:val="00C90391"/>
    <w:rsid w:val="00C903CF"/>
    <w:rsid w:val="00C903E0"/>
    <w:rsid w:val="00C905EA"/>
    <w:rsid w:val="00C9060B"/>
    <w:rsid w:val="00C90715"/>
    <w:rsid w:val="00C907CE"/>
    <w:rsid w:val="00C907FA"/>
    <w:rsid w:val="00C908DF"/>
    <w:rsid w:val="00C9095C"/>
    <w:rsid w:val="00C9096E"/>
    <w:rsid w:val="00C90980"/>
    <w:rsid w:val="00C909B2"/>
    <w:rsid w:val="00C90A18"/>
    <w:rsid w:val="00C90B26"/>
    <w:rsid w:val="00C90B35"/>
    <w:rsid w:val="00C90C41"/>
    <w:rsid w:val="00C90D0A"/>
    <w:rsid w:val="00C90D90"/>
    <w:rsid w:val="00C90EA1"/>
    <w:rsid w:val="00C910D0"/>
    <w:rsid w:val="00C9115A"/>
    <w:rsid w:val="00C91279"/>
    <w:rsid w:val="00C912F6"/>
    <w:rsid w:val="00C913A5"/>
    <w:rsid w:val="00C915FD"/>
    <w:rsid w:val="00C9168E"/>
    <w:rsid w:val="00C918BC"/>
    <w:rsid w:val="00C91B13"/>
    <w:rsid w:val="00C91B2B"/>
    <w:rsid w:val="00C91CCF"/>
    <w:rsid w:val="00C91DC6"/>
    <w:rsid w:val="00C91DD5"/>
    <w:rsid w:val="00C91E0C"/>
    <w:rsid w:val="00C91E6C"/>
    <w:rsid w:val="00C91F90"/>
    <w:rsid w:val="00C9224D"/>
    <w:rsid w:val="00C92385"/>
    <w:rsid w:val="00C926DB"/>
    <w:rsid w:val="00C927C1"/>
    <w:rsid w:val="00C92CEF"/>
    <w:rsid w:val="00C92DFA"/>
    <w:rsid w:val="00C92E00"/>
    <w:rsid w:val="00C92F1D"/>
    <w:rsid w:val="00C92FB5"/>
    <w:rsid w:val="00C930A6"/>
    <w:rsid w:val="00C930C8"/>
    <w:rsid w:val="00C932A9"/>
    <w:rsid w:val="00C9331E"/>
    <w:rsid w:val="00C9338E"/>
    <w:rsid w:val="00C933A9"/>
    <w:rsid w:val="00C933AB"/>
    <w:rsid w:val="00C93526"/>
    <w:rsid w:val="00C937B2"/>
    <w:rsid w:val="00C938D1"/>
    <w:rsid w:val="00C9392E"/>
    <w:rsid w:val="00C93B23"/>
    <w:rsid w:val="00C93B9D"/>
    <w:rsid w:val="00C93CAB"/>
    <w:rsid w:val="00C93D54"/>
    <w:rsid w:val="00C93E1B"/>
    <w:rsid w:val="00C93EA4"/>
    <w:rsid w:val="00C93F5A"/>
    <w:rsid w:val="00C94007"/>
    <w:rsid w:val="00C940AC"/>
    <w:rsid w:val="00C94107"/>
    <w:rsid w:val="00C94247"/>
    <w:rsid w:val="00C942AA"/>
    <w:rsid w:val="00C9430D"/>
    <w:rsid w:val="00C943A6"/>
    <w:rsid w:val="00C943BC"/>
    <w:rsid w:val="00C94512"/>
    <w:rsid w:val="00C945D6"/>
    <w:rsid w:val="00C945DF"/>
    <w:rsid w:val="00C945FC"/>
    <w:rsid w:val="00C9496D"/>
    <w:rsid w:val="00C94B43"/>
    <w:rsid w:val="00C94B47"/>
    <w:rsid w:val="00C94CB7"/>
    <w:rsid w:val="00C94CDD"/>
    <w:rsid w:val="00C94D3D"/>
    <w:rsid w:val="00C94E63"/>
    <w:rsid w:val="00C94F87"/>
    <w:rsid w:val="00C9501E"/>
    <w:rsid w:val="00C954DE"/>
    <w:rsid w:val="00C95734"/>
    <w:rsid w:val="00C9593C"/>
    <w:rsid w:val="00C9594B"/>
    <w:rsid w:val="00C95A20"/>
    <w:rsid w:val="00C95CF5"/>
    <w:rsid w:val="00C95D23"/>
    <w:rsid w:val="00C95D4D"/>
    <w:rsid w:val="00C95E68"/>
    <w:rsid w:val="00C95E79"/>
    <w:rsid w:val="00C95F26"/>
    <w:rsid w:val="00C95F53"/>
    <w:rsid w:val="00C96004"/>
    <w:rsid w:val="00C96012"/>
    <w:rsid w:val="00C960A4"/>
    <w:rsid w:val="00C960C4"/>
    <w:rsid w:val="00C96165"/>
    <w:rsid w:val="00C96272"/>
    <w:rsid w:val="00C96302"/>
    <w:rsid w:val="00C96398"/>
    <w:rsid w:val="00C96496"/>
    <w:rsid w:val="00C9660F"/>
    <w:rsid w:val="00C9674C"/>
    <w:rsid w:val="00C96877"/>
    <w:rsid w:val="00C968D1"/>
    <w:rsid w:val="00C9699E"/>
    <w:rsid w:val="00C96BC9"/>
    <w:rsid w:val="00C96DAC"/>
    <w:rsid w:val="00C96DDB"/>
    <w:rsid w:val="00C96F74"/>
    <w:rsid w:val="00C96FC4"/>
    <w:rsid w:val="00C97022"/>
    <w:rsid w:val="00C97115"/>
    <w:rsid w:val="00C9714C"/>
    <w:rsid w:val="00C9716A"/>
    <w:rsid w:val="00C972C7"/>
    <w:rsid w:val="00C972DC"/>
    <w:rsid w:val="00C97330"/>
    <w:rsid w:val="00C97421"/>
    <w:rsid w:val="00C97444"/>
    <w:rsid w:val="00C9753B"/>
    <w:rsid w:val="00C97557"/>
    <w:rsid w:val="00C975E9"/>
    <w:rsid w:val="00C976C1"/>
    <w:rsid w:val="00C9781D"/>
    <w:rsid w:val="00C97A4D"/>
    <w:rsid w:val="00C97B78"/>
    <w:rsid w:val="00C97BFD"/>
    <w:rsid w:val="00C97CA8"/>
    <w:rsid w:val="00C97CB8"/>
    <w:rsid w:val="00C97F20"/>
    <w:rsid w:val="00C97F66"/>
    <w:rsid w:val="00C97FC3"/>
    <w:rsid w:val="00CA002B"/>
    <w:rsid w:val="00CA00A0"/>
    <w:rsid w:val="00CA0149"/>
    <w:rsid w:val="00CA0400"/>
    <w:rsid w:val="00CA04BA"/>
    <w:rsid w:val="00CA0522"/>
    <w:rsid w:val="00CA0573"/>
    <w:rsid w:val="00CA068F"/>
    <w:rsid w:val="00CA06C1"/>
    <w:rsid w:val="00CA06D0"/>
    <w:rsid w:val="00CA06FE"/>
    <w:rsid w:val="00CA0790"/>
    <w:rsid w:val="00CA08E3"/>
    <w:rsid w:val="00CA099C"/>
    <w:rsid w:val="00CA0AA7"/>
    <w:rsid w:val="00CA0AE4"/>
    <w:rsid w:val="00CA0B76"/>
    <w:rsid w:val="00CA0E1B"/>
    <w:rsid w:val="00CA0F9F"/>
    <w:rsid w:val="00CA1073"/>
    <w:rsid w:val="00CA1206"/>
    <w:rsid w:val="00CA1224"/>
    <w:rsid w:val="00CA1325"/>
    <w:rsid w:val="00CA13BB"/>
    <w:rsid w:val="00CA1471"/>
    <w:rsid w:val="00CA1627"/>
    <w:rsid w:val="00CA1795"/>
    <w:rsid w:val="00CA17D8"/>
    <w:rsid w:val="00CA18C3"/>
    <w:rsid w:val="00CA1B3D"/>
    <w:rsid w:val="00CA1C7A"/>
    <w:rsid w:val="00CA1C84"/>
    <w:rsid w:val="00CA1CC1"/>
    <w:rsid w:val="00CA1CDD"/>
    <w:rsid w:val="00CA1CFD"/>
    <w:rsid w:val="00CA1EA8"/>
    <w:rsid w:val="00CA2051"/>
    <w:rsid w:val="00CA214C"/>
    <w:rsid w:val="00CA2150"/>
    <w:rsid w:val="00CA22FD"/>
    <w:rsid w:val="00CA23FA"/>
    <w:rsid w:val="00CA240B"/>
    <w:rsid w:val="00CA2528"/>
    <w:rsid w:val="00CA261C"/>
    <w:rsid w:val="00CA2672"/>
    <w:rsid w:val="00CA26DB"/>
    <w:rsid w:val="00CA27FD"/>
    <w:rsid w:val="00CA2806"/>
    <w:rsid w:val="00CA280F"/>
    <w:rsid w:val="00CA29D7"/>
    <w:rsid w:val="00CA29F4"/>
    <w:rsid w:val="00CA2A34"/>
    <w:rsid w:val="00CA2A79"/>
    <w:rsid w:val="00CA2AA2"/>
    <w:rsid w:val="00CA2C6B"/>
    <w:rsid w:val="00CA2DFD"/>
    <w:rsid w:val="00CA2E87"/>
    <w:rsid w:val="00CA2EFD"/>
    <w:rsid w:val="00CA2FAD"/>
    <w:rsid w:val="00CA3083"/>
    <w:rsid w:val="00CA3215"/>
    <w:rsid w:val="00CA325D"/>
    <w:rsid w:val="00CA33C5"/>
    <w:rsid w:val="00CA3454"/>
    <w:rsid w:val="00CA347A"/>
    <w:rsid w:val="00CA3577"/>
    <w:rsid w:val="00CA3642"/>
    <w:rsid w:val="00CA3699"/>
    <w:rsid w:val="00CA369F"/>
    <w:rsid w:val="00CA36B9"/>
    <w:rsid w:val="00CA36D3"/>
    <w:rsid w:val="00CA375F"/>
    <w:rsid w:val="00CA3766"/>
    <w:rsid w:val="00CA377E"/>
    <w:rsid w:val="00CA37EE"/>
    <w:rsid w:val="00CA3866"/>
    <w:rsid w:val="00CA390F"/>
    <w:rsid w:val="00CA391C"/>
    <w:rsid w:val="00CA3BC1"/>
    <w:rsid w:val="00CA3CCE"/>
    <w:rsid w:val="00CA3E14"/>
    <w:rsid w:val="00CA3F76"/>
    <w:rsid w:val="00CA3FA0"/>
    <w:rsid w:val="00CA42B8"/>
    <w:rsid w:val="00CA42F0"/>
    <w:rsid w:val="00CA448C"/>
    <w:rsid w:val="00CA4574"/>
    <w:rsid w:val="00CA4806"/>
    <w:rsid w:val="00CA4ABF"/>
    <w:rsid w:val="00CA4ACE"/>
    <w:rsid w:val="00CA4AED"/>
    <w:rsid w:val="00CA4B49"/>
    <w:rsid w:val="00CA4BA1"/>
    <w:rsid w:val="00CA4BA7"/>
    <w:rsid w:val="00CA4BBC"/>
    <w:rsid w:val="00CA4D71"/>
    <w:rsid w:val="00CA4DB6"/>
    <w:rsid w:val="00CA4FA6"/>
    <w:rsid w:val="00CA5021"/>
    <w:rsid w:val="00CA50B4"/>
    <w:rsid w:val="00CA514B"/>
    <w:rsid w:val="00CA515F"/>
    <w:rsid w:val="00CA5179"/>
    <w:rsid w:val="00CA5674"/>
    <w:rsid w:val="00CA5857"/>
    <w:rsid w:val="00CA593A"/>
    <w:rsid w:val="00CA59D7"/>
    <w:rsid w:val="00CA5AF9"/>
    <w:rsid w:val="00CA5B67"/>
    <w:rsid w:val="00CA5C94"/>
    <w:rsid w:val="00CA5EBA"/>
    <w:rsid w:val="00CA5FCA"/>
    <w:rsid w:val="00CA6014"/>
    <w:rsid w:val="00CA6027"/>
    <w:rsid w:val="00CA6174"/>
    <w:rsid w:val="00CA61E0"/>
    <w:rsid w:val="00CA62EA"/>
    <w:rsid w:val="00CA63A5"/>
    <w:rsid w:val="00CA641D"/>
    <w:rsid w:val="00CA6466"/>
    <w:rsid w:val="00CA66E9"/>
    <w:rsid w:val="00CA67DF"/>
    <w:rsid w:val="00CA6824"/>
    <w:rsid w:val="00CA689E"/>
    <w:rsid w:val="00CA6A7F"/>
    <w:rsid w:val="00CA6C4B"/>
    <w:rsid w:val="00CA6C7C"/>
    <w:rsid w:val="00CA6CDD"/>
    <w:rsid w:val="00CA6E63"/>
    <w:rsid w:val="00CA6F10"/>
    <w:rsid w:val="00CA6F2D"/>
    <w:rsid w:val="00CA703B"/>
    <w:rsid w:val="00CA73DE"/>
    <w:rsid w:val="00CA73EB"/>
    <w:rsid w:val="00CA7430"/>
    <w:rsid w:val="00CA74EC"/>
    <w:rsid w:val="00CA7614"/>
    <w:rsid w:val="00CA7813"/>
    <w:rsid w:val="00CA7A6E"/>
    <w:rsid w:val="00CA7A8C"/>
    <w:rsid w:val="00CA7AC5"/>
    <w:rsid w:val="00CA7B51"/>
    <w:rsid w:val="00CA7C83"/>
    <w:rsid w:val="00CA7D12"/>
    <w:rsid w:val="00CA7DED"/>
    <w:rsid w:val="00CA7E1A"/>
    <w:rsid w:val="00CA7E2E"/>
    <w:rsid w:val="00CA7EF0"/>
    <w:rsid w:val="00CA7F18"/>
    <w:rsid w:val="00CA85E3"/>
    <w:rsid w:val="00CAB9C0"/>
    <w:rsid w:val="00CB0012"/>
    <w:rsid w:val="00CB007F"/>
    <w:rsid w:val="00CB0125"/>
    <w:rsid w:val="00CB01CE"/>
    <w:rsid w:val="00CB01EB"/>
    <w:rsid w:val="00CB0254"/>
    <w:rsid w:val="00CB0341"/>
    <w:rsid w:val="00CB0575"/>
    <w:rsid w:val="00CB0697"/>
    <w:rsid w:val="00CB06CB"/>
    <w:rsid w:val="00CB07F0"/>
    <w:rsid w:val="00CB0824"/>
    <w:rsid w:val="00CB0854"/>
    <w:rsid w:val="00CB09AF"/>
    <w:rsid w:val="00CB09B4"/>
    <w:rsid w:val="00CB0A64"/>
    <w:rsid w:val="00CB0B40"/>
    <w:rsid w:val="00CB0BA3"/>
    <w:rsid w:val="00CB0CA6"/>
    <w:rsid w:val="00CB0CD2"/>
    <w:rsid w:val="00CB0F06"/>
    <w:rsid w:val="00CB0FAB"/>
    <w:rsid w:val="00CB10AC"/>
    <w:rsid w:val="00CB11AB"/>
    <w:rsid w:val="00CB13E1"/>
    <w:rsid w:val="00CB14B2"/>
    <w:rsid w:val="00CB15B3"/>
    <w:rsid w:val="00CB1653"/>
    <w:rsid w:val="00CB17E5"/>
    <w:rsid w:val="00CB198A"/>
    <w:rsid w:val="00CB19CE"/>
    <w:rsid w:val="00CB19CF"/>
    <w:rsid w:val="00CB19FE"/>
    <w:rsid w:val="00CB1BAB"/>
    <w:rsid w:val="00CB1C2E"/>
    <w:rsid w:val="00CB1CD3"/>
    <w:rsid w:val="00CB1CEB"/>
    <w:rsid w:val="00CB1E60"/>
    <w:rsid w:val="00CB1EE1"/>
    <w:rsid w:val="00CB1F1F"/>
    <w:rsid w:val="00CB1FF2"/>
    <w:rsid w:val="00CB2080"/>
    <w:rsid w:val="00CB21A1"/>
    <w:rsid w:val="00CB2394"/>
    <w:rsid w:val="00CB26A5"/>
    <w:rsid w:val="00CB26B6"/>
    <w:rsid w:val="00CB2749"/>
    <w:rsid w:val="00CB29DE"/>
    <w:rsid w:val="00CB2C67"/>
    <w:rsid w:val="00CB2D43"/>
    <w:rsid w:val="00CB2D5B"/>
    <w:rsid w:val="00CB2E93"/>
    <w:rsid w:val="00CB2F79"/>
    <w:rsid w:val="00CB2FC5"/>
    <w:rsid w:val="00CB310B"/>
    <w:rsid w:val="00CB31F5"/>
    <w:rsid w:val="00CB324D"/>
    <w:rsid w:val="00CB32F4"/>
    <w:rsid w:val="00CB33E7"/>
    <w:rsid w:val="00CB35B3"/>
    <w:rsid w:val="00CB3875"/>
    <w:rsid w:val="00CB3A0B"/>
    <w:rsid w:val="00CB3C39"/>
    <w:rsid w:val="00CB3C4F"/>
    <w:rsid w:val="00CB3CC3"/>
    <w:rsid w:val="00CB3EE6"/>
    <w:rsid w:val="00CB3F5E"/>
    <w:rsid w:val="00CB400E"/>
    <w:rsid w:val="00CB4048"/>
    <w:rsid w:val="00CB40A5"/>
    <w:rsid w:val="00CB40CE"/>
    <w:rsid w:val="00CB40DF"/>
    <w:rsid w:val="00CB4282"/>
    <w:rsid w:val="00CB42DF"/>
    <w:rsid w:val="00CB447E"/>
    <w:rsid w:val="00CB44E9"/>
    <w:rsid w:val="00CB4523"/>
    <w:rsid w:val="00CB45A8"/>
    <w:rsid w:val="00CB45CA"/>
    <w:rsid w:val="00CB46E8"/>
    <w:rsid w:val="00CB4709"/>
    <w:rsid w:val="00CB475C"/>
    <w:rsid w:val="00CB4922"/>
    <w:rsid w:val="00CB49F3"/>
    <w:rsid w:val="00CB4A20"/>
    <w:rsid w:val="00CB4B32"/>
    <w:rsid w:val="00CB4C81"/>
    <w:rsid w:val="00CB4CD8"/>
    <w:rsid w:val="00CB4DD5"/>
    <w:rsid w:val="00CB4F62"/>
    <w:rsid w:val="00CB5039"/>
    <w:rsid w:val="00CB50A5"/>
    <w:rsid w:val="00CB50E0"/>
    <w:rsid w:val="00CB513B"/>
    <w:rsid w:val="00CB52C5"/>
    <w:rsid w:val="00CB5446"/>
    <w:rsid w:val="00CB583D"/>
    <w:rsid w:val="00CB5929"/>
    <w:rsid w:val="00CB593C"/>
    <w:rsid w:val="00CB5A58"/>
    <w:rsid w:val="00CB5AD1"/>
    <w:rsid w:val="00CB5B27"/>
    <w:rsid w:val="00CB5B8C"/>
    <w:rsid w:val="00CB5BE8"/>
    <w:rsid w:val="00CB5C42"/>
    <w:rsid w:val="00CB5DA3"/>
    <w:rsid w:val="00CB5F9A"/>
    <w:rsid w:val="00CB602D"/>
    <w:rsid w:val="00CB60EE"/>
    <w:rsid w:val="00CB610F"/>
    <w:rsid w:val="00CB629F"/>
    <w:rsid w:val="00CB62A6"/>
    <w:rsid w:val="00CB62CA"/>
    <w:rsid w:val="00CB64AD"/>
    <w:rsid w:val="00CB6605"/>
    <w:rsid w:val="00CB6648"/>
    <w:rsid w:val="00CB6736"/>
    <w:rsid w:val="00CB6979"/>
    <w:rsid w:val="00CB6A89"/>
    <w:rsid w:val="00CB6CCD"/>
    <w:rsid w:val="00CB6F6D"/>
    <w:rsid w:val="00CB6FF8"/>
    <w:rsid w:val="00CB70C1"/>
    <w:rsid w:val="00CB70FB"/>
    <w:rsid w:val="00CB7141"/>
    <w:rsid w:val="00CB72FB"/>
    <w:rsid w:val="00CB7459"/>
    <w:rsid w:val="00CB7674"/>
    <w:rsid w:val="00CB771F"/>
    <w:rsid w:val="00CB780D"/>
    <w:rsid w:val="00CB7890"/>
    <w:rsid w:val="00CB799F"/>
    <w:rsid w:val="00CB79EC"/>
    <w:rsid w:val="00CB7A72"/>
    <w:rsid w:val="00CB7DF8"/>
    <w:rsid w:val="00CB7E2C"/>
    <w:rsid w:val="00CB7FC8"/>
    <w:rsid w:val="00CB7FDB"/>
    <w:rsid w:val="00CB99DD"/>
    <w:rsid w:val="00CC025E"/>
    <w:rsid w:val="00CC02F6"/>
    <w:rsid w:val="00CC0533"/>
    <w:rsid w:val="00CC0692"/>
    <w:rsid w:val="00CC073F"/>
    <w:rsid w:val="00CC0780"/>
    <w:rsid w:val="00CC08A4"/>
    <w:rsid w:val="00CC094A"/>
    <w:rsid w:val="00CC09D0"/>
    <w:rsid w:val="00CC0AC7"/>
    <w:rsid w:val="00CC0AD1"/>
    <w:rsid w:val="00CC0C1D"/>
    <w:rsid w:val="00CC0CCA"/>
    <w:rsid w:val="00CC0CD5"/>
    <w:rsid w:val="00CC0CDA"/>
    <w:rsid w:val="00CC109F"/>
    <w:rsid w:val="00CC10D0"/>
    <w:rsid w:val="00CC111D"/>
    <w:rsid w:val="00CC11C9"/>
    <w:rsid w:val="00CC11CA"/>
    <w:rsid w:val="00CC128F"/>
    <w:rsid w:val="00CC12F4"/>
    <w:rsid w:val="00CC130F"/>
    <w:rsid w:val="00CC13EB"/>
    <w:rsid w:val="00CC1464"/>
    <w:rsid w:val="00CC1530"/>
    <w:rsid w:val="00CC1647"/>
    <w:rsid w:val="00CC181E"/>
    <w:rsid w:val="00CC189F"/>
    <w:rsid w:val="00CC18D7"/>
    <w:rsid w:val="00CC1990"/>
    <w:rsid w:val="00CC19B5"/>
    <w:rsid w:val="00CC1D33"/>
    <w:rsid w:val="00CC1E2A"/>
    <w:rsid w:val="00CC1F68"/>
    <w:rsid w:val="00CC1FB8"/>
    <w:rsid w:val="00CC2001"/>
    <w:rsid w:val="00CC2082"/>
    <w:rsid w:val="00CC2388"/>
    <w:rsid w:val="00CC23E5"/>
    <w:rsid w:val="00CC24D7"/>
    <w:rsid w:val="00CC28FC"/>
    <w:rsid w:val="00CC2A0D"/>
    <w:rsid w:val="00CC2AAC"/>
    <w:rsid w:val="00CC2BA6"/>
    <w:rsid w:val="00CC2C20"/>
    <w:rsid w:val="00CC2C9C"/>
    <w:rsid w:val="00CC2CB4"/>
    <w:rsid w:val="00CC2E46"/>
    <w:rsid w:val="00CC2EA1"/>
    <w:rsid w:val="00CC2EA3"/>
    <w:rsid w:val="00CC31CB"/>
    <w:rsid w:val="00CC3369"/>
    <w:rsid w:val="00CC33AD"/>
    <w:rsid w:val="00CC35EA"/>
    <w:rsid w:val="00CC368E"/>
    <w:rsid w:val="00CC36F8"/>
    <w:rsid w:val="00CC3762"/>
    <w:rsid w:val="00CC3784"/>
    <w:rsid w:val="00CC397B"/>
    <w:rsid w:val="00CC3AAC"/>
    <w:rsid w:val="00CC3B20"/>
    <w:rsid w:val="00CC3B77"/>
    <w:rsid w:val="00CC3BC3"/>
    <w:rsid w:val="00CC3C8D"/>
    <w:rsid w:val="00CC3D41"/>
    <w:rsid w:val="00CC3D42"/>
    <w:rsid w:val="00CC3DDC"/>
    <w:rsid w:val="00CC3E82"/>
    <w:rsid w:val="00CC3EC0"/>
    <w:rsid w:val="00CC3F56"/>
    <w:rsid w:val="00CC406A"/>
    <w:rsid w:val="00CC41F5"/>
    <w:rsid w:val="00CC42A6"/>
    <w:rsid w:val="00CC42ED"/>
    <w:rsid w:val="00CC43B1"/>
    <w:rsid w:val="00CC4411"/>
    <w:rsid w:val="00CC4746"/>
    <w:rsid w:val="00CC48D8"/>
    <w:rsid w:val="00CC496B"/>
    <w:rsid w:val="00CC4B5E"/>
    <w:rsid w:val="00CC4DB4"/>
    <w:rsid w:val="00CC4E3C"/>
    <w:rsid w:val="00CC4E94"/>
    <w:rsid w:val="00CC4F29"/>
    <w:rsid w:val="00CC4F42"/>
    <w:rsid w:val="00CC4F54"/>
    <w:rsid w:val="00CC4FD0"/>
    <w:rsid w:val="00CC50A5"/>
    <w:rsid w:val="00CC50C8"/>
    <w:rsid w:val="00CC5136"/>
    <w:rsid w:val="00CC5197"/>
    <w:rsid w:val="00CC5254"/>
    <w:rsid w:val="00CC52BF"/>
    <w:rsid w:val="00CC531C"/>
    <w:rsid w:val="00CC546C"/>
    <w:rsid w:val="00CC5486"/>
    <w:rsid w:val="00CC54B9"/>
    <w:rsid w:val="00CC5695"/>
    <w:rsid w:val="00CC580E"/>
    <w:rsid w:val="00CC587E"/>
    <w:rsid w:val="00CC58C4"/>
    <w:rsid w:val="00CC5A40"/>
    <w:rsid w:val="00CC5BC5"/>
    <w:rsid w:val="00CC5C2E"/>
    <w:rsid w:val="00CC5CCA"/>
    <w:rsid w:val="00CC60AA"/>
    <w:rsid w:val="00CC60EE"/>
    <w:rsid w:val="00CC639A"/>
    <w:rsid w:val="00CC65E8"/>
    <w:rsid w:val="00CC65FE"/>
    <w:rsid w:val="00CC6769"/>
    <w:rsid w:val="00CC68F6"/>
    <w:rsid w:val="00CC691C"/>
    <w:rsid w:val="00CC697F"/>
    <w:rsid w:val="00CC6999"/>
    <w:rsid w:val="00CC6ACF"/>
    <w:rsid w:val="00CC6CC8"/>
    <w:rsid w:val="00CC6E65"/>
    <w:rsid w:val="00CC6F06"/>
    <w:rsid w:val="00CC6FC1"/>
    <w:rsid w:val="00CC7036"/>
    <w:rsid w:val="00CC70E8"/>
    <w:rsid w:val="00CC72BB"/>
    <w:rsid w:val="00CC738B"/>
    <w:rsid w:val="00CC77D4"/>
    <w:rsid w:val="00CC7841"/>
    <w:rsid w:val="00CC786C"/>
    <w:rsid w:val="00CC789B"/>
    <w:rsid w:val="00CC79A4"/>
    <w:rsid w:val="00CC79A8"/>
    <w:rsid w:val="00CC79BF"/>
    <w:rsid w:val="00CC7A48"/>
    <w:rsid w:val="00CC7CDB"/>
    <w:rsid w:val="00CC7D3E"/>
    <w:rsid w:val="00CC7D62"/>
    <w:rsid w:val="00CC7D63"/>
    <w:rsid w:val="00CC7E64"/>
    <w:rsid w:val="00CCAA7D"/>
    <w:rsid w:val="00CCC58C"/>
    <w:rsid w:val="00CD01FB"/>
    <w:rsid w:val="00CD026F"/>
    <w:rsid w:val="00CD03CF"/>
    <w:rsid w:val="00CD04B9"/>
    <w:rsid w:val="00CD04EB"/>
    <w:rsid w:val="00CD0522"/>
    <w:rsid w:val="00CD0622"/>
    <w:rsid w:val="00CD0669"/>
    <w:rsid w:val="00CD072B"/>
    <w:rsid w:val="00CD07A1"/>
    <w:rsid w:val="00CD095D"/>
    <w:rsid w:val="00CD0A39"/>
    <w:rsid w:val="00CD0A4E"/>
    <w:rsid w:val="00CD0DE9"/>
    <w:rsid w:val="00CD0DF0"/>
    <w:rsid w:val="00CD0E87"/>
    <w:rsid w:val="00CD0FAE"/>
    <w:rsid w:val="00CD0FB5"/>
    <w:rsid w:val="00CD12F9"/>
    <w:rsid w:val="00CD130F"/>
    <w:rsid w:val="00CD142B"/>
    <w:rsid w:val="00CD159D"/>
    <w:rsid w:val="00CD15FF"/>
    <w:rsid w:val="00CD16AD"/>
    <w:rsid w:val="00CD17DE"/>
    <w:rsid w:val="00CD1860"/>
    <w:rsid w:val="00CD18F1"/>
    <w:rsid w:val="00CD1938"/>
    <w:rsid w:val="00CD1975"/>
    <w:rsid w:val="00CD1B4B"/>
    <w:rsid w:val="00CD1C6B"/>
    <w:rsid w:val="00CD1DA7"/>
    <w:rsid w:val="00CD1EC3"/>
    <w:rsid w:val="00CD1ED3"/>
    <w:rsid w:val="00CD2416"/>
    <w:rsid w:val="00CD25CD"/>
    <w:rsid w:val="00CD26F8"/>
    <w:rsid w:val="00CD2728"/>
    <w:rsid w:val="00CD2737"/>
    <w:rsid w:val="00CD2B92"/>
    <w:rsid w:val="00CD2BC2"/>
    <w:rsid w:val="00CD2D18"/>
    <w:rsid w:val="00CD2DBD"/>
    <w:rsid w:val="00CD2E32"/>
    <w:rsid w:val="00CD307D"/>
    <w:rsid w:val="00CD30BF"/>
    <w:rsid w:val="00CD3313"/>
    <w:rsid w:val="00CD3370"/>
    <w:rsid w:val="00CD3465"/>
    <w:rsid w:val="00CD34B2"/>
    <w:rsid w:val="00CD34D7"/>
    <w:rsid w:val="00CD3595"/>
    <w:rsid w:val="00CD3797"/>
    <w:rsid w:val="00CD38E1"/>
    <w:rsid w:val="00CD390F"/>
    <w:rsid w:val="00CD3912"/>
    <w:rsid w:val="00CD3A23"/>
    <w:rsid w:val="00CD3B1E"/>
    <w:rsid w:val="00CD3B33"/>
    <w:rsid w:val="00CD3EE5"/>
    <w:rsid w:val="00CD3FAE"/>
    <w:rsid w:val="00CD4216"/>
    <w:rsid w:val="00CD4329"/>
    <w:rsid w:val="00CD44DC"/>
    <w:rsid w:val="00CD453D"/>
    <w:rsid w:val="00CD455B"/>
    <w:rsid w:val="00CD45EB"/>
    <w:rsid w:val="00CD4A19"/>
    <w:rsid w:val="00CD4A37"/>
    <w:rsid w:val="00CD4A4A"/>
    <w:rsid w:val="00CD4B60"/>
    <w:rsid w:val="00CD4BE6"/>
    <w:rsid w:val="00CD4FED"/>
    <w:rsid w:val="00CD50FF"/>
    <w:rsid w:val="00CD510D"/>
    <w:rsid w:val="00CD5170"/>
    <w:rsid w:val="00CD536A"/>
    <w:rsid w:val="00CD5514"/>
    <w:rsid w:val="00CD566F"/>
    <w:rsid w:val="00CD57EC"/>
    <w:rsid w:val="00CD5925"/>
    <w:rsid w:val="00CD5939"/>
    <w:rsid w:val="00CD5953"/>
    <w:rsid w:val="00CD5A67"/>
    <w:rsid w:val="00CD5B3C"/>
    <w:rsid w:val="00CD5B43"/>
    <w:rsid w:val="00CD5C99"/>
    <w:rsid w:val="00CD5E78"/>
    <w:rsid w:val="00CD5E9D"/>
    <w:rsid w:val="00CD5EBF"/>
    <w:rsid w:val="00CD5EF0"/>
    <w:rsid w:val="00CD602C"/>
    <w:rsid w:val="00CD6093"/>
    <w:rsid w:val="00CD6115"/>
    <w:rsid w:val="00CD624E"/>
    <w:rsid w:val="00CD6255"/>
    <w:rsid w:val="00CD6275"/>
    <w:rsid w:val="00CD637B"/>
    <w:rsid w:val="00CD63C6"/>
    <w:rsid w:val="00CD6447"/>
    <w:rsid w:val="00CD648E"/>
    <w:rsid w:val="00CD65F0"/>
    <w:rsid w:val="00CD6693"/>
    <w:rsid w:val="00CD67A5"/>
    <w:rsid w:val="00CD685E"/>
    <w:rsid w:val="00CD6973"/>
    <w:rsid w:val="00CD6C28"/>
    <w:rsid w:val="00CD6C7D"/>
    <w:rsid w:val="00CD6CAF"/>
    <w:rsid w:val="00CD7093"/>
    <w:rsid w:val="00CD7134"/>
    <w:rsid w:val="00CD720C"/>
    <w:rsid w:val="00CD724F"/>
    <w:rsid w:val="00CD7319"/>
    <w:rsid w:val="00CD7326"/>
    <w:rsid w:val="00CD7470"/>
    <w:rsid w:val="00CD74BF"/>
    <w:rsid w:val="00CD759E"/>
    <w:rsid w:val="00CD7797"/>
    <w:rsid w:val="00CD783D"/>
    <w:rsid w:val="00CD7892"/>
    <w:rsid w:val="00CD7924"/>
    <w:rsid w:val="00CD793C"/>
    <w:rsid w:val="00CD795C"/>
    <w:rsid w:val="00CD7985"/>
    <w:rsid w:val="00CD7B97"/>
    <w:rsid w:val="00CDA17A"/>
    <w:rsid w:val="00CDA628"/>
    <w:rsid w:val="00CDC98F"/>
    <w:rsid w:val="00CE0043"/>
    <w:rsid w:val="00CE020B"/>
    <w:rsid w:val="00CE021D"/>
    <w:rsid w:val="00CE030F"/>
    <w:rsid w:val="00CE0367"/>
    <w:rsid w:val="00CE0369"/>
    <w:rsid w:val="00CE0576"/>
    <w:rsid w:val="00CE05C0"/>
    <w:rsid w:val="00CE0BE0"/>
    <w:rsid w:val="00CE0D26"/>
    <w:rsid w:val="00CE0D61"/>
    <w:rsid w:val="00CE1094"/>
    <w:rsid w:val="00CE10B4"/>
    <w:rsid w:val="00CE1152"/>
    <w:rsid w:val="00CE1269"/>
    <w:rsid w:val="00CE1302"/>
    <w:rsid w:val="00CE13B3"/>
    <w:rsid w:val="00CE13ED"/>
    <w:rsid w:val="00CE146B"/>
    <w:rsid w:val="00CE1508"/>
    <w:rsid w:val="00CE150F"/>
    <w:rsid w:val="00CE1708"/>
    <w:rsid w:val="00CE1913"/>
    <w:rsid w:val="00CE1942"/>
    <w:rsid w:val="00CE1A17"/>
    <w:rsid w:val="00CE1D37"/>
    <w:rsid w:val="00CE1DB1"/>
    <w:rsid w:val="00CE1F3A"/>
    <w:rsid w:val="00CE1F67"/>
    <w:rsid w:val="00CE1F6A"/>
    <w:rsid w:val="00CE210A"/>
    <w:rsid w:val="00CE2158"/>
    <w:rsid w:val="00CE2198"/>
    <w:rsid w:val="00CE2360"/>
    <w:rsid w:val="00CE23B9"/>
    <w:rsid w:val="00CE2453"/>
    <w:rsid w:val="00CE256A"/>
    <w:rsid w:val="00CE26C1"/>
    <w:rsid w:val="00CE276D"/>
    <w:rsid w:val="00CE278F"/>
    <w:rsid w:val="00CE27CB"/>
    <w:rsid w:val="00CE289A"/>
    <w:rsid w:val="00CE295C"/>
    <w:rsid w:val="00CE2A95"/>
    <w:rsid w:val="00CE2B2D"/>
    <w:rsid w:val="00CE2B53"/>
    <w:rsid w:val="00CE2B86"/>
    <w:rsid w:val="00CE2D06"/>
    <w:rsid w:val="00CE3016"/>
    <w:rsid w:val="00CE3057"/>
    <w:rsid w:val="00CE30B1"/>
    <w:rsid w:val="00CE346B"/>
    <w:rsid w:val="00CE3581"/>
    <w:rsid w:val="00CE3679"/>
    <w:rsid w:val="00CE367D"/>
    <w:rsid w:val="00CE36D2"/>
    <w:rsid w:val="00CE3802"/>
    <w:rsid w:val="00CE3AAE"/>
    <w:rsid w:val="00CE3BDF"/>
    <w:rsid w:val="00CE3C1D"/>
    <w:rsid w:val="00CE3C8E"/>
    <w:rsid w:val="00CE3DBB"/>
    <w:rsid w:val="00CE3F4A"/>
    <w:rsid w:val="00CE3F57"/>
    <w:rsid w:val="00CE3FEF"/>
    <w:rsid w:val="00CE4086"/>
    <w:rsid w:val="00CE42A9"/>
    <w:rsid w:val="00CE4457"/>
    <w:rsid w:val="00CE472D"/>
    <w:rsid w:val="00CE477F"/>
    <w:rsid w:val="00CE4AA5"/>
    <w:rsid w:val="00CE4B6C"/>
    <w:rsid w:val="00CE4DA5"/>
    <w:rsid w:val="00CE4E4E"/>
    <w:rsid w:val="00CE4EAD"/>
    <w:rsid w:val="00CE502C"/>
    <w:rsid w:val="00CE504D"/>
    <w:rsid w:val="00CE50B1"/>
    <w:rsid w:val="00CE511B"/>
    <w:rsid w:val="00CE5338"/>
    <w:rsid w:val="00CE540E"/>
    <w:rsid w:val="00CE5445"/>
    <w:rsid w:val="00CE56FE"/>
    <w:rsid w:val="00CE588A"/>
    <w:rsid w:val="00CE58BA"/>
    <w:rsid w:val="00CE5904"/>
    <w:rsid w:val="00CE59FC"/>
    <w:rsid w:val="00CE5AFE"/>
    <w:rsid w:val="00CE6029"/>
    <w:rsid w:val="00CE602C"/>
    <w:rsid w:val="00CE61F0"/>
    <w:rsid w:val="00CE62BE"/>
    <w:rsid w:val="00CE62D0"/>
    <w:rsid w:val="00CE63FE"/>
    <w:rsid w:val="00CE66E0"/>
    <w:rsid w:val="00CE66F5"/>
    <w:rsid w:val="00CE672C"/>
    <w:rsid w:val="00CE67AA"/>
    <w:rsid w:val="00CE6A85"/>
    <w:rsid w:val="00CE6B61"/>
    <w:rsid w:val="00CE6DA3"/>
    <w:rsid w:val="00CE6F8E"/>
    <w:rsid w:val="00CE6FB7"/>
    <w:rsid w:val="00CE713E"/>
    <w:rsid w:val="00CE73D0"/>
    <w:rsid w:val="00CE7502"/>
    <w:rsid w:val="00CE7647"/>
    <w:rsid w:val="00CE781E"/>
    <w:rsid w:val="00CE7906"/>
    <w:rsid w:val="00CE79AA"/>
    <w:rsid w:val="00CE7A73"/>
    <w:rsid w:val="00CE7BBA"/>
    <w:rsid w:val="00CE7C51"/>
    <w:rsid w:val="00CE7C5F"/>
    <w:rsid w:val="00CE7FF1"/>
    <w:rsid w:val="00CEE2D5"/>
    <w:rsid w:val="00CF00E4"/>
    <w:rsid w:val="00CF0162"/>
    <w:rsid w:val="00CF019A"/>
    <w:rsid w:val="00CF0280"/>
    <w:rsid w:val="00CF04E2"/>
    <w:rsid w:val="00CF05D5"/>
    <w:rsid w:val="00CF0706"/>
    <w:rsid w:val="00CF092C"/>
    <w:rsid w:val="00CF09CB"/>
    <w:rsid w:val="00CF0A8F"/>
    <w:rsid w:val="00CF0A9A"/>
    <w:rsid w:val="00CF0CD5"/>
    <w:rsid w:val="00CF0DFB"/>
    <w:rsid w:val="00CF0F6D"/>
    <w:rsid w:val="00CF1076"/>
    <w:rsid w:val="00CF1123"/>
    <w:rsid w:val="00CF1155"/>
    <w:rsid w:val="00CF1173"/>
    <w:rsid w:val="00CF1205"/>
    <w:rsid w:val="00CF1500"/>
    <w:rsid w:val="00CF1528"/>
    <w:rsid w:val="00CF1945"/>
    <w:rsid w:val="00CF1A63"/>
    <w:rsid w:val="00CF1AE6"/>
    <w:rsid w:val="00CF1AFE"/>
    <w:rsid w:val="00CF1B87"/>
    <w:rsid w:val="00CF1CC8"/>
    <w:rsid w:val="00CF1D8E"/>
    <w:rsid w:val="00CF1E21"/>
    <w:rsid w:val="00CF1F48"/>
    <w:rsid w:val="00CF1F52"/>
    <w:rsid w:val="00CF1F70"/>
    <w:rsid w:val="00CF201B"/>
    <w:rsid w:val="00CF262B"/>
    <w:rsid w:val="00CF2678"/>
    <w:rsid w:val="00CF2892"/>
    <w:rsid w:val="00CF2AF4"/>
    <w:rsid w:val="00CF2BC4"/>
    <w:rsid w:val="00CF2C18"/>
    <w:rsid w:val="00CF2C1A"/>
    <w:rsid w:val="00CF2DCA"/>
    <w:rsid w:val="00CF2E59"/>
    <w:rsid w:val="00CF2E6D"/>
    <w:rsid w:val="00CF2ED6"/>
    <w:rsid w:val="00CF2F89"/>
    <w:rsid w:val="00CF2FD3"/>
    <w:rsid w:val="00CF3083"/>
    <w:rsid w:val="00CF30AB"/>
    <w:rsid w:val="00CF31E6"/>
    <w:rsid w:val="00CF32CC"/>
    <w:rsid w:val="00CF32DD"/>
    <w:rsid w:val="00CF3363"/>
    <w:rsid w:val="00CF345C"/>
    <w:rsid w:val="00CF36D8"/>
    <w:rsid w:val="00CF36E7"/>
    <w:rsid w:val="00CF374B"/>
    <w:rsid w:val="00CF37A5"/>
    <w:rsid w:val="00CF37AA"/>
    <w:rsid w:val="00CF3998"/>
    <w:rsid w:val="00CF3A2B"/>
    <w:rsid w:val="00CF3A34"/>
    <w:rsid w:val="00CF3C9B"/>
    <w:rsid w:val="00CF3E97"/>
    <w:rsid w:val="00CF3EC2"/>
    <w:rsid w:val="00CF4020"/>
    <w:rsid w:val="00CF40B8"/>
    <w:rsid w:val="00CF41E6"/>
    <w:rsid w:val="00CF423E"/>
    <w:rsid w:val="00CF4267"/>
    <w:rsid w:val="00CF42A4"/>
    <w:rsid w:val="00CF45A8"/>
    <w:rsid w:val="00CF4658"/>
    <w:rsid w:val="00CF4728"/>
    <w:rsid w:val="00CF4765"/>
    <w:rsid w:val="00CF48D5"/>
    <w:rsid w:val="00CF48F6"/>
    <w:rsid w:val="00CF4917"/>
    <w:rsid w:val="00CF492D"/>
    <w:rsid w:val="00CF4AF1"/>
    <w:rsid w:val="00CF51BE"/>
    <w:rsid w:val="00CF51FB"/>
    <w:rsid w:val="00CF526F"/>
    <w:rsid w:val="00CF52FF"/>
    <w:rsid w:val="00CF533B"/>
    <w:rsid w:val="00CF58E3"/>
    <w:rsid w:val="00CF5B6D"/>
    <w:rsid w:val="00CF5D7E"/>
    <w:rsid w:val="00CF5DB8"/>
    <w:rsid w:val="00CF5E03"/>
    <w:rsid w:val="00CF5E9B"/>
    <w:rsid w:val="00CF5F4B"/>
    <w:rsid w:val="00CF5FF5"/>
    <w:rsid w:val="00CF601E"/>
    <w:rsid w:val="00CF604A"/>
    <w:rsid w:val="00CF60B4"/>
    <w:rsid w:val="00CF61C4"/>
    <w:rsid w:val="00CF61E3"/>
    <w:rsid w:val="00CF63C8"/>
    <w:rsid w:val="00CF6489"/>
    <w:rsid w:val="00CF64A7"/>
    <w:rsid w:val="00CF65FB"/>
    <w:rsid w:val="00CF6661"/>
    <w:rsid w:val="00CF67A3"/>
    <w:rsid w:val="00CF686A"/>
    <w:rsid w:val="00CF6890"/>
    <w:rsid w:val="00CF6BF5"/>
    <w:rsid w:val="00CF6CCD"/>
    <w:rsid w:val="00CF6CED"/>
    <w:rsid w:val="00CF6F57"/>
    <w:rsid w:val="00CF6F83"/>
    <w:rsid w:val="00CF6F9C"/>
    <w:rsid w:val="00CF6FAB"/>
    <w:rsid w:val="00CF70F6"/>
    <w:rsid w:val="00CF716E"/>
    <w:rsid w:val="00CF73A1"/>
    <w:rsid w:val="00CF7486"/>
    <w:rsid w:val="00CF7576"/>
    <w:rsid w:val="00CF7604"/>
    <w:rsid w:val="00CF778B"/>
    <w:rsid w:val="00CF7842"/>
    <w:rsid w:val="00CF7877"/>
    <w:rsid w:val="00CF78BF"/>
    <w:rsid w:val="00CF79A0"/>
    <w:rsid w:val="00CF79B7"/>
    <w:rsid w:val="00CF7A5B"/>
    <w:rsid w:val="00CF7BF6"/>
    <w:rsid w:val="00CF7C92"/>
    <w:rsid w:val="00CF7CCB"/>
    <w:rsid w:val="00CF7D95"/>
    <w:rsid w:val="00CF7E10"/>
    <w:rsid w:val="00CF7FC0"/>
    <w:rsid w:val="00CF7FF2"/>
    <w:rsid w:val="00CFB79A"/>
    <w:rsid w:val="00D00035"/>
    <w:rsid w:val="00D00047"/>
    <w:rsid w:val="00D003F6"/>
    <w:rsid w:val="00D004E7"/>
    <w:rsid w:val="00D00796"/>
    <w:rsid w:val="00D007D8"/>
    <w:rsid w:val="00D00830"/>
    <w:rsid w:val="00D00905"/>
    <w:rsid w:val="00D00ACA"/>
    <w:rsid w:val="00D00B36"/>
    <w:rsid w:val="00D00C4C"/>
    <w:rsid w:val="00D00CD8"/>
    <w:rsid w:val="00D00D1B"/>
    <w:rsid w:val="00D00D75"/>
    <w:rsid w:val="00D00E5D"/>
    <w:rsid w:val="00D00F5E"/>
    <w:rsid w:val="00D00FBE"/>
    <w:rsid w:val="00D00FD7"/>
    <w:rsid w:val="00D00FF2"/>
    <w:rsid w:val="00D01009"/>
    <w:rsid w:val="00D0101B"/>
    <w:rsid w:val="00D010AA"/>
    <w:rsid w:val="00D0118C"/>
    <w:rsid w:val="00D011DC"/>
    <w:rsid w:val="00D011EE"/>
    <w:rsid w:val="00D01217"/>
    <w:rsid w:val="00D0124F"/>
    <w:rsid w:val="00D013C2"/>
    <w:rsid w:val="00D0166F"/>
    <w:rsid w:val="00D0168F"/>
    <w:rsid w:val="00D01771"/>
    <w:rsid w:val="00D017FC"/>
    <w:rsid w:val="00D01AB6"/>
    <w:rsid w:val="00D01AD4"/>
    <w:rsid w:val="00D01C5F"/>
    <w:rsid w:val="00D01DDD"/>
    <w:rsid w:val="00D01E6E"/>
    <w:rsid w:val="00D01EDF"/>
    <w:rsid w:val="00D021BA"/>
    <w:rsid w:val="00D022A1"/>
    <w:rsid w:val="00D0244D"/>
    <w:rsid w:val="00D024C9"/>
    <w:rsid w:val="00D024EF"/>
    <w:rsid w:val="00D0260E"/>
    <w:rsid w:val="00D02706"/>
    <w:rsid w:val="00D027E6"/>
    <w:rsid w:val="00D02812"/>
    <w:rsid w:val="00D0289B"/>
    <w:rsid w:val="00D028AF"/>
    <w:rsid w:val="00D02A9E"/>
    <w:rsid w:val="00D02D10"/>
    <w:rsid w:val="00D02D6A"/>
    <w:rsid w:val="00D02DBC"/>
    <w:rsid w:val="00D02E06"/>
    <w:rsid w:val="00D02E7E"/>
    <w:rsid w:val="00D02EAD"/>
    <w:rsid w:val="00D03080"/>
    <w:rsid w:val="00D031B2"/>
    <w:rsid w:val="00D03289"/>
    <w:rsid w:val="00D032D7"/>
    <w:rsid w:val="00D03468"/>
    <w:rsid w:val="00D03625"/>
    <w:rsid w:val="00D0371E"/>
    <w:rsid w:val="00D03757"/>
    <w:rsid w:val="00D0375C"/>
    <w:rsid w:val="00D037DF"/>
    <w:rsid w:val="00D037FB"/>
    <w:rsid w:val="00D03853"/>
    <w:rsid w:val="00D038CA"/>
    <w:rsid w:val="00D0391F"/>
    <w:rsid w:val="00D03977"/>
    <w:rsid w:val="00D03B62"/>
    <w:rsid w:val="00D03C21"/>
    <w:rsid w:val="00D03D64"/>
    <w:rsid w:val="00D03EC2"/>
    <w:rsid w:val="00D03F13"/>
    <w:rsid w:val="00D03FBC"/>
    <w:rsid w:val="00D0420C"/>
    <w:rsid w:val="00D042CF"/>
    <w:rsid w:val="00D04392"/>
    <w:rsid w:val="00D043FC"/>
    <w:rsid w:val="00D04400"/>
    <w:rsid w:val="00D04456"/>
    <w:rsid w:val="00D045A4"/>
    <w:rsid w:val="00D045BA"/>
    <w:rsid w:val="00D0492C"/>
    <w:rsid w:val="00D0496B"/>
    <w:rsid w:val="00D04A76"/>
    <w:rsid w:val="00D04AA3"/>
    <w:rsid w:val="00D04C9B"/>
    <w:rsid w:val="00D04DF1"/>
    <w:rsid w:val="00D04E38"/>
    <w:rsid w:val="00D04E86"/>
    <w:rsid w:val="00D04F0C"/>
    <w:rsid w:val="00D04F0F"/>
    <w:rsid w:val="00D04FA4"/>
    <w:rsid w:val="00D05013"/>
    <w:rsid w:val="00D05057"/>
    <w:rsid w:val="00D050DC"/>
    <w:rsid w:val="00D0525A"/>
    <w:rsid w:val="00D052F9"/>
    <w:rsid w:val="00D053E1"/>
    <w:rsid w:val="00D05453"/>
    <w:rsid w:val="00D05463"/>
    <w:rsid w:val="00D055A5"/>
    <w:rsid w:val="00D056A3"/>
    <w:rsid w:val="00D057C5"/>
    <w:rsid w:val="00D05904"/>
    <w:rsid w:val="00D05969"/>
    <w:rsid w:val="00D059C8"/>
    <w:rsid w:val="00D05A15"/>
    <w:rsid w:val="00D05BA4"/>
    <w:rsid w:val="00D05BBC"/>
    <w:rsid w:val="00D05C55"/>
    <w:rsid w:val="00D05C59"/>
    <w:rsid w:val="00D05D07"/>
    <w:rsid w:val="00D05D52"/>
    <w:rsid w:val="00D05DE4"/>
    <w:rsid w:val="00D05EED"/>
    <w:rsid w:val="00D05F8F"/>
    <w:rsid w:val="00D06079"/>
    <w:rsid w:val="00D062C2"/>
    <w:rsid w:val="00D062D1"/>
    <w:rsid w:val="00D063F7"/>
    <w:rsid w:val="00D064F1"/>
    <w:rsid w:val="00D06578"/>
    <w:rsid w:val="00D06720"/>
    <w:rsid w:val="00D06867"/>
    <w:rsid w:val="00D06A10"/>
    <w:rsid w:val="00D06A52"/>
    <w:rsid w:val="00D06B61"/>
    <w:rsid w:val="00D06B76"/>
    <w:rsid w:val="00D06C41"/>
    <w:rsid w:val="00D06C72"/>
    <w:rsid w:val="00D06C81"/>
    <w:rsid w:val="00D06DF5"/>
    <w:rsid w:val="00D06E6E"/>
    <w:rsid w:val="00D06ED5"/>
    <w:rsid w:val="00D06F25"/>
    <w:rsid w:val="00D0707F"/>
    <w:rsid w:val="00D07093"/>
    <w:rsid w:val="00D070B3"/>
    <w:rsid w:val="00D071D9"/>
    <w:rsid w:val="00D072DF"/>
    <w:rsid w:val="00D07347"/>
    <w:rsid w:val="00D07409"/>
    <w:rsid w:val="00D0747D"/>
    <w:rsid w:val="00D07523"/>
    <w:rsid w:val="00D075BC"/>
    <w:rsid w:val="00D0760A"/>
    <w:rsid w:val="00D07634"/>
    <w:rsid w:val="00D07696"/>
    <w:rsid w:val="00D076E9"/>
    <w:rsid w:val="00D0778A"/>
    <w:rsid w:val="00D07834"/>
    <w:rsid w:val="00D07882"/>
    <w:rsid w:val="00D078BE"/>
    <w:rsid w:val="00D07AB2"/>
    <w:rsid w:val="00D07C8D"/>
    <w:rsid w:val="00D07F4F"/>
    <w:rsid w:val="00D096BE"/>
    <w:rsid w:val="00D100AD"/>
    <w:rsid w:val="00D10191"/>
    <w:rsid w:val="00D101B7"/>
    <w:rsid w:val="00D101E5"/>
    <w:rsid w:val="00D102BF"/>
    <w:rsid w:val="00D1051D"/>
    <w:rsid w:val="00D1067C"/>
    <w:rsid w:val="00D106ED"/>
    <w:rsid w:val="00D1079F"/>
    <w:rsid w:val="00D107CB"/>
    <w:rsid w:val="00D107F6"/>
    <w:rsid w:val="00D108A2"/>
    <w:rsid w:val="00D108F0"/>
    <w:rsid w:val="00D10961"/>
    <w:rsid w:val="00D1096F"/>
    <w:rsid w:val="00D10A6E"/>
    <w:rsid w:val="00D10D47"/>
    <w:rsid w:val="00D10EA1"/>
    <w:rsid w:val="00D10EFB"/>
    <w:rsid w:val="00D10F2B"/>
    <w:rsid w:val="00D10F63"/>
    <w:rsid w:val="00D11161"/>
    <w:rsid w:val="00D1122B"/>
    <w:rsid w:val="00D11257"/>
    <w:rsid w:val="00D1125A"/>
    <w:rsid w:val="00D11341"/>
    <w:rsid w:val="00D11455"/>
    <w:rsid w:val="00D115E6"/>
    <w:rsid w:val="00D116C7"/>
    <w:rsid w:val="00D11874"/>
    <w:rsid w:val="00D1198E"/>
    <w:rsid w:val="00D11A1B"/>
    <w:rsid w:val="00D11C70"/>
    <w:rsid w:val="00D11C9E"/>
    <w:rsid w:val="00D12066"/>
    <w:rsid w:val="00D12205"/>
    <w:rsid w:val="00D12208"/>
    <w:rsid w:val="00D12231"/>
    <w:rsid w:val="00D12321"/>
    <w:rsid w:val="00D1245C"/>
    <w:rsid w:val="00D12581"/>
    <w:rsid w:val="00D126A6"/>
    <w:rsid w:val="00D126FA"/>
    <w:rsid w:val="00D1286E"/>
    <w:rsid w:val="00D128D8"/>
    <w:rsid w:val="00D129F6"/>
    <w:rsid w:val="00D12B8A"/>
    <w:rsid w:val="00D12E6A"/>
    <w:rsid w:val="00D12EBE"/>
    <w:rsid w:val="00D12EE9"/>
    <w:rsid w:val="00D12F14"/>
    <w:rsid w:val="00D12F97"/>
    <w:rsid w:val="00D1300A"/>
    <w:rsid w:val="00D13021"/>
    <w:rsid w:val="00D13108"/>
    <w:rsid w:val="00D13444"/>
    <w:rsid w:val="00D134AB"/>
    <w:rsid w:val="00D1352C"/>
    <w:rsid w:val="00D13580"/>
    <w:rsid w:val="00D135D6"/>
    <w:rsid w:val="00D13697"/>
    <w:rsid w:val="00D136EF"/>
    <w:rsid w:val="00D137A6"/>
    <w:rsid w:val="00D13889"/>
    <w:rsid w:val="00D1395E"/>
    <w:rsid w:val="00D139A3"/>
    <w:rsid w:val="00D13A1E"/>
    <w:rsid w:val="00D13B21"/>
    <w:rsid w:val="00D13B2F"/>
    <w:rsid w:val="00D13B47"/>
    <w:rsid w:val="00D140E9"/>
    <w:rsid w:val="00D1410A"/>
    <w:rsid w:val="00D14145"/>
    <w:rsid w:val="00D14345"/>
    <w:rsid w:val="00D14442"/>
    <w:rsid w:val="00D14460"/>
    <w:rsid w:val="00D144A0"/>
    <w:rsid w:val="00D144B8"/>
    <w:rsid w:val="00D1458C"/>
    <w:rsid w:val="00D1461E"/>
    <w:rsid w:val="00D14694"/>
    <w:rsid w:val="00D14718"/>
    <w:rsid w:val="00D147E7"/>
    <w:rsid w:val="00D148E7"/>
    <w:rsid w:val="00D14D3B"/>
    <w:rsid w:val="00D14E64"/>
    <w:rsid w:val="00D14E6C"/>
    <w:rsid w:val="00D14F0A"/>
    <w:rsid w:val="00D150EA"/>
    <w:rsid w:val="00D15113"/>
    <w:rsid w:val="00D15455"/>
    <w:rsid w:val="00D1558B"/>
    <w:rsid w:val="00D1565B"/>
    <w:rsid w:val="00D1566C"/>
    <w:rsid w:val="00D15817"/>
    <w:rsid w:val="00D158D0"/>
    <w:rsid w:val="00D159B5"/>
    <w:rsid w:val="00D15AF8"/>
    <w:rsid w:val="00D15B2A"/>
    <w:rsid w:val="00D15C5B"/>
    <w:rsid w:val="00D15D10"/>
    <w:rsid w:val="00D15D23"/>
    <w:rsid w:val="00D15DA8"/>
    <w:rsid w:val="00D15F10"/>
    <w:rsid w:val="00D15F28"/>
    <w:rsid w:val="00D16028"/>
    <w:rsid w:val="00D16085"/>
    <w:rsid w:val="00D160DE"/>
    <w:rsid w:val="00D16192"/>
    <w:rsid w:val="00D16206"/>
    <w:rsid w:val="00D1655F"/>
    <w:rsid w:val="00D16697"/>
    <w:rsid w:val="00D16730"/>
    <w:rsid w:val="00D167AD"/>
    <w:rsid w:val="00D1684E"/>
    <w:rsid w:val="00D1688D"/>
    <w:rsid w:val="00D1694C"/>
    <w:rsid w:val="00D16A5B"/>
    <w:rsid w:val="00D16B4A"/>
    <w:rsid w:val="00D16E4A"/>
    <w:rsid w:val="00D16EED"/>
    <w:rsid w:val="00D17040"/>
    <w:rsid w:val="00D171AE"/>
    <w:rsid w:val="00D171C7"/>
    <w:rsid w:val="00D171E5"/>
    <w:rsid w:val="00D171FE"/>
    <w:rsid w:val="00D1724B"/>
    <w:rsid w:val="00D1729D"/>
    <w:rsid w:val="00D173EA"/>
    <w:rsid w:val="00D17678"/>
    <w:rsid w:val="00D177D6"/>
    <w:rsid w:val="00D1782E"/>
    <w:rsid w:val="00D17971"/>
    <w:rsid w:val="00D179E3"/>
    <w:rsid w:val="00D17A75"/>
    <w:rsid w:val="00D17CED"/>
    <w:rsid w:val="00D17D32"/>
    <w:rsid w:val="00D17D84"/>
    <w:rsid w:val="00D17F41"/>
    <w:rsid w:val="00D200A3"/>
    <w:rsid w:val="00D20156"/>
    <w:rsid w:val="00D2025A"/>
    <w:rsid w:val="00D202C5"/>
    <w:rsid w:val="00D20344"/>
    <w:rsid w:val="00D20434"/>
    <w:rsid w:val="00D2057D"/>
    <w:rsid w:val="00D20A8F"/>
    <w:rsid w:val="00D20AAF"/>
    <w:rsid w:val="00D20CAA"/>
    <w:rsid w:val="00D20DAC"/>
    <w:rsid w:val="00D20DCB"/>
    <w:rsid w:val="00D20F62"/>
    <w:rsid w:val="00D20FD1"/>
    <w:rsid w:val="00D210D5"/>
    <w:rsid w:val="00D2113E"/>
    <w:rsid w:val="00D2118D"/>
    <w:rsid w:val="00D211EF"/>
    <w:rsid w:val="00D212EF"/>
    <w:rsid w:val="00D215DF"/>
    <w:rsid w:val="00D215FF"/>
    <w:rsid w:val="00D216ED"/>
    <w:rsid w:val="00D21763"/>
    <w:rsid w:val="00D217A9"/>
    <w:rsid w:val="00D219B4"/>
    <w:rsid w:val="00D21AB8"/>
    <w:rsid w:val="00D21C6D"/>
    <w:rsid w:val="00D21C84"/>
    <w:rsid w:val="00D21D0E"/>
    <w:rsid w:val="00D21E5C"/>
    <w:rsid w:val="00D21ED2"/>
    <w:rsid w:val="00D21F0B"/>
    <w:rsid w:val="00D21F36"/>
    <w:rsid w:val="00D22321"/>
    <w:rsid w:val="00D22323"/>
    <w:rsid w:val="00D2242D"/>
    <w:rsid w:val="00D2243F"/>
    <w:rsid w:val="00D2244D"/>
    <w:rsid w:val="00D2246D"/>
    <w:rsid w:val="00D2248D"/>
    <w:rsid w:val="00D2256C"/>
    <w:rsid w:val="00D225EE"/>
    <w:rsid w:val="00D22624"/>
    <w:rsid w:val="00D22676"/>
    <w:rsid w:val="00D226AE"/>
    <w:rsid w:val="00D226E8"/>
    <w:rsid w:val="00D22935"/>
    <w:rsid w:val="00D229D5"/>
    <w:rsid w:val="00D22B76"/>
    <w:rsid w:val="00D22C51"/>
    <w:rsid w:val="00D22D20"/>
    <w:rsid w:val="00D22E9D"/>
    <w:rsid w:val="00D232E5"/>
    <w:rsid w:val="00D236F4"/>
    <w:rsid w:val="00D23714"/>
    <w:rsid w:val="00D23951"/>
    <w:rsid w:val="00D23A52"/>
    <w:rsid w:val="00D23AF3"/>
    <w:rsid w:val="00D23B2D"/>
    <w:rsid w:val="00D23DEE"/>
    <w:rsid w:val="00D23E18"/>
    <w:rsid w:val="00D23EE4"/>
    <w:rsid w:val="00D23F29"/>
    <w:rsid w:val="00D23FD5"/>
    <w:rsid w:val="00D240CC"/>
    <w:rsid w:val="00D242F4"/>
    <w:rsid w:val="00D246CA"/>
    <w:rsid w:val="00D246EB"/>
    <w:rsid w:val="00D246ED"/>
    <w:rsid w:val="00D2486B"/>
    <w:rsid w:val="00D2487B"/>
    <w:rsid w:val="00D24965"/>
    <w:rsid w:val="00D24D53"/>
    <w:rsid w:val="00D24D92"/>
    <w:rsid w:val="00D24E8D"/>
    <w:rsid w:val="00D24FD2"/>
    <w:rsid w:val="00D2519B"/>
    <w:rsid w:val="00D25417"/>
    <w:rsid w:val="00D2575B"/>
    <w:rsid w:val="00D258D0"/>
    <w:rsid w:val="00D2599C"/>
    <w:rsid w:val="00D25AA6"/>
    <w:rsid w:val="00D25BDA"/>
    <w:rsid w:val="00D25C7B"/>
    <w:rsid w:val="00D25CC0"/>
    <w:rsid w:val="00D25D5C"/>
    <w:rsid w:val="00D25D9A"/>
    <w:rsid w:val="00D25DFC"/>
    <w:rsid w:val="00D25E51"/>
    <w:rsid w:val="00D25E7C"/>
    <w:rsid w:val="00D25F0A"/>
    <w:rsid w:val="00D25F3A"/>
    <w:rsid w:val="00D25F7E"/>
    <w:rsid w:val="00D25F94"/>
    <w:rsid w:val="00D25F99"/>
    <w:rsid w:val="00D25FE8"/>
    <w:rsid w:val="00D260D2"/>
    <w:rsid w:val="00D2636B"/>
    <w:rsid w:val="00D263C3"/>
    <w:rsid w:val="00D26417"/>
    <w:rsid w:val="00D2655C"/>
    <w:rsid w:val="00D2665D"/>
    <w:rsid w:val="00D26662"/>
    <w:rsid w:val="00D26705"/>
    <w:rsid w:val="00D2683F"/>
    <w:rsid w:val="00D269EA"/>
    <w:rsid w:val="00D26AC4"/>
    <w:rsid w:val="00D26C05"/>
    <w:rsid w:val="00D26D91"/>
    <w:rsid w:val="00D26E3B"/>
    <w:rsid w:val="00D26EF8"/>
    <w:rsid w:val="00D27047"/>
    <w:rsid w:val="00D2711B"/>
    <w:rsid w:val="00D2715B"/>
    <w:rsid w:val="00D27205"/>
    <w:rsid w:val="00D27281"/>
    <w:rsid w:val="00D27316"/>
    <w:rsid w:val="00D273D4"/>
    <w:rsid w:val="00D2758D"/>
    <w:rsid w:val="00D275D3"/>
    <w:rsid w:val="00D27603"/>
    <w:rsid w:val="00D276AC"/>
    <w:rsid w:val="00D27830"/>
    <w:rsid w:val="00D2783F"/>
    <w:rsid w:val="00D27A8C"/>
    <w:rsid w:val="00D27A95"/>
    <w:rsid w:val="00D27B7E"/>
    <w:rsid w:val="00D27D70"/>
    <w:rsid w:val="00D27D78"/>
    <w:rsid w:val="00D27E39"/>
    <w:rsid w:val="00D27F97"/>
    <w:rsid w:val="00D30036"/>
    <w:rsid w:val="00D3029E"/>
    <w:rsid w:val="00D302A5"/>
    <w:rsid w:val="00D303C1"/>
    <w:rsid w:val="00D304C2"/>
    <w:rsid w:val="00D30659"/>
    <w:rsid w:val="00D306E1"/>
    <w:rsid w:val="00D307A7"/>
    <w:rsid w:val="00D3084C"/>
    <w:rsid w:val="00D309B6"/>
    <w:rsid w:val="00D30AC5"/>
    <w:rsid w:val="00D30C1A"/>
    <w:rsid w:val="00D30C92"/>
    <w:rsid w:val="00D30D49"/>
    <w:rsid w:val="00D30DB1"/>
    <w:rsid w:val="00D30DC8"/>
    <w:rsid w:val="00D30DEB"/>
    <w:rsid w:val="00D31037"/>
    <w:rsid w:val="00D31051"/>
    <w:rsid w:val="00D31191"/>
    <w:rsid w:val="00D3133B"/>
    <w:rsid w:val="00D313B2"/>
    <w:rsid w:val="00D315B4"/>
    <w:rsid w:val="00D31653"/>
    <w:rsid w:val="00D3166A"/>
    <w:rsid w:val="00D31730"/>
    <w:rsid w:val="00D319A8"/>
    <w:rsid w:val="00D31B1C"/>
    <w:rsid w:val="00D31BB6"/>
    <w:rsid w:val="00D31C31"/>
    <w:rsid w:val="00D31F1B"/>
    <w:rsid w:val="00D31F50"/>
    <w:rsid w:val="00D31F59"/>
    <w:rsid w:val="00D3205F"/>
    <w:rsid w:val="00D3215D"/>
    <w:rsid w:val="00D322C5"/>
    <w:rsid w:val="00D322E2"/>
    <w:rsid w:val="00D326B6"/>
    <w:rsid w:val="00D32714"/>
    <w:rsid w:val="00D3272A"/>
    <w:rsid w:val="00D32797"/>
    <w:rsid w:val="00D3279C"/>
    <w:rsid w:val="00D3281A"/>
    <w:rsid w:val="00D32913"/>
    <w:rsid w:val="00D32919"/>
    <w:rsid w:val="00D329F6"/>
    <w:rsid w:val="00D32DF2"/>
    <w:rsid w:val="00D32E5A"/>
    <w:rsid w:val="00D32EC4"/>
    <w:rsid w:val="00D32EDF"/>
    <w:rsid w:val="00D32FFB"/>
    <w:rsid w:val="00D3315B"/>
    <w:rsid w:val="00D3320D"/>
    <w:rsid w:val="00D33287"/>
    <w:rsid w:val="00D3329D"/>
    <w:rsid w:val="00D333EA"/>
    <w:rsid w:val="00D3341C"/>
    <w:rsid w:val="00D3346F"/>
    <w:rsid w:val="00D335D1"/>
    <w:rsid w:val="00D33968"/>
    <w:rsid w:val="00D3397F"/>
    <w:rsid w:val="00D339CA"/>
    <w:rsid w:val="00D33C86"/>
    <w:rsid w:val="00D33D05"/>
    <w:rsid w:val="00D33DA6"/>
    <w:rsid w:val="00D33E40"/>
    <w:rsid w:val="00D33F5B"/>
    <w:rsid w:val="00D33FF3"/>
    <w:rsid w:val="00D34056"/>
    <w:rsid w:val="00D342A0"/>
    <w:rsid w:val="00D3439A"/>
    <w:rsid w:val="00D34435"/>
    <w:rsid w:val="00D34578"/>
    <w:rsid w:val="00D34611"/>
    <w:rsid w:val="00D3461A"/>
    <w:rsid w:val="00D34724"/>
    <w:rsid w:val="00D3479A"/>
    <w:rsid w:val="00D347F8"/>
    <w:rsid w:val="00D3489F"/>
    <w:rsid w:val="00D348E0"/>
    <w:rsid w:val="00D348FC"/>
    <w:rsid w:val="00D349A1"/>
    <w:rsid w:val="00D34A28"/>
    <w:rsid w:val="00D34B8F"/>
    <w:rsid w:val="00D34C48"/>
    <w:rsid w:val="00D34C55"/>
    <w:rsid w:val="00D34F3A"/>
    <w:rsid w:val="00D35000"/>
    <w:rsid w:val="00D3527D"/>
    <w:rsid w:val="00D3538C"/>
    <w:rsid w:val="00D35399"/>
    <w:rsid w:val="00D35415"/>
    <w:rsid w:val="00D35461"/>
    <w:rsid w:val="00D354E5"/>
    <w:rsid w:val="00D35682"/>
    <w:rsid w:val="00D356C1"/>
    <w:rsid w:val="00D3577F"/>
    <w:rsid w:val="00D359B8"/>
    <w:rsid w:val="00D35A70"/>
    <w:rsid w:val="00D35E57"/>
    <w:rsid w:val="00D35E5F"/>
    <w:rsid w:val="00D35E74"/>
    <w:rsid w:val="00D36027"/>
    <w:rsid w:val="00D360ED"/>
    <w:rsid w:val="00D36130"/>
    <w:rsid w:val="00D36180"/>
    <w:rsid w:val="00D361F8"/>
    <w:rsid w:val="00D363A7"/>
    <w:rsid w:val="00D363C1"/>
    <w:rsid w:val="00D3659B"/>
    <w:rsid w:val="00D365EC"/>
    <w:rsid w:val="00D36967"/>
    <w:rsid w:val="00D3699C"/>
    <w:rsid w:val="00D36AC6"/>
    <w:rsid w:val="00D36B0F"/>
    <w:rsid w:val="00D36B6C"/>
    <w:rsid w:val="00D36BE5"/>
    <w:rsid w:val="00D36C8A"/>
    <w:rsid w:val="00D370D6"/>
    <w:rsid w:val="00D37383"/>
    <w:rsid w:val="00D373CE"/>
    <w:rsid w:val="00D374C7"/>
    <w:rsid w:val="00D374D0"/>
    <w:rsid w:val="00D3750F"/>
    <w:rsid w:val="00D37516"/>
    <w:rsid w:val="00D375E8"/>
    <w:rsid w:val="00D379A6"/>
    <w:rsid w:val="00D37ADD"/>
    <w:rsid w:val="00D37B05"/>
    <w:rsid w:val="00D37BD4"/>
    <w:rsid w:val="00D37CBA"/>
    <w:rsid w:val="00D37F75"/>
    <w:rsid w:val="00D3B8BB"/>
    <w:rsid w:val="00D401E3"/>
    <w:rsid w:val="00D402C2"/>
    <w:rsid w:val="00D40368"/>
    <w:rsid w:val="00D4056C"/>
    <w:rsid w:val="00D407D1"/>
    <w:rsid w:val="00D40969"/>
    <w:rsid w:val="00D40A07"/>
    <w:rsid w:val="00D40CD7"/>
    <w:rsid w:val="00D40E29"/>
    <w:rsid w:val="00D40EA1"/>
    <w:rsid w:val="00D40EF7"/>
    <w:rsid w:val="00D40FE2"/>
    <w:rsid w:val="00D4100B"/>
    <w:rsid w:val="00D410A1"/>
    <w:rsid w:val="00D410EF"/>
    <w:rsid w:val="00D41144"/>
    <w:rsid w:val="00D41336"/>
    <w:rsid w:val="00D41365"/>
    <w:rsid w:val="00D413EF"/>
    <w:rsid w:val="00D4168E"/>
    <w:rsid w:val="00D4178B"/>
    <w:rsid w:val="00D417FA"/>
    <w:rsid w:val="00D418D3"/>
    <w:rsid w:val="00D41904"/>
    <w:rsid w:val="00D41AFC"/>
    <w:rsid w:val="00D41C11"/>
    <w:rsid w:val="00D41DD0"/>
    <w:rsid w:val="00D41DD7"/>
    <w:rsid w:val="00D41F84"/>
    <w:rsid w:val="00D421EA"/>
    <w:rsid w:val="00D421EE"/>
    <w:rsid w:val="00D42216"/>
    <w:rsid w:val="00D42225"/>
    <w:rsid w:val="00D4222D"/>
    <w:rsid w:val="00D42237"/>
    <w:rsid w:val="00D422B4"/>
    <w:rsid w:val="00D422E3"/>
    <w:rsid w:val="00D42572"/>
    <w:rsid w:val="00D42714"/>
    <w:rsid w:val="00D42894"/>
    <w:rsid w:val="00D428EE"/>
    <w:rsid w:val="00D42953"/>
    <w:rsid w:val="00D42B24"/>
    <w:rsid w:val="00D42B45"/>
    <w:rsid w:val="00D42BAE"/>
    <w:rsid w:val="00D42CC4"/>
    <w:rsid w:val="00D42D38"/>
    <w:rsid w:val="00D42E83"/>
    <w:rsid w:val="00D42F4D"/>
    <w:rsid w:val="00D43312"/>
    <w:rsid w:val="00D433B1"/>
    <w:rsid w:val="00D435A7"/>
    <w:rsid w:val="00D435A9"/>
    <w:rsid w:val="00D435C6"/>
    <w:rsid w:val="00D43684"/>
    <w:rsid w:val="00D43698"/>
    <w:rsid w:val="00D43805"/>
    <w:rsid w:val="00D43842"/>
    <w:rsid w:val="00D439FC"/>
    <w:rsid w:val="00D439FD"/>
    <w:rsid w:val="00D43B39"/>
    <w:rsid w:val="00D43BD4"/>
    <w:rsid w:val="00D43BF4"/>
    <w:rsid w:val="00D43EE3"/>
    <w:rsid w:val="00D44028"/>
    <w:rsid w:val="00D44081"/>
    <w:rsid w:val="00D44082"/>
    <w:rsid w:val="00D440CD"/>
    <w:rsid w:val="00D4415B"/>
    <w:rsid w:val="00D441FC"/>
    <w:rsid w:val="00D442CB"/>
    <w:rsid w:val="00D44825"/>
    <w:rsid w:val="00D4483B"/>
    <w:rsid w:val="00D4487F"/>
    <w:rsid w:val="00D44A99"/>
    <w:rsid w:val="00D44B51"/>
    <w:rsid w:val="00D44BD9"/>
    <w:rsid w:val="00D44D09"/>
    <w:rsid w:val="00D44F2F"/>
    <w:rsid w:val="00D4504E"/>
    <w:rsid w:val="00D45084"/>
    <w:rsid w:val="00D45126"/>
    <w:rsid w:val="00D451AA"/>
    <w:rsid w:val="00D45430"/>
    <w:rsid w:val="00D454B9"/>
    <w:rsid w:val="00D45506"/>
    <w:rsid w:val="00D4560A"/>
    <w:rsid w:val="00D4566E"/>
    <w:rsid w:val="00D4593A"/>
    <w:rsid w:val="00D45ABC"/>
    <w:rsid w:val="00D45AFA"/>
    <w:rsid w:val="00D45B5A"/>
    <w:rsid w:val="00D45BF1"/>
    <w:rsid w:val="00D45CD5"/>
    <w:rsid w:val="00D45FD9"/>
    <w:rsid w:val="00D46077"/>
    <w:rsid w:val="00D46115"/>
    <w:rsid w:val="00D461A3"/>
    <w:rsid w:val="00D462D5"/>
    <w:rsid w:val="00D4643D"/>
    <w:rsid w:val="00D46493"/>
    <w:rsid w:val="00D464D8"/>
    <w:rsid w:val="00D4650B"/>
    <w:rsid w:val="00D46527"/>
    <w:rsid w:val="00D465B9"/>
    <w:rsid w:val="00D46608"/>
    <w:rsid w:val="00D46667"/>
    <w:rsid w:val="00D46888"/>
    <w:rsid w:val="00D468BC"/>
    <w:rsid w:val="00D468ED"/>
    <w:rsid w:val="00D46905"/>
    <w:rsid w:val="00D46930"/>
    <w:rsid w:val="00D46990"/>
    <w:rsid w:val="00D469E4"/>
    <w:rsid w:val="00D469EF"/>
    <w:rsid w:val="00D46A82"/>
    <w:rsid w:val="00D46EE4"/>
    <w:rsid w:val="00D46F08"/>
    <w:rsid w:val="00D46F5D"/>
    <w:rsid w:val="00D47177"/>
    <w:rsid w:val="00D471B6"/>
    <w:rsid w:val="00D474E2"/>
    <w:rsid w:val="00D474F0"/>
    <w:rsid w:val="00D47504"/>
    <w:rsid w:val="00D47505"/>
    <w:rsid w:val="00D47588"/>
    <w:rsid w:val="00D47652"/>
    <w:rsid w:val="00D47765"/>
    <w:rsid w:val="00D477FF"/>
    <w:rsid w:val="00D47AB0"/>
    <w:rsid w:val="00D47CFA"/>
    <w:rsid w:val="00D47D45"/>
    <w:rsid w:val="00D47DCA"/>
    <w:rsid w:val="00D47EC0"/>
    <w:rsid w:val="00D47FE8"/>
    <w:rsid w:val="00D47FF8"/>
    <w:rsid w:val="00D5016D"/>
    <w:rsid w:val="00D501CD"/>
    <w:rsid w:val="00D501D6"/>
    <w:rsid w:val="00D5026E"/>
    <w:rsid w:val="00D50299"/>
    <w:rsid w:val="00D50480"/>
    <w:rsid w:val="00D504D8"/>
    <w:rsid w:val="00D50547"/>
    <w:rsid w:val="00D50575"/>
    <w:rsid w:val="00D5067B"/>
    <w:rsid w:val="00D5076D"/>
    <w:rsid w:val="00D508B4"/>
    <w:rsid w:val="00D508BE"/>
    <w:rsid w:val="00D508F1"/>
    <w:rsid w:val="00D50973"/>
    <w:rsid w:val="00D50A89"/>
    <w:rsid w:val="00D50ACD"/>
    <w:rsid w:val="00D50B39"/>
    <w:rsid w:val="00D50BFC"/>
    <w:rsid w:val="00D50D86"/>
    <w:rsid w:val="00D50E69"/>
    <w:rsid w:val="00D50FC9"/>
    <w:rsid w:val="00D510E1"/>
    <w:rsid w:val="00D51170"/>
    <w:rsid w:val="00D511FB"/>
    <w:rsid w:val="00D51211"/>
    <w:rsid w:val="00D512AB"/>
    <w:rsid w:val="00D51340"/>
    <w:rsid w:val="00D5139A"/>
    <w:rsid w:val="00D51472"/>
    <w:rsid w:val="00D51701"/>
    <w:rsid w:val="00D51731"/>
    <w:rsid w:val="00D51989"/>
    <w:rsid w:val="00D51C18"/>
    <w:rsid w:val="00D51CED"/>
    <w:rsid w:val="00D51D4E"/>
    <w:rsid w:val="00D51DF1"/>
    <w:rsid w:val="00D51E65"/>
    <w:rsid w:val="00D51F9B"/>
    <w:rsid w:val="00D52033"/>
    <w:rsid w:val="00D52058"/>
    <w:rsid w:val="00D52187"/>
    <w:rsid w:val="00D52304"/>
    <w:rsid w:val="00D52803"/>
    <w:rsid w:val="00D52849"/>
    <w:rsid w:val="00D52854"/>
    <w:rsid w:val="00D52888"/>
    <w:rsid w:val="00D529DE"/>
    <w:rsid w:val="00D52A77"/>
    <w:rsid w:val="00D52B75"/>
    <w:rsid w:val="00D52C05"/>
    <w:rsid w:val="00D52CE8"/>
    <w:rsid w:val="00D52D09"/>
    <w:rsid w:val="00D52D46"/>
    <w:rsid w:val="00D52D70"/>
    <w:rsid w:val="00D52D79"/>
    <w:rsid w:val="00D52DC6"/>
    <w:rsid w:val="00D52E40"/>
    <w:rsid w:val="00D52F85"/>
    <w:rsid w:val="00D52F98"/>
    <w:rsid w:val="00D5303D"/>
    <w:rsid w:val="00D53074"/>
    <w:rsid w:val="00D53177"/>
    <w:rsid w:val="00D53214"/>
    <w:rsid w:val="00D533C8"/>
    <w:rsid w:val="00D53410"/>
    <w:rsid w:val="00D53603"/>
    <w:rsid w:val="00D5395D"/>
    <w:rsid w:val="00D5399A"/>
    <w:rsid w:val="00D53A03"/>
    <w:rsid w:val="00D53BDC"/>
    <w:rsid w:val="00D53C85"/>
    <w:rsid w:val="00D53D93"/>
    <w:rsid w:val="00D53E0A"/>
    <w:rsid w:val="00D5404F"/>
    <w:rsid w:val="00D5413E"/>
    <w:rsid w:val="00D5415C"/>
    <w:rsid w:val="00D542CF"/>
    <w:rsid w:val="00D543B5"/>
    <w:rsid w:val="00D543DA"/>
    <w:rsid w:val="00D54AF6"/>
    <w:rsid w:val="00D54B5E"/>
    <w:rsid w:val="00D54C55"/>
    <w:rsid w:val="00D54D49"/>
    <w:rsid w:val="00D54DDE"/>
    <w:rsid w:val="00D54E10"/>
    <w:rsid w:val="00D54ECA"/>
    <w:rsid w:val="00D5502C"/>
    <w:rsid w:val="00D55211"/>
    <w:rsid w:val="00D5521F"/>
    <w:rsid w:val="00D5530E"/>
    <w:rsid w:val="00D55384"/>
    <w:rsid w:val="00D55388"/>
    <w:rsid w:val="00D5547C"/>
    <w:rsid w:val="00D5558F"/>
    <w:rsid w:val="00D556AE"/>
    <w:rsid w:val="00D558A4"/>
    <w:rsid w:val="00D55966"/>
    <w:rsid w:val="00D55B09"/>
    <w:rsid w:val="00D55B10"/>
    <w:rsid w:val="00D55BA7"/>
    <w:rsid w:val="00D55D40"/>
    <w:rsid w:val="00D55DC7"/>
    <w:rsid w:val="00D55EC0"/>
    <w:rsid w:val="00D5603A"/>
    <w:rsid w:val="00D56147"/>
    <w:rsid w:val="00D56179"/>
    <w:rsid w:val="00D561A4"/>
    <w:rsid w:val="00D563F9"/>
    <w:rsid w:val="00D564E0"/>
    <w:rsid w:val="00D564EA"/>
    <w:rsid w:val="00D5660F"/>
    <w:rsid w:val="00D566DF"/>
    <w:rsid w:val="00D56795"/>
    <w:rsid w:val="00D569A2"/>
    <w:rsid w:val="00D569B4"/>
    <w:rsid w:val="00D569F4"/>
    <w:rsid w:val="00D56B81"/>
    <w:rsid w:val="00D56C04"/>
    <w:rsid w:val="00D56C97"/>
    <w:rsid w:val="00D57191"/>
    <w:rsid w:val="00D5726B"/>
    <w:rsid w:val="00D5729E"/>
    <w:rsid w:val="00D574F3"/>
    <w:rsid w:val="00D57657"/>
    <w:rsid w:val="00D5772A"/>
    <w:rsid w:val="00D57AE8"/>
    <w:rsid w:val="00D57B38"/>
    <w:rsid w:val="00D57DD7"/>
    <w:rsid w:val="00D57DE4"/>
    <w:rsid w:val="00D57E29"/>
    <w:rsid w:val="00D57F2F"/>
    <w:rsid w:val="00D59F6E"/>
    <w:rsid w:val="00D60018"/>
    <w:rsid w:val="00D60119"/>
    <w:rsid w:val="00D603DF"/>
    <w:rsid w:val="00D603F0"/>
    <w:rsid w:val="00D60438"/>
    <w:rsid w:val="00D6048D"/>
    <w:rsid w:val="00D604FE"/>
    <w:rsid w:val="00D60519"/>
    <w:rsid w:val="00D60624"/>
    <w:rsid w:val="00D606AD"/>
    <w:rsid w:val="00D609EC"/>
    <w:rsid w:val="00D60A3D"/>
    <w:rsid w:val="00D60E1E"/>
    <w:rsid w:val="00D60E27"/>
    <w:rsid w:val="00D60F92"/>
    <w:rsid w:val="00D60FCC"/>
    <w:rsid w:val="00D61126"/>
    <w:rsid w:val="00D6115D"/>
    <w:rsid w:val="00D6118E"/>
    <w:rsid w:val="00D612BF"/>
    <w:rsid w:val="00D61342"/>
    <w:rsid w:val="00D61387"/>
    <w:rsid w:val="00D6139C"/>
    <w:rsid w:val="00D61407"/>
    <w:rsid w:val="00D614A0"/>
    <w:rsid w:val="00D6153E"/>
    <w:rsid w:val="00D616C4"/>
    <w:rsid w:val="00D616F6"/>
    <w:rsid w:val="00D617C3"/>
    <w:rsid w:val="00D6187E"/>
    <w:rsid w:val="00D61911"/>
    <w:rsid w:val="00D61A8B"/>
    <w:rsid w:val="00D61AD0"/>
    <w:rsid w:val="00D61AF1"/>
    <w:rsid w:val="00D61B40"/>
    <w:rsid w:val="00D61C36"/>
    <w:rsid w:val="00D61D6E"/>
    <w:rsid w:val="00D61D7E"/>
    <w:rsid w:val="00D61E7C"/>
    <w:rsid w:val="00D61EC5"/>
    <w:rsid w:val="00D61F21"/>
    <w:rsid w:val="00D61F4A"/>
    <w:rsid w:val="00D620E2"/>
    <w:rsid w:val="00D62182"/>
    <w:rsid w:val="00D62199"/>
    <w:rsid w:val="00D622E8"/>
    <w:rsid w:val="00D62409"/>
    <w:rsid w:val="00D6241A"/>
    <w:rsid w:val="00D626CD"/>
    <w:rsid w:val="00D62916"/>
    <w:rsid w:val="00D62AAE"/>
    <w:rsid w:val="00D62AF1"/>
    <w:rsid w:val="00D62BA2"/>
    <w:rsid w:val="00D62BD6"/>
    <w:rsid w:val="00D62DFF"/>
    <w:rsid w:val="00D62E05"/>
    <w:rsid w:val="00D62F24"/>
    <w:rsid w:val="00D63064"/>
    <w:rsid w:val="00D630AC"/>
    <w:rsid w:val="00D63264"/>
    <w:rsid w:val="00D632CE"/>
    <w:rsid w:val="00D6342C"/>
    <w:rsid w:val="00D63557"/>
    <w:rsid w:val="00D635E1"/>
    <w:rsid w:val="00D63697"/>
    <w:rsid w:val="00D63777"/>
    <w:rsid w:val="00D637B3"/>
    <w:rsid w:val="00D63831"/>
    <w:rsid w:val="00D6387E"/>
    <w:rsid w:val="00D638DB"/>
    <w:rsid w:val="00D639C2"/>
    <w:rsid w:val="00D63ABD"/>
    <w:rsid w:val="00D63AE5"/>
    <w:rsid w:val="00D63D6D"/>
    <w:rsid w:val="00D63D7F"/>
    <w:rsid w:val="00D64130"/>
    <w:rsid w:val="00D6417D"/>
    <w:rsid w:val="00D64269"/>
    <w:rsid w:val="00D6427F"/>
    <w:rsid w:val="00D6431A"/>
    <w:rsid w:val="00D6431C"/>
    <w:rsid w:val="00D645E9"/>
    <w:rsid w:val="00D64608"/>
    <w:rsid w:val="00D64722"/>
    <w:rsid w:val="00D648C1"/>
    <w:rsid w:val="00D649BA"/>
    <w:rsid w:val="00D64A1D"/>
    <w:rsid w:val="00D64A8E"/>
    <w:rsid w:val="00D64B45"/>
    <w:rsid w:val="00D64C4D"/>
    <w:rsid w:val="00D64CF5"/>
    <w:rsid w:val="00D64CFB"/>
    <w:rsid w:val="00D64DC0"/>
    <w:rsid w:val="00D64ED8"/>
    <w:rsid w:val="00D64F0E"/>
    <w:rsid w:val="00D652F0"/>
    <w:rsid w:val="00D653BD"/>
    <w:rsid w:val="00D65434"/>
    <w:rsid w:val="00D6549F"/>
    <w:rsid w:val="00D654E2"/>
    <w:rsid w:val="00D654EF"/>
    <w:rsid w:val="00D656F9"/>
    <w:rsid w:val="00D657E8"/>
    <w:rsid w:val="00D658E8"/>
    <w:rsid w:val="00D6592F"/>
    <w:rsid w:val="00D65988"/>
    <w:rsid w:val="00D659C9"/>
    <w:rsid w:val="00D65A25"/>
    <w:rsid w:val="00D65B0B"/>
    <w:rsid w:val="00D65B2D"/>
    <w:rsid w:val="00D65C21"/>
    <w:rsid w:val="00D65CBA"/>
    <w:rsid w:val="00D65E12"/>
    <w:rsid w:val="00D65FF6"/>
    <w:rsid w:val="00D65FFE"/>
    <w:rsid w:val="00D6600A"/>
    <w:rsid w:val="00D661FA"/>
    <w:rsid w:val="00D661FB"/>
    <w:rsid w:val="00D66253"/>
    <w:rsid w:val="00D6685C"/>
    <w:rsid w:val="00D668A4"/>
    <w:rsid w:val="00D669C4"/>
    <w:rsid w:val="00D66A03"/>
    <w:rsid w:val="00D66B4E"/>
    <w:rsid w:val="00D66D2E"/>
    <w:rsid w:val="00D670C7"/>
    <w:rsid w:val="00D6713C"/>
    <w:rsid w:val="00D67226"/>
    <w:rsid w:val="00D67244"/>
    <w:rsid w:val="00D672DD"/>
    <w:rsid w:val="00D67676"/>
    <w:rsid w:val="00D67871"/>
    <w:rsid w:val="00D679F0"/>
    <w:rsid w:val="00D67A15"/>
    <w:rsid w:val="00D67A99"/>
    <w:rsid w:val="00D67CBD"/>
    <w:rsid w:val="00D67D5E"/>
    <w:rsid w:val="00D67E58"/>
    <w:rsid w:val="00D700B3"/>
    <w:rsid w:val="00D70190"/>
    <w:rsid w:val="00D70408"/>
    <w:rsid w:val="00D7056D"/>
    <w:rsid w:val="00D7057F"/>
    <w:rsid w:val="00D70636"/>
    <w:rsid w:val="00D706F8"/>
    <w:rsid w:val="00D70848"/>
    <w:rsid w:val="00D70898"/>
    <w:rsid w:val="00D709BB"/>
    <w:rsid w:val="00D70AFE"/>
    <w:rsid w:val="00D70BB7"/>
    <w:rsid w:val="00D70CC8"/>
    <w:rsid w:val="00D70CFE"/>
    <w:rsid w:val="00D70D71"/>
    <w:rsid w:val="00D70E20"/>
    <w:rsid w:val="00D70E9A"/>
    <w:rsid w:val="00D71030"/>
    <w:rsid w:val="00D710C6"/>
    <w:rsid w:val="00D71174"/>
    <w:rsid w:val="00D711E6"/>
    <w:rsid w:val="00D712EC"/>
    <w:rsid w:val="00D713BA"/>
    <w:rsid w:val="00D71432"/>
    <w:rsid w:val="00D71484"/>
    <w:rsid w:val="00D714EE"/>
    <w:rsid w:val="00D7151F"/>
    <w:rsid w:val="00D71743"/>
    <w:rsid w:val="00D71832"/>
    <w:rsid w:val="00D71876"/>
    <w:rsid w:val="00D7188E"/>
    <w:rsid w:val="00D71949"/>
    <w:rsid w:val="00D71AC5"/>
    <w:rsid w:val="00D71C5A"/>
    <w:rsid w:val="00D71C9F"/>
    <w:rsid w:val="00D71DB4"/>
    <w:rsid w:val="00D71F89"/>
    <w:rsid w:val="00D721B9"/>
    <w:rsid w:val="00D7225B"/>
    <w:rsid w:val="00D722A2"/>
    <w:rsid w:val="00D72383"/>
    <w:rsid w:val="00D7240B"/>
    <w:rsid w:val="00D72425"/>
    <w:rsid w:val="00D725D5"/>
    <w:rsid w:val="00D72621"/>
    <w:rsid w:val="00D7273C"/>
    <w:rsid w:val="00D7283C"/>
    <w:rsid w:val="00D72AB8"/>
    <w:rsid w:val="00D72B6F"/>
    <w:rsid w:val="00D72EED"/>
    <w:rsid w:val="00D730D9"/>
    <w:rsid w:val="00D73165"/>
    <w:rsid w:val="00D73180"/>
    <w:rsid w:val="00D7328F"/>
    <w:rsid w:val="00D73344"/>
    <w:rsid w:val="00D73397"/>
    <w:rsid w:val="00D73496"/>
    <w:rsid w:val="00D734E2"/>
    <w:rsid w:val="00D7351D"/>
    <w:rsid w:val="00D735F5"/>
    <w:rsid w:val="00D737A9"/>
    <w:rsid w:val="00D73808"/>
    <w:rsid w:val="00D738E6"/>
    <w:rsid w:val="00D73959"/>
    <w:rsid w:val="00D73B56"/>
    <w:rsid w:val="00D73BB3"/>
    <w:rsid w:val="00D73BF8"/>
    <w:rsid w:val="00D73C2E"/>
    <w:rsid w:val="00D73DDF"/>
    <w:rsid w:val="00D73F42"/>
    <w:rsid w:val="00D74050"/>
    <w:rsid w:val="00D740C8"/>
    <w:rsid w:val="00D74167"/>
    <w:rsid w:val="00D7423D"/>
    <w:rsid w:val="00D7427F"/>
    <w:rsid w:val="00D742A9"/>
    <w:rsid w:val="00D74482"/>
    <w:rsid w:val="00D74492"/>
    <w:rsid w:val="00D74565"/>
    <w:rsid w:val="00D746AD"/>
    <w:rsid w:val="00D746BE"/>
    <w:rsid w:val="00D74815"/>
    <w:rsid w:val="00D74927"/>
    <w:rsid w:val="00D74A72"/>
    <w:rsid w:val="00D74D9A"/>
    <w:rsid w:val="00D74EDD"/>
    <w:rsid w:val="00D74F48"/>
    <w:rsid w:val="00D74F68"/>
    <w:rsid w:val="00D74F73"/>
    <w:rsid w:val="00D75004"/>
    <w:rsid w:val="00D7543A"/>
    <w:rsid w:val="00D75619"/>
    <w:rsid w:val="00D7564F"/>
    <w:rsid w:val="00D75670"/>
    <w:rsid w:val="00D757ED"/>
    <w:rsid w:val="00D758D9"/>
    <w:rsid w:val="00D75D59"/>
    <w:rsid w:val="00D75E27"/>
    <w:rsid w:val="00D75F7C"/>
    <w:rsid w:val="00D75FAA"/>
    <w:rsid w:val="00D7629C"/>
    <w:rsid w:val="00D762C3"/>
    <w:rsid w:val="00D76303"/>
    <w:rsid w:val="00D763C2"/>
    <w:rsid w:val="00D764FD"/>
    <w:rsid w:val="00D7651A"/>
    <w:rsid w:val="00D766B4"/>
    <w:rsid w:val="00D767C2"/>
    <w:rsid w:val="00D767D9"/>
    <w:rsid w:val="00D76913"/>
    <w:rsid w:val="00D76946"/>
    <w:rsid w:val="00D76951"/>
    <w:rsid w:val="00D769B0"/>
    <w:rsid w:val="00D76BA8"/>
    <w:rsid w:val="00D76C22"/>
    <w:rsid w:val="00D76C89"/>
    <w:rsid w:val="00D76D56"/>
    <w:rsid w:val="00D76FD3"/>
    <w:rsid w:val="00D770AD"/>
    <w:rsid w:val="00D7716C"/>
    <w:rsid w:val="00D7720D"/>
    <w:rsid w:val="00D77216"/>
    <w:rsid w:val="00D77372"/>
    <w:rsid w:val="00D773C2"/>
    <w:rsid w:val="00D775DA"/>
    <w:rsid w:val="00D77685"/>
    <w:rsid w:val="00D776CC"/>
    <w:rsid w:val="00D7775B"/>
    <w:rsid w:val="00D77A47"/>
    <w:rsid w:val="00D77A92"/>
    <w:rsid w:val="00D77B40"/>
    <w:rsid w:val="00D77B4B"/>
    <w:rsid w:val="00D77B74"/>
    <w:rsid w:val="00D77B99"/>
    <w:rsid w:val="00D77BF9"/>
    <w:rsid w:val="00D77C69"/>
    <w:rsid w:val="00D77CEA"/>
    <w:rsid w:val="00D77D29"/>
    <w:rsid w:val="00D77D34"/>
    <w:rsid w:val="00D77D9F"/>
    <w:rsid w:val="00D77DEB"/>
    <w:rsid w:val="00D77F3D"/>
    <w:rsid w:val="00D77F9B"/>
    <w:rsid w:val="00D77FFE"/>
    <w:rsid w:val="00D800D8"/>
    <w:rsid w:val="00D80101"/>
    <w:rsid w:val="00D80353"/>
    <w:rsid w:val="00D804F0"/>
    <w:rsid w:val="00D8058D"/>
    <w:rsid w:val="00D805E6"/>
    <w:rsid w:val="00D8071A"/>
    <w:rsid w:val="00D80727"/>
    <w:rsid w:val="00D80769"/>
    <w:rsid w:val="00D808C9"/>
    <w:rsid w:val="00D809ED"/>
    <w:rsid w:val="00D80B1B"/>
    <w:rsid w:val="00D80B54"/>
    <w:rsid w:val="00D80B9C"/>
    <w:rsid w:val="00D80BAF"/>
    <w:rsid w:val="00D80C4A"/>
    <w:rsid w:val="00D80C67"/>
    <w:rsid w:val="00D80FC9"/>
    <w:rsid w:val="00D8135E"/>
    <w:rsid w:val="00D8146C"/>
    <w:rsid w:val="00D8148B"/>
    <w:rsid w:val="00D814FA"/>
    <w:rsid w:val="00D8168C"/>
    <w:rsid w:val="00D8171F"/>
    <w:rsid w:val="00D817EA"/>
    <w:rsid w:val="00D81804"/>
    <w:rsid w:val="00D8193B"/>
    <w:rsid w:val="00D81B43"/>
    <w:rsid w:val="00D81BCB"/>
    <w:rsid w:val="00D81C52"/>
    <w:rsid w:val="00D81CC3"/>
    <w:rsid w:val="00D81D86"/>
    <w:rsid w:val="00D81F8A"/>
    <w:rsid w:val="00D81F9A"/>
    <w:rsid w:val="00D81FF9"/>
    <w:rsid w:val="00D8202A"/>
    <w:rsid w:val="00D821A1"/>
    <w:rsid w:val="00D821E4"/>
    <w:rsid w:val="00D823C3"/>
    <w:rsid w:val="00D824F9"/>
    <w:rsid w:val="00D826D4"/>
    <w:rsid w:val="00D828A7"/>
    <w:rsid w:val="00D82930"/>
    <w:rsid w:val="00D82BD9"/>
    <w:rsid w:val="00D82CB4"/>
    <w:rsid w:val="00D82D76"/>
    <w:rsid w:val="00D830B0"/>
    <w:rsid w:val="00D830F2"/>
    <w:rsid w:val="00D8314A"/>
    <w:rsid w:val="00D831B5"/>
    <w:rsid w:val="00D831BA"/>
    <w:rsid w:val="00D832B8"/>
    <w:rsid w:val="00D832C7"/>
    <w:rsid w:val="00D834F8"/>
    <w:rsid w:val="00D83560"/>
    <w:rsid w:val="00D836FE"/>
    <w:rsid w:val="00D83902"/>
    <w:rsid w:val="00D8392C"/>
    <w:rsid w:val="00D83B5D"/>
    <w:rsid w:val="00D83D10"/>
    <w:rsid w:val="00D83D79"/>
    <w:rsid w:val="00D83E8B"/>
    <w:rsid w:val="00D83EAD"/>
    <w:rsid w:val="00D83FB7"/>
    <w:rsid w:val="00D84056"/>
    <w:rsid w:val="00D8406C"/>
    <w:rsid w:val="00D84072"/>
    <w:rsid w:val="00D841D5"/>
    <w:rsid w:val="00D8435C"/>
    <w:rsid w:val="00D84363"/>
    <w:rsid w:val="00D844C2"/>
    <w:rsid w:val="00D84539"/>
    <w:rsid w:val="00D845EC"/>
    <w:rsid w:val="00D84627"/>
    <w:rsid w:val="00D8462D"/>
    <w:rsid w:val="00D8473D"/>
    <w:rsid w:val="00D84764"/>
    <w:rsid w:val="00D847D1"/>
    <w:rsid w:val="00D848F3"/>
    <w:rsid w:val="00D84900"/>
    <w:rsid w:val="00D84B6A"/>
    <w:rsid w:val="00D84C26"/>
    <w:rsid w:val="00D84C70"/>
    <w:rsid w:val="00D84DF6"/>
    <w:rsid w:val="00D84F0D"/>
    <w:rsid w:val="00D85129"/>
    <w:rsid w:val="00D85160"/>
    <w:rsid w:val="00D851B5"/>
    <w:rsid w:val="00D85323"/>
    <w:rsid w:val="00D85324"/>
    <w:rsid w:val="00D85327"/>
    <w:rsid w:val="00D853C9"/>
    <w:rsid w:val="00D85400"/>
    <w:rsid w:val="00D85421"/>
    <w:rsid w:val="00D854E0"/>
    <w:rsid w:val="00D8572F"/>
    <w:rsid w:val="00D85831"/>
    <w:rsid w:val="00D858F2"/>
    <w:rsid w:val="00D85921"/>
    <w:rsid w:val="00D85965"/>
    <w:rsid w:val="00D85ADA"/>
    <w:rsid w:val="00D85B20"/>
    <w:rsid w:val="00D85B81"/>
    <w:rsid w:val="00D85C3F"/>
    <w:rsid w:val="00D85E75"/>
    <w:rsid w:val="00D85FE0"/>
    <w:rsid w:val="00D8603B"/>
    <w:rsid w:val="00D86097"/>
    <w:rsid w:val="00D860A0"/>
    <w:rsid w:val="00D860F3"/>
    <w:rsid w:val="00D86323"/>
    <w:rsid w:val="00D863BE"/>
    <w:rsid w:val="00D863D1"/>
    <w:rsid w:val="00D865D5"/>
    <w:rsid w:val="00D8664F"/>
    <w:rsid w:val="00D86691"/>
    <w:rsid w:val="00D868A1"/>
    <w:rsid w:val="00D86BE3"/>
    <w:rsid w:val="00D86CF7"/>
    <w:rsid w:val="00D86F3D"/>
    <w:rsid w:val="00D87077"/>
    <w:rsid w:val="00D87105"/>
    <w:rsid w:val="00D872E2"/>
    <w:rsid w:val="00D87387"/>
    <w:rsid w:val="00D87583"/>
    <w:rsid w:val="00D87812"/>
    <w:rsid w:val="00D87834"/>
    <w:rsid w:val="00D8792C"/>
    <w:rsid w:val="00D879CD"/>
    <w:rsid w:val="00D879EC"/>
    <w:rsid w:val="00D87AD4"/>
    <w:rsid w:val="00D87B6F"/>
    <w:rsid w:val="00D87CD6"/>
    <w:rsid w:val="00D87CF2"/>
    <w:rsid w:val="00D87DD0"/>
    <w:rsid w:val="00D87E13"/>
    <w:rsid w:val="00D883D8"/>
    <w:rsid w:val="00D8E6EA"/>
    <w:rsid w:val="00D90021"/>
    <w:rsid w:val="00D901F0"/>
    <w:rsid w:val="00D9020F"/>
    <w:rsid w:val="00D90217"/>
    <w:rsid w:val="00D90264"/>
    <w:rsid w:val="00D902F5"/>
    <w:rsid w:val="00D9030D"/>
    <w:rsid w:val="00D90365"/>
    <w:rsid w:val="00D90382"/>
    <w:rsid w:val="00D903DF"/>
    <w:rsid w:val="00D90625"/>
    <w:rsid w:val="00D9066D"/>
    <w:rsid w:val="00D907A5"/>
    <w:rsid w:val="00D90880"/>
    <w:rsid w:val="00D908A9"/>
    <w:rsid w:val="00D908E1"/>
    <w:rsid w:val="00D90A5B"/>
    <w:rsid w:val="00D90C5F"/>
    <w:rsid w:val="00D90E0D"/>
    <w:rsid w:val="00D90EA5"/>
    <w:rsid w:val="00D90FBA"/>
    <w:rsid w:val="00D91097"/>
    <w:rsid w:val="00D911FE"/>
    <w:rsid w:val="00D9122C"/>
    <w:rsid w:val="00D912AA"/>
    <w:rsid w:val="00D912E0"/>
    <w:rsid w:val="00D91656"/>
    <w:rsid w:val="00D91719"/>
    <w:rsid w:val="00D91785"/>
    <w:rsid w:val="00D91793"/>
    <w:rsid w:val="00D91C65"/>
    <w:rsid w:val="00D91C92"/>
    <w:rsid w:val="00D91CEA"/>
    <w:rsid w:val="00D91DDD"/>
    <w:rsid w:val="00D91EB6"/>
    <w:rsid w:val="00D92041"/>
    <w:rsid w:val="00D921F4"/>
    <w:rsid w:val="00D92322"/>
    <w:rsid w:val="00D92354"/>
    <w:rsid w:val="00D92360"/>
    <w:rsid w:val="00D923F7"/>
    <w:rsid w:val="00D925CB"/>
    <w:rsid w:val="00D925D8"/>
    <w:rsid w:val="00D9274B"/>
    <w:rsid w:val="00D92786"/>
    <w:rsid w:val="00D929B1"/>
    <w:rsid w:val="00D92A0E"/>
    <w:rsid w:val="00D92AED"/>
    <w:rsid w:val="00D92BD5"/>
    <w:rsid w:val="00D92CFA"/>
    <w:rsid w:val="00D92E60"/>
    <w:rsid w:val="00D92EF4"/>
    <w:rsid w:val="00D92F17"/>
    <w:rsid w:val="00D92F1B"/>
    <w:rsid w:val="00D93006"/>
    <w:rsid w:val="00D931C8"/>
    <w:rsid w:val="00D93228"/>
    <w:rsid w:val="00D93365"/>
    <w:rsid w:val="00D93587"/>
    <w:rsid w:val="00D938B8"/>
    <w:rsid w:val="00D93948"/>
    <w:rsid w:val="00D93AD4"/>
    <w:rsid w:val="00D93B29"/>
    <w:rsid w:val="00D93E39"/>
    <w:rsid w:val="00D93EAA"/>
    <w:rsid w:val="00D93EE4"/>
    <w:rsid w:val="00D93FE2"/>
    <w:rsid w:val="00D94049"/>
    <w:rsid w:val="00D942C8"/>
    <w:rsid w:val="00D943D3"/>
    <w:rsid w:val="00D94420"/>
    <w:rsid w:val="00D945F6"/>
    <w:rsid w:val="00D9480E"/>
    <w:rsid w:val="00D94838"/>
    <w:rsid w:val="00D94984"/>
    <w:rsid w:val="00D94B2A"/>
    <w:rsid w:val="00D94C75"/>
    <w:rsid w:val="00D94E2C"/>
    <w:rsid w:val="00D94EF1"/>
    <w:rsid w:val="00D94F6B"/>
    <w:rsid w:val="00D94F9F"/>
    <w:rsid w:val="00D94FCC"/>
    <w:rsid w:val="00D950CC"/>
    <w:rsid w:val="00D951FF"/>
    <w:rsid w:val="00D9525F"/>
    <w:rsid w:val="00D95439"/>
    <w:rsid w:val="00D95595"/>
    <w:rsid w:val="00D9582C"/>
    <w:rsid w:val="00D9582F"/>
    <w:rsid w:val="00D95853"/>
    <w:rsid w:val="00D95980"/>
    <w:rsid w:val="00D95AB0"/>
    <w:rsid w:val="00D95BAB"/>
    <w:rsid w:val="00D95BC5"/>
    <w:rsid w:val="00D95C59"/>
    <w:rsid w:val="00D95C7C"/>
    <w:rsid w:val="00D95E69"/>
    <w:rsid w:val="00D95EC3"/>
    <w:rsid w:val="00D95F0B"/>
    <w:rsid w:val="00D96191"/>
    <w:rsid w:val="00D96247"/>
    <w:rsid w:val="00D962B2"/>
    <w:rsid w:val="00D9646D"/>
    <w:rsid w:val="00D966C8"/>
    <w:rsid w:val="00D967FD"/>
    <w:rsid w:val="00D96807"/>
    <w:rsid w:val="00D968BB"/>
    <w:rsid w:val="00D96959"/>
    <w:rsid w:val="00D96995"/>
    <w:rsid w:val="00D96998"/>
    <w:rsid w:val="00D96B07"/>
    <w:rsid w:val="00D96B7F"/>
    <w:rsid w:val="00D96CAC"/>
    <w:rsid w:val="00D97052"/>
    <w:rsid w:val="00D97188"/>
    <w:rsid w:val="00D971D9"/>
    <w:rsid w:val="00D9727E"/>
    <w:rsid w:val="00D97337"/>
    <w:rsid w:val="00D973F5"/>
    <w:rsid w:val="00D97583"/>
    <w:rsid w:val="00D975B0"/>
    <w:rsid w:val="00D97655"/>
    <w:rsid w:val="00D977A5"/>
    <w:rsid w:val="00D9788D"/>
    <w:rsid w:val="00D97B79"/>
    <w:rsid w:val="00D97E49"/>
    <w:rsid w:val="00D97F6A"/>
    <w:rsid w:val="00D9C100"/>
    <w:rsid w:val="00DA002C"/>
    <w:rsid w:val="00DA00DB"/>
    <w:rsid w:val="00DA016A"/>
    <w:rsid w:val="00DA02E0"/>
    <w:rsid w:val="00DA0301"/>
    <w:rsid w:val="00DA04B7"/>
    <w:rsid w:val="00DA04BB"/>
    <w:rsid w:val="00DA04EC"/>
    <w:rsid w:val="00DA05BD"/>
    <w:rsid w:val="00DA060F"/>
    <w:rsid w:val="00DA0627"/>
    <w:rsid w:val="00DA0D3C"/>
    <w:rsid w:val="00DA0EDB"/>
    <w:rsid w:val="00DA0FA7"/>
    <w:rsid w:val="00DA1146"/>
    <w:rsid w:val="00DA1225"/>
    <w:rsid w:val="00DA12CA"/>
    <w:rsid w:val="00DA131E"/>
    <w:rsid w:val="00DA1406"/>
    <w:rsid w:val="00DA1583"/>
    <w:rsid w:val="00DA15D7"/>
    <w:rsid w:val="00DA1624"/>
    <w:rsid w:val="00DA1655"/>
    <w:rsid w:val="00DA1689"/>
    <w:rsid w:val="00DA1742"/>
    <w:rsid w:val="00DA17BF"/>
    <w:rsid w:val="00DA1AE3"/>
    <w:rsid w:val="00DA1AEA"/>
    <w:rsid w:val="00DA1DD0"/>
    <w:rsid w:val="00DA1EF1"/>
    <w:rsid w:val="00DA20B9"/>
    <w:rsid w:val="00DA216D"/>
    <w:rsid w:val="00DA2170"/>
    <w:rsid w:val="00DA220E"/>
    <w:rsid w:val="00DA222E"/>
    <w:rsid w:val="00DA225E"/>
    <w:rsid w:val="00DA2273"/>
    <w:rsid w:val="00DA25D9"/>
    <w:rsid w:val="00DA25F3"/>
    <w:rsid w:val="00DA2641"/>
    <w:rsid w:val="00DA2659"/>
    <w:rsid w:val="00DA270F"/>
    <w:rsid w:val="00DA288B"/>
    <w:rsid w:val="00DA28A3"/>
    <w:rsid w:val="00DA2A2B"/>
    <w:rsid w:val="00DA2B65"/>
    <w:rsid w:val="00DA2BE7"/>
    <w:rsid w:val="00DA2C7F"/>
    <w:rsid w:val="00DA2D52"/>
    <w:rsid w:val="00DA2E54"/>
    <w:rsid w:val="00DA2E6A"/>
    <w:rsid w:val="00DA2EB4"/>
    <w:rsid w:val="00DA2F5D"/>
    <w:rsid w:val="00DA2FA2"/>
    <w:rsid w:val="00DA31D1"/>
    <w:rsid w:val="00DA32F8"/>
    <w:rsid w:val="00DA3377"/>
    <w:rsid w:val="00DA345C"/>
    <w:rsid w:val="00DA3510"/>
    <w:rsid w:val="00DA3647"/>
    <w:rsid w:val="00DA3697"/>
    <w:rsid w:val="00DA369B"/>
    <w:rsid w:val="00DA36AE"/>
    <w:rsid w:val="00DA3816"/>
    <w:rsid w:val="00DA38CA"/>
    <w:rsid w:val="00DA3A4B"/>
    <w:rsid w:val="00DA3A51"/>
    <w:rsid w:val="00DA3A84"/>
    <w:rsid w:val="00DA3A8C"/>
    <w:rsid w:val="00DA3B21"/>
    <w:rsid w:val="00DA3BF7"/>
    <w:rsid w:val="00DA3E29"/>
    <w:rsid w:val="00DA3F7B"/>
    <w:rsid w:val="00DA3F8C"/>
    <w:rsid w:val="00DA4060"/>
    <w:rsid w:val="00DA425E"/>
    <w:rsid w:val="00DA4330"/>
    <w:rsid w:val="00DA4388"/>
    <w:rsid w:val="00DA441B"/>
    <w:rsid w:val="00DA4872"/>
    <w:rsid w:val="00DA4A01"/>
    <w:rsid w:val="00DA4A0D"/>
    <w:rsid w:val="00DA4AC1"/>
    <w:rsid w:val="00DA4AEB"/>
    <w:rsid w:val="00DA4B50"/>
    <w:rsid w:val="00DA4D49"/>
    <w:rsid w:val="00DA4E08"/>
    <w:rsid w:val="00DA501D"/>
    <w:rsid w:val="00DA5079"/>
    <w:rsid w:val="00DA52FD"/>
    <w:rsid w:val="00DA5393"/>
    <w:rsid w:val="00DA5451"/>
    <w:rsid w:val="00DA56C5"/>
    <w:rsid w:val="00DA58CF"/>
    <w:rsid w:val="00DA5950"/>
    <w:rsid w:val="00DA5A9E"/>
    <w:rsid w:val="00DA5B73"/>
    <w:rsid w:val="00DA5BF6"/>
    <w:rsid w:val="00DA5CB7"/>
    <w:rsid w:val="00DA5F0A"/>
    <w:rsid w:val="00DA5F62"/>
    <w:rsid w:val="00DA6078"/>
    <w:rsid w:val="00DA61AA"/>
    <w:rsid w:val="00DA621E"/>
    <w:rsid w:val="00DA6419"/>
    <w:rsid w:val="00DA6518"/>
    <w:rsid w:val="00DA66A3"/>
    <w:rsid w:val="00DA6A01"/>
    <w:rsid w:val="00DA6ADF"/>
    <w:rsid w:val="00DA6B0E"/>
    <w:rsid w:val="00DA6E50"/>
    <w:rsid w:val="00DA6EB3"/>
    <w:rsid w:val="00DA6EFE"/>
    <w:rsid w:val="00DA6F3C"/>
    <w:rsid w:val="00DA6F58"/>
    <w:rsid w:val="00DA6F89"/>
    <w:rsid w:val="00DA72F2"/>
    <w:rsid w:val="00DA73B7"/>
    <w:rsid w:val="00DA75D1"/>
    <w:rsid w:val="00DA75ED"/>
    <w:rsid w:val="00DA777A"/>
    <w:rsid w:val="00DA785E"/>
    <w:rsid w:val="00DA78ED"/>
    <w:rsid w:val="00DA7AF0"/>
    <w:rsid w:val="00DA7D00"/>
    <w:rsid w:val="00DA7D5C"/>
    <w:rsid w:val="00DA7DC8"/>
    <w:rsid w:val="00DB01B7"/>
    <w:rsid w:val="00DB0492"/>
    <w:rsid w:val="00DB063A"/>
    <w:rsid w:val="00DB079C"/>
    <w:rsid w:val="00DB07A5"/>
    <w:rsid w:val="00DB07BE"/>
    <w:rsid w:val="00DB0A56"/>
    <w:rsid w:val="00DB0DA6"/>
    <w:rsid w:val="00DB0DD0"/>
    <w:rsid w:val="00DB0E21"/>
    <w:rsid w:val="00DB11C9"/>
    <w:rsid w:val="00DB14E6"/>
    <w:rsid w:val="00DB15D6"/>
    <w:rsid w:val="00DB15EE"/>
    <w:rsid w:val="00DB181F"/>
    <w:rsid w:val="00DB1988"/>
    <w:rsid w:val="00DB1A93"/>
    <w:rsid w:val="00DB1B0F"/>
    <w:rsid w:val="00DB1B53"/>
    <w:rsid w:val="00DB1BA7"/>
    <w:rsid w:val="00DB1FFF"/>
    <w:rsid w:val="00DB2017"/>
    <w:rsid w:val="00DB22CC"/>
    <w:rsid w:val="00DB234C"/>
    <w:rsid w:val="00DB23BB"/>
    <w:rsid w:val="00DB23CA"/>
    <w:rsid w:val="00DB255E"/>
    <w:rsid w:val="00DB25F3"/>
    <w:rsid w:val="00DB25F9"/>
    <w:rsid w:val="00DB291C"/>
    <w:rsid w:val="00DB2A58"/>
    <w:rsid w:val="00DB2A78"/>
    <w:rsid w:val="00DB2D8A"/>
    <w:rsid w:val="00DB2E35"/>
    <w:rsid w:val="00DB2F1F"/>
    <w:rsid w:val="00DB2F29"/>
    <w:rsid w:val="00DB30C1"/>
    <w:rsid w:val="00DB31CA"/>
    <w:rsid w:val="00DB3490"/>
    <w:rsid w:val="00DB3808"/>
    <w:rsid w:val="00DB387F"/>
    <w:rsid w:val="00DB3A01"/>
    <w:rsid w:val="00DB3A19"/>
    <w:rsid w:val="00DB3B90"/>
    <w:rsid w:val="00DB3C1F"/>
    <w:rsid w:val="00DB3C9D"/>
    <w:rsid w:val="00DB3DCF"/>
    <w:rsid w:val="00DB3F1E"/>
    <w:rsid w:val="00DB3F9F"/>
    <w:rsid w:val="00DB40CD"/>
    <w:rsid w:val="00DB40F9"/>
    <w:rsid w:val="00DB41BA"/>
    <w:rsid w:val="00DB4412"/>
    <w:rsid w:val="00DB44F2"/>
    <w:rsid w:val="00DB455A"/>
    <w:rsid w:val="00DB458B"/>
    <w:rsid w:val="00DB4606"/>
    <w:rsid w:val="00DB4B31"/>
    <w:rsid w:val="00DB4BFF"/>
    <w:rsid w:val="00DB4CED"/>
    <w:rsid w:val="00DB4E02"/>
    <w:rsid w:val="00DB4E16"/>
    <w:rsid w:val="00DB4F76"/>
    <w:rsid w:val="00DB500B"/>
    <w:rsid w:val="00DB5036"/>
    <w:rsid w:val="00DB55BD"/>
    <w:rsid w:val="00DB58A6"/>
    <w:rsid w:val="00DB58AE"/>
    <w:rsid w:val="00DB5CBE"/>
    <w:rsid w:val="00DB5E77"/>
    <w:rsid w:val="00DB5F13"/>
    <w:rsid w:val="00DB605A"/>
    <w:rsid w:val="00DB62EB"/>
    <w:rsid w:val="00DB635A"/>
    <w:rsid w:val="00DB6368"/>
    <w:rsid w:val="00DB6426"/>
    <w:rsid w:val="00DB663A"/>
    <w:rsid w:val="00DB67CA"/>
    <w:rsid w:val="00DB6942"/>
    <w:rsid w:val="00DB69BC"/>
    <w:rsid w:val="00DB6AF3"/>
    <w:rsid w:val="00DB6B37"/>
    <w:rsid w:val="00DB6B80"/>
    <w:rsid w:val="00DB6BEB"/>
    <w:rsid w:val="00DB6D34"/>
    <w:rsid w:val="00DB6D6C"/>
    <w:rsid w:val="00DB6E82"/>
    <w:rsid w:val="00DB6F54"/>
    <w:rsid w:val="00DB6FC1"/>
    <w:rsid w:val="00DB6FEF"/>
    <w:rsid w:val="00DB6FF4"/>
    <w:rsid w:val="00DB702E"/>
    <w:rsid w:val="00DB70F4"/>
    <w:rsid w:val="00DB7184"/>
    <w:rsid w:val="00DB718D"/>
    <w:rsid w:val="00DB71F2"/>
    <w:rsid w:val="00DB754B"/>
    <w:rsid w:val="00DB7669"/>
    <w:rsid w:val="00DB79EE"/>
    <w:rsid w:val="00DB7A1D"/>
    <w:rsid w:val="00DB7BDC"/>
    <w:rsid w:val="00DB7C7D"/>
    <w:rsid w:val="00DB7CA3"/>
    <w:rsid w:val="00DB7D2C"/>
    <w:rsid w:val="00DB7D7D"/>
    <w:rsid w:val="00DB7DB0"/>
    <w:rsid w:val="00DB7DCC"/>
    <w:rsid w:val="00DB7F79"/>
    <w:rsid w:val="00DB7FCB"/>
    <w:rsid w:val="00DBAB3D"/>
    <w:rsid w:val="00DBEDA4"/>
    <w:rsid w:val="00DC0367"/>
    <w:rsid w:val="00DC036C"/>
    <w:rsid w:val="00DC03F5"/>
    <w:rsid w:val="00DC0465"/>
    <w:rsid w:val="00DC061A"/>
    <w:rsid w:val="00DC0625"/>
    <w:rsid w:val="00DC0909"/>
    <w:rsid w:val="00DC0A0F"/>
    <w:rsid w:val="00DC0A62"/>
    <w:rsid w:val="00DC0BBD"/>
    <w:rsid w:val="00DC0E06"/>
    <w:rsid w:val="00DC1091"/>
    <w:rsid w:val="00DC1107"/>
    <w:rsid w:val="00DC1135"/>
    <w:rsid w:val="00DC1249"/>
    <w:rsid w:val="00DC1275"/>
    <w:rsid w:val="00DC1444"/>
    <w:rsid w:val="00DC1469"/>
    <w:rsid w:val="00DC1532"/>
    <w:rsid w:val="00DC161A"/>
    <w:rsid w:val="00DC16DF"/>
    <w:rsid w:val="00DC16E4"/>
    <w:rsid w:val="00DC1956"/>
    <w:rsid w:val="00DC19F7"/>
    <w:rsid w:val="00DC1AC5"/>
    <w:rsid w:val="00DC1C31"/>
    <w:rsid w:val="00DC1DF4"/>
    <w:rsid w:val="00DC201C"/>
    <w:rsid w:val="00DC2116"/>
    <w:rsid w:val="00DC2151"/>
    <w:rsid w:val="00DC2191"/>
    <w:rsid w:val="00DC22DC"/>
    <w:rsid w:val="00DC236B"/>
    <w:rsid w:val="00DC2423"/>
    <w:rsid w:val="00DC2499"/>
    <w:rsid w:val="00DC249C"/>
    <w:rsid w:val="00DC2543"/>
    <w:rsid w:val="00DC2584"/>
    <w:rsid w:val="00DC264E"/>
    <w:rsid w:val="00DC27F1"/>
    <w:rsid w:val="00DC2979"/>
    <w:rsid w:val="00DC2AB5"/>
    <w:rsid w:val="00DC2C64"/>
    <w:rsid w:val="00DC2C7F"/>
    <w:rsid w:val="00DC2D26"/>
    <w:rsid w:val="00DC2D35"/>
    <w:rsid w:val="00DC2DAD"/>
    <w:rsid w:val="00DC2DD6"/>
    <w:rsid w:val="00DC2E56"/>
    <w:rsid w:val="00DC2F22"/>
    <w:rsid w:val="00DC3047"/>
    <w:rsid w:val="00DC3155"/>
    <w:rsid w:val="00DC32CA"/>
    <w:rsid w:val="00DC331B"/>
    <w:rsid w:val="00DC34B1"/>
    <w:rsid w:val="00DC34CB"/>
    <w:rsid w:val="00DC382E"/>
    <w:rsid w:val="00DC3A4B"/>
    <w:rsid w:val="00DC3B47"/>
    <w:rsid w:val="00DC3B7B"/>
    <w:rsid w:val="00DC3D0A"/>
    <w:rsid w:val="00DC3D1A"/>
    <w:rsid w:val="00DC3DEC"/>
    <w:rsid w:val="00DC3E00"/>
    <w:rsid w:val="00DC3EA8"/>
    <w:rsid w:val="00DC3F56"/>
    <w:rsid w:val="00DC40F1"/>
    <w:rsid w:val="00DC4104"/>
    <w:rsid w:val="00DC417A"/>
    <w:rsid w:val="00DC41AE"/>
    <w:rsid w:val="00DC4562"/>
    <w:rsid w:val="00DC46E4"/>
    <w:rsid w:val="00DC4A56"/>
    <w:rsid w:val="00DC4B7F"/>
    <w:rsid w:val="00DC4CD0"/>
    <w:rsid w:val="00DC5157"/>
    <w:rsid w:val="00DC5292"/>
    <w:rsid w:val="00DC5321"/>
    <w:rsid w:val="00DC53A7"/>
    <w:rsid w:val="00DC541E"/>
    <w:rsid w:val="00DC54DB"/>
    <w:rsid w:val="00DC54FC"/>
    <w:rsid w:val="00DC55CB"/>
    <w:rsid w:val="00DC5644"/>
    <w:rsid w:val="00DC5648"/>
    <w:rsid w:val="00DC56A9"/>
    <w:rsid w:val="00DC57F4"/>
    <w:rsid w:val="00DC57FB"/>
    <w:rsid w:val="00DC5844"/>
    <w:rsid w:val="00DC58BF"/>
    <w:rsid w:val="00DC5C1C"/>
    <w:rsid w:val="00DC5D19"/>
    <w:rsid w:val="00DC5F1D"/>
    <w:rsid w:val="00DC614D"/>
    <w:rsid w:val="00DC616C"/>
    <w:rsid w:val="00DC6334"/>
    <w:rsid w:val="00DC6395"/>
    <w:rsid w:val="00DC646F"/>
    <w:rsid w:val="00DC64B1"/>
    <w:rsid w:val="00DC64EB"/>
    <w:rsid w:val="00DC66A8"/>
    <w:rsid w:val="00DC6865"/>
    <w:rsid w:val="00DC6981"/>
    <w:rsid w:val="00DC6C72"/>
    <w:rsid w:val="00DC6CA7"/>
    <w:rsid w:val="00DC6DA6"/>
    <w:rsid w:val="00DC6F42"/>
    <w:rsid w:val="00DC6FD1"/>
    <w:rsid w:val="00DC703D"/>
    <w:rsid w:val="00DC704A"/>
    <w:rsid w:val="00DC71B7"/>
    <w:rsid w:val="00DC7469"/>
    <w:rsid w:val="00DC7510"/>
    <w:rsid w:val="00DC797A"/>
    <w:rsid w:val="00DC79A5"/>
    <w:rsid w:val="00DC79B5"/>
    <w:rsid w:val="00DC79F0"/>
    <w:rsid w:val="00DC7AFB"/>
    <w:rsid w:val="00DC7BA1"/>
    <w:rsid w:val="00DC7CC2"/>
    <w:rsid w:val="00DC7D21"/>
    <w:rsid w:val="00DC7E51"/>
    <w:rsid w:val="00DC7FDB"/>
    <w:rsid w:val="00DCAA1C"/>
    <w:rsid w:val="00DCF737"/>
    <w:rsid w:val="00DD00C3"/>
    <w:rsid w:val="00DD0103"/>
    <w:rsid w:val="00DD016A"/>
    <w:rsid w:val="00DD019D"/>
    <w:rsid w:val="00DD0202"/>
    <w:rsid w:val="00DD0229"/>
    <w:rsid w:val="00DD0507"/>
    <w:rsid w:val="00DD069E"/>
    <w:rsid w:val="00DD074C"/>
    <w:rsid w:val="00DD0754"/>
    <w:rsid w:val="00DD0778"/>
    <w:rsid w:val="00DD07CA"/>
    <w:rsid w:val="00DD0937"/>
    <w:rsid w:val="00DD09BC"/>
    <w:rsid w:val="00DD0A8D"/>
    <w:rsid w:val="00DD0AAE"/>
    <w:rsid w:val="00DD0C56"/>
    <w:rsid w:val="00DD0CB3"/>
    <w:rsid w:val="00DD0D8E"/>
    <w:rsid w:val="00DD0F68"/>
    <w:rsid w:val="00DD1018"/>
    <w:rsid w:val="00DD1098"/>
    <w:rsid w:val="00DD110E"/>
    <w:rsid w:val="00DD115B"/>
    <w:rsid w:val="00DD1389"/>
    <w:rsid w:val="00DD13C7"/>
    <w:rsid w:val="00DD13ED"/>
    <w:rsid w:val="00DD154C"/>
    <w:rsid w:val="00DD157D"/>
    <w:rsid w:val="00DD165F"/>
    <w:rsid w:val="00DD1878"/>
    <w:rsid w:val="00DD1A35"/>
    <w:rsid w:val="00DD1B79"/>
    <w:rsid w:val="00DD1BD1"/>
    <w:rsid w:val="00DD1D06"/>
    <w:rsid w:val="00DD1D81"/>
    <w:rsid w:val="00DD21CE"/>
    <w:rsid w:val="00DD223D"/>
    <w:rsid w:val="00DD228A"/>
    <w:rsid w:val="00DD22E5"/>
    <w:rsid w:val="00DD248D"/>
    <w:rsid w:val="00DD24A8"/>
    <w:rsid w:val="00DD2610"/>
    <w:rsid w:val="00DD265E"/>
    <w:rsid w:val="00DD26E6"/>
    <w:rsid w:val="00DD2727"/>
    <w:rsid w:val="00DD284D"/>
    <w:rsid w:val="00DD2969"/>
    <w:rsid w:val="00DD2A35"/>
    <w:rsid w:val="00DD2AA4"/>
    <w:rsid w:val="00DD2AFF"/>
    <w:rsid w:val="00DD2CE3"/>
    <w:rsid w:val="00DD2D40"/>
    <w:rsid w:val="00DD2E24"/>
    <w:rsid w:val="00DD2EB2"/>
    <w:rsid w:val="00DD2F94"/>
    <w:rsid w:val="00DD30C8"/>
    <w:rsid w:val="00DD3139"/>
    <w:rsid w:val="00DD3370"/>
    <w:rsid w:val="00DD352B"/>
    <w:rsid w:val="00DD36A7"/>
    <w:rsid w:val="00DD3708"/>
    <w:rsid w:val="00DD3735"/>
    <w:rsid w:val="00DD3A56"/>
    <w:rsid w:val="00DD3B1C"/>
    <w:rsid w:val="00DD3CAD"/>
    <w:rsid w:val="00DD3D2D"/>
    <w:rsid w:val="00DD3F96"/>
    <w:rsid w:val="00DD3FA3"/>
    <w:rsid w:val="00DD3FA6"/>
    <w:rsid w:val="00DD42E6"/>
    <w:rsid w:val="00DD4361"/>
    <w:rsid w:val="00DD43C9"/>
    <w:rsid w:val="00DD446F"/>
    <w:rsid w:val="00DD4492"/>
    <w:rsid w:val="00DD466C"/>
    <w:rsid w:val="00DD474B"/>
    <w:rsid w:val="00DD482B"/>
    <w:rsid w:val="00DD48C9"/>
    <w:rsid w:val="00DD48F4"/>
    <w:rsid w:val="00DD49BC"/>
    <w:rsid w:val="00DD4A98"/>
    <w:rsid w:val="00DD4BD7"/>
    <w:rsid w:val="00DD4C48"/>
    <w:rsid w:val="00DD4E25"/>
    <w:rsid w:val="00DD5002"/>
    <w:rsid w:val="00DD5148"/>
    <w:rsid w:val="00DD51CA"/>
    <w:rsid w:val="00DD5287"/>
    <w:rsid w:val="00DD58C6"/>
    <w:rsid w:val="00DD59CB"/>
    <w:rsid w:val="00DD59F1"/>
    <w:rsid w:val="00DD5BD7"/>
    <w:rsid w:val="00DD5DB4"/>
    <w:rsid w:val="00DD5FA2"/>
    <w:rsid w:val="00DD5FDA"/>
    <w:rsid w:val="00DD6232"/>
    <w:rsid w:val="00DD64BA"/>
    <w:rsid w:val="00DD64C8"/>
    <w:rsid w:val="00DD650D"/>
    <w:rsid w:val="00DD6651"/>
    <w:rsid w:val="00DD6683"/>
    <w:rsid w:val="00DD670D"/>
    <w:rsid w:val="00DD6765"/>
    <w:rsid w:val="00DD6771"/>
    <w:rsid w:val="00DD6829"/>
    <w:rsid w:val="00DD6862"/>
    <w:rsid w:val="00DD68D9"/>
    <w:rsid w:val="00DD6A5D"/>
    <w:rsid w:val="00DD6AA6"/>
    <w:rsid w:val="00DD6AB0"/>
    <w:rsid w:val="00DD6BA5"/>
    <w:rsid w:val="00DD6CA2"/>
    <w:rsid w:val="00DD6D2B"/>
    <w:rsid w:val="00DD6D84"/>
    <w:rsid w:val="00DD6E21"/>
    <w:rsid w:val="00DD7083"/>
    <w:rsid w:val="00DD72C6"/>
    <w:rsid w:val="00DD74BF"/>
    <w:rsid w:val="00DD75B1"/>
    <w:rsid w:val="00DD7690"/>
    <w:rsid w:val="00DD76BA"/>
    <w:rsid w:val="00DD76F0"/>
    <w:rsid w:val="00DD782C"/>
    <w:rsid w:val="00DD786B"/>
    <w:rsid w:val="00DD79AE"/>
    <w:rsid w:val="00DD7A2E"/>
    <w:rsid w:val="00DD7AAA"/>
    <w:rsid w:val="00DD7C45"/>
    <w:rsid w:val="00DD7D02"/>
    <w:rsid w:val="00DD7D26"/>
    <w:rsid w:val="00DD7E2B"/>
    <w:rsid w:val="00DD7EA5"/>
    <w:rsid w:val="00DD7F28"/>
    <w:rsid w:val="00DDBD54"/>
    <w:rsid w:val="00DE0089"/>
    <w:rsid w:val="00DE00F5"/>
    <w:rsid w:val="00DE0121"/>
    <w:rsid w:val="00DE01A6"/>
    <w:rsid w:val="00DE01AD"/>
    <w:rsid w:val="00DE01CA"/>
    <w:rsid w:val="00DE01E6"/>
    <w:rsid w:val="00DE03A6"/>
    <w:rsid w:val="00DE0455"/>
    <w:rsid w:val="00DE0476"/>
    <w:rsid w:val="00DE06D1"/>
    <w:rsid w:val="00DE06D9"/>
    <w:rsid w:val="00DE06FE"/>
    <w:rsid w:val="00DE07AF"/>
    <w:rsid w:val="00DE0820"/>
    <w:rsid w:val="00DE0833"/>
    <w:rsid w:val="00DE085D"/>
    <w:rsid w:val="00DE0BF1"/>
    <w:rsid w:val="00DE0C8A"/>
    <w:rsid w:val="00DE0D52"/>
    <w:rsid w:val="00DE0DE4"/>
    <w:rsid w:val="00DE0ED1"/>
    <w:rsid w:val="00DE0FFE"/>
    <w:rsid w:val="00DE100E"/>
    <w:rsid w:val="00DE1236"/>
    <w:rsid w:val="00DE13E5"/>
    <w:rsid w:val="00DE142C"/>
    <w:rsid w:val="00DE1622"/>
    <w:rsid w:val="00DE1892"/>
    <w:rsid w:val="00DE18DF"/>
    <w:rsid w:val="00DE190B"/>
    <w:rsid w:val="00DE19D7"/>
    <w:rsid w:val="00DE1A32"/>
    <w:rsid w:val="00DE1A78"/>
    <w:rsid w:val="00DE1B5F"/>
    <w:rsid w:val="00DE1B98"/>
    <w:rsid w:val="00DE1D33"/>
    <w:rsid w:val="00DE1DC7"/>
    <w:rsid w:val="00DE1EBA"/>
    <w:rsid w:val="00DE1F96"/>
    <w:rsid w:val="00DE2085"/>
    <w:rsid w:val="00DE2240"/>
    <w:rsid w:val="00DE2623"/>
    <w:rsid w:val="00DE263E"/>
    <w:rsid w:val="00DE26B3"/>
    <w:rsid w:val="00DE2765"/>
    <w:rsid w:val="00DE27F0"/>
    <w:rsid w:val="00DE2B20"/>
    <w:rsid w:val="00DE2B6D"/>
    <w:rsid w:val="00DE2BDC"/>
    <w:rsid w:val="00DE2CDE"/>
    <w:rsid w:val="00DE2D66"/>
    <w:rsid w:val="00DE2E30"/>
    <w:rsid w:val="00DE2E4C"/>
    <w:rsid w:val="00DE2FA9"/>
    <w:rsid w:val="00DE3194"/>
    <w:rsid w:val="00DE3344"/>
    <w:rsid w:val="00DE33E4"/>
    <w:rsid w:val="00DE3480"/>
    <w:rsid w:val="00DE34A9"/>
    <w:rsid w:val="00DE3594"/>
    <w:rsid w:val="00DE361F"/>
    <w:rsid w:val="00DE367A"/>
    <w:rsid w:val="00DE3695"/>
    <w:rsid w:val="00DE3899"/>
    <w:rsid w:val="00DE38FF"/>
    <w:rsid w:val="00DE39C7"/>
    <w:rsid w:val="00DE39EF"/>
    <w:rsid w:val="00DE3B64"/>
    <w:rsid w:val="00DE3C08"/>
    <w:rsid w:val="00DE3C4E"/>
    <w:rsid w:val="00DE3C57"/>
    <w:rsid w:val="00DE3C63"/>
    <w:rsid w:val="00DE3E2D"/>
    <w:rsid w:val="00DE3F62"/>
    <w:rsid w:val="00DE40DE"/>
    <w:rsid w:val="00DE41A6"/>
    <w:rsid w:val="00DE4295"/>
    <w:rsid w:val="00DE42CE"/>
    <w:rsid w:val="00DE441F"/>
    <w:rsid w:val="00DE4503"/>
    <w:rsid w:val="00DE45C7"/>
    <w:rsid w:val="00DE476E"/>
    <w:rsid w:val="00DE47A4"/>
    <w:rsid w:val="00DE4AAE"/>
    <w:rsid w:val="00DE4B02"/>
    <w:rsid w:val="00DE4B95"/>
    <w:rsid w:val="00DE4CD2"/>
    <w:rsid w:val="00DE4DC4"/>
    <w:rsid w:val="00DE4FB6"/>
    <w:rsid w:val="00DE5170"/>
    <w:rsid w:val="00DE521C"/>
    <w:rsid w:val="00DE55DC"/>
    <w:rsid w:val="00DE55F6"/>
    <w:rsid w:val="00DE5640"/>
    <w:rsid w:val="00DE5A7F"/>
    <w:rsid w:val="00DE5BEA"/>
    <w:rsid w:val="00DE5BEE"/>
    <w:rsid w:val="00DE5C73"/>
    <w:rsid w:val="00DE5D5C"/>
    <w:rsid w:val="00DE5D9B"/>
    <w:rsid w:val="00DE5E30"/>
    <w:rsid w:val="00DE5ECA"/>
    <w:rsid w:val="00DE5FD9"/>
    <w:rsid w:val="00DE6099"/>
    <w:rsid w:val="00DE60D5"/>
    <w:rsid w:val="00DE62FE"/>
    <w:rsid w:val="00DE6333"/>
    <w:rsid w:val="00DE643A"/>
    <w:rsid w:val="00DE653C"/>
    <w:rsid w:val="00DE65DE"/>
    <w:rsid w:val="00DE66C1"/>
    <w:rsid w:val="00DE66C9"/>
    <w:rsid w:val="00DE6881"/>
    <w:rsid w:val="00DE695A"/>
    <w:rsid w:val="00DE6A4B"/>
    <w:rsid w:val="00DE6B1D"/>
    <w:rsid w:val="00DE6DDC"/>
    <w:rsid w:val="00DE6E4B"/>
    <w:rsid w:val="00DE6F68"/>
    <w:rsid w:val="00DE6F71"/>
    <w:rsid w:val="00DE7322"/>
    <w:rsid w:val="00DE73D0"/>
    <w:rsid w:val="00DE7453"/>
    <w:rsid w:val="00DE7548"/>
    <w:rsid w:val="00DE7569"/>
    <w:rsid w:val="00DE75EF"/>
    <w:rsid w:val="00DE76F5"/>
    <w:rsid w:val="00DE780D"/>
    <w:rsid w:val="00DE7866"/>
    <w:rsid w:val="00DE7978"/>
    <w:rsid w:val="00DE79D3"/>
    <w:rsid w:val="00DE7A5C"/>
    <w:rsid w:val="00DE7C2C"/>
    <w:rsid w:val="00DE7D55"/>
    <w:rsid w:val="00DE7FC4"/>
    <w:rsid w:val="00DF038C"/>
    <w:rsid w:val="00DF042C"/>
    <w:rsid w:val="00DF047A"/>
    <w:rsid w:val="00DF048E"/>
    <w:rsid w:val="00DF04F3"/>
    <w:rsid w:val="00DF058C"/>
    <w:rsid w:val="00DF06B6"/>
    <w:rsid w:val="00DF0835"/>
    <w:rsid w:val="00DF0C3B"/>
    <w:rsid w:val="00DF0CBD"/>
    <w:rsid w:val="00DF0E70"/>
    <w:rsid w:val="00DF0F2C"/>
    <w:rsid w:val="00DF0F55"/>
    <w:rsid w:val="00DF1304"/>
    <w:rsid w:val="00DF1339"/>
    <w:rsid w:val="00DF139D"/>
    <w:rsid w:val="00DF13F8"/>
    <w:rsid w:val="00DF1448"/>
    <w:rsid w:val="00DF1477"/>
    <w:rsid w:val="00DF147C"/>
    <w:rsid w:val="00DF15BD"/>
    <w:rsid w:val="00DF1819"/>
    <w:rsid w:val="00DF1B1C"/>
    <w:rsid w:val="00DF1B97"/>
    <w:rsid w:val="00DF1BCB"/>
    <w:rsid w:val="00DF1BE2"/>
    <w:rsid w:val="00DF1DEC"/>
    <w:rsid w:val="00DF1E60"/>
    <w:rsid w:val="00DF1FE2"/>
    <w:rsid w:val="00DF2364"/>
    <w:rsid w:val="00DF2447"/>
    <w:rsid w:val="00DF247D"/>
    <w:rsid w:val="00DF250F"/>
    <w:rsid w:val="00DF251F"/>
    <w:rsid w:val="00DF25ED"/>
    <w:rsid w:val="00DF267E"/>
    <w:rsid w:val="00DF26F9"/>
    <w:rsid w:val="00DF2797"/>
    <w:rsid w:val="00DF28B9"/>
    <w:rsid w:val="00DF2A00"/>
    <w:rsid w:val="00DF2C45"/>
    <w:rsid w:val="00DF2CA0"/>
    <w:rsid w:val="00DF2CA6"/>
    <w:rsid w:val="00DF2DC7"/>
    <w:rsid w:val="00DF30B3"/>
    <w:rsid w:val="00DF3139"/>
    <w:rsid w:val="00DF3370"/>
    <w:rsid w:val="00DF34E6"/>
    <w:rsid w:val="00DF363F"/>
    <w:rsid w:val="00DF3716"/>
    <w:rsid w:val="00DF3727"/>
    <w:rsid w:val="00DF37C3"/>
    <w:rsid w:val="00DF37D9"/>
    <w:rsid w:val="00DF3AAF"/>
    <w:rsid w:val="00DF3B89"/>
    <w:rsid w:val="00DF3BC7"/>
    <w:rsid w:val="00DF3BF7"/>
    <w:rsid w:val="00DF3D2F"/>
    <w:rsid w:val="00DF3EFD"/>
    <w:rsid w:val="00DF4195"/>
    <w:rsid w:val="00DF431B"/>
    <w:rsid w:val="00DF43D0"/>
    <w:rsid w:val="00DF448B"/>
    <w:rsid w:val="00DF462D"/>
    <w:rsid w:val="00DF4639"/>
    <w:rsid w:val="00DF47B0"/>
    <w:rsid w:val="00DF4814"/>
    <w:rsid w:val="00DF4870"/>
    <w:rsid w:val="00DF4918"/>
    <w:rsid w:val="00DF4954"/>
    <w:rsid w:val="00DF4B13"/>
    <w:rsid w:val="00DF4B20"/>
    <w:rsid w:val="00DF4BA7"/>
    <w:rsid w:val="00DF4CCF"/>
    <w:rsid w:val="00DF4E12"/>
    <w:rsid w:val="00DF4EA7"/>
    <w:rsid w:val="00DF4FA2"/>
    <w:rsid w:val="00DF4FE5"/>
    <w:rsid w:val="00DF506F"/>
    <w:rsid w:val="00DF519F"/>
    <w:rsid w:val="00DF51F5"/>
    <w:rsid w:val="00DF5249"/>
    <w:rsid w:val="00DF5421"/>
    <w:rsid w:val="00DF549B"/>
    <w:rsid w:val="00DF54EA"/>
    <w:rsid w:val="00DF5564"/>
    <w:rsid w:val="00DF57A1"/>
    <w:rsid w:val="00DF57AD"/>
    <w:rsid w:val="00DF5A5F"/>
    <w:rsid w:val="00DF5A6E"/>
    <w:rsid w:val="00DF5B2A"/>
    <w:rsid w:val="00DF5C7D"/>
    <w:rsid w:val="00DF5C86"/>
    <w:rsid w:val="00DF5DDE"/>
    <w:rsid w:val="00DF5F8D"/>
    <w:rsid w:val="00DF602A"/>
    <w:rsid w:val="00DF6135"/>
    <w:rsid w:val="00DF618B"/>
    <w:rsid w:val="00DF6199"/>
    <w:rsid w:val="00DF6258"/>
    <w:rsid w:val="00DF62A0"/>
    <w:rsid w:val="00DF6469"/>
    <w:rsid w:val="00DF65FD"/>
    <w:rsid w:val="00DF664B"/>
    <w:rsid w:val="00DF66A3"/>
    <w:rsid w:val="00DF66BC"/>
    <w:rsid w:val="00DF68E2"/>
    <w:rsid w:val="00DF6A2D"/>
    <w:rsid w:val="00DF6AA8"/>
    <w:rsid w:val="00DF6BEC"/>
    <w:rsid w:val="00DF6FBC"/>
    <w:rsid w:val="00DF6FE3"/>
    <w:rsid w:val="00DF709C"/>
    <w:rsid w:val="00DF7125"/>
    <w:rsid w:val="00DF71AD"/>
    <w:rsid w:val="00DF730F"/>
    <w:rsid w:val="00DF7338"/>
    <w:rsid w:val="00DF7466"/>
    <w:rsid w:val="00DF75D7"/>
    <w:rsid w:val="00DF79AC"/>
    <w:rsid w:val="00DF7A25"/>
    <w:rsid w:val="00DF7A92"/>
    <w:rsid w:val="00DF7B5A"/>
    <w:rsid w:val="00DF7D71"/>
    <w:rsid w:val="00DF7DFA"/>
    <w:rsid w:val="00DF7E38"/>
    <w:rsid w:val="00DFA07D"/>
    <w:rsid w:val="00DFC038"/>
    <w:rsid w:val="00E0016A"/>
    <w:rsid w:val="00E00238"/>
    <w:rsid w:val="00E00433"/>
    <w:rsid w:val="00E004EB"/>
    <w:rsid w:val="00E005E2"/>
    <w:rsid w:val="00E005F3"/>
    <w:rsid w:val="00E00613"/>
    <w:rsid w:val="00E0063C"/>
    <w:rsid w:val="00E006B6"/>
    <w:rsid w:val="00E0070D"/>
    <w:rsid w:val="00E00757"/>
    <w:rsid w:val="00E007BA"/>
    <w:rsid w:val="00E00887"/>
    <w:rsid w:val="00E0091B"/>
    <w:rsid w:val="00E00AA8"/>
    <w:rsid w:val="00E00AD3"/>
    <w:rsid w:val="00E00B8B"/>
    <w:rsid w:val="00E00C8C"/>
    <w:rsid w:val="00E00FD5"/>
    <w:rsid w:val="00E01011"/>
    <w:rsid w:val="00E010AD"/>
    <w:rsid w:val="00E010D0"/>
    <w:rsid w:val="00E01102"/>
    <w:rsid w:val="00E01169"/>
    <w:rsid w:val="00E0119C"/>
    <w:rsid w:val="00E01347"/>
    <w:rsid w:val="00E013A0"/>
    <w:rsid w:val="00E014EE"/>
    <w:rsid w:val="00E0161E"/>
    <w:rsid w:val="00E016A2"/>
    <w:rsid w:val="00E016F2"/>
    <w:rsid w:val="00E01737"/>
    <w:rsid w:val="00E01806"/>
    <w:rsid w:val="00E018D5"/>
    <w:rsid w:val="00E01965"/>
    <w:rsid w:val="00E01D24"/>
    <w:rsid w:val="00E01E28"/>
    <w:rsid w:val="00E01F52"/>
    <w:rsid w:val="00E01FE1"/>
    <w:rsid w:val="00E02051"/>
    <w:rsid w:val="00E0206A"/>
    <w:rsid w:val="00E02132"/>
    <w:rsid w:val="00E0215E"/>
    <w:rsid w:val="00E02204"/>
    <w:rsid w:val="00E02207"/>
    <w:rsid w:val="00E02296"/>
    <w:rsid w:val="00E0231C"/>
    <w:rsid w:val="00E02448"/>
    <w:rsid w:val="00E0246A"/>
    <w:rsid w:val="00E02470"/>
    <w:rsid w:val="00E0262D"/>
    <w:rsid w:val="00E0267C"/>
    <w:rsid w:val="00E028A3"/>
    <w:rsid w:val="00E0293F"/>
    <w:rsid w:val="00E02A5D"/>
    <w:rsid w:val="00E02B23"/>
    <w:rsid w:val="00E02CCD"/>
    <w:rsid w:val="00E02D61"/>
    <w:rsid w:val="00E02E1C"/>
    <w:rsid w:val="00E02E47"/>
    <w:rsid w:val="00E02FC2"/>
    <w:rsid w:val="00E030B3"/>
    <w:rsid w:val="00E03276"/>
    <w:rsid w:val="00E03413"/>
    <w:rsid w:val="00E035C1"/>
    <w:rsid w:val="00E035C2"/>
    <w:rsid w:val="00E036D4"/>
    <w:rsid w:val="00E03763"/>
    <w:rsid w:val="00E03831"/>
    <w:rsid w:val="00E0385E"/>
    <w:rsid w:val="00E03A14"/>
    <w:rsid w:val="00E03A3C"/>
    <w:rsid w:val="00E03C99"/>
    <w:rsid w:val="00E03CBF"/>
    <w:rsid w:val="00E03D51"/>
    <w:rsid w:val="00E0403C"/>
    <w:rsid w:val="00E0404D"/>
    <w:rsid w:val="00E04090"/>
    <w:rsid w:val="00E04127"/>
    <w:rsid w:val="00E0413E"/>
    <w:rsid w:val="00E0414C"/>
    <w:rsid w:val="00E04283"/>
    <w:rsid w:val="00E043DB"/>
    <w:rsid w:val="00E04532"/>
    <w:rsid w:val="00E04709"/>
    <w:rsid w:val="00E04777"/>
    <w:rsid w:val="00E04832"/>
    <w:rsid w:val="00E04882"/>
    <w:rsid w:val="00E04BE5"/>
    <w:rsid w:val="00E04BF2"/>
    <w:rsid w:val="00E04C8F"/>
    <w:rsid w:val="00E04DC2"/>
    <w:rsid w:val="00E04E21"/>
    <w:rsid w:val="00E04E92"/>
    <w:rsid w:val="00E04F74"/>
    <w:rsid w:val="00E0536B"/>
    <w:rsid w:val="00E05484"/>
    <w:rsid w:val="00E05495"/>
    <w:rsid w:val="00E05667"/>
    <w:rsid w:val="00E05777"/>
    <w:rsid w:val="00E05788"/>
    <w:rsid w:val="00E05A01"/>
    <w:rsid w:val="00E05C23"/>
    <w:rsid w:val="00E05E26"/>
    <w:rsid w:val="00E05E55"/>
    <w:rsid w:val="00E05F20"/>
    <w:rsid w:val="00E05F4D"/>
    <w:rsid w:val="00E05F54"/>
    <w:rsid w:val="00E06106"/>
    <w:rsid w:val="00E061B2"/>
    <w:rsid w:val="00E06233"/>
    <w:rsid w:val="00E06389"/>
    <w:rsid w:val="00E067AC"/>
    <w:rsid w:val="00E067E1"/>
    <w:rsid w:val="00E068B2"/>
    <w:rsid w:val="00E06950"/>
    <w:rsid w:val="00E06A54"/>
    <w:rsid w:val="00E06B66"/>
    <w:rsid w:val="00E06C20"/>
    <w:rsid w:val="00E06C76"/>
    <w:rsid w:val="00E06D03"/>
    <w:rsid w:val="00E06E99"/>
    <w:rsid w:val="00E06F70"/>
    <w:rsid w:val="00E07127"/>
    <w:rsid w:val="00E072E1"/>
    <w:rsid w:val="00E074BC"/>
    <w:rsid w:val="00E07530"/>
    <w:rsid w:val="00E077E8"/>
    <w:rsid w:val="00E07852"/>
    <w:rsid w:val="00E07AD5"/>
    <w:rsid w:val="00E07BFB"/>
    <w:rsid w:val="00E07C43"/>
    <w:rsid w:val="00E07D49"/>
    <w:rsid w:val="00E07D90"/>
    <w:rsid w:val="00E0ACBD"/>
    <w:rsid w:val="00E10127"/>
    <w:rsid w:val="00E1012A"/>
    <w:rsid w:val="00E10286"/>
    <w:rsid w:val="00E102AB"/>
    <w:rsid w:val="00E103C8"/>
    <w:rsid w:val="00E103E9"/>
    <w:rsid w:val="00E10913"/>
    <w:rsid w:val="00E1099C"/>
    <w:rsid w:val="00E10B12"/>
    <w:rsid w:val="00E10BFE"/>
    <w:rsid w:val="00E10F44"/>
    <w:rsid w:val="00E11169"/>
    <w:rsid w:val="00E11188"/>
    <w:rsid w:val="00E111AD"/>
    <w:rsid w:val="00E1128E"/>
    <w:rsid w:val="00E1128F"/>
    <w:rsid w:val="00E112D8"/>
    <w:rsid w:val="00E11339"/>
    <w:rsid w:val="00E11355"/>
    <w:rsid w:val="00E114F6"/>
    <w:rsid w:val="00E1157F"/>
    <w:rsid w:val="00E11587"/>
    <w:rsid w:val="00E11677"/>
    <w:rsid w:val="00E116B6"/>
    <w:rsid w:val="00E117B5"/>
    <w:rsid w:val="00E11905"/>
    <w:rsid w:val="00E11959"/>
    <w:rsid w:val="00E11A71"/>
    <w:rsid w:val="00E11B14"/>
    <w:rsid w:val="00E11B77"/>
    <w:rsid w:val="00E11C27"/>
    <w:rsid w:val="00E11CF2"/>
    <w:rsid w:val="00E11D12"/>
    <w:rsid w:val="00E11DBC"/>
    <w:rsid w:val="00E11EC1"/>
    <w:rsid w:val="00E11F77"/>
    <w:rsid w:val="00E11FD2"/>
    <w:rsid w:val="00E12317"/>
    <w:rsid w:val="00E124A7"/>
    <w:rsid w:val="00E125EC"/>
    <w:rsid w:val="00E1268B"/>
    <w:rsid w:val="00E126AD"/>
    <w:rsid w:val="00E1277B"/>
    <w:rsid w:val="00E128B3"/>
    <w:rsid w:val="00E128E4"/>
    <w:rsid w:val="00E12BFC"/>
    <w:rsid w:val="00E12DCA"/>
    <w:rsid w:val="00E12DD2"/>
    <w:rsid w:val="00E12F1E"/>
    <w:rsid w:val="00E12F43"/>
    <w:rsid w:val="00E13055"/>
    <w:rsid w:val="00E1311B"/>
    <w:rsid w:val="00E1311C"/>
    <w:rsid w:val="00E131F5"/>
    <w:rsid w:val="00E1322B"/>
    <w:rsid w:val="00E1345D"/>
    <w:rsid w:val="00E134E4"/>
    <w:rsid w:val="00E134E6"/>
    <w:rsid w:val="00E135B1"/>
    <w:rsid w:val="00E13656"/>
    <w:rsid w:val="00E13923"/>
    <w:rsid w:val="00E13ADA"/>
    <w:rsid w:val="00E13CDA"/>
    <w:rsid w:val="00E13CEC"/>
    <w:rsid w:val="00E1429D"/>
    <w:rsid w:val="00E14332"/>
    <w:rsid w:val="00E14395"/>
    <w:rsid w:val="00E14441"/>
    <w:rsid w:val="00E14676"/>
    <w:rsid w:val="00E14690"/>
    <w:rsid w:val="00E146CF"/>
    <w:rsid w:val="00E14731"/>
    <w:rsid w:val="00E14738"/>
    <w:rsid w:val="00E1481D"/>
    <w:rsid w:val="00E1482C"/>
    <w:rsid w:val="00E1498F"/>
    <w:rsid w:val="00E14A4F"/>
    <w:rsid w:val="00E14A88"/>
    <w:rsid w:val="00E14AA4"/>
    <w:rsid w:val="00E14B5A"/>
    <w:rsid w:val="00E14B87"/>
    <w:rsid w:val="00E14D42"/>
    <w:rsid w:val="00E14DCC"/>
    <w:rsid w:val="00E14E49"/>
    <w:rsid w:val="00E1518A"/>
    <w:rsid w:val="00E1521D"/>
    <w:rsid w:val="00E15304"/>
    <w:rsid w:val="00E153C7"/>
    <w:rsid w:val="00E153CB"/>
    <w:rsid w:val="00E153D0"/>
    <w:rsid w:val="00E15730"/>
    <w:rsid w:val="00E1579C"/>
    <w:rsid w:val="00E15BF7"/>
    <w:rsid w:val="00E15C03"/>
    <w:rsid w:val="00E16008"/>
    <w:rsid w:val="00E1606F"/>
    <w:rsid w:val="00E1618C"/>
    <w:rsid w:val="00E1634F"/>
    <w:rsid w:val="00E163FC"/>
    <w:rsid w:val="00E1644C"/>
    <w:rsid w:val="00E16614"/>
    <w:rsid w:val="00E16711"/>
    <w:rsid w:val="00E167FD"/>
    <w:rsid w:val="00E16800"/>
    <w:rsid w:val="00E16859"/>
    <w:rsid w:val="00E16866"/>
    <w:rsid w:val="00E16891"/>
    <w:rsid w:val="00E16892"/>
    <w:rsid w:val="00E16925"/>
    <w:rsid w:val="00E16A00"/>
    <w:rsid w:val="00E16AE5"/>
    <w:rsid w:val="00E16BA4"/>
    <w:rsid w:val="00E16BB2"/>
    <w:rsid w:val="00E16BF3"/>
    <w:rsid w:val="00E16BF4"/>
    <w:rsid w:val="00E16DF8"/>
    <w:rsid w:val="00E16F14"/>
    <w:rsid w:val="00E16F2C"/>
    <w:rsid w:val="00E17029"/>
    <w:rsid w:val="00E17037"/>
    <w:rsid w:val="00E17192"/>
    <w:rsid w:val="00E1719E"/>
    <w:rsid w:val="00E1721A"/>
    <w:rsid w:val="00E17343"/>
    <w:rsid w:val="00E17518"/>
    <w:rsid w:val="00E175B7"/>
    <w:rsid w:val="00E17679"/>
    <w:rsid w:val="00E1789B"/>
    <w:rsid w:val="00E179BD"/>
    <w:rsid w:val="00E17A32"/>
    <w:rsid w:val="00E17AC8"/>
    <w:rsid w:val="00E17D16"/>
    <w:rsid w:val="00E17DA7"/>
    <w:rsid w:val="00E17E0F"/>
    <w:rsid w:val="00E1A335"/>
    <w:rsid w:val="00E200CD"/>
    <w:rsid w:val="00E2016F"/>
    <w:rsid w:val="00E2019D"/>
    <w:rsid w:val="00E20362"/>
    <w:rsid w:val="00E204AE"/>
    <w:rsid w:val="00E204B1"/>
    <w:rsid w:val="00E205D7"/>
    <w:rsid w:val="00E2080F"/>
    <w:rsid w:val="00E20E52"/>
    <w:rsid w:val="00E20FEA"/>
    <w:rsid w:val="00E21165"/>
    <w:rsid w:val="00E211A5"/>
    <w:rsid w:val="00E21243"/>
    <w:rsid w:val="00E2132B"/>
    <w:rsid w:val="00E21363"/>
    <w:rsid w:val="00E21417"/>
    <w:rsid w:val="00E2150B"/>
    <w:rsid w:val="00E2160A"/>
    <w:rsid w:val="00E21746"/>
    <w:rsid w:val="00E217F5"/>
    <w:rsid w:val="00E21946"/>
    <w:rsid w:val="00E219A0"/>
    <w:rsid w:val="00E21AF5"/>
    <w:rsid w:val="00E21C6C"/>
    <w:rsid w:val="00E21CA7"/>
    <w:rsid w:val="00E21D8E"/>
    <w:rsid w:val="00E21ED5"/>
    <w:rsid w:val="00E22115"/>
    <w:rsid w:val="00E221F4"/>
    <w:rsid w:val="00E2224B"/>
    <w:rsid w:val="00E2227F"/>
    <w:rsid w:val="00E22420"/>
    <w:rsid w:val="00E22608"/>
    <w:rsid w:val="00E22631"/>
    <w:rsid w:val="00E2269E"/>
    <w:rsid w:val="00E22739"/>
    <w:rsid w:val="00E22A19"/>
    <w:rsid w:val="00E22A98"/>
    <w:rsid w:val="00E22B44"/>
    <w:rsid w:val="00E22C7D"/>
    <w:rsid w:val="00E22D5E"/>
    <w:rsid w:val="00E22D78"/>
    <w:rsid w:val="00E22DAB"/>
    <w:rsid w:val="00E22E1E"/>
    <w:rsid w:val="00E22EEF"/>
    <w:rsid w:val="00E23506"/>
    <w:rsid w:val="00E2360F"/>
    <w:rsid w:val="00E23769"/>
    <w:rsid w:val="00E23782"/>
    <w:rsid w:val="00E23792"/>
    <w:rsid w:val="00E23A7B"/>
    <w:rsid w:val="00E23A7D"/>
    <w:rsid w:val="00E23BBC"/>
    <w:rsid w:val="00E23CED"/>
    <w:rsid w:val="00E23D17"/>
    <w:rsid w:val="00E23DB7"/>
    <w:rsid w:val="00E23E7B"/>
    <w:rsid w:val="00E23E96"/>
    <w:rsid w:val="00E23FA2"/>
    <w:rsid w:val="00E23FD2"/>
    <w:rsid w:val="00E24130"/>
    <w:rsid w:val="00E242E9"/>
    <w:rsid w:val="00E2458C"/>
    <w:rsid w:val="00E2458D"/>
    <w:rsid w:val="00E245F6"/>
    <w:rsid w:val="00E247C0"/>
    <w:rsid w:val="00E24977"/>
    <w:rsid w:val="00E24AD6"/>
    <w:rsid w:val="00E24D81"/>
    <w:rsid w:val="00E24F03"/>
    <w:rsid w:val="00E24F82"/>
    <w:rsid w:val="00E24FB9"/>
    <w:rsid w:val="00E25058"/>
    <w:rsid w:val="00E2516E"/>
    <w:rsid w:val="00E25218"/>
    <w:rsid w:val="00E25241"/>
    <w:rsid w:val="00E25299"/>
    <w:rsid w:val="00E2533A"/>
    <w:rsid w:val="00E25410"/>
    <w:rsid w:val="00E257CD"/>
    <w:rsid w:val="00E25944"/>
    <w:rsid w:val="00E25B3D"/>
    <w:rsid w:val="00E25BF5"/>
    <w:rsid w:val="00E25D6E"/>
    <w:rsid w:val="00E26020"/>
    <w:rsid w:val="00E260CC"/>
    <w:rsid w:val="00E260F3"/>
    <w:rsid w:val="00E26272"/>
    <w:rsid w:val="00E26300"/>
    <w:rsid w:val="00E26645"/>
    <w:rsid w:val="00E2665B"/>
    <w:rsid w:val="00E26AB9"/>
    <w:rsid w:val="00E26B0C"/>
    <w:rsid w:val="00E26B44"/>
    <w:rsid w:val="00E26BE3"/>
    <w:rsid w:val="00E26C91"/>
    <w:rsid w:val="00E26CEF"/>
    <w:rsid w:val="00E26DDE"/>
    <w:rsid w:val="00E26EE6"/>
    <w:rsid w:val="00E270B8"/>
    <w:rsid w:val="00E270D5"/>
    <w:rsid w:val="00E27100"/>
    <w:rsid w:val="00E272A2"/>
    <w:rsid w:val="00E27479"/>
    <w:rsid w:val="00E2751F"/>
    <w:rsid w:val="00E27526"/>
    <w:rsid w:val="00E277C1"/>
    <w:rsid w:val="00E2788B"/>
    <w:rsid w:val="00E27905"/>
    <w:rsid w:val="00E27A4B"/>
    <w:rsid w:val="00E27BA7"/>
    <w:rsid w:val="00E27E26"/>
    <w:rsid w:val="00E27FF9"/>
    <w:rsid w:val="00E3004B"/>
    <w:rsid w:val="00E300C3"/>
    <w:rsid w:val="00E300C6"/>
    <w:rsid w:val="00E300E1"/>
    <w:rsid w:val="00E304D8"/>
    <w:rsid w:val="00E304E6"/>
    <w:rsid w:val="00E30596"/>
    <w:rsid w:val="00E3066E"/>
    <w:rsid w:val="00E30896"/>
    <w:rsid w:val="00E30BB9"/>
    <w:rsid w:val="00E30D48"/>
    <w:rsid w:val="00E30D6E"/>
    <w:rsid w:val="00E30E09"/>
    <w:rsid w:val="00E30E38"/>
    <w:rsid w:val="00E30E7B"/>
    <w:rsid w:val="00E30E98"/>
    <w:rsid w:val="00E30FFB"/>
    <w:rsid w:val="00E3134E"/>
    <w:rsid w:val="00E316D5"/>
    <w:rsid w:val="00E31850"/>
    <w:rsid w:val="00E319C2"/>
    <w:rsid w:val="00E319D5"/>
    <w:rsid w:val="00E31AFB"/>
    <w:rsid w:val="00E31B1C"/>
    <w:rsid w:val="00E31B45"/>
    <w:rsid w:val="00E31D56"/>
    <w:rsid w:val="00E31D64"/>
    <w:rsid w:val="00E31EFC"/>
    <w:rsid w:val="00E31F49"/>
    <w:rsid w:val="00E31F9A"/>
    <w:rsid w:val="00E320BF"/>
    <w:rsid w:val="00E32193"/>
    <w:rsid w:val="00E321B7"/>
    <w:rsid w:val="00E32235"/>
    <w:rsid w:val="00E323D1"/>
    <w:rsid w:val="00E3247E"/>
    <w:rsid w:val="00E325AC"/>
    <w:rsid w:val="00E325E0"/>
    <w:rsid w:val="00E32612"/>
    <w:rsid w:val="00E327E0"/>
    <w:rsid w:val="00E3281B"/>
    <w:rsid w:val="00E32CAC"/>
    <w:rsid w:val="00E32CDD"/>
    <w:rsid w:val="00E32D5E"/>
    <w:rsid w:val="00E32EBA"/>
    <w:rsid w:val="00E3309D"/>
    <w:rsid w:val="00E3316A"/>
    <w:rsid w:val="00E331FD"/>
    <w:rsid w:val="00E3323A"/>
    <w:rsid w:val="00E332C1"/>
    <w:rsid w:val="00E334E7"/>
    <w:rsid w:val="00E33645"/>
    <w:rsid w:val="00E33670"/>
    <w:rsid w:val="00E33689"/>
    <w:rsid w:val="00E33705"/>
    <w:rsid w:val="00E338A2"/>
    <w:rsid w:val="00E338BB"/>
    <w:rsid w:val="00E33A13"/>
    <w:rsid w:val="00E33DF2"/>
    <w:rsid w:val="00E33E67"/>
    <w:rsid w:val="00E33FE0"/>
    <w:rsid w:val="00E3402A"/>
    <w:rsid w:val="00E3416A"/>
    <w:rsid w:val="00E34170"/>
    <w:rsid w:val="00E341EE"/>
    <w:rsid w:val="00E344A9"/>
    <w:rsid w:val="00E345CF"/>
    <w:rsid w:val="00E34618"/>
    <w:rsid w:val="00E349A2"/>
    <w:rsid w:val="00E34A69"/>
    <w:rsid w:val="00E34C60"/>
    <w:rsid w:val="00E34CFD"/>
    <w:rsid w:val="00E34D08"/>
    <w:rsid w:val="00E34FA9"/>
    <w:rsid w:val="00E35013"/>
    <w:rsid w:val="00E350C6"/>
    <w:rsid w:val="00E35100"/>
    <w:rsid w:val="00E351C4"/>
    <w:rsid w:val="00E353BA"/>
    <w:rsid w:val="00E35410"/>
    <w:rsid w:val="00E3551B"/>
    <w:rsid w:val="00E3555F"/>
    <w:rsid w:val="00E356DB"/>
    <w:rsid w:val="00E35729"/>
    <w:rsid w:val="00E3584E"/>
    <w:rsid w:val="00E35D5E"/>
    <w:rsid w:val="00E35DCF"/>
    <w:rsid w:val="00E35DE4"/>
    <w:rsid w:val="00E35E47"/>
    <w:rsid w:val="00E3601C"/>
    <w:rsid w:val="00E36190"/>
    <w:rsid w:val="00E36262"/>
    <w:rsid w:val="00E36294"/>
    <w:rsid w:val="00E363F1"/>
    <w:rsid w:val="00E365C5"/>
    <w:rsid w:val="00E36635"/>
    <w:rsid w:val="00E36676"/>
    <w:rsid w:val="00E367FA"/>
    <w:rsid w:val="00E36803"/>
    <w:rsid w:val="00E3682C"/>
    <w:rsid w:val="00E368A2"/>
    <w:rsid w:val="00E36A10"/>
    <w:rsid w:val="00E36A47"/>
    <w:rsid w:val="00E36C5B"/>
    <w:rsid w:val="00E36D5C"/>
    <w:rsid w:val="00E36E01"/>
    <w:rsid w:val="00E36E1C"/>
    <w:rsid w:val="00E36E5F"/>
    <w:rsid w:val="00E36F05"/>
    <w:rsid w:val="00E37050"/>
    <w:rsid w:val="00E373AA"/>
    <w:rsid w:val="00E37533"/>
    <w:rsid w:val="00E37550"/>
    <w:rsid w:val="00E3792E"/>
    <w:rsid w:val="00E379E7"/>
    <w:rsid w:val="00E37A62"/>
    <w:rsid w:val="00E37AD1"/>
    <w:rsid w:val="00E37CF0"/>
    <w:rsid w:val="00E37EC8"/>
    <w:rsid w:val="00E37F02"/>
    <w:rsid w:val="00E37F14"/>
    <w:rsid w:val="00E37FC6"/>
    <w:rsid w:val="00E37FF0"/>
    <w:rsid w:val="00E40168"/>
    <w:rsid w:val="00E40183"/>
    <w:rsid w:val="00E401D3"/>
    <w:rsid w:val="00E401E4"/>
    <w:rsid w:val="00E402B3"/>
    <w:rsid w:val="00E40378"/>
    <w:rsid w:val="00E403FE"/>
    <w:rsid w:val="00E404FB"/>
    <w:rsid w:val="00E406CF"/>
    <w:rsid w:val="00E4086B"/>
    <w:rsid w:val="00E408DF"/>
    <w:rsid w:val="00E40997"/>
    <w:rsid w:val="00E40999"/>
    <w:rsid w:val="00E40B04"/>
    <w:rsid w:val="00E40BFA"/>
    <w:rsid w:val="00E40C34"/>
    <w:rsid w:val="00E40CA0"/>
    <w:rsid w:val="00E40E47"/>
    <w:rsid w:val="00E40E79"/>
    <w:rsid w:val="00E40ECE"/>
    <w:rsid w:val="00E41035"/>
    <w:rsid w:val="00E41251"/>
    <w:rsid w:val="00E4132B"/>
    <w:rsid w:val="00E413F9"/>
    <w:rsid w:val="00E415B2"/>
    <w:rsid w:val="00E4164B"/>
    <w:rsid w:val="00E417B1"/>
    <w:rsid w:val="00E417B4"/>
    <w:rsid w:val="00E41866"/>
    <w:rsid w:val="00E4195C"/>
    <w:rsid w:val="00E41A2E"/>
    <w:rsid w:val="00E41AF9"/>
    <w:rsid w:val="00E41B7D"/>
    <w:rsid w:val="00E41C4E"/>
    <w:rsid w:val="00E41C6F"/>
    <w:rsid w:val="00E41CE0"/>
    <w:rsid w:val="00E41DDC"/>
    <w:rsid w:val="00E41F4F"/>
    <w:rsid w:val="00E41FCD"/>
    <w:rsid w:val="00E4200E"/>
    <w:rsid w:val="00E42083"/>
    <w:rsid w:val="00E420D2"/>
    <w:rsid w:val="00E42200"/>
    <w:rsid w:val="00E42283"/>
    <w:rsid w:val="00E423D6"/>
    <w:rsid w:val="00E42646"/>
    <w:rsid w:val="00E42716"/>
    <w:rsid w:val="00E42748"/>
    <w:rsid w:val="00E42753"/>
    <w:rsid w:val="00E42776"/>
    <w:rsid w:val="00E427C7"/>
    <w:rsid w:val="00E42865"/>
    <w:rsid w:val="00E42943"/>
    <w:rsid w:val="00E429A4"/>
    <w:rsid w:val="00E429A7"/>
    <w:rsid w:val="00E42B51"/>
    <w:rsid w:val="00E42D65"/>
    <w:rsid w:val="00E42DEC"/>
    <w:rsid w:val="00E42F6E"/>
    <w:rsid w:val="00E430A2"/>
    <w:rsid w:val="00E43104"/>
    <w:rsid w:val="00E43115"/>
    <w:rsid w:val="00E4318F"/>
    <w:rsid w:val="00E43257"/>
    <w:rsid w:val="00E43549"/>
    <w:rsid w:val="00E43910"/>
    <w:rsid w:val="00E4394C"/>
    <w:rsid w:val="00E43980"/>
    <w:rsid w:val="00E43B5B"/>
    <w:rsid w:val="00E43B69"/>
    <w:rsid w:val="00E43B76"/>
    <w:rsid w:val="00E43BAB"/>
    <w:rsid w:val="00E43D1D"/>
    <w:rsid w:val="00E43DC0"/>
    <w:rsid w:val="00E43DF9"/>
    <w:rsid w:val="00E43E3D"/>
    <w:rsid w:val="00E43F60"/>
    <w:rsid w:val="00E43F94"/>
    <w:rsid w:val="00E44095"/>
    <w:rsid w:val="00E44111"/>
    <w:rsid w:val="00E4424C"/>
    <w:rsid w:val="00E443D4"/>
    <w:rsid w:val="00E445B6"/>
    <w:rsid w:val="00E445CE"/>
    <w:rsid w:val="00E44872"/>
    <w:rsid w:val="00E44AD1"/>
    <w:rsid w:val="00E44C14"/>
    <w:rsid w:val="00E44DA5"/>
    <w:rsid w:val="00E44E5E"/>
    <w:rsid w:val="00E44EE0"/>
    <w:rsid w:val="00E44FE1"/>
    <w:rsid w:val="00E4501E"/>
    <w:rsid w:val="00E4506E"/>
    <w:rsid w:val="00E4508C"/>
    <w:rsid w:val="00E450B5"/>
    <w:rsid w:val="00E4510F"/>
    <w:rsid w:val="00E45115"/>
    <w:rsid w:val="00E451B7"/>
    <w:rsid w:val="00E452C5"/>
    <w:rsid w:val="00E452FA"/>
    <w:rsid w:val="00E4542E"/>
    <w:rsid w:val="00E4548C"/>
    <w:rsid w:val="00E45691"/>
    <w:rsid w:val="00E456B2"/>
    <w:rsid w:val="00E459B9"/>
    <w:rsid w:val="00E459D9"/>
    <w:rsid w:val="00E45A87"/>
    <w:rsid w:val="00E45C98"/>
    <w:rsid w:val="00E45D20"/>
    <w:rsid w:val="00E45E0C"/>
    <w:rsid w:val="00E45ECF"/>
    <w:rsid w:val="00E45EE2"/>
    <w:rsid w:val="00E45EFE"/>
    <w:rsid w:val="00E45F7C"/>
    <w:rsid w:val="00E45FBD"/>
    <w:rsid w:val="00E46033"/>
    <w:rsid w:val="00E4610D"/>
    <w:rsid w:val="00E46154"/>
    <w:rsid w:val="00E4616A"/>
    <w:rsid w:val="00E46328"/>
    <w:rsid w:val="00E46615"/>
    <w:rsid w:val="00E466AD"/>
    <w:rsid w:val="00E46750"/>
    <w:rsid w:val="00E4677A"/>
    <w:rsid w:val="00E468F7"/>
    <w:rsid w:val="00E4690B"/>
    <w:rsid w:val="00E46AB4"/>
    <w:rsid w:val="00E46BFB"/>
    <w:rsid w:val="00E46DF3"/>
    <w:rsid w:val="00E47024"/>
    <w:rsid w:val="00E471B8"/>
    <w:rsid w:val="00E47315"/>
    <w:rsid w:val="00E47326"/>
    <w:rsid w:val="00E47377"/>
    <w:rsid w:val="00E4737E"/>
    <w:rsid w:val="00E4763B"/>
    <w:rsid w:val="00E4775C"/>
    <w:rsid w:val="00E478A5"/>
    <w:rsid w:val="00E478FF"/>
    <w:rsid w:val="00E47A96"/>
    <w:rsid w:val="00E47B51"/>
    <w:rsid w:val="00E47BF1"/>
    <w:rsid w:val="00E4A296"/>
    <w:rsid w:val="00E50047"/>
    <w:rsid w:val="00E5007A"/>
    <w:rsid w:val="00E5023B"/>
    <w:rsid w:val="00E502D8"/>
    <w:rsid w:val="00E503C3"/>
    <w:rsid w:val="00E5043F"/>
    <w:rsid w:val="00E5058E"/>
    <w:rsid w:val="00E50B12"/>
    <w:rsid w:val="00E50C7E"/>
    <w:rsid w:val="00E50CD7"/>
    <w:rsid w:val="00E50CFD"/>
    <w:rsid w:val="00E50DE3"/>
    <w:rsid w:val="00E50F1E"/>
    <w:rsid w:val="00E50F46"/>
    <w:rsid w:val="00E510D9"/>
    <w:rsid w:val="00E511C4"/>
    <w:rsid w:val="00E513D7"/>
    <w:rsid w:val="00E5151D"/>
    <w:rsid w:val="00E51566"/>
    <w:rsid w:val="00E515B1"/>
    <w:rsid w:val="00E517B3"/>
    <w:rsid w:val="00E51FED"/>
    <w:rsid w:val="00E52002"/>
    <w:rsid w:val="00E520C8"/>
    <w:rsid w:val="00E520D4"/>
    <w:rsid w:val="00E522FB"/>
    <w:rsid w:val="00E5249C"/>
    <w:rsid w:val="00E524D4"/>
    <w:rsid w:val="00E5250F"/>
    <w:rsid w:val="00E525DB"/>
    <w:rsid w:val="00E52702"/>
    <w:rsid w:val="00E52786"/>
    <w:rsid w:val="00E52828"/>
    <w:rsid w:val="00E528EF"/>
    <w:rsid w:val="00E52956"/>
    <w:rsid w:val="00E52A8A"/>
    <w:rsid w:val="00E52B15"/>
    <w:rsid w:val="00E52B63"/>
    <w:rsid w:val="00E52C33"/>
    <w:rsid w:val="00E52DBA"/>
    <w:rsid w:val="00E52E3C"/>
    <w:rsid w:val="00E52F4E"/>
    <w:rsid w:val="00E5301D"/>
    <w:rsid w:val="00E53041"/>
    <w:rsid w:val="00E5307C"/>
    <w:rsid w:val="00E531E3"/>
    <w:rsid w:val="00E533FC"/>
    <w:rsid w:val="00E5349D"/>
    <w:rsid w:val="00E534D9"/>
    <w:rsid w:val="00E53679"/>
    <w:rsid w:val="00E53898"/>
    <w:rsid w:val="00E539AB"/>
    <w:rsid w:val="00E53BB0"/>
    <w:rsid w:val="00E53C05"/>
    <w:rsid w:val="00E53E9B"/>
    <w:rsid w:val="00E53F53"/>
    <w:rsid w:val="00E53FDA"/>
    <w:rsid w:val="00E54158"/>
    <w:rsid w:val="00E5416F"/>
    <w:rsid w:val="00E5434D"/>
    <w:rsid w:val="00E54493"/>
    <w:rsid w:val="00E545D6"/>
    <w:rsid w:val="00E546E7"/>
    <w:rsid w:val="00E54713"/>
    <w:rsid w:val="00E5494F"/>
    <w:rsid w:val="00E549CF"/>
    <w:rsid w:val="00E54A7D"/>
    <w:rsid w:val="00E54CAA"/>
    <w:rsid w:val="00E54F40"/>
    <w:rsid w:val="00E54F75"/>
    <w:rsid w:val="00E54F76"/>
    <w:rsid w:val="00E5509E"/>
    <w:rsid w:val="00E55260"/>
    <w:rsid w:val="00E553A6"/>
    <w:rsid w:val="00E553F4"/>
    <w:rsid w:val="00E555AD"/>
    <w:rsid w:val="00E55649"/>
    <w:rsid w:val="00E5568B"/>
    <w:rsid w:val="00E556F8"/>
    <w:rsid w:val="00E558C1"/>
    <w:rsid w:val="00E55994"/>
    <w:rsid w:val="00E559E7"/>
    <w:rsid w:val="00E55A9F"/>
    <w:rsid w:val="00E55B59"/>
    <w:rsid w:val="00E55BCA"/>
    <w:rsid w:val="00E55E80"/>
    <w:rsid w:val="00E55EE1"/>
    <w:rsid w:val="00E55F72"/>
    <w:rsid w:val="00E561CE"/>
    <w:rsid w:val="00E562A6"/>
    <w:rsid w:val="00E562D0"/>
    <w:rsid w:val="00E564AC"/>
    <w:rsid w:val="00E56503"/>
    <w:rsid w:val="00E56580"/>
    <w:rsid w:val="00E56651"/>
    <w:rsid w:val="00E566B7"/>
    <w:rsid w:val="00E56808"/>
    <w:rsid w:val="00E56818"/>
    <w:rsid w:val="00E56907"/>
    <w:rsid w:val="00E56C7E"/>
    <w:rsid w:val="00E56CA9"/>
    <w:rsid w:val="00E56EB5"/>
    <w:rsid w:val="00E56FB0"/>
    <w:rsid w:val="00E5702E"/>
    <w:rsid w:val="00E571B5"/>
    <w:rsid w:val="00E571FB"/>
    <w:rsid w:val="00E57273"/>
    <w:rsid w:val="00E5727E"/>
    <w:rsid w:val="00E572F8"/>
    <w:rsid w:val="00E57312"/>
    <w:rsid w:val="00E575E9"/>
    <w:rsid w:val="00E5768D"/>
    <w:rsid w:val="00E5774D"/>
    <w:rsid w:val="00E5778A"/>
    <w:rsid w:val="00E5785B"/>
    <w:rsid w:val="00E57866"/>
    <w:rsid w:val="00E57934"/>
    <w:rsid w:val="00E57A77"/>
    <w:rsid w:val="00E57CC5"/>
    <w:rsid w:val="00E57E6D"/>
    <w:rsid w:val="00E57E8C"/>
    <w:rsid w:val="00E57EF9"/>
    <w:rsid w:val="00E5CA1E"/>
    <w:rsid w:val="00E60014"/>
    <w:rsid w:val="00E60299"/>
    <w:rsid w:val="00E603FD"/>
    <w:rsid w:val="00E606C9"/>
    <w:rsid w:val="00E60882"/>
    <w:rsid w:val="00E608B4"/>
    <w:rsid w:val="00E60952"/>
    <w:rsid w:val="00E6096B"/>
    <w:rsid w:val="00E60979"/>
    <w:rsid w:val="00E60AEE"/>
    <w:rsid w:val="00E60AF7"/>
    <w:rsid w:val="00E60B6F"/>
    <w:rsid w:val="00E60BEB"/>
    <w:rsid w:val="00E60C12"/>
    <w:rsid w:val="00E60C2F"/>
    <w:rsid w:val="00E60D32"/>
    <w:rsid w:val="00E60D7D"/>
    <w:rsid w:val="00E60E4A"/>
    <w:rsid w:val="00E60E9F"/>
    <w:rsid w:val="00E60F4E"/>
    <w:rsid w:val="00E61009"/>
    <w:rsid w:val="00E61038"/>
    <w:rsid w:val="00E61109"/>
    <w:rsid w:val="00E613CF"/>
    <w:rsid w:val="00E614E2"/>
    <w:rsid w:val="00E6182B"/>
    <w:rsid w:val="00E618DD"/>
    <w:rsid w:val="00E618E6"/>
    <w:rsid w:val="00E61955"/>
    <w:rsid w:val="00E6196B"/>
    <w:rsid w:val="00E619C5"/>
    <w:rsid w:val="00E61A39"/>
    <w:rsid w:val="00E61C6F"/>
    <w:rsid w:val="00E61D9C"/>
    <w:rsid w:val="00E61E40"/>
    <w:rsid w:val="00E61E68"/>
    <w:rsid w:val="00E61FBC"/>
    <w:rsid w:val="00E61FD6"/>
    <w:rsid w:val="00E6209B"/>
    <w:rsid w:val="00E6214F"/>
    <w:rsid w:val="00E621F5"/>
    <w:rsid w:val="00E6225D"/>
    <w:rsid w:val="00E623F1"/>
    <w:rsid w:val="00E62458"/>
    <w:rsid w:val="00E624D8"/>
    <w:rsid w:val="00E62677"/>
    <w:rsid w:val="00E6276D"/>
    <w:rsid w:val="00E62777"/>
    <w:rsid w:val="00E629F0"/>
    <w:rsid w:val="00E62BA7"/>
    <w:rsid w:val="00E62D6F"/>
    <w:rsid w:val="00E62D84"/>
    <w:rsid w:val="00E631EE"/>
    <w:rsid w:val="00E632AA"/>
    <w:rsid w:val="00E63309"/>
    <w:rsid w:val="00E63678"/>
    <w:rsid w:val="00E6379F"/>
    <w:rsid w:val="00E63850"/>
    <w:rsid w:val="00E63955"/>
    <w:rsid w:val="00E63A03"/>
    <w:rsid w:val="00E63AD2"/>
    <w:rsid w:val="00E63B62"/>
    <w:rsid w:val="00E63EEC"/>
    <w:rsid w:val="00E63FB0"/>
    <w:rsid w:val="00E64044"/>
    <w:rsid w:val="00E640EE"/>
    <w:rsid w:val="00E64125"/>
    <w:rsid w:val="00E64176"/>
    <w:rsid w:val="00E64452"/>
    <w:rsid w:val="00E644DE"/>
    <w:rsid w:val="00E6483E"/>
    <w:rsid w:val="00E648E8"/>
    <w:rsid w:val="00E649E8"/>
    <w:rsid w:val="00E649ED"/>
    <w:rsid w:val="00E64AD3"/>
    <w:rsid w:val="00E64AF6"/>
    <w:rsid w:val="00E64B40"/>
    <w:rsid w:val="00E64D06"/>
    <w:rsid w:val="00E6529D"/>
    <w:rsid w:val="00E65420"/>
    <w:rsid w:val="00E65521"/>
    <w:rsid w:val="00E65701"/>
    <w:rsid w:val="00E6575E"/>
    <w:rsid w:val="00E657B5"/>
    <w:rsid w:val="00E657D1"/>
    <w:rsid w:val="00E6584C"/>
    <w:rsid w:val="00E65A31"/>
    <w:rsid w:val="00E65B94"/>
    <w:rsid w:val="00E65CF0"/>
    <w:rsid w:val="00E65D42"/>
    <w:rsid w:val="00E65D47"/>
    <w:rsid w:val="00E65D65"/>
    <w:rsid w:val="00E65D69"/>
    <w:rsid w:val="00E65E07"/>
    <w:rsid w:val="00E65E75"/>
    <w:rsid w:val="00E65F86"/>
    <w:rsid w:val="00E65FA0"/>
    <w:rsid w:val="00E66024"/>
    <w:rsid w:val="00E6613B"/>
    <w:rsid w:val="00E66456"/>
    <w:rsid w:val="00E66493"/>
    <w:rsid w:val="00E664F2"/>
    <w:rsid w:val="00E66588"/>
    <w:rsid w:val="00E665AA"/>
    <w:rsid w:val="00E66689"/>
    <w:rsid w:val="00E6674F"/>
    <w:rsid w:val="00E6693C"/>
    <w:rsid w:val="00E66A0D"/>
    <w:rsid w:val="00E672BB"/>
    <w:rsid w:val="00E6744E"/>
    <w:rsid w:val="00E67574"/>
    <w:rsid w:val="00E6759A"/>
    <w:rsid w:val="00E67600"/>
    <w:rsid w:val="00E6778C"/>
    <w:rsid w:val="00E678BC"/>
    <w:rsid w:val="00E678EA"/>
    <w:rsid w:val="00E67A91"/>
    <w:rsid w:val="00E67CBD"/>
    <w:rsid w:val="00E67E21"/>
    <w:rsid w:val="00E6ECA9"/>
    <w:rsid w:val="00E7008F"/>
    <w:rsid w:val="00E700D0"/>
    <w:rsid w:val="00E70271"/>
    <w:rsid w:val="00E70276"/>
    <w:rsid w:val="00E7029A"/>
    <w:rsid w:val="00E702B0"/>
    <w:rsid w:val="00E70329"/>
    <w:rsid w:val="00E704B0"/>
    <w:rsid w:val="00E7063F"/>
    <w:rsid w:val="00E706DA"/>
    <w:rsid w:val="00E7080C"/>
    <w:rsid w:val="00E70915"/>
    <w:rsid w:val="00E7099F"/>
    <w:rsid w:val="00E70AB8"/>
    <w:rsid w:val="00E70B66"/>
    <w:rsid w:val="00E70EE0"/>
    <w:rsid w:val="00E70F60"/>
    <w:rsid w:val="00E71046"/>
    <w:rsid w:val="00E7111A"/>
    <w:rsid w:val="00E71192"/>
    <w:rsid w:val="00E71306"/>
    <w:rsid w:val="00E71310"/>
    <w:rsid w:val="00E7149C"/>
    <w:rsid w:val="00E7160F"/>
    <w:rsid w:val="00E716DF"/>
    <w:rsid w:val="00E718EF"/>
    <w:rsid w:val="00E719E7"/>
    <w:rsid w:val="00E71AE9"/>
    <w:rsid w:val="00E71B14"/>
    <w:rsid w:val="00E71C10"/>
    <w:rsid w:val="00E71C7C"/>
    <w:rsid w:val="00E71DD3"/>
    <w:rsid w:val="00E71EA6"/>
    <w:rsid w:val="00E72011"/>
    <w:rsid w:val="00E7215F"/>
    <w:rsid w:val="00E721F8"/>
    <w:rsid w:val="00E722B5"/>
    <w:rsid w:val="00E722CA"/>
    <w:rsid w:val="00E725EC"/>
    <w:rsid w:val="00E727F0"/>
    <w:rsid w:val="00E729D6"/>
    <w:rsid w:val="00E72AAA"/>
    <w:rsid w:val="00E72AF8"/>
    <w:rsid w:val="00E72B22"/>
    <w:rsid w:val="00E72CEE"/>
    <w:rsid w:val="00E72D19"/>
    <w:rsid w:val="00E72DFE"/>
    <w:rsid w:val="00E72E1B"/>
    <w:rsid w:val="00E73109"/>
    <w:rsid w:val="00E73159"/>
    <w:rsid w:val="00E731CF"/>
    <w:rsid w:val="00E731F8"/>
    <w:rsid w:val="00E7320D"/>
    <w:rsid w:val="00E73366"/>
    <w:rsid w:val="00E7339B"/>
    <w:rsid w:val="00E733C7"/>
    <w:rsid w:val="00E734F1"/>
    <w:rsid w:val="00E73598"/>
    <w:rsid w:val="00E737E4"/>
    <w:rsid w:val="00E7383C"/>
    <w:rsid w:val="00E7397E"/>
    <w:rsid w:val="00E73A31"/>
    <w:rsid w:val="00E73B20"/>
    <w:rsid w:val="00E73C42"/>
    <w:rsid w:val="00E73CB3"/>
    <w:rsid w:val="00E73CB7"/>
    <w:rsid w:val="00E73D69"/>
    <w:rsid w:val="00E73E34"/>
    <w:rsid w:val="00E73F77"/>
    <w:rsid w:val="00E73F80"/>
    <w:rsid w:val="00E74079"/>
    <w:rsid w:val="00E74245"/>
    <w:rsid w:val="00E742EF"/>
    <w:rsid w:val="00E74464"/>
    <w:rsid w:val="00E74506"/>
    <w:rsid w:val="00E74624"/>
    <w:rsid w:val="00E7465E"/>
    <w:rsid w:val="00E74754"/>
    <w:rsid w:val="00E747D3"/>
    <w:rsid w:val="00E7484A"/>
    <w:rsid w:val="00E74A5D"/>
    <w:rsid w:val="00E74ABA"/>
    <w:rsid w:val="00E74D7E"/>
    <w:rsid w:val="00E74DEE"/>
    <w:rsid w:val="00E74E91"/>
    <w:rsid w:val="00E74EC9"/>
    <w:rsid w:val="00E75008"/>
    <w:rsid w:val="00E7524A"/>
    <w:rsid w:val="00E75272"/>
    <w:rsid w:val="00E7533B"/>
    <w:rsid w:val="00E753AC"/>
    <w:rsid w:val="00E75449"/>
    <w:rsid w:val="00E754EB"/>
    <w:rsid w:val="00E7567A"/>
    <w:rsid w:val="00E757F4"/>
    <w:rsid w:val="00E7580E"/>
    <w:rsid w:val="00E75872"/>
    <w:rsid w:val="00E75979"/>
    <w:rsid w:val="00E75988"/>
    <w:rsid w:val="00E759C2"/>
    <w:rsid w:val="00E75A04"/>
    <w:rsid w:val="00E75AD1"/>
    <w:rsid w:val="00E75B69"/>
    <w:rsid w:val="00E75CA5"/>
    <w:rsid w:val="00E75CE4"/>
    <w:rsid w:val="00E75D0B"/>
    <w:rsid w:val="00E75DFB"/>
    <w:rsid w:val="00E75E82"/>
    <w:rsid w:val="00E7607D"/>
    <w:rsid w:val="00E760CD"/>
    <w:rsid w:val="00E76393"/>
    <w:rsid w:val="00E76464"/>
    <w:rsid w:val="00E76690"/>
    <w:rsid w:val="00E7678B"/>
    <w:rsid w:val="00E768D4"/>
    <w:rsid w:val="00E768F5"/>
    <w:rsid w:val="00E769B2"/>
    <w:rsid w:val="00E76AE5"/>
    <w:rsid w:val="00E76DB9"/>
    <w:rsid w:val="00E76DD6"/>
    <w:rsid w:val="00E76E47"/>
    <w:rsid w:val="00E77038"/>
    <w:rsid w:val="00E77051"/>
    <w:rsid w:val="00E77268"/>
    <w:rsid w:val="00E77342"/>
    <w:rsid w:val="00E773DC"/>
    <w:rsid w:val="00E77556"/>
    <w:rsid w:val="00E776E0"/>
    <w:rsid w:val="00E777A0"/>
    <w:rsid w:val="00E7797F"/>
    <w:rsid w:val="00E77A98"/>
    <w:rsid w:val="00E77F8D"/>
    <w:rsid w:val="00E800DA"/>
    <w:rsid w:val="00E800EE"/>
    <w:rsid w:val="00E80150"/>
    <w:rsid w:val="00E80163"/>
    <w:rsid w:val="00E8019E"/>
    <w:rsid w:val="00E8020A"/>
    <w:rsid w:val="00E80272"/>
    <w:rsid w:val="00E80333"/>
    <w:rsid w:val="00E80374"/>
    <w:rsid w:val="00E803B4"/>
    <w:rsid w:val="00E803D1"/>
    <w:rsid w:val="00E8056C"/>
    <w:rsid w:val="00E805F6"/>
    <w:rsid w:val="00E80678"/>
    <w:rsid w:val="00E8070F"/>
    <w:rsid w:val="00E808EB"/>
    <w:rsid w:val="00E808EF"/>
    <w:rsid w:val="00E80947"/>
    <w:rsid w:val="00E80A24"/>
    <w:rsid w:val="00E80A9C"/>
    <w:rsid w:val="00E80BD1"/>
    <w:rsid w:val="00E80CED"/>
    <w:rsid w:val="00E811C8"/>
    <w:rsid w:val="00E811DC"/>
    <w:rsid w:val="00E81524"/>
    <w:rsid w:val="00E81548"/>
    <w:rsid w:val="00E815A8"/>
    <w:rsid w:val="00E818A4"/>
    <w:rsid w:val="00E81925"/>
    <w:rsid w:val="00E81935"/>
    <w:rsid w:val="00E81955"/>
    <w:rsid w:val="00E81B1D"/>
    <w:rsid w:val="00E81B8E"/>
    <w:rsid w:val="00E81D65"/>
    <w:rsid w:val="00E81D7F"/>
    <w:rsid w:val="00E81DE3"/>
    <w:rsid w:val="00E81FE0"/>
    <w:rsid w:val="00E82186"/>
    <w:rsid w:val="00E821CC"/>
    <w:rsid w:val="00E82388"/>
    <w:rsid w:val="00E8278D"/>
    <w:rsid w:val="00E82844"/>
    <w:rsid w:val="00E828AC"/>
    <w:rsid w:val="00E82961"/>
    <w:rsid w:val="00E82B4D"/>
    <w:rsid w:val="00E82BF1"/>
    <w:rsid w:val="00E82C11"/>
    <w:rsid w:val="00E82C58"/>
    <w:rsid w:val="00E82D80"/>
    <w:rsid w:val="00E82F34"/>
    <w:rsid w:val="00E82FBF"/>
    <w:rsid w:val="00E83242"/>
    <w:rsid w:val="00E8351B"/>
    <w:rsid w:val="00E8357A"/>
    <w:rsid w:val="00E83595"/>
    <w:rsid w:val="00E8360A"/>
    <w:rsid w:val="00E8385B"/>
    <w:rsid w:val="00E838A2"/>
    <w:rsid w:val="00E83937"/>
    <w:rsid w:val="00E83945"/>
    <w:rsid w:val="00E83AD1"/>
    <w:rsid w:val="00E83BCD"/>
    <w:rsid w:val="00E83C1C"/>
    <w:rsid w:val="00E83F72"/>
    <w:rsid w:val="00E8400A"/>
    <w:rsid w:val="00E840EA"/>
    <w:rsid w:val="00E84246"/>
    <w:rsid w:val="00E844BC"/>
    <w:rsid w:val="00E844C0"/>
    <w:rsid w:val="00E845B6"/>
    <w:rsid w:val="00E84630"/>
    <w:rsid w:val="00E8463A"/>
    <w:rsid w:val="00E84666"/>
    <w:rsid w:val="00E8499C"/>
    <w:rsid w:val="00E849F8"/>
    <w:rsid w:val="00E84A41"/>
    <w:rsid w:val="00E84AB4"/>
    <w:rsid w:val="00E84C05"/>
    <w:rsid w:val="00E84E14"/>
    <w:rsid w:val="00E84ED6"/>
    <w:rsid w:val="00E84F53"/>
    <w:rsid w:val="00E85050"/>
    <w:rsid w:val="00E852E6"/>
    <w:rsid w:val="00E8531A"/>
    <w:rsid w:val="00E8540E"/>
    <w:rsid w:val="00E85498"/>
    <w:rsid w:val="00E854AB"/>
    <w:rsid w:val="00E855CB"/>
    <w:rsid w:val="00E85712"/>
    <w:rsid w:val="00E85BD0"/>
    <w:rsid w:val="00E85BEB"/>
    <w:rsid w:val="00E86265"/>
    <w:rsid w:val="00E865E1"/>
    <w:rsid w:val="00E867E1"/>
    <w:rsid w:val="00E86950"/>
    <w:rsid w:val="00E86991"/>
    <w:rsid w:val="00E86C17"/>
    <w:rsid w:val="00E86E11"/>
    <w:rsid w:val="00E86E88"/>
    <w:rsid w:val="00E86F2D"/>
    <w:rsid w:val="00E86F8A"/>
    <w:rsid w:val="00E87025"/>
    <w:rsid w:val="00E8707F"/>
    <w:rsid w:val="00E870F0"/>
    <w:rsid w:val="00E87164"/>
    <w:rsid w:val="00E87221"/>
    <w:rsid w:val="00E87236"/>
    <w:rsid w:val="00E87238"/>
    <w:rsid w:val="00E8736D"/>
    <w:rsid w:val="00E8746B"/>
    <w:rsid w:val="00E875ED"/>
    <w:rsid w:val="00E87727"/>
    <w:rsid w:val="00E877A8"/>
    <w:rsid w:val="00E8786E"/>
    <w:rsid w:val="00E87B01"/>
    <w:rsid w:val="00E87B31"/>
    <w:rsid w:val="00E87BD2"/>
    <w:rsid w:val="00E87BE6"/>
    <w:rsid w:val="00E87CAC"/>
    <w:rsid w:val="00E87CB0"/>
    <w:rsid w:val="00E87D24"/>
    <w:rsid w:val="00E87D5B"/>
    <w:rsid w:val="00E87E07"/>
    <w:rsid w:val="00E89FA7"/>
    <w:rsid w:val="00E8F098"/>
    <w:rsid w:val="00E90044"/>
    <w:rsid w:val="00E9011B"/>
    <w:rsid w:val="00E9016B"/>
    <w:rsid w:val="00E90174"/>
    <w:rsid w:val="00E902B8"/>
    <w:rsid w:val="00E90413"/>
    <w:rsid w:val="00E9055C"/>
    <w:rsid w:val="00E9062F"/>
    <w:rsid w:val="00E90634"/>
    <w:rsid w:val="00E907B5"/>
    <w:rsid w:val="00E908A1"/>
    <w:rsid w:val="00E9090E"/>
    <w:rsid w:val="00E9098C"/>
    <w:rsid w:val="00E909C6"/>
    <w:rsid w:val="00E90B56"/>
    <w:rsid w:val="00E90BAA"/>
    <w:rsid w:val="00E910E3"/>
    <w:rsid w:val="00E91120"/>
    <w:rsid w:val="00E91156"/>
    <w:rsid w:val="00E912F0"/>
    <w:rsid w:val="00E91328"/>
    <w:rsid w:val="00E9132E"/>
    <w:rsid w:val="00E9135D"/>
    <w:rsid w:val="00E9146D"/>
    <w:rsid w:val="00E91480"/>
    <w:rsid w:val="00E91574"/>
    <w:rsid w:val="00E9158D"/>
    <w:rsid w:val="00E917CE"/>
    <w:rsid w:val="00E91855"/>
    <w:rsid w:val="00E91AEB"/>
    <w:rsid w:val="00E91BCF"/>
    <w:rsid w:val="00E91C5A"/>
    <w:rsid w:val="00E91CC2"/>
    <w:rsid w:val="00E91EC3"/>
    <w:rsid w:val="00E92170"/>
    <w:rsid w:val="00E92193"/>
    <w:rsid w:val="00E921CB"/>
    <w:rsid w:val="00E92283"/>
    <w:rsid w:val="00E922B0"/>
    <w:rsid w:val="00E923B7"/>
    <w:rsid w:val="00E925AC"/>
    <w:rsid w:val="00E929EB"/>
    <w:rsid w:val="00E92A0E"/>
    <w:rsid w:val="00E92A66"/>
    <w:rsid w:val="00E92B40"/>
    <w:rsid w:val="00E92C81"/>
    <w:rsid w:val="00E92F0A"/>
    <w:rsid w:val="00E92F2E"/>
    <w:rsid w:val="00E93061"/>
    <w:rsid w:val="00E931DA"/>
    <w:rsid w:val="00E931E4"/>
    <w:rsid w:val="00E932D8"/>
    <w:rsid w:val="00E93559"/>
    <w:rsid w:val="00E93594"/>
    <w:rsid w:val="00E936FD"/>
    <w:rsid w:val="00E93A3E"/>
    <w:rsid w:val="00E93AC6"/>
    <w:rsid w:val="00E93C19"/>
    <w:rsid w:val="00E93EF3"/>
    <w:rsid w:val="00E93F19"/>
    <w:rsid w:val="00E93FC7"/>
    <w:rsid w:val="00E941D1"/>
    <w:rsid w:val="00E941ED"/>
    <w:rsid w:val="00E942D8"/>
    <w:rsid w:val="00E943C8"/>
    <w:rsid w:val="00E944AB"/>
    <w:rsid w:val="00E9458B"/>
    <w:rsid w:val="00E94604"/>
    <w:rsid w:val="00E94625"/>
    <w:rsid w:val="00E94843"/>
    <w:rsid w:val="00E948F0"/>
    <w:rsid w:val="00E94960"/>
    <w:rsid w:val="00E949A9"/>
    <w:rsid w:val="00E94A82"/>
    <w:rsid w:val="00E94CB9"/>
    <w:rsid w:val="00E94CD1"/>
    <w:rsid w:val="00E94CD4"/>
    <w:rsid w:val="00E94DEE"/>
    <w:rsid w:val="00E94F3E"/>
    <w:rsid w:val="00E94F6F"/>
    <w:rsid w:val="00E94F8E"/>
    <w:rsid w:val="00E950B4"/>
    <w:rsid w:val="00E952DF"/>
    <w:rsid w:val="00E9530F"/>
    <w:rsid w:val="00E9533C"/>
    <w:rsid w:val="00E9538B"/>
    <w:rsid w:val="00E953B8"/>
    <w:rsid w:val="00E953F2"/>
    <w:rsid w:val="00E953F7"/>
    <w:rsid w:val="00E95477"/>
    <w:rsid w:val="00E954E9"/>
    <w:rsid w:val="00E9599C"/>
    <w:rsid w:val="00E95A18"/>
    <w:rsid w:val="00E95E4D"/>
    <w:rsid w:val="00E95E4F"/>
    <w:rsid w:val="00E960FB"/>
    <w:rsid w:val="00E961FF"/>
    <w:rsid w:val="00E9620A"/>
    <w:rsid w:val="00E96268"/>
    <w:rsid w:val="00E9647C"/>
    <w:rsid w:val="00E966A6"/>
    <w:rsid w:val="00E9689F"/>
    <w:rsid w:val="00E96AB5"/>
    <w:rsid w:val="00E96B51"/>
    <w:rsid w:val="00E96CB0"/>
    <w:rsid w:val="00E96CD8"/>
    <w:rsid w:val="00E96D9D"/>
    <w:rsid w:val="00E96EF8"/>
    <w:rsid w:val="00E96FFE"/>
    <w:rsid w:val="00E97065"/>
    <w:rsid w:val="00E97204"/>
    <w:rsid w:val="00E9733D"/>
    <w:rsid w:val="00E9737E"/>
    <w:rsid w:val="00E974A2"/>
    <w:rsid w:val="00E9757A"/>
    <w:rsid w:val="00E97707"/>
    <w:rsid w:val="00E97A08"/>
    <w:rsid w:val="00E97B8A"/>
    <w:rsid w:val="00E97C46"/>
    <w:rsid w:val="00E97D04"/>
    <w:rsid w:val="00E9B068"/>
    <w:rsid w:val="00EA01D6"/>
    <w:rsid w:val="00EA0439"/>
    <w:rsid w:val="00EA04B6"/>
    <w:rsid w:val="00EA06FA"/>
    <w:rsid w:val="00EA07CC"/>
    <w:rsid w:val="00EA084F"/>
    <w:rsid w:val="00EA0998"/>
    <w:rsid w:val="00EA0A02"/>
    <w:rsid w:val="00EA0AAB"/>
    <w:rsid w:val="00EA0B33"/>
    <w:rsid w:val="00EA0B98"/>
    <w:rsid w:val="00EA0CA1"/>
    <w:rsid w:val="00EA0CFE"/>
    <w:rsid w:val="00EA0D65"/>
    <w:rsid w:val="00EA0E07"/>
    <w:rsid w:val="00EA0F42"/>
    <w:rsid w:val="00EA0FC6"/>
    <w:rsid w:val="00EA1011"/>
    <w:rsid w:val="00EA10A6"/>
    <w:rsid w:val="00EA10AD"/>
    <w:rsid w:val="00EA11CE"/>
    <w:rsid w:val="00EA12DB"/>
    <w:rsid w:val="00EA1471"/>
    <w:rsid w:val="00EA14D2"/>
    <w:rsid w:val="00EA1529"/>
    <w:rsid w:val="00EA16B7"/>
    <w:rsid w:val="00EA1753"/>
    <w:rsid w:val="00EA19EC"/>
    <w:rsid w:val="00EA1C41"/>
    <w:rsid w:val="00EA1CD3"/>
    <w:rsid w:val="00EA1D4B"/>
    <w:rsid w:val="00EA1D92"/>
    <w:rsid w:val="00EA1DCC"/>
    <w:rsid w:val="00EA1E91"/>
    <w:rsid w:val="00EA1F75"/>
    <w:rsid w:val="00EA2049"/>
    <w:rsid w:val="00EA2185"/>
    <w:rsid w:val="00EA22BF"/>
    <w:rsid w:val="00EA22C7"/>
    <w:rsid w:val="00EA2460"/>
    <w:rsid w:val="00EA2592"/>
    <w:rsid w:val="00EA267E"/>
    <w:rsid w:val="00EA2721"/>
    <w:rsid w:val="00EA2762"/>
    <w:rsid w:val="00EA27A9"/>
    <w:rsid w:val="00EA27F0"/>
    <w:rsid w:val="00EA28D1"/>
    <w:rsid w:val="00EA2ACD"/>
    <w:rsid w:val="00EA2B5E"/>
    <w:rsid w:val="00EA2B96"/>
    <w:rsid w:val="00EA2B9F"/>
    <w:rsid w:val="00EA2BD2"/>
    <w:rsid w:val="00EA2C3E"/>
    <w:rsid w:val="00EA2D7E"/>
    <w:rsid w:val="00EA2DFE"/>
    <w:rsid w:val="00EA2ED7"/>
    <w:rsid w:val="00EA31C3"/>
    <w:rsid w:val="00EA320F"/>
    <w:rsid w:val="00EA3278"/>
    <w:rsid w:val="00EA3280"/>
    <w:rsid w:val="00EA33AA"/>
    <w:rsid w:val="00EA33C7"/>
    <w:rsid w:val="00EA34D3"/>
    <w:rsid w:val="00EA375D"/>
    <w:rsid w:val="00EA3A1F"/>
    <w:rsid w:val="00EA3A54"/>
    <w:rsid w:val="00EA3B9A"/>
    <w:rsid w:val="00EA3BBE"/>
    <w:rsid w:val="00EA3C20"/>
    <w:rsid w:val="00EA3C6F"/>
    <w:rsid w:val="00EA3CCF"/>
    <w:rsid w:val="00EA3D74"/>
    <w:rsid w:val="00EA3DA0"/>
    <w:rsid w:val="00EA3DBB"/>
    <w:rsid w:val="00EA3EF7"/>
    <w:rsid w:val="00EA3F0D"/>
    <w:rsid w:val="00EA3F81"/>
    <w:rsid w:val="00EA429D"/>
    <w:rsid w:val="00EA44C9"/>
    <w:rsid w:val="00EA44D4"/>
    <w:rsid w:val="00EA44E4"/>
    <w:rsid w:val="00EA4530"/>
    <w:rsid w:val="00EA45E2"/>
    <w:rsid w:val="00EA47A4"/>
    <w:rsid w:val="00EA47E1"/>
    <w:rsid w:val="00EA495A"/>
    <w:rsid w:val="00EA49CA"/>
    <w:rsid w:val="00EA4B5D"/>
    <w:rsid w:val="00EA4B6F"/>
    <w:rsid w:val="00EA4B86"/>
    <w:rsid w:val="00EA4DFF"/>
    <w:rsid w:val="00EA4E3F"/>
    <w:rsid w:val="00EA4E57"/>
    <w:rsid w:val="00EA5164"/>
    <w:rsid w:val="00EA52F3"/>
    <w:rsid w:val="00EA53D4"/>
    <w:rsid w:val="00EA54D0"/>
    <w:rsid w:val="00EA56D7"/>
    <w:rsid w:val="00EA56FC"/>
    <w:rsid w:val="00EA58EC"/>
    <w:rsid w:val="00EA5BCF"/>
    <w:rsid w:val="00EA5C08"/>
    <w:rsid w:val="00EA5DEF"/>
    <w:rsid w:val="00EA5FC2"/>
    <w:rsid w:val="00EA6001"/>
    <w:rsid w:val="00EA6087"/>
    <w:rsid w:val="00EA61CF"/>
    <w:rsid w:val="00EA6218"/>
    <w:rsid w:val="00EA6273"/>
    <w:rsid w:val="00EA64FF"/>
    <w:rsid w:val="00EA659D"/>
    <w:rsid w:val="00EA6606"/>
    <w:rsid w:val="00EA661B"/>
    <w:rsid w:val="00EA6812"/>
    <w:rsid w:val="00EA683D"/>
    <w:rsid w:val="00EA6B71"/>
    <w:rsid w:val="00EA6B84"/>
    <w:rsid w:val="00EA6BD2"/>
    <w:rsid w:val="00EA6D80"/>
    <w:rsid w:val="00EA6ECC"/>
    <w:rsid w:val="00EA73B8"/>
    <w:rsid w:val="00EA73E7"/>
    <w:rsid w:val="00EA7457"/>
    <w:rsid w:val="00EA7719"/>
    <w:rsid w:val="00EA7931"/>
    <w:rsid w:val="00EA7A12"/>
    <w:rsid w:val="00EA7ADC"/>
    <w:rsid w:val="00EA7C12"/>
    <w:rsid w:val="00EA7C14"/>
    <w:rsid w:val="00EA7CF2"/>
    <w:rsid w:val="00EA7D2F"/>
    <w:rsid w:val="00EA7D67"/>
    <w:rsid w:val="00EA7DC6"/>
    <w:rsid w:val="00EA7E83"/>
    <w:rsid w:val="00EADA98"/>
    <w:rsid w:val="00EAF67F"/>
    <w:rsid w:val="00EB0049"/>
    <w:rsid w:val="00EB0269"/>
    <w:rsid w:val="00EB0466"/>
    <w:rsid w:val="00EB0558"/>
    <w:rsid w:val="00EB05FA"/>
    <w:rsid w:val="00EB064E"/>
    <w:rsid w:val="00EB0696"/>
    <w:rsid w:val="00EB082E"/>
    <w:rsid w:val="00EB083A"/>
    <w:rsid w:val="00EB0939"/>
    <w:rsid w:val="00EB0A1F"/>
    <w:rsid w:val="00EB0AAC"/>
    <w:rsid w:val="00EB0BD0"/>
    <w:rsid w:val="00EB0CCB"/>
    <w:rsid w:val="00EB100D"/>
    <w:rsid w:val="00EB107D"/>
    <w:rsid w:val="00EB10A8"/>
    <w:rsid w:val="00EB11B8"/>
    <w:rsid w:val="00EB121C"/>
    <w:rsid w:val="00EB13F3"/>
    <w:rsid w:val="00EB162F"/>
    <w:rsid w:val="00EB191C"/>
    <w:rsid w:val="00EB1A03"/>
    <w:rsid w:val="00EB1A24"/>
    <w:rsid w:val="00EB1A84"/>
    <w:rsid w:val="00EB1B03"/>
    <w:rsid w:val="00EB1B7E"/>
    <w:rsid w:val="00EB1BFA"/>
    <w:rsid w:val="00EB1E7C"/>
    <w:rsid w:val="00EB1F21"/>
    <w:rsid w:val="00EB20D8"/>
    <w:rsid w:val="00EB222F"/>
    <w:rsid w:val="00EB24DD"/>
    <w:rsid w:val="00EB25EB"/>
    <w:rsid w:val="00EB26EB"/>
    <w:rsid w:val="00EB2A1C"/>
    <w:rsid w:val="00EB2C67"/>
    <w:rsid w:val="00EB2D0D"/>
    <w:rsid w:val="00EB2DDA"/>
    <w:rsid w:val="00EB2E43"/>
    <w:rsid w:val="00EB3024"/>
    <w:rsid w:val="00EB318F"/>
    <w:rsid w:val="00EB3248"/>
    <w:rsid w:val="00EB3350"/>
    <w:rsid w:val="00EB34F1"/>
    <w:rsid w:val="00EB353A"/>
    <w:rsid w:val="00EB3575"/>
    <w:rsid w:val="00EB359C"/>
    <w:rsid w:val="00EB3614"/>
    <w:rsid w:val="00EB3870"/>
    <w:rsid w:val="00EB3B0E"/>
    <w:rsid w:val="00EB3BD3"/>
    <w:rsid w:val="00EB3C40"/>
    <w:rsid w:val="00EB3D3C"/>
    <w:rsid w:val="00EB3DCF"/>
    <w:rsid w:val="00EB3E00"/>
    <w:rsid w:val="00EB3E4E"/>
    <w:rsid w:val="00EB3F85"/>
    <w:rsid w:val="00EB3FBA"/>
    <w:rsid w:val="00EB3FD7"/>
    <w:rsid w:val="00EB4019"/>
    <w:rsid w:val="00EB4209"/>
    <w:rsid w:val="00EB44B4"/>
    <w:rsid w:val="00EB4512"/>
    <w:rsid w:val="00EB4590"/>
    <w:rsid w:val="00EB4981"/>
    <w:rsid w:val="00EB49C9"/>
    <w:rsid w:val="00EB4A2F"/>
    <w:rsid w:val="00EB4C52"/>
    <w:rsid w:val="00EB4E89"/>
    <w:rsid w:val="00EB4F24"/>
    <w:rsid w:val="00EB501D"/>
    <w:rsid w:val="00EB5071"/>
    <w:rsid w:val="00EB530C"/>
    <w:rsid w:val="00EB57FF"/>
    <w:rsid w:val="00EB580E"/>
    <w:rsid w:val="00EB5896"/>
    <w:rsid w:val="00EB5982"/>
    <w:rsid w:val="00EB59B9"/>
    <w:rsid w:val="00EB59EC"/>
    <w:rsid w:val="00EB5A5C"/>
    <w:rsid w:val="00EB5A77"/>
    <w:rsid w:val="00EB5A80"/>
    <w:rsid w:val="00EB6075"/>
    <w:rsid w:val="00EB60AC"/>
    <w:rsid w:val="00EB60E3"/>
    <w:rsid w:val="00EB617A"/>
    <w:rsid w:val="00EB638C"/>
    <w:rsid w:val="00EB6550"/>
    <w:rsid w:val="00EB656B"/>
    <w:rsid w:val="00EB6644"/>
    <w:rsid w:val="00EB6B70"/>
    <w:rsid w:val="00EB6BB8"/>
    <w:rsid w:val="00EB6BBB"/>
    <w:rsid w:val="00EB6C68"/>
    <w:rsid w:val="00EB6CBE"/>
    <w:rsid w:val="00EB6D55"/>
    <w:rsid w:val="00EB6DC3"/>
    <w:rsid w:val="00EB6EEC"/>
    <w:rsid w:val="00EB6FC3"/>
    <w:rsid w:val="00EB70B2"/>
    <w:rsid w:val="00EB72E5"/>
    <w:rsid w:val="00EB73C8"/>
    <w:rsid w:val="00EB78D1"/>
    <w:rsid w:val="00EB78F0"/>
    <w:rsid w:val="00EB795B"/>
    <w:rsid w:val="00EB7965"/>
    <w:rsid w:val="00EB7B23"/>
    <w:rsid w:val="00EB7BD0"/>
    <w:rsid w:val="00EB7C83"/>
    <w:rsid w:val="00EB7D15"/>
    <w:rsid w:val="00EB7D45"/>
    <w:rsid w:val="00EB7EAC"/>
    <w:rsid w:val="00EB7FDE"/>
    <w:rsid w:val="00EB8701"/>
    <w:rsid w:val="00EBA21B"/>
    <w:rsid w:val="00EC001F"/>
    <w:rsid w:val="00EC0263"/>
    <w:rsid w:val="00EC04E8"/>
    <w:rsid w:val="00EC051A"/>
    <w:rsid w:val="00EC0612"/>
    <w:rsid w:val="00EC090C"/>
    <w:rsid w:val="00EC0A4F"/>
    <w:rsid w:val="00EC0D9E"/>
    <w:rsid w:val="00EC0E61"/>
    <w:rsid w:val="00EC0E97"/>
    <w:rsid w:val="00EC132A"/>
    <w:rsid w:val="00EC13A5"/>
    <w:rsid w:val="00EC16C8"/>
    <w:rsid w:val="00EC18A8"/>
    <w:rsid w:val="00EC18D5"/>
    <w:rsid w:val="00EC18DF"/>
    <w:rsid w:val="00EC19DE"/>
    <w:rsid w:val="00EC1B15"/>
    <w:rsid w:val="00EC1B1E"/>
    <w:rsid w:val="00EC1BF9"/>
    <w:rsid w:val="00EC1CA4"/>
    <w:rsid w:val="00EC1CDA"/>
    <w:rsid w:val="00EC1F45"/>
    <w:rsid w:val="00EC1F5D"/>
    <w:rsid w:val="00EC23E7"/>
    <w:rsid w:val="00EC2420"/>
    <w:rsid w:val="00EC2452"/>
    <w:rsid w:val="00EC26A3"/>
    <w:rsid w:val="00EC27AC"/>
    <w:rsid w:val="00EC27DC"/>
    <w:rsid w:val="00EC280F"/>
    <w:rsid w:val="00EC285C"/>
    <w:rsid w:val="00EC2A3D"/>
    <w:rsid w:val="00EC2B38"/>
    <w:rsid w:val="00EC2BE0"/>
    <w:rsid w:val="00EC2D2B"/>
    <w:rsid w:val="00EC2D90"/>
    <w:rsid w:val="00EC2DA0"/>
    <w:rsid w:val="00EC2DF9"/>
    <w:rsid w:val="00EC3611"/>
    <w:rsid w:val="00EC3628"/>
    <w:rsid w:val="00EC395E"/>
    <w:rsid w:val="00EC39F7"/>
    <w:rsid w:val="00EC3D21"/>
    <w:rsid w:val="00EC3FA5"/>
    <w:rsid w:val="00EC4162"/>
    <w:rsid w:val="00EC4226"/>
    <w:rsid w:val="00EC4268"/>
    <w:rsid w:val="00EC449E"/>
    <w:rsid w:val="00EC44A6"/>
    <w:rsid w:val="00EC451D"/>
    <w:rsid w:val="00EC45BD"/>
    <w:rsid w:val="00EC48B4"/>
    <w:rsid w:val="00EC49ED"/>
    <w:rsid w:val="00EC4ACE"/>
    <w:rsid w:val="00EC4B1A"/>
    <w:rsid w:val="00EC4C5B"/>
    <w:rsid w:val="00EC4D12"/>
    <w:rsid w:val="00EC4D40"/>
    <w:rsid w:val="00EC4FF8"/>
    <w:rsid w:val="00EC5050"/>
    <w:rsid w:val="00EC5079"/>
    <w:rsid w:val="00EC5255"/>
    <w:rsid w:val="00EC52BC"/>
    <w:rsid w:val="00EC5348"/>
    <w:rsid w:val="00EC580A"/>
    <w:rsid w:val="00EC5898"/>
    <w:rsid w:val="00EC59D8"/>
    <w:rsid w:val="00EC5ADD"/>
    <w:rsid w:val="00EC5B65"/>
    <w:rsid w:val="00EC5C00"/>
    <w:rsid w:val="00EC5C4D"/>
    <w:rsid w:val="00EC6064"/>
    <w:rsid w:val="00EC6164"/>
    <w:rsid w:val="00EC62B9"/>
    <w:rsid w:val="00EC62CA"/>
    <w:rsid w:val="00EC62E9"/>
    <w:rsid w:val="00EC675C"/>
    <w:rsid w:val="00EC6AD8"/>
    <w:rsid w:val="00EC6EFF"/>
    <w:rsid w:val="00EC7066"/>
    <w:rsid w:val="00EC7080"/>
    <w:rsid w:val="00EC7362"/>
    <w:rsid w:val="00EC73E6"/>
    <w:rsid w:val="00EC73EB"/>
    <w:rsid w:val="00EC73FF"/>
    <w:rsid w:val="00EC743A"/>
    <w:rsid w:val="00EC758A"/>
    <w:rsid w:val="00EC7841"/>
    <w:rsid w:val="00EC78BC"/>
    <w:rsid w:val="00EC79A6"/>
    <w:rsid w:val="00EC79BB"/>
    <w:rsid w:val="00EC7C73"/>
    <w:rsid w:val="00EC7FC8"/>
    <w:rsid w:val="00ED0183"/>
    <w:rsid w:val="00ED01E0"/>
    <w:rsid w:val="00ED0307"/>
    <w:rsid w:val="00ED0342"/>
    <w:rsid w:val="00ED035C"/>
    <w:rsid w:val="00ED08DE"/>
    <w:rsid w:val="00ED09D9"/>
    <w:rsid w:val="00ED0A9E"/>
    <w:rsid w:val="00ED0D52"/>
    <w:rsid w:val="00ED0EDE"/>
    <w:rsid w:val="00ED0F68"/>
    <w:rsid w:val="00ED108A"/>
    <w:rsid w:val="00ED115A"/>
    <w:rsid w:val="00ED123A"/>
    <w:rsid w:val="00ED12F5"/>
    <w:rsid w:val="00ED13BB"/>
    <w:rsid w:val="00ED13C6"/>
    <w:rsid w:val="00ED13CB"/>
    <w:rsid w:val="00ED14A1"/>
    <w:rsid w:val="00ED1658"/>
    <w:rsid w:val="00ED168B"/>
    <w:rsid w:val="00ED1936"/>
    <w:rsid w:val="00ED19A4"/>
    <w:rsid w:val="00ED19F8"/>
    <w:rsid w:val="00ED1BFD"/>
    <w:rsid w:val="00ED1D50"/>
    <w:rsid w:val="00ED1EFB"/>
    <w:rsid w:val="00ED1F0B"/>
    <w:rsid w:val="00ED1F37"/>
    <w:rsid w:val="00ED1F8A"/>
    <w:rsid w:val="00ED1F98"/>
    <w:rsid w:val="00ED20CE"/>
    <w:rsid w:val="00ED20DF"/>
    <w:rsid w:val="00ED21A2"/>
    <w:rsid w:val="00ED2248"/>
    <w:rsid w:val="00ED22DC"/>
    <w:rsid w:val="00ED2569"/>
    <w:rsid w:val="00ED256A"/>
    <w:rsid w:val="00ED2593"/>
    <w:rsid w:val="00ED25D4"/>
    <w:rsid w:val="00ED2760"/>
    <w:rsid w:val="00ED292B"/>
    <w:rsid w:val="00ED2A1A"/>
    <w:rsid w:val="00ED2AD3"/>
    <w:rsid w:val="00ED2B93"/>
    <w:rsid w:val="00ED2F30"/>
    <w:rsid w:val="00ED2FE9"/>
    <w:rsid w:val="00ED31B6"/>
    <w:rsid w:val="00ED328C"/>
    <w:rsid w:val="00ED334F"/>
    <w:rsid w:val="00ED342F"/>
    <w:rsid w:val="00ED38F9"/>
    <w:rsid w:val="00ED390A"/>
    <w:rsid w:val="00ED3A2D"/>
    <w:rsid w:val="00ED3B48"/>
    <w:rsid w:val="00ED3BC1"/>
    <w:rsid w:val="00ED3CC8"/>
    <w:rsid w:val="00ED3CFC"/>
    <w:rsid w:val="00ED3EE3"/>
    <w:rsid w:val="00ED3EFE"/>
    <w:rsid w:val="00ED40B4"/>
    <w:rsid w:val="00ED421F"/>
    <w:rsid w:val="00ED434A"/>
    <w:rsid w:val="00ED4441"/>
    <w:rsid w:val="00ED450F"/>
    <w:rsid w:val="00ED4614"/>
    <w:rsid w:val="00ED485C"/>
    <w:rsid w:val="00ED4CBF"/>
    <w:rsid w:val="00ED4E81"/>
    <w:rsid w:val="00ED5074"/>
    <w:rsid w:val="00ED50E0"/>
    <w:rsid w:val="00ED5160"/>
    <w:rsid w:val="00ED51CE"/>
    <w:rsid w:val="00ED529E"/>
    <w:rsid w:val="00ED5427"/>
    <w:rsid w:val="00ED55DC"/>
    <w:rsid w:val="00ED56CD"/>
    <w:rsid w:val="00ED578F"/>
    <w:rsid w:val="00ED57D0"/>
    <w:rsid w:val="00ED583B"/>
    <w:rsid w:val="00ED58C7"/>
    <w:rsid w:val="00ED591A"/>
    <w:rsid w:val="00ED5A09"/>
    <w:rsid w:val="00ED5A19"/>
    <w:rsid w:val="00ED5A40"/>
    <w:rsid w:val="00ED5B27"/>
    <w:rsid w:val="00ED5B2A"/>
    <w:rsid w:val="00ED5C6F"/>
    <w:rsid w:val="00ED5E41"/>
    <w:rsid w:val="00ED5E78"/>
    <w:rsid w:val="00ED5EFA"/>
    <w:rsid w:val="00ED5F03"/>
    <w:rsid w:val="00ED600C"/>
    <w:rsid w:val="00ED6018"/>
    <w:rsid w:val="00ED60ED"/>
    <w:rsid w:val="00ED6180"/>
    <w:rsid w:val="00ED62C1"/>
    <w:rsid w:val="00ED62D1"/>
    <w:rsid w:val="00ED6474"/>
    <w:rsid w:val="00ED6503"/>
    <w:rsid w:val="00ED673F"/>
    <w:rsid w:val="00ED69A8"/>
    <w:rsid w:val="00ED6BB5"/>
    <w:rsid w:val="00ED6C2F"/>
    <w:rsid w:val="00ED6CE5"/>
    <w:rsid w:val="00ED6D56"/>
    <w:rsid w:val="00ED6F13"/>
    <w:rsid w:val="00ED6FEA"/>
    <w:rsid w:val="00ED7006"/>
    <w:rsid w:val="00ED71D6"/>
    <w:rsid w:val="00ED7361"/>
    <w:rsid w:val="00ED74A6"/>
    <w:rsid w:val="00ED750D"/>
    <w:rsid w:val="00ED7728"/>
    <w:rsid w:val="00ED7775"/>
    <w:rsid w:val="00ED78C7"/>
    <w:rsid w:val="00ED796A"/>
    <w:rsid w:val="00ED79BE"/>
    <w:rsid w:val="00ED79FC"/>
    <w:rsid w:val="00ED7A6C"/>
    <w:rsid w:val="00ED7AB7"/>
    <w:rsid w:val="00ED7DBE"/>
    <w:rsid w:val="00ED7DCD"/>
    <w:rsid w:val="00ED7E6C"/>
    <w:rsid w:val="00ED9A37"/>
    <w:rsid w:val="00EDB767"/>
    <w:rsid w:val="00EDB8B0"/>
    <w:rsid w:val="00EE0075"/>
    <w:rsid w:val="00EE0162"/>
    <w:rsid w:val="00EE0171"/>
    <w:rsid w:val="00EE0216"/>
    <w:rsid w:val="00EE0398"/>
    <w:rsid w:val="00EE0491"/>
    <w:rsid w:val="00EE05DB"/>
    <w:rsid w:val="00EE0611"/>
    <w:rsid w:val="00EE07A3"/>
    <w:rsid w:val="00EE0897"/>
    <w:rsid w:val="00EE08CB"/>
    <w:rsid w:val="00EE0972"/>
    <w:rsid w:val="00EE0A77"/>
    <w:rsid w:val="00EE0B81"/>
    <w:rsid w:val="00EE0C37"/>
    <w:rsid w:val="00EE0C5E"/>
    <w:rsid w:val="00EE0CE8"/>
    <w:rsid w:val="00EE0CFC"/>
    <w:rsid w:val="00EE0D91"/>
    <w:rsid w:val="00EE0ED8"/>
    <w:rsid w:val="00EE0F5B"/>
    <w:rsid w:val="00EE1075"/>
    <w:rsid w:val="00EE1080"/>
    <w:rsid w:val="00EE125C"/>
    <w:rsid w:val="00EE12B1"/>
    <w:rsid w:val="00EE13E1"/>
    <w:rsid w:val="00EE13FB"/>
    <w:rsid w:val="00EE1650"/>
    <w:rsid w:val="00EE185D"/>
    <w:rsid w:val="00EE1867"/>
    <w:rsid w:val="00EE1887"/>
    <w:rsid w:val="00EE18A9"/>
    <w:rsid w:val="00EE18AF"/>
    <w:rsid w:val="00EE1977"/>
    <w:rsid w:val="00EE19FA"/>
    <w:rsid w:val="00EE1A00"/>
    <w:rsid w:val="00EE1AAD"/>
    <w:rsid w:val="00EE1B3F"/>
    <w:rsid w:val="00EE1D3B"/>
    <w:rsid w:val="00EE1DB4"/>
    <w:rsid w:val="00EE1F19"/>
    <w:rsid w:val="00EE20D6"/>
    <w:rsid w:val="00EE2177"/>
    <w:rsid w:val="00EE2352"/>
    <w:rsid w:val="00EE239A"/>
    <w:rsid w:val="00EE245C"/>
    <w:rsid w:val="00EE2475"/>
    <w:rsid w:val="00EE2527"/>
    <w:rsid w:val="00EE253F"/>
    <w:rsid w:val="00EE25E5"/>
    <w:rsid w:val="00EE26C5"/>
    <w:rsid w:val="00EE2791"/>
    <w:rsid w:val="00EE2A21"/>
    <w:rsid w:val="00EE2A96"/>
    <w:rsid w:val="00EE2B07"/>
    <w:rsid w:val="00EE2B3F"/>
    <w:rsid w:val="00EE2BD1"/>
    <w:rsid w:val="00EE2C55"/>
    <w:rsid w:val="00EE2FF9"/>
    <w:rsid w:val="00EE33E6"/>
    <w:rsid w:val="00EE340F"/>
    <w:rsid w:val="00EE3457"/>
    <w:rsid w:val="00EE3573"/>
    <w:rsid w:val="00EE362A"/>
    <w:rsid w:val="00EE37C8"/>
    <w:rsid w:val="00EE37F3"/>
    <w:rsid w:val="00EE37F5"/>
    <w:rsid w:val="00EE383D"/>
    <w:rsid w:val="00EE3951"/>
    <w:rsid w:val="00EE39AE"/>
    <w:rsid w:val="00EE3A6B"/>
    <w:rsid w:val="00EE3B6C"/>
    <w:rsid w:val="00EE3C35"/>
    <w:rsid w:val="00EE3D9D"/>
    <w:rsid w:val="00EE418D"/>
    <w:rsid w:val="00EE42A7"/>
    <w:rsid w:val="00EE4421"/>
    <w:rsid w:val="00EE4529"/>
    <w:rsid w:val="00EE468D"/>
    <w:rsid w:val="00EE4710"/>
    <w:rsid w:val="00EE473E"/>
    <w:rsid w:val="00EE478F"/>
    <w:rsid w:val="00EE4996"/>
    <w:rsid w:val="00EE4B84"/>
    <w:rsid w:val="00EE4BD1"/>
    <w:rsid w:val="00EE4C0F"/>
    <w:rsid w:val="00EE505D"/>
    <w:rsid w:val="00EE5133"/>
    <w:rsid w:val="00EE5191"/>
    <w:rsid w:val="00EE5299"/>
    <w:rsid w:val="00EE52BD"/>
    <w:rsid w:val="00EE536C"/>
    <w:rsid w:val="00EE53AD"/>
    <w:rsid w:val="00EE5767"/>
    <w:rsid w:val="00EE5937"/>
    <w:rsid w:val="00EE59E4"/>
    <w:rsid w:val="00EE5AE5"/>
    <w:rsid w:val="00EE5AE9"/>
    <w:rsid w:val="00EE5CEF"/>
    <w:rsid w:val="00EE5E1B"/>
    <w:rsid w:val="00EE5E32"/>
    <w:rsid w:val="00EE5ED0"/>
    <w:rsid w:val="00EE5F97"/>
    <w:rsid w:val="00EE5F9B"/>
    <w:rsid w:val="00EE62BB"/>
    <w:rsid w:val="00EE63BD"/>
    <w:rsid w:val="00EE657F"/>
    <w:rsid w:val="00EE65B6"/>
    <w:rsid w:val="00EE6622"/>
    <w:rsid w:val="00EE66DA"/>
    <w:rsid w:val="00EE686A"/>
    <w:rsid w:val="00EE695C"/>
    <w:rsid w:val="00EE6996"/>
    <w:rsid w:val="00EE6AC8"/>
    <w:rsid w:val="00EE6BE9"/>
    <w:rsid w:val="00EE6D12"/>
    <w:rsid w:val="00EE6EC3"/>
    <w:rsid w:val="00EE7040"/>
    <w:rsid w:val="00EE704F"/>
    <w:rsid w:val="00EE7119"/>
    <w:rsid w:val="00EE7202"/>
    <w:rsid w:val="00EE7248"/>
    <w:rsid w:val="00EE7320"/>
    <w:rsid w:val="00EE7378"/>
    <w:rsid w:val="00EE7533"/>
    <w:rsid w:val="00EE75E3"/>
    <w:rsid w:val="00EE785C"/>
    <w:rsid w:val="00EE7A3E"/>
    <w:rsid w:val="00EE7AC6"/>
    <w:rsid w:val="00EE7D9A"/>
    <w:rsid w:val="00EE7DC5"/>
    <w:rsid w:val="00EE7F19"/>
    <w:rsid w:val="00EE7F2D"/>
    <w:rsid w:val="00EE7F4B"/>
    <w:rsid w:val="00EEF76A"/>
    <w:rsid w:val="00EF0223"/>
    <w:rsid w:val="00EF039A"/>
    <w:rsid w:val="00EF05EE"/>
    <w:rsid w:val="00EF0842"/>
    <w:rsid w:val="00EF0887"/>
    <w:rsid w:val="00EF0998"/>
    <w:rsid w:val="00EF0A68"/>
    <w:rsid w:val="00EF0B2C"/>
    <w:rsid w:val="00EF0BE1"/>
    <w:rsid w:val="00EF0C66"/>
    <w:rsid w:val="00EF0C90"/>
    <w:rsid w:val="00EF0D38"/>
    <w:rsid w:val="00EF0E91"/>
    <w:rsid w:val="00EF1072"/>
    <w:rsid w:val="00EF1096"/>
    <w:rsid w:val="00EF1299"/>
    <w:rsid w:val="00EF145C"/>
    <w:rsid w:val="00EF1700"/>
    <w:rsid w:val="00EF17FB"/>
    <w:rsid w:val="00EF19C1"/>
    <w:rsid w:val="00EF1A00"/>
    <w:rsid w:val="00EF1DD1"/>
    <w:rsid w:val="00EF1F37"/>
    <w:rsid w:val="00EF20B9"/>
    <w:rsid w:val="00EF236C"/>
    <w:rsid w:val="00EF245F"/>
    <w:rsid w:val="00EF24F8"/>
    <w:rsid w:val="00EF2534"/>
    <w:rsid w:val="00EF269A"/>
    <w:rsid w:val="00EF26F2"/>
    <w:rsid w:val="00EF2715"/>
    <w:rsid w:val="00EF27BC"/>
    <w:rsid w:val="00EF2845"/>
    <w:rsid w:val="00EF28AE"/>
    <w:rsid w:val="00EF28DB"/>
    <w:rsid w:val="00EF2AB0"/>
    <w:rsid w:val="00EF2B03"/>
    <w:rsid w:val="00EF2B58"/>
    <w:rsid w:val="00EF2B81"/>
    <w:rsid w:val="00EF2DB4"/>
    <w:rsid w:val="00EF2ECD"/>
    <w:rsid w:val="00EF2F0A"/>
    <w:rsid w:val="00EF2F6B"/>
    <w:rsid w:val="00EF2FBC"/>
    <w:rsid w:val="00EF2FCE"/>
    <w:rsid w:val="00EF3100"/>
    <w:rsid w:val="00EF31E2"/>
    <w:rsid w:val="00EF345E"/>
    <w:rsid w:val="00EF350F"/>
    <w:rsid w:val="00EF35C0"/>
    <w:rsid w:val="00EF3764"/>
    <w:rsid w:val="00EF37E7"/>
    <w:rsid w:val="00EF3806"/>
    <w:rsid w:val="00EF39F3"/>
    <w:rsid w:val="00EF3B8F"/>
    <w:rsid w:val="00EF3BA0"/>
    <w:rsid w:val="00EF3CF1"/>
    <w:rsid w:val="00EF3D8B"/>
    <w:rsid w:val="00EF3E2E"/>
    <w:rsid w:val="00EF3F37"/>
    <w:rsid w:val="00EF3F62"/>
    <w:rsid w:val="00EF3FEB"/>
    <w:rsid w:val="00EF407A"/>
    <w:rsid w:val="00EF41D5"/>
    <w:rsid w:val="00EF4263"/>
    <w:rsid w:val="00EF4339"/>
    <w:rsid w:val="00EF4392"/>
    <w:rsid w:val="00EF43C7"/>
    <w:rsid w:val="00EF43EF"/>
    <w:rsid w:val="00EF44A7"/>
    <w:rsid w:val="00EF45D7"/>
    <w:rsid w:val="00EF472A"/>
    <w:rsid w:val="00EF474C"/>
    <w:rsid w:val="00EF4AB9"/>
    <w:rsid w:val="00EF4B71"/>
    <w:rsid w:val="00EF4C03"/>
    <w:rsid w:val="00EF4D28"/>
    <w:rsid w:val="00EF4D41"/>
    <w:rsid w:val="00EF4D4D"/>
    <w:rsid w:val="00EF4D9D"/>
    <w:rsid w:val="00EF4F02"/>
    <w:rsid w:val="00EF4F03"/>
    <w:rsid w:val="00EF4F7D"/>
    <w:rsid w:val="00EF5034"/>
    <w:rsid w:val="00EF55FC"/>
    <w:rsid w:val="00EF5651"/>
    <w:rsid w:val="00EF5797"/>
    <w:rsid w:val="00EF5835"/>
    <w:rsid w:val="00EF5A47"/>
    <w:rsid w:val="00EF5A8F"/>
    <w:rsid w:val="00EF5B31"/>
    <w:rsid w:val="00EF5E1D"/>
    <w:rsid w:val="00EF5E46"/>
    <w:rsid w:val="00EF5E4B"/>
    <w:rsid w:val="00EF5E63"/>
    <w:rsid w:val="00EF5ED8"/>
    <w:rsid w:val="00EF5F06"/>
    <w:rsid w:val="00EF5F2C"/>
    <w:rsid w:val="00EF5F51"/>
    <w:rsid w:val="00EF61F4"/>
    <w:rsid w:val="00EF6238"/>
    <w:rsid w:val="00EF65B8"/>
    <w:rsid w:val="00EF69D3"/>
    <w:rsid w:val="00EF69FB"/>
    <w:rsid w:val="00EF6AE9"/>
    <w:rsid w:val="00EF6C8D"/>
    <w:rsid w:val="00EF6D00"/>
    <w:rsid w:val="00EF7246"/>
    <w:rsid w:val="00EF72BF"/>
    <w:rsid w:val="00EF72D3"/>
    <w:rsid w:val="00EF775B"/>
    <w:rsid w:val="00EF7960"/>
    <w:rsid w:val="00EF79CB"/>
    <w:rsid w:val="00EF7CCE"/>
    <w:rsid w:val="00EF7D5D"/>
    <w:rsid w:val="00EF7F7B"/>
    <w:rsid w:val="00EF95A0"/>
    <w:rsid w:val="00F00136"/>
    <w:rsid w:val="00F001F5"/>
    <w:rsid w:val="00F001FB"/>
    <w:rsid w:val="00F0031D"/>
    <w:rsid w:val="00F0045C"/>
    <w:rsid w:val="00F004CC"/>
    <w:rsid w:val="00F004EB"/>
    <w:rsid w:val="00F005D6"/>
    <w:rsid w:val="00F00619"/>
    <w:rsid w:val="00F006E7"/>
    <w:rsid w:val="00F007A7"/>
    <w:rsid w:val="00F008A7"/>
    <w:rsid w:val="00F00916"/>
    <w:rsid w:val="00F00A54"/>
    <w:rsid w:val="00F00BCA"/>
    <w:rsid w:val="00F01085"/>
    <w:rsid w:val="00F0109E"/>
    <w:rsid w:val="00F012A4"/>
    <w:rsid w:val="00F01345"/>
    <w:rsid w:val="00F013B7"/>
    <w:rsid w:val="00F01590"/>
    <w:rsid w:val="00F015DE"/>
    <w:rsid w:val="00F01646"/>
    <w:rsid w:val="00F0170F"/>
    <w:rsid w:val="00F0171B"/>
    <w:rsid w:val="00F01736"/>
    <w:rsid w:val="00F017B0"/>
    <w:rsid w:val="00F0180B"/>
    <w:rsid w:val="00F01AA1"/>
    <w:rsid w:val="00F01B80"/>
    <w:rsid w:val="00F01BE1"/>
    <w:rsid w:val="00F02096"/>
    <w:rsid w:val="00F0226A"/>
    <w:rsid w:val="00F022BA"/>
    <w:rsid w:val="00F0230C"/>
    <w:rsid w:val="00F02421"/>
    <w:rsid w:val="00F02473"/>
    <w:rsid w:val="00F02584"/>
    <w:rsid w:val="00F02632"/>
    <w:rsid w:val="00F02764"/>
    <w:rsid w:val="00F0277B"/>
    <w:rsid w:val="00F027A9"/>
    <w:rsid w:val="00F027EB"/>
    <w:rsid w:val="00F02B30"/>
    <w:rsid w:val="00F02B48"/>
    <w:rsid w:val="00F02CDA"/>
    <w:rsid w:val="00F02CFE"/>
    <w:rsid w:val="00F02D68"/>
    <w:rsid w:val="00F02DEF"/>
    <w:rsid w:val="00F02E18"/>
    <w:rsid w:val="00F02E3D"/>
    <w:rsid w:val="00F02F30"/>
    <w:rsid w:val="00F03141"/>
    <w:rsid w:val="00F0325F"/>
    <w:rsid w:val="00F032FD"/>
    <w:rsid w:val="00F03359"/>
    <w:rsid w:val="00F03440"/>
    <w:rsid w:val="00F0378B"/>
    <w:rsid w:val="00F03841"/>
    <w:rsid w:val="00F03889"/>
    <w:rsid w:val="00F039BF"/>
    <w:rsid w:val="00F03B39"/>
    <w:rsid w:val="00F03C3B"/>
    <w:rsid w:val="00F03C41"/>
    <w:rsid w:val="00F03E14"/>
    <w:rsid w:val="00F03E48"/>
    <w:rsid w:val="00F03E81"/>
    <w:rsid w:val="00F03EA6"/>
    <w:rsid w:val="00F041F7"/>
    <w:rsid w:val="00F043F3"/>
    <w:rsid w:val="00F0445F"/>
    <w:rsid w:val="00F04567"/>
    <w:rsid w:val="00F04619"/>
    <w:rsid w:val="00F04A24"/>
    <w:rsid w:val="00F04B92"/>
    <w:rsid w:val="00F04BA0"/>
    <w:rsid w:val="00F04C05"/>
    <w:rsid w:val="00F04D13"/>
    <w:rsid w:val="00F04DC0"/>
    <w:rsid w:val="00F04F3F"/>
    <w:rsid w:val="00F0516F"/>
    <w:rsid w:val="00F05251"/>
    <w:rsid w:val="00F05296"/>
    <w:rsid w:val="00F054B8"/>
    <w:rsid w:val="00F0554E"/>
    <w:rsid w:val="00F0562C"/>
    <w:rsid w:val="00F05681"/>
    <w:rsid w:val="00F05684"/>
    <w:rsid w:val="00F05722"/>
    <w:rsid w:val="00F0572E"/>
    <w:rsid w:val="00F05984"/>
    <w:rsid w:val="00F059A1"/>
    <w:rsid w:val="00F059E0"/>
    <w:rsid w:val="00F059FA"/>
    <w:rsid w:val="00F05C03"/>
    <w:rsid w:val="00F05CDF"/>
    <w:rsid w:val="00F05D96"/>
    <w:rsid w:val="00F05D99"/>
    <w:rsid w:val="00F05EA1"/>
    <w:rsid w:val="00F05F8D"/>
    <w:rsid w:val="00F05FAD"/>
    <w:rsid w:val="00F0630A"/>
    <w:rsid w:val="00F06443"/>
    <w:rsid w:val="00F0647C"/>
    <w:rsid w:val="00F0668C"/>
    <w:rsid w:val="00F06769"/>
    <w:rsid w:val="00F06770"/>
    <w:rsid w:val="00F069B0"/>
    <w:rsid w:val="00F06B25"/>
    <w:rsid w:val="00F06B35"/>
    <w:rsid w:val="00F06B4A"/>
    <w:rsid w:val="00F06B4E"/>
    <w:rsid w:val="00F06B99"/>
    <w:rsid w:val="00F06C58"/>
    <w:rsid w:val="00F06C97"/>
    <w:rsid w:val="00F06CB4"/>
    <w:rsid w:val="00F06DD2"/>
    <w:rsid w:val="00F06ED8"/>
    <w:rsid w:val="00F07072"/>
    <w:rsid w:val="00F071AE"/>
    <w:rsid w:val="00F0728E"/>
    <w:rsid w:val="00F07367"/>
    <w:rsid w:val="00F073D7"/>
    <w:rsid w:val="00F07404"/>
    <w:rsid w:val="00F07528"/>
    <w:rsid w:val="00F076FA"/>
    <w:rsid w:val="00F07865"/>
    <w:rsid w:val="00F07980"/>
    <w:rsid w:val="00F07A8A"/>
    <w:rsid w:val="00F07D95"/>
    <w:rsid w:val="00F07E0D"/>
    <w:rsid w:val="00F07ECC"/>
    <w:rsid w:val="00F0FB6B"/>
    <w:rsid w:val="00F100A3"/>
    <w:rsid w:val="00F100F4"/>
    <w:rsid w:val="00F10103"/>
    <w:rsid w:val="00F1013C"/>
    <w:rsid w:val="00F101DE"/>
    <w:rsid w:val="00F1025D"/>
    <w:rsid w:val="00F1036E"/>
    <w:rsid w:val="00F103D0"/>
    <w:rsid w:val="00F10463"/>
    <w:rsid w:val="00F106BC"/>
    <w:rsid w:val="00F10748"/>
    <w:rsid w:val="00F107CE"/>
    <w:rsid w:val="00F1086E"/>
    <w:rsid w:val="00F10A1D"/>
    <w:rsid w:val="00F10A62"/>
    <w:rsid w:val="00F10AAE"/>
    <w:rsid w:val="00F10B74"/>
    <w:rsid w:val="00F10C1F"/>
    <w:rsid w:val="00F10D32"/>
    <w:rsid w:val="00F11037"/>
    <w:rsid w:val="00F110CF"/>
    <w:rsid w:val="00F1124A"/>
    <w:rsid w:val="00F113B1"/>
    <w:rsid w:val="00F114E9"/>
    <w:rsid w:val="00F11517"/>
    <w:rsid w:val="00F11604"/>
    <w:rsid w:val="00F11605"/>
    <w:rsid w:val="00F116E4"/>
    <w:rsid w:val="00F116F3"/>
    <w:rsid w:val="00F117E6"/>
    <w:rsid w:val="00F1196D"/>
    <w:rsid w:val="00F11A57"/>
    <w:rsid w:val="00F11D8E"/>
    <w:rsid w:val="00F11D91"/>
    <w:rsid w:val="00F11E23"/>
    <w:rsid w:val="00F11FB0"/>
    <w:rsid w:val="00F121C6"/>
    <w:rsid w:val="00F12267"/>
    <w:rsid w:val="00F1228A"/>
    <w:rsid w:val="00F1244D"/>
    <w:rsid w:val="00F12580"/>
    <w:rsid w:val="00F126A3"/>
    <w:rsid w:val="00F128D9"/>
    <w:rsid w:val="00F12AA5"/>
    <w:rsid w:val="00F12C7C"/>
    <w:rsid w:val="00F12C93"/>
    <w:rsid w:val="00F12E11"/>
    <w:rsid w:val="00F12E63"/>
    <w:rsid w:val="00F12E7D"/>
    <w:rsid w:val="00F12F60"/>
    <w:rsid w:val="00F12FD6"/>
    <w:rsid w:val="00F1305F"/>
    <w:rsid w:val="00F1310D"/>
    <w:rsid w:val="00F132BC"/>
    <w:rsid w:val="00F133D0"/>
    <w:rsid w:val="00F13482"/>
    <w:rsid w:val="00F1363B"/>
    <w:rsid w:val="00F13654"/>
    <w:rsid w:val="00F136FA"/>
    <w:rsid w:val="00F137A6"/>
    <w:rsid w:val="00F13855"/>
    <w:rsid w:val="00F13939"/>
    <w:rsid w:val="00F13A3D"/>
    <w:rsid w:val="00F13AB5"/>
    <w:rsid w:val="00F13B07"/>
    <w:rsid w:val="00F13B3D"/>
    <w:rsid w:val="00F13B4A"/>
    <w:rsid w:val="00F13BA4"/>
    <w:rsid w:val="00F13BC2"/>
    <w:rsid w:val="00F13C75"/>
    <w:rsid w:val="00F13C82"/>
    <w:rsid w:val="00F13CA4"/>
    <w:rsid w:val="00F13CE1"/>
    <w:rsid w:val="00F13D58"/>
    <w:rsid w:val="00F13DA9"/>
    <w:rsid w:val="00F13E50"/>
    <w:rsid w:val="00F13F8D"/>
    <w:rsid w:val="00F14089"/>
    <w:rsid w:val="00F14142"/>
    <w:rsid w:val="00F141C1"/>
    <w:rsid w:val="00F142C3"/>
    <w:rsid w:val="00F145BA"/>
    <w:rsid w:val="00F145DB"/>
    <w:rsid w:val="00F145FA"/>
    <w:rsid w:val="00F14637"/>
    <w:rsid w:val="00F14779"/>
    <w:rsid w:val="00F147E7"/>
    <w:rsid w:val="00F148E4"/>
    <w:rsid w:val="00F149B1"/>
    <w:rsid w:val="00F14EBB"/>
    <w:rsid w:val="00F14EC0"/>
    <w:rsid w:val="00F15195"/>
    <w:rsid w:val="00F1528D"/>
    <w:rsid w:val="00F152C5"/>
    <w:rsid w:val="00F1547B"/>
    <w:rsid w:val="00F1554F"/>
    <w:rsid w:val="00F155AE"/>
    <w:rsid w:val="00F15A71"/>
    <w:rsid w:val="00F15BD5"/>
    <w:rsid w:val="00F15BFF"/>
    <w:rsid w:val="00F15D29"/>
    <w:rsid w:val="00F15D2F"/>
    <w:rsid w:val="00F15DAF"/>
    <w:rsid w:val="00F15DFE"/>
    <w:rsid w:val="00F15E62"/>
    <w:rsid w:val="00F15E96"/>
    <w:rsid w:val="00F1607C"/>
    <w:rsid w:val="00F160D3"/>
    <w:rsid w:val="00F16214"/>
    <w:rsid w:val="00F16319"/>
    <w:rsid w:val="00F1639C"/>
    <w:rsid w:val="00F163CC"/>
    <w:rsid w:val="00F16407"/>
    <w:rsid w:val="00F1640A"/>
    <w:rsid w:val="00F1645B"/>
    <w:rsid w:val="00F167B2"/>
    <w:rsid w:val="00F1688C"/>
    <w:rsid w:val="00F169CD"/>
    <w:rsid w:val="00F16AA7"/>
    <w:rsid w:val="00F16B9C"/>
    <w:rsid w:val="00F16BB0"/>
    <w:rsid w:val="00F16BEB"/>
    <w:rsid w:val="00F16C04"/>
    <w:rsid w:val="00F16C0F"/>
    <w:rsid w:val="00F16D8B"/>
    <w:rsid w:val="00F16F03"/>
    <w:rsid w:val="00F170B5"/>
    <w:rsid w:val="00F170B9"/>
    <w:rsid w:val="00F171FA"/>
    <w:rsid w:val="00F173DF"/>
    <w:rsid w:val="00F17464"/>
    <w:rsid w:val="00F17471"/>
    <w:rsid w:val="00F176F0"/>
    <w:rsid w:val="00F177A7"/>
    <w:rsid w:val="00F177B8"/>
    <w:rsid w:val="00F17B5D"/>
    <w:rsid w:val="00F17BC2"/>
    <w:rsid w:val="00F17D64"/>
    <w:rsid w:val="00F17F55"/>
    <w:rsid w:val="00F18520"/>
    <w:rsid w:val="00F1C010"/>
    <w:rsid w:val="00F1D611"/>
    <w:rsid w:val="00F1EB36"/>
    <w:rsid w:val="00F1F771"/>
    <w:rsid w:val="00F20061"/>
    <w:rsid w:val="00F2006D"/>
    <w:rsid w:val="00F20171"/>
    <w:rsid w:val="00F202D0"/>
    <w:rsid w:val="00F202F4"/>
    <w:rsid w:val="00F2030A"/>
    <w:rsid w:val="00F204CE"/>
    <w:rsid w:val="00F205F6"/>
    <w:rsid w:val="00F20617"/>
    <w:rsid w:val="00F20696"/>
    <w:rsid w:val="00F207EC"/>
    <w:rsid w:val="00F20879"/>
    <w:rsid w:val="00F20985"/>
    <w:rsid w:val="00F20990"/>
    <w:rsid w:val="00F20E74"/>
    <w:rsid w:val="00F20ED1"/>
    <w:rsid w:val="00F20F21"/>
    <w:rsid w:val="00F21092"/>
    <w:rsid w:val="00F210D8"/>
    <w:rsid w:val="00F210E6"/>
    <w:rsid w:val="00F211FB"/>
    <w:rsid w:val="00F2144C"/>
    <w:rsid w:val="00F215B0"/>
    <w:rsid w:val="00F215FB"/>
    <w:rsid w:val="00F2163B"/>
    <w:rsid w:val="00F21677"/>
    <w:rsid w:val="00F217BB"/>
    <w:rsid w:val="00F217E1"/>
    <w:rsid w:val="00F21962"/>
    <w:rsid w:val="00F219DE"/>
    <w:rsid w:val="00F21A9C"/>
    <w:rsid w:val="00F21B6E"/>
    <w:rsid w:val="00F21BCA"/>
    <w:rsid w:val="00F21EA7"/>
    <w:rsid w:val="00F21FB5"/>
    <w:rsid w:val="00F220ED"/>
    <w:rsid w:val="00F22168"/>
    <w:rsid w:val="00F221CB"/>
    <w:rsid w:val="00F221EB"/>
    <w:rsid w:val="00F22262"/>
    <w:rsid w:val="00F2234B"/>
    <w:rsid w:val="00F2251D"/>
    <w:rsid w:val="00F22530"/>
    <w:rsid w:val="00F225CC"/>
    <w:rsid w:val="00F22616"/>
    <w:rsid w:val="00F2267C"/>
    <w:rsid w:val="00F22688"/>
    <w:rsid w:val="00F227A2"/>
    <w:rsid w:val="00F229B2"/>
    <w:rsid w:val="00F229B3"/>
    <w:rsid w:val="00F22A08"/>
    <w:rsid w:val="00F22C02"/>
    <w:rsid w:val="00F22C2A"/>
    <w:rsid w:val="00F22C2C"/>
    <w:rsid w:val="00F22D85"/>
    <w:rsid w:val="00F22DB2"/>
    <w:rsid w:val="00F22E22"/>
    <w:rsid w:val="00F22E33"/>
    <w:rsid w:val="00F2300C"/>
    <w:rsid w:val="00F230EF"/>
    <w:rsid w:val="00F23144"/>
    <w:rsid w:val="00F23299"/>
    <w:rsid w:val="00F2333D"/>
    <w:rsid w:val="00F23608"/>
    <w:rsid w:val="00F2363F"/>
    <w:rsid w:val="00F2368A"/>
    <w:rsid w:val="00F236B4"/>
    <w:rsid w:val="00F23881"/>
    <w:rsid w:val="00F23ADB"/>
    <w:rsid w:val="00F23B37"/>
    <w:rsid w:val="00F23B49"/>
    <w:rsid w:val="00F23B52"/>
    <w:rsid w:val="00F23CD4"/>
    <w:rsid w:val="00F23D17"/>
    <w:rsid w:val="00F23D3D"/>
    <w:rsid w:val="00F23E4C"/>
    <w:rsid w:val="00F23E67"/>
    <w:rsid w:val="00F23E8C"/>
    <w:rsid w:val="00F23FC0"/>
    <w:rsid w:val="00F242ED"/>
    <w:rsid w:val="00F243BA"/>
    <w:rsid w:val="00F245BF"/>
    <w:rsid w:val="00F24947"/>
    <w:rsid w:val="00F249E7"/>
    <w:rsid w:val="00F24BE0"/>
    <w:rsid w:val="00F24C45"/>
    <w:rsid w:val="00F24CA8"/>
    <w:rsid w:val="00F24D64"/>
    <w:rsid w:val="00F24DFF"/>
    <w:rsid w:val="00F24E46"/>
    <w:rsid w:val="00F24F04"/>
    <w:rsid w:val="00F24F68"/>
    <w:rsid w:val="00F24FFB"/>
    <w:rsid w:val="00F256CB"/>
    <w:rsid w:val="00F25776"/>
    <w:rsid w:val="00F257C7"/>
    <w:rsid w:val="00F25996"/>
    <w:rsid w:val="00F25CC3"/>
    <w:rsid w:val="00F25D38"/>
    <w:rsid w:val="00F25D51"/>
    <w:rsid w:val="00F261A3"/>
    <w:rsid w:val="00F26569"/>
    <w:rsid w:val="00F266B4"/>
    <w:rsid w:val="00F2674B"/>
    <w:rsid w:val="00F26812"/>
    <w:rsid w:val="00F26AC4"/>
    <w:rsid w:val="00F26AFB"/>
    <w:rsid w:val="00F26B3D"/>
    <w:rsid w:val="00F26F77"/>
    <w:rsid w:val="00F27062"/>
    <w:rsid w:val="00F2717F"/>
    <w:rsid w:val="00F271FC"/>
    <w:rsid w:val="00F27448"/>
    <w:rsid w:val="00F27589"/>
    <w:rsid w:val="00F27678"/>
    <w:rsid w:val="00F2767A"/>
    <w:rsid w:val="00F2770F"/>
    <w:rsid w:val="00F27872"/>
    <w:rsid w:val="00F27AA8"/>
    <w:rsid w:val="00F27C04"/>
    <w:rsid w:val="00F27D15"/>
    <w:rsid w:val="00F27E59"/>
    <w:rsid w:val="00F27FB8"/>
    <w:rsid w:val="00F27FD4"/>
    <w:rsid w:val="00F280FD"/>
    <w:rsid w:val="00F30037"/>
    <w:rsid w:val="00F300B9"/>
    <w:rsid w:val="00F301DD"/>
    <w:rsid w:val="00F30222"/>
    <w:rsid w:val="00F302A9"/>
    <w:rsid w:val="00F304FF"/>
    <w:rsid w:val="00F30522"/>
    <w:rsid w:val="00F305C7"/>
    <w:rsid w:val="00F305EB"/>
    <w:rsid w:val="00F30646"/>
    <w:rsid w:val="00F30776"/>
    <w:rsid w:val="00F307AE"/>
    <w:rsid w:val="00F307C2"/>
    <w:rsid w:val="00F30810"/>
    <w:rsid w:val="00F3083B"/>
    <w:rsid w:val="00F30AD1"/>
    <w:rsid w:val="00F3105C"/>
    <w:rsid w:val="00F310B0"/>
    <w:rsid w:val="00F312F0"/>
    <w:rsid w:val="00F31415"/>
    <w:rsid w:val="00F314C3"/>
    <w:rsid w:val="00F315E5"/>
    <w:rsid w:val="00F31651"/>
    <w:rsid w:val="00F317EB"/>
    <w:rsid w:val="00F31904"/>
    <w:rsid w:val="00F3196D"/>
    <w:rsid w:val="00F31F2F"/>
    <w:rsid w:val="00F31FDA"/>
    <w:rsid w:val="00F320BE"/>
    <w:rsid w:val="00F32118"/>
    <w:rsid w:val="00F32278"/>
    <w:rsid w:val="00F324A3"/>
    <w:rsid w:val="00F32510"/>
    <w:rsid w:val="00F32589"/>
    <w:rsid w:val="00F3285C"/>
    <w:rsid w:val="00F328E7"/>
    <w:rsid w:val="00F32AEC"/>
    <w:rsid w:val="00F32AFD"/>
    <w:rsid w:val="00F32E5F"/>
    <w:rsid w:val="00F32F15"/>
    <w:rsid w:val="00F33072"/>
    <w:rsid w:val="00F330AD"/>
    <w:rsid w:val="00F33157"/>
    <w:rsid w:val="00F3315F"/>
    <w:rsid w:val="00F33273"/>
    <w:rsid w:val="00F33301"/>
    <w:rsid w:val="00F333F5"/>
    <w:rsid w:val="00F334DE"/>
    <w:rsid w:val="00F33621"/>
    <w:rsid w:val="00F337B9"/>
    <w:rsid w:val="00F33AFA"/>
    <w:rsid w:val="00F33B8F"/>
    <w:rsid w:val="00F33D50"/>
    <w:rsid w:val="00F33D6E"/>
    <w:rsid w:val="00F33E3B"/>
    <w:rsid w:val="00F33E3E"/>
    <w:rsid w:val="00F34276"/>
    <w:rsid w:val="00F3433F"/>
    <w:rsid w:val="00F343D6"/>
    <w:rsid w:val="00F34636"/>
    <w:rsid w:val="00F34704"/>
    <w:rsid w:val="00F3475C"/>
    <w:rsid w:val="00F3479F"/>
    <w:rsid w:val="00F347AC"/>
    <w:rsid w:val="00F3486B"/>
    <w:rsid w:val="00F348DC"/>
    <w:rsid w:val="00F349B1"/>
    <w:rsid w:val="00F34ACB"/>
    <w:rsid w:val="00F34B40"/>
    <w:rsid w:val="00F34C0A"/>
    <w:rsid w:val="00F34CED"/>
    <w:rsid w:val="00F34D75"/>
    <w:rsid w:val="00F34E13"/>
    <w:rsid w:val="00F34E5E"/>
    <w:rsid w:val="00F34FCD"/>
    <w:rsid w:val="00F350A1"/>
    <w:rsid w:val="00F350F3"/>
    <w:rsid w:val="00F352E9"/>
    <w:rsid w:val="00F355D8"/>
    <w:rsid w:val="00F35602"/>
    <w:rsid w:val="00F356A9"/>
    <w:rsid w:val="00F356C6"/>
    <w:rsid w:val="00F35A70"/>
    <w:rsid w:val="00F35AEA"/>
    <w:rsid w:val="00F35B8C"/>
    <w:rsid w:val="00F35C5C"/>
    <w:rsid w:val="00F35D87"/>
    <w:rsid w:val="00F35DCD"/>
    <w:rsid w:val="00F35FB9"/>
    <w:rsid w:val="00F36391"/>
    <w:rsid w:val="00F363DF"/>
    <w:rsid w:val="00F36455"/>
    <w:rsid w:val="00F3645C"/>
    <w:rsid w:val="00F364AA"/>
    <w:rsid w:val="00F364D6"/>
    <w:rsid w:val="00F364FB"/>
    <w:rsid w:val="00F36645"/>
    <w:rsid w:val="00F36656"/>
    <w:rsid w:val="00F36711"/>
    <w:rsid w:val="00F3673D"/>
    <w:rsid w:val="00F367C2"/>
    <w:rsid w:val="00F367E4"/>
    <w:rsid w:val="00F36860"/>
    <w:rsid w:val="00F368A5"/>
    <w:rsid w:val="00F368B8"/>
    <w:rsid w:val="00F36A43"/>
    <w:rsid w:val="00F36AEB"/>
    <w:rsid w:val="00F36B39"/>
    <w:rsid w:val="00F36D52"/>
    <w:rsid w:val="00F37157"/>
    <w:rsid w:val="00F371EE"/>
    <w:rsid w:val="00F37354"/>
    <w:rsid w:val="00F3743B"/>
    <w:rsid w:val="00F3757E"/>
    <w:rsid w:val="00F3766B"/>
    <w:rsid w:val="00F37677"/>
    <w:rsid w:val="00F376B7"/>
    <w:rsid w:val="00F37973"/>
    <w:rsid w:val="00F379EA"/>
    <w:rsid w:val="00F379EC"/>
    <w:rsid w:val="00F379FD"/>
    <w:rsid w:val="00F37A56"/>
    <w:rsid w:val="00F37B50"/>
    <w:rsid w:val="00F37C99"/>
    <w:rsid w:val="00F37EEE"/>
    <w:rsid w:val="00F37EF6"/>
    <w:rsid w:val="00F3D3EB"/>
    <w:rsid w:val="00F3D404"/>
    <w:rsid w:val="00F3D50A"/>
    <w:rsid w:val="00F400A2"/>
    <w:rsid w:val="00F40127"/>
    <w:rsid w:val="00F40218"/>
    <w:rsid w:val="00F40296"/>
    <w:rsid w:val="00F402A1"/>
    <w:rsid w:val="00F402C5"/>
    <w:rsid w:val="00F4030F"/>
    <w:rsid w:val="00F404AE"/>
    <w:rsid w:val="00F4058F"/>
    <w:rsid w:val="00F40593"/>
    <w:rsid w:val="00F40737"/>
    <w:rsid w:val="00F4089A"/>
    <w:rsid w:val="00F40B24"/>
    <w:rsid w:val="00F40D04"/>
    <w:rsid w:val="00F40DF3"/>
    <w:rsid w:val="00F40FB0"/>
    <w:rsid w:val="00F41127"/>
    <w:rsid w:val="00F4117A"/>
    <w:rsid w:val="00F4119E"/>
    <w:rsid w:val="00F412B4"/>
    <w:rsid w:val="00F414DC"/>
    <w:rsid w:val="00F4163E"/>
    <w:rsid w:val="00F41724"/>
    <w:rsid w:val="00F41848"/>
    <w:rsid w:val="00F4190A"/>
    <w:rsid w:val="00F419B6"/>
    <w:rsid w:val="00F41A07"/>
    <w:rsid w:val="00F41A48"/>
    <w:rsid w:val="00F41A8C"/>
    <w:rsid w:val="00F41AD4"/>
    <w:rsid w:val="00F41C07"/>
    <w:rsid w:val="00F41D2D"/>
    <w:rsid w:val="00F41E27"/>
    <w:rsid w:val="00F41F02"/>
    <w:rsid w:val="00F4201E"/>
    <w:rsid w:val="00F4215E"/>
    <w:rsid w:val="00F42314"/>
    <w:rsid w:val="00F4238C"/>
    <w:rsid w:val="00F42551"/>
    <w:rsid w:val="00F42585"/>
    <w:rsid w:val="00F425AB"/>
    <w:rsid w:val="00F426AA"/>
    <w:rsid w:val="00F426F7"/>
    <w:rsid w:val="00F42929"/>
    <w:rsid w:val="00F42938"/>
    <w:rsid w:val="00F4295D"/>
    <w:rsid w:val="00F42C10"/>
    <w:rsid w:val="00F42D39"/>
    <w:rsid w:val="00F42E7A"/>
    <w:rsid w:val="00F42EE2"/>
    <w:rsid w:val="00F42FD7"/>
    <w:rsid w:val="00F42FDA"/>
    <w:rsid w:val="00F430A7"/>
    <w:rsid w:val="00F43132"/>
    <w:rsid w:val="00F431E7"/>
    <w:rsid w:val="00F43203"/>
    <w:rsid w:val="00F432A0"/>
    <w:rsid w:val="00F432B2"/>
    <w:rsid w:val="00F432D4"/>
    <w:rsid w:val="00F432D8"/>
    <w:rsid w:val="00F433E9"/>
    <w:rsid w:val="00F43556"/>
    <w:rsid w:val="00F435CE"/>
    <w:rsid w:val="00F43709"/>
    <w:rsid w:val="00F437B9"/>
    <w:rsid w:val="00F4383A"/>
    <w:rsid w:val="00F43866"/>
    <w:rsid w:val="00F43881"/>
    <w:rsid w:val="00F4396C"/>
    <w:rsid w:val="00F43A5B"/>
    <w:rsid w:val="00F43A90"/>
    <w:rsid w:val="00F43D7C"/>
    <w:rsid w:val="00F43DDE"/>
    <w:rsid w:val="00F44045"/>
    <w:rsid w:val="00F440AC"/>
    <w:rsid w:val="00F44242"/>
    <w:rsid w:val="00F442F8"/>
    <w:rsid w:val="00F443F1"/>
    <w:rsid w:val="00F444D2"/>
    <w:rsid w:val="00F4459A"/>
    <w:rsid w:val="00F4477C"/>
    <w:rsid w:val="00F44791"/>
    <w:rsid w:val="00F448A7"/>
    <w:rsid w:val="00F449B9"/>
    <w:rsid w:val="00F44A5F"/>
    <w:rsid w:val="00F44AD8"/>
    <w:rsid w:val="00F44BA3"/>
    <w:rsid w:val="00F44CCA"/>
    <w:rsid w:val="00F44EA9"/>
    <w:rsid w:val="00F4516E"/>
    <w:rsid w:val="00F4523F"/>
    <w:rsid w:val="00F452A1"/>
    <w:rsid w:val="00F453A5"/>
    <w:rsid w:val="00F4574B"/>
    <w:rsid w:val="00F4579C"/>
    <w:rsid w:val="00F4580B"/>
    <w:rsid w:val="00F45B71"/>
    <w:rsid w:val="00F45D2B"/>
    <w:rsid w:val="00F45DC2"/>
    <w:rsid w:val="00F45E93"/>
    <w:rsid w:val="00F45F6A"/>
    <w:rsid w:val="00F45F6B"/>
    <w:rsid w:val="00F45F89"/>
    <w:rsid w:val="00F46058"/>
    <w:rsid w:val="00F460DD"/>
    <w:rsid w:val="00F460F9"/>
    <w:rsid w:val="00F4615C"/>
    <w:rsid w:val="00F4615E"/>
    <w:rsid w:val="00F461F3"/>
    <w:rsid w:val="00F4642F"/>
    <w:rsid w:val="00F4645A"/>
    <w:rsid w:val="00F46490"/>
    <w:rsid w:val="00F464EE"/>
    <w:rsid w:val="00F46548"/>
    <w:rsid w:val="00F4678E"/>
    <w:rsid w:val="00F4683C"/>
    <w:rsid w:val="00F4698F"/>
    <w:rsid w:val="00F469A0"/>
    <w:rsid w:val="00F46A34"/>
    <w:rsid w:val="00F46A6D"/>
    <w:rsid w:val="00F46AC4"/>
    <w:rsid w:val="00F46AE0"/>
    <w:rsid w:val="00F46B4B"/>
    <w:rsid w:val="00F46BA2"/>
    <w:rsid w:val="00F470BB"/>
    <w:rsid w:val="00F4719F"/>
    <w:rsid w:val="00F473B7"/>
    <w:rsid w:val="00F47511"/>
    <w:rsid w:val="00F47589"/>
    <w:rsid w:val="00F475BB"/>
    <w:rsid w:val="00F47674"/>
    <w:rsid w:val="00F4785B"/>
    <w:rsid w:val="00F478B7"/>
    <w:rsid w:val="00F479EC"/>
    <w:rsid w:val="00F47B43"/>
    <w:rsid w:val="00F47B6A"/>
    <w:rsid w:val="00F47C53"/>
    <w:rsid w:val="00F47D5A"/>
    <w:rsid w:val="00F500E8"/>
    <w:rsid w:val="00F501FC"/>
    <w:rsid w:val="00F503AB"/>
    <w:rsid w:val="00F5067F"/>
    <w:rsid w:val="00F50701"/>
    <w:rsid w:val="00F50782"/>
    <w:rsid w:val="00F50A39"/>
    <w:rsid w:val="00F50DDC"/>
    <w:rsid w:val="00F5106C"/>
    <w:rsid w:val="00F510DD"/>
    <w:rsid w:val="00F51195"/>
    <w:rsid w:val="00F51428"/>
    <w:rsid w:val="00F5147F"/>
    <w:rsid w:val="00F51499"/>
    <w:rsid w:val="00F51655"/>
    <w:rsid w:val="00F5181E"/>
    <w:rsid w:val="00F5182D"/>
    <w:rsid w:val="00F518D8"/>
    <w:rsid w:val="00F51934"/>
    <w:rsid w:val="00F51971"/>
    <w:rsid w:val="00F51AB4"/>
    <w:rsid w:val="00F51AD8"/>
    <w:rsid w:val="00F51BD1"/>
    <w:rsid w:val="00F51C18"/>
    <w:rsid w:val="00F51CF5"/>
    <w:rsid w:val="00F521FA"/>
    <w:rsid w:val="00F522AE"/>
    <w:rsid w:val="00F523B6"/>
    <w:rsid w:val="00F52420"/>
    <w:rsid w:val="00F52512"/>
    <w:rsid w:val="00F52557"/>
    <w:rsid w:val="00F525A8"/>
    <w:rsid w:val="00F52686"/>
    <w:rsid w:val="00F527C6"/>
    <w:rsid w:val="00F5289C"/>
    <w:rsid w:val="00F5292B"/>
    <w:rsid w:val="00F52C5D"/>
    <w:rsid w:val="00F52FA3"/>
    <w:rsid w:val="00F53100"/>
    <w:rsid w:val="00F53178"/>
    <w:rsid w:val="00F53234"/>
    <w:rsid w:val="00F5333E"/>
    <w:rsid w:val="00F53750"/>
    <w:rsid w:val="00F53794"/>
    <w:rsid w:val="00F53BDA"/>
    <w:rsid w:val="00F53C92"/>
    <w:rsid w:val="00F54063"/>
    <w:rsid w:val="00F54177"/>
    <w:rsid w:val="00F54646"/>
    <w:rsid w:val="00F546C3"/>
    <w:rsid w:val="00F54749"/>
    <w:rsid w:val="00F54776"/>
    <w:rsid w:val="00F54798"/>
    <w:rsid w:val="00F547B0"/>
    <w:rsid w:val="00F54915"/>
    <w:rsid w:val="00F54CA7"/>
    <w:rsid w:val="00F54DE3"/>
    <w:rsid w:val="00F54F1F"/>
    <w:rsid w:val="00F552EA"/>
    <w:rsid w:val="00F5554C"/>
    <w:rsid w:val="00F55634"/>
    <w:rsid w:val="00F5564B"/>
    <w:rsid w:val="00F556A5"/>
    <w:rsid w:val="00F556F5"/>
    <w:rsid w:val="00F55972"/>
    <w:rsid w:val="00F55983"/>
    <w:rsid w:val="00F55A63"/>
    <w:rsid w:val="00F55C76"/>
    <w:rsid w:val="00F55D74"/>
    <w:rsid w:val="00F55DFE"/>
    <w:rsid w:val="00F55FEE"/>
    <w:rsid w:val="00F560D8"/>
    <w:rsid w:val="00F56166"/>
    <w:rsid w:val="00F56247"/>
    <w:rsid w:val="00F56337"/>
    <w:rsid w:val="00F56350"/>
    <w:rsid w:val="00F563FD"/>
    <w:rsid w:val="00F566B2"/>
    <w:rsid w:val="00F567AE"/>
    <w:rsid w:val="00F56924"/>
    <w:rsid w:val="00F56981"/>
    <w:rsid w:val="00F56BF0"/>
    <w:rsid w:val="00F570D1"/>
    <w:rsid w:val="00F570EF"/>
    <w:rsid w:val="00F571B1"/>
    <w:rsid w:val="00F574FB"/>
    <w:rsid w:val="00F57647"/>
    <w:rsid w:val="00F57675"/>
    <w:rsid w:val="00F576A3"/>
    <w:rsid w:val="00F57830"/>
    <w:rsid w:val="00F578ED"/>
    <w:rsid w:val="00F57961"/>
    <w:rsid w:val="00F57DB1"/>
    <w:rsid w:val="00F57E33"/>
    <w:rsid w:val="00F57E52"/>
    <w:rsid w:val="00F57FFD"/>
    <w:rsid w:val="00F5F2B8"/>
    <w:rsid w:val="00F60054"/>
    <w:rsid w:val="00F600DE"/>
    <w:rsid w:val="00F60122"/>
    <w:rsid w:val="00F601DD"/>
    <w:rsid w:val="00F6029C"/>
    <w:rsid w:val="00F604B2"/>
    <w:rsid w:val="00F6061D"/>
    <w:rsid w:val="00F6080B"/>
    <w:rsid w:val="00F60849"/>
    <w:rsid w:val="00F608E7"/>
    <w:rsid w:val="00F608F7"/>
    <w:rsid w:val="00F60916"/>
    <w:rsid w:val="00F60A59"/>
    <w:rsid w:val="00F60ACF"/>
    <w:rsid w:val="00F60B45"/>
    <w:rsid w:val="00F60B88"/>
    <w:rsid w:val="00F60CA6"/>
    <w:rsid w:val="00F60FC4"/>
    <w:rsid w:val="00F610F0"/>
    <w:rsid w:val="00F61103"/>
    <w:rsid w:val="00F61172"/>
    <w:rsid w:val="00F612FC"/>
    <w:rsid w:val="00F615B6"/>
    <w:rsid w:val="00F61761"/>
    <w:rsid w:val="00F61771"/>
    <w:rsid w:val="00F61786"/>
    <w:rsid w:val="00F61B17"/>
    <w:rsid w:val="00F61B77"/>
    <w:rsid w:val="00F61CEC"/>
    <w:rsid w:val="00F61D7D"/>
    <w:rsid w:val="00F61DD3"/>
    <w:rsid w:val="00F61DE2"/>
    <w:rsid w:val="00F61EFA"/>
    <w:rsid w:val="00F61F98"/>
    <w:rsid w:val="00F62197"/>
    <w:rsid w:val="00F621B4"/>
    <w:rsid w:val="00F6245D"/>
    <w:rsid w:val="00F62629"/>
    <w:rsid w:val="00F62785"/>
    <w:rsid w:val="00F62882"/>
    <w:rsid w:val="00F62917"/>
    <w:rsid w:val="00F629A3"/>
    <w:rsid w:val="00F629B4"/>
    <w:rsid w:val="00F62A61"/>
    <w:rsid w:val="00F62C82"/>
    <w:rsid w:val="00F62CF3"/>
    <w:rsid w:val="00F62FF0"/>
    <w:rsid w:val="00F63030"/>
    <w:rsid w:val="00F6305F"/>
    <w:rsid w:val="00F630AF"/>
    <w:rsid w:val="00F6330A"/>
    <w:rsid w:val="00F634A3"/>
    <w:rsid w:val="00F634B3"/>
    <w:rsid w:val="00F63614"/>
    <w:rsid w:val="00F6366C"/>
    <w:rsid w:val="00F6377B"/>
    <w:rsid w:val="00F63804"/>
    <w:rsid w:val="00F63AC1"/>
    <w:rsid w:val="00F63BF0"/>
    <w:rsid w:val="00F63CF4"/>
    <w:rsid w:val="00F63D08"/>
    <w:rsid w:val="00F63D52"/>
    <w:rsid w:val="00F63DA7"/>
    <w:rsid w:val="00F63E46"/>
    <w:rsid w:val="00F63F21"/>
    <w:rsid w:val="00F64058"/>
    <w:rsid w:val="00F6415D"/>
    <w:rsid w:val="00F6416F"/>
    <w:rsid w:val="00F64189"/>
    <w:rsid w:val="00F64258"/>
    <w:rsid w:val="00F6461D"/>
    <w:rsid w:val="00F6461F"/>
    <w:rsid w:val="00F646F4"/>
    <w:rsid w:val="00F6471D"/>
    <w:rsid w:val="00F647A7"/>
    <w:rsid w:val="00F647DA"/>
    <w:rsid w:val="00F6487E"/>
    <w:rsid w:val="00F648CE"/>
    <w:rsid w:val="00F64A43"/>
    <w:rsid w:val="00F64A9F"/>
    <w:rsid w:val="00F64AB5"/>
    <w:rsid w:val="00F64AD5"/>
    <w:rsid w:val="00F64B34"/>
    <w:rsid w:val="00F64C20"/>
    <w:rsid w:val="00F64C55"/>
    <w:rsid w:val="00F64CDE"/>
    <w:rsid w:val="00F64F8F"/>
    <w:rsid w:val="00F64FFF"/>
    <w:rsid w:val="00F650EC"/>
    <w:rsid w:val="00F6511B"/>
    <w:rsid w:val="00F6512D"/>
    <w:rsid w:val="00F6519A"/>
    <w:rsid w:val="00F651DB"/>
    <w:rsid w:val="00F652CD"/>
    <w:rsid w:val="00F65317"/>
    <w:rsid w:val="00F654B2"/>
    <w:rsid w:val="00F65699"/>
    <w:rsid w:val="00F6579E"/>
    <w:rsid w:val="00F658B5"/>
    <w:rsid w:val="00F65952"/>
    <w:rsid w:val="00F65C06"/>
    <w:rsid w:val="00F65CF2"/>
    <w:rsid w:val="00F65DFB"/>
    <w:rsid w:val="00F65F65"/>
    <w:rsid w:val="00F65FFB"/>
    <w:rsid w:val="00F661ED"/>
    <w:rsid w:val="00F66311"/>
    <w:rsid w:val="00F664D8"/>
    <w:rsid w:val="00F66687"/>
    <w:rsid w:val="00F66821"/>
    <w:rsid w:val="00F669EA"/>
    <w:rsid w:val="00F66B7E"/>
    <w:rsid w:val="00F66C0C"/>
    <w:rsid w:val="00F66C78"/>
    <w:rsid w:val="00F66C95"/>
    <w:rsid w:val="00F66CD0"/>
    <w:rsid w:val="00F66D6B"/>
    <w:rsid w:val="00F66EE2"/>
    <w:rsid w:val="00F66EFE"/>
    <w:rsid w:val="00F67166"/>
    <w:rsid w:val="00F67268"/>
    <w:rsid w:val="00F6735E"/>
    <w:rsid w:val="00F673E0"/>
    <w:rsid w:val="00F67464"/>
    <w:rsid w:val="00F674EC"/>
    <w:rsid w:val="00F67549"/>
    <w:rsid w:val="00F6759A"/>
    <w:rsid w:val="00F675D3"/>
    <w:rsid w:val="00F675ED"/>
    <w:rsid w:val="00F67630"/>
    <w:rsid w:val="00F67742"/>
    <w:rsid w:val="00F677D0"/>
    <w:rsid w:val="00F67864"/>
    <w:rsid w:val="00F67ADA"/>
    <w:rsid w:val="00F67B95"/>
    <w:rsid w:val="00F67BB8"/>
    <w:rsid w:val="00F67E47"/>
    <w:rsid w:val="00F67E56"/>
    <w:rsid w:val="00F697C5"/>
    <w:rsid w:val="00F70124"/>
    <w:rsid w:val="00F70266"/>
    <w:rsid w:val="00F7036E"/>
    <w:rsid w:val="00F70469"/>
    <w:rsid w:val="00F70514"/>
    <w:rsid w:val="00F7053A"/>
    <w:rsid w:val="00F7057C"/>
    <w:rsid w:val="00F7072D"/>
    <w:rsid w:val="00F708B4"/>
    <w:rsid w:val="00F70917"/>
    <w:rsid w:val="00F70B00"/>
    <w:rsid w:val="00F70BD8"/>
    <w:rsid w:val="00F70BEB"/>
    <w:rsid w:val="00F70D15"/>
    <w:rsid w:val="00F70DE4"/>
    <w:rsid w:val="00F71085"/>
    <w:rsid w:val="00F7128A"/>
    <w:rsid w:val="00F71364"/>
    <w:rsid w:val="00F7149F"/>
    <w:rsid w:val="00F714C1"/>
    <w:rsid w:val="00F71565"/>
    <w:rsid w:val="00F717AF"/>
    <w:rsid w:val="00F717D7"/>
    <w:rsid w:val="00F717FA"/>
    <w:rsid w:val="00F718D1"/>
    <w:rsid w:val="00F71A42"/>
    <w:rsid w:val="00F71BF8"/>
    <w:rsid w:val="00F71C24"/>
    <w:rsid w:val="00F71C6E"/>
    <w:rsid w:val="00F71D6E"/>
    <w:rsid w:val="00F71E1A"/>
    <w:rsid w:val="00F71EF5"/>
    <w:rsid w:val="00F71FEC"/>
    <w:rsid w:val="00F72122"/>
    <w:rsid w:val="00F72183"/>
    <w:rsid w:val="00F72244"/>
    <w:rsid w:val="00F722AE"/>
    <w:rsid w:val="00F724BF"/>
    <w:rsid w:val="00F7266A"/>
    <w:rsid w:val="00F727E2"/>
    <w:rsid w:val="00F728FE"/>
    <w:rsid w:val="00F72AFB"/>
    <w:rsid w:val="00F72D93"/>
    <w:rsid w:val="00F72E35"/>
    <w:rsid w:val="00F72F29"/>
    <w:rsid w:val="00F7320F"/>
    <w:rsid w:val="00F7331A"/>
    <w:rsid w:val="00F73391"/>
    <w:rsid w:val="00F73454"/>
    <w:rsid w:val="00F73609"/>
    <w:rsid w:val="00F736CA"/>
    <w:rsid w:val="00F737AC"/>
    <w:rsid w:val="00F738C5"/>
    <w:rsid w:val="00F7392C"/>
    <w:rsid w:val="00F73A45"/>
    <w:rsid w:val="00F73AC4"/>
    <w:rsid w:val="00F73B04"/>
    <w:rsid w:val="00F73D83"/>
    <w:rsid w:val="00F73DA5"/>
    <w:rsid w:val="00F73E71"/>
    <w:rsid w:val="00F73E9E"/>
    <w:rsid w:val="00F7427B"/>
    <w:rsid w:val="00F742E1"/>
    <w:rsid w:val="00F7443A"/>
    <w:rsid w:val="00F744B5"/>
    <w:rsid w:val="00F7458C"/>
    <w:rsid w:val="00F745B4"/>
    <w:rsid w:val="00F745BF"/>
    <w:rsid w:val="00F745E8"/>
    <w:rsid w:val="00F74658"/>
    <w:rsid w:val="00F74784"/>
    <w:rsid w:val="00F7485A"/>
    <w:rsid w:val="00F74B7D"/>
    <w:rsid w:val="00F74BF9"/>
    <w:rsid w:val="00F74D52"/>
    <w:rsid w:val="00F74DD9"/>
    <w:rsid w:val="00F74DDE"/>
    <w:rsid w:val="00F74E76"/>
    <w:rsid w:val="00F74FE7"/>
    <w:rsid w:val="00F75441"/>
    <w:rsid w:val="00F7552E"/>
    <w:rsid w:val="00F755BA"/>
    <w:rsid w:val="00F75771"/>
    <w:rsid w:val="00F757E9"/>
    <w:rsid w:val="00F758A3"/>
    <w:rsid w:val="00F75A6A"/>
    <w:rsid w:val="00F75AE4"/>
    <w:rsid w:val="00F75B3B"/>
    <w:rsid w:val="00F75BDF"/>
    <w:rsid w:val="00F75CA8"/>
    <w:rsid w:val="00F75CE2"/>
    <w:rsid w:val="00F75D08"/>
    <w:rsid w:val="00F75FBC"/>
    <w:rsid w:val="00F75FF4"/>
    <w:rsid w:val="00F76000"/>
    <w:rsid w:val="00F76056"/>
    <w:rsid w:val="00F7632E"/>
    <w:rsid w:val="00F764F7"/>
    <w:rsid w:val="00F7651E"/>
    <w:rsid w:val="00F7665E"/>
    <w:rsid w:val="00F76691"/>
    <w:rsid w:val="00F766D2"/>
    <w:rsid w:val="00F766E5"/>
    <w:rsid w:val="00F76961"/>
    <w:rsid w:val="00F76A6C"/>
    <w:rsid w:val="00F76A73"/>
    <w:rsid w:val="00F76C30"/>
    <w:rsid w:val="00F76D49"/>
    <w:rsid w:val="00F76D52"/>
    <w:rsid w:val="00F76DE0"/>
    <w:rsid w:val="00F76F38"/>
    <w:rsid w:val="00F76FC6"/>
    <w:rsid w:val="00F76FC7"/>
    <w:rsid w:val="00F77076"/>
    <w:rsid w:val="00F770ED"/>
    <w:rsid w:val="00F7711E"/>
    <w:rsid w:val="00F77212"/>
    <w:rsid w:val="00F7732E"/>
    <w:rsid w:val="00F77394"/>
    <w:rsid w:val="00F7747B"/>
    <w:rsid w:val="00F77665"/>
    <w:rsid w:val="00F77705"/>
    <w:rsid w:val="00F777FB"/>
    <w:rsid w:val="00F77854"/>
    <w:rsid w:val="00F77A26"/>
    <w:rsid w:val="00F77A81"/>
    <w:rsid w:val="00F77B0A"/>
    <w:rsid w:val="00F77BEB"/>
    <w:rsid w:val="00F77C25"/>
    <w:rsid w:val="00F77E45"/>
    <w:rsid w:val="00F77F6F"/>
    <w:rsid w:val="00F78F55"/>
    <w:rsid w:val="00F7C315"/>
    <w:rsid w:val="00F800D1"/>
    <w:rsid w:val="00F801F9"/>
    <w:rsid w:val="00F80201"/>
    <w:rsid w:val="00F80224"/>
    <w:rsid w:val="00F803EC"/>
    <w:rsid w:val="00F80A7A"/>
    <w:rsid w:val="00F80B7F"/>
    <w:rsid w:val="00F80BE8"/>
    <w:rsid w:val="00F80F4B"/>
    <w:rsid w:val="00F81072"/>
    <w:rsid w:val="00F81093"/>
    <w:rsid w:val="00F81173"/>
    <w:rsid w:val="00F81262"/>
    <w:rsid w:val="00F812D4"/>
    <w:rsid w:val="00F81339"/>
    <w:rsid w:val="00F813E4"/>
    <w:rsid w:val="00F81494"/>
    <w:rsid w:val="00F8157F"/>
    <w:rsid w:val="00F8159E"/>
    <w:rsid w:val="00F815ED"/>
    <w:rsid w:val="00F817F4"/>
    <w:rsid w:val="00F818EE"/>
    <w:rsid w:val="00F819EA"/>
    <w:rsid w:val="00F81A43"/>
    <w:rsid w:val="00F81A61"/>
    <w:rsid w:val="00F81B0A"/>
    <w:rsid w:val="00F81CAC"/>
    <w:rsid w:val="00F81D10"/>
    <w:rsid w:val="00F81D6E"/>
    <w:rsid w:val="00F81DD1"/>
    <w:rsid w:val="00F81DED"/>
    <w:rsid w:val="00F81EAB"/>
    <w:rsid w:val="00F81EC3"/>
    <w:rsid w:val="00F81F96"/>
    <w:rsid w:val="00F8219B"/>
    <w:rsid w:val="00F821D4"/>
    <w:rsid w:val="00F82205"/>
    <w:rsid w:val="00F823BA"/>
    <w:rsid w:val="00F823DE"/>
    <w:rsid w:val="00F8242B"/>
    <w:rsid w:val="00F8248F"/>
    <w:rsid w:val="00F824B9"/>
    <w:rsid w:val="00F825A3"/>
    <w:rsid w:val="00F826F4"/>
    <w:rsid w:val="00F82700"/>
    <w:rsid w:val="00F82777"/>
    <w:rsid w:val="00F8285D"/>
    <w:rsid w:val="00F828EE"/>
    <w:rsid w:val="00F828F6"/>
    <w:rsid w:val="00F82B69"/>
    <w:rsid w:val="00F82D3B"/>
    <w:rsid w:val="00F82D6A"/>
    <w:rsid w:val="00F82F57"/>
    <w:rsid w:val="00F82F91"/>
    <w:rsid w:val="00F82FC5"/>
    <w:rsid w:val="00F82FCA"/>
    <w:rsid w:val="00F83064"/>
    <w:rsid w:val="00F83091"/>
    <w:rsid w:val="00F830D5"/>
    <w:rsid w:val="00F832AE"/>
    <w:rsid w:val="00F832FA"/>
    <w:rsid w:val="00F8339C"/>
    <w:rsid w:val="00F833CB"/>
    <w:rsid w:val="00F834AC"/>
    <w:rsid w:val="00F835C5"/>
    <w:rsid w:val="00F83876"/>
    <w:rsid w:val="00F83900"/>
    <w:rsid w:val="00F83C54"/>
    <w:rsid w:val="00F83D36"/>
    <w:rsid w:val="00F83DE4"/>
    <w:rsid w:val="00F83E12"/>
    <w:rsid w:val="00F83E71"/>
    <w:rsid w:val="00F84361"/>
    <w:rsid w:val="00F843D2"/>
    <w:rsid w:val="00F843F8"/>
    <w:rsid w:val="00F8447F"/>
    <w:rsid w:val="00F844DD"/>
    <w:rsid w:val="00F845F4"/>
    <w:rsid w:val="00F846F2"/>
    <w:rsid w:val="00F84714"/>
    <w:rsid w:val="00F84842"/>
    <w:rsid w:val="00F848D1"/>
    <w:rsid w:val="00F848EC"/>
    <w:rsid w:val="00F84917"/>
    <w:rsid w:val="00F84BFB"/>
    <w:rsid w:val="00F84D3F"/>
    <w:rsid w:val="00F8506B"/>
    <w:rsid w:val="00F8509F"/>
    <w:rsid w:val="00F852A3"/>
    <w:rsid w:val="00F852A8"/>
    <w:rsid w:val="00F852AB"/>
    <w:rsid w:val="00F85344"/>
    <w:rsid w:val="00F853C2"/>
    <w:rsid w:val="00F85426"/>
    <w:rsid w:val="00F8543B"/>
    <w:rsid w:val="00F854F9"/>
    <w:rsid w:val="00F85591"/>
    <w:rsid w:val="00F8566A"/>
    <w:rsid w:val="00F8568D"/>
    <w:rsid w:val="00F8572D"/>
    <w:rsid w:val="00F858F6"/>
    <w:rsid w:val="00F8596E"/>
    <w:rsid w:val="00F859D4"/>
    <w:rsid w:val="00F85B68"/>
    <w:rsid w:val="00F85B92"/>
    <w:rsid w:val="00F85E05"/>
    <w:rsid w:val="00F85E40"/>
    <w:rsid w:val="00F85E9B"/>
    <w:rsid w:val="00F85F21"/>
    <w:rsid w:val="00F86055"/>
    <w:rsid w:val="00F86064"/>
    <w:rsid w:val="00F86067"/>
    <w:rsid w:val="00F862B5"/>
    <w:rsid w:val="00F863EF"/>
    <w:rsid w:val="00F863F3"/>
    <w:rsid w:val="00F8647B"/>
    <w:rsid w:val="00F86546"/>
    <w:rsid w:val="00F86548"/>
    <w:rsid w:val="00F86764"/>
    <w:rsid w:val="00F867AE"/>
    <w:rsid w:val="00F867C6"/>
    <w:rsid w:val="00F868FF"/>
    <w:rsid w:val="00F869D0"/>
    <w:rsid w:val="00F869DF"/>
    <w:rsid w:val="00F86AD1"/>
    <w:rsid w:val="00F86B90"/>
    <w:rsid w:val="00F86B9A"/>
    <w:rsid w:val="00F86B9D"/>
    <w:rsid w:val="00F86CFB"/>
    <w:rsid w:val="00F86D7A"/>
    <w:rsid w:val="00F86E03"/>
    <w:rsid w:val="00F86EAC"/>
    <w:rsid w:val="00F870C2"/>
    <w:rsid w:val="00F87112"/>
    <w:rsid w:val="00F871F5"/>
    <w:rsid w:val="00F87276"/>
    <w:rsid w:val="00F8744A"/>
    <w:rsid w:val="00F87519"/>
    <w:rsid w:val="00F8758B"/>
    <w:rsid w:val="00F87791"/>
    <w:rsid w:val="00F877C0"/>
    <w:rsid w:val="00F877C9"/>
    <w:rsid w:val="00F87A0E"/>
    <w:rsid w:val="00F87B1B"/>
    <w:rsid w:val="00F87BEF"/>
    <w:rsid w:val="00F87C29"/>
    <w:rsid w:val="00F87F3E"/>
    <w:rsid w:val="00F87F78"/>
    <w:rsid w:val="00F8803A"/>
    <w:rsid w:val="00F8CE09"/>
    <w:rsid w:val="00F90028"/>
    <w:rsid w:val="00F9008E"/>
    <w:rsid w:val="00F90310"/>
    <w:rsid w:val="00F90324"/>
    <w:rsid w:val="00F903F5"/>
    <w:rsid w:val="00F90460"/>
    <w:rsid w:val="00F90581"/>
    <w:rsid w:val="00F905D2"/>
    <w:rsid w:val="00F905F2"/>
    <w:rsid w:val="00F906B1"/>
    <w:rsid w:val="00F907EE"/>
    <w:rsid w:val="00F90825"/>
    <w:rsid w:val="00F90902"/>
    <w:rsid w:val="00F90A24"/>
    <w:rsid w:val="00F90BAA"/>
    <w:rsid w:val="00F90C86"/>
    <w:rsid w:val="00F90CA1"/>
    <w:rsid w:val="00F90CC8"/>
    <w:rsid w:val="00F90DAB"/>
    <w:rsid w:val="00F90E29"/>
    <w:rsid w:val="00F90E55"/>
    <w:rsid w:val="00F90F02"/>
    <w:rsid w:val="00F91004"/>
    <w:rsid w:val="00F91035"/>
    <w:rsid w:val="00F9104A"/>
    <w:rsid w:val="00F91210"/>
    <w:rsid w:val="00F912E8"/>
    <w:rsid w:val="00F91335"/>
    <w:rsid w:val="00F913A4"/>
    <w:rsid w:val="00F914AC"/>
    <w:rsid w:val="00F914CD"/>
    <w:rsid w:val="00F9161A"/>
    <w:rsid w:val="00F91662"/>
    <w:rsid w:val="00F916BD"/>
    <w:rsid w:val="00F91821"/>
    <w:rsid w:val="00F918B0"/>
    <w:rsid w:val="00F9195C"/>
    <w:rsid w:val="00F91A1E"/>
    <w:rsid w:val="00F91B3C"/>
    <w:rsid w:val="00F91C4C"/>
    <w:rsid w:val="00F91CA7"/>
    <w:rsid w:val="00F91CB6"/>
    <w:rsid w:val="00F91D62"/>
    <w:rsid w:val="00F91D7F"/>
    <w:rsid w:val="00F91DE8"/>
    <w:rsid w:val="00F91E59"/>
    <w:rsid w:val="00F91E67"/>
    <w:rsid w:val="00F91FF0"/>
    <w:rsid w:val="00F91FF8"/>
    <w:rsid w:val="00F92471"/>
    <w:rsid w:val="00F92485"/>
    <w:rsid w:val="00F9255F"/>
    <w:rsid w:val="00F925BD"/>
    <w:rsid w:val="00F925FC"/>
    <w:rsid w:val="00F9264E"/>
    <w:rsid w:val="00F9269A"/>
    <w:rsid w:val="00F92830"/>
    <w:rsid w:val="00F92902"/>
    <w:rsid w:val="00F92955"/>
    <w:rsid w:val="00F92A0D"/>
    <w:rsid w:val="00F92C29"/>
    <w:rsid w:val="00F92C30"/>
    <w:rsid w:val="00F92DD5"/>
    <w:rsid w:val="00F92EA2"/>
    <w:rsid w:val="00F92EAE"/>
    <w:rsid w:val="00F930D4"/>
    <w:rsid w:val="00F932E9"/>
    <w:rsid w:val="00F9341F"/>
    <w:rsid w:val="00F9348F"/>
    <w:rsid w:val="00F934FC"/>
    <w:rsid w:val="00F935B2"/>
    <w:rsid w:val="00F93718"/>
    <w:rsid w:val="00F93766"/>
    <w:rsid w:val="00F93787"/>
    <w:rsid w:val="00F938EE"/>
    <w:rsid w:val="00F939D0"/>
    <w:rsid w:val="00F93B4D"/>
    <w:rsid w:val="00F93CA4"/>
    <w:rsid w:val="00F93D30"/>
    <w:rsid w:val="00F93FE2"/>
    <w:rsid w:val="00F941A9"/>
    <w:rsid w:val="00F94493"/>
    <w:rsid w:val="00F94749"/>
    <w:rsid w:val="00F94793"/>
    <w:rsid w:val="00F94832"/>
    <w:rsid w:val="00F948CA"/>
    <w:rsid w:val="00F9491C"/>
    <w:rsid w:val="00F9499F"/>
    <w:rsid w:val="00F949F4"/>
    <w:rsid w:val="00F94A41"/>
    <w:rsid w:val="00F94A86"/>
    <w:rsid w:val="00F94AFD"/>
    <w:rsid w:val="00F94C17"/>
    <w:rsid w:val="00F94F38"/>
    <w:rsid w:val="00F950B0"/>
    <w:rsid w:val="00F95153"/>
    <w:rsid w:val="00F951F0"/>
    <w:rsid w:val="00F952B8"/>
    <w:rsid w:val="00F9531A"/>
    <w:rsid w:val="00F954DC"/>
    <w:rsid w:val="00F95536"/>
    <w:rsid w:val="00F95637"/>
    <w:rsid w:val="00F9566C"/>
    <w:rsid w:val="00F958E6"/>
    <w:rsid w:val="00F95A6F"/>
    <w:rsid w:val="00F95B5D"/>
    <w:rsid w:val="00F95B8E"/>
    <w:rsid w:val="00F95D9A"/>
    <w:rsid w:val="00F95DB9"/>
    <w:rsid w:val="00F95DBA"/>
    <w:rsid w:val="00F95E5D"/>
    <w:rsid w:val="00F95EAC"/>
    <w:rsid w:val="00F95ED5"/>
    <w:rsid w:val="00F95FC9"/>
    <w:rsid w:val="00F96034"/>
    <w:rsid w:val="00F96040"/>
    <w:rsid w:val="00F963F1"/>
    <w:rsid w:val="00F964A6"/>
    <w:rsid w:val="00F9657A"/>
    <w:rsid w:val="00F96592"/>
    <w:rsid w:val="00F96766"/>
    <w:rsid w:val="00F96795"/>
    <w:rsid w:val="00F9694A"/>
    <w:rsid w:val="00F96AD9"/>
    <w:rsid w:val="00F96C67"/>
    <w:rsid w:val="00F96D4F"/>
    <w:rsid w:val="00F970F2"/>
    <w:rsid w:val="00F97456"/>
    <w:rsid w:val="00F97498"/>
    <w:rsid w:val="00F975DC"/>
    <w:rsid w:val="00F976B8"/>
    <w:rsid w:val="00F97AF7"/>
    <w:rsid w:val="00F97BFF"/>
    <w:rsid w:val="00F97D54"/>
    <w:rsid w:val="00F97E11"/>
    <w:rsid w:val="00F97E49"/>
    <w:rsid w:val="00F97ED3"/>
    <w:rsid w:val="00F97F36"/>
    <w:rsid w:val="00F9D324"/>
    <w:rsid w:val="00F9EF8F"/>
    <w:rsid w:val="00FA006A"/>
    <w:rsid w:val="00FA00DF"/>
    <w:rsid w:val="00FA00E3"/>
    <w:rsid w:val="00FA02BF"/>
    <w:rsid w:val="00FA042E"/>
    <w:rsid w:val="00FA05AF"/>
    <w:rsid w:val="00FA05C0"/>
    <w:rsid w:val="00FA0747"/>
    <w:rsid w:val="00FA094D"/>
    <w:rsid w:val="00FA0960"/>
    <w:rsid w:val="00FA0998"/>
    <w:rsid w:val="00FA0BC2"/>
    <w:rsid w:val="00FA0C68"/>
    <w:rsid w:val="00FA0C96"/>
    <w:rsid w:val="00FA0DFC"/>
    <w:rsid w:val="00FA104E"/>
    <w:rsid w:val="00FA108A"/>
    <w:rsid w:val="00FA1159"/>
    <w:rsid w:val="00FA11AC"/>
    <w:rsid w:val="00FA152F"/>
    <w:rsid w:val="00FA16C6"/>
    <w:rsid w:val="00FA1701"/>
    <w:rsid w:val="00FA1AB2"/>
    <w:rsid w:val="00FA1B9F"/>
    <w:rsid w:val="00FA1BEA"/>
    <w:rsid w:val="00FA1D20"/>
    <w:rsid w:val="00FA1EB7"/>
    <w:rsid w:val="00FA1FA6"/>
    <w:rsid w:val="00FA2369"/>
    <w:rsid w:val="00FA23D7"/>
    <w:rsid w:val="00FA266C"/>
    <w:rsid w:val="00FA28DF"/>
    <w:rsid w:val="00FA2A37"/>
    <w:rsid w:val="00FA2AB7"/>
    <w:rsid w:val="00FA2AC6"/>
    <w:rsid w:val="00FA2C0D"/>
    <w:rsid w:val="00FA2C79"/>
    <w:rsid w:val="00FA2D5B"/>
    <w:rsid w:val="00FA2D64"/>
    <w:rsid w:val="00FA2F6E"/>
    <w:rsid w:val="00FA3141"/>
    <w:rsid w:val="00FA3168"/>
    <w:rsid w:val="00FA31B6"/>
    <w:rsid w:val="00FA33A1"/>
    <w:rsid w:val="00FA3551"/>
    <w:rsid w:val="00FA36C0"/>
    <w:rsid w:val="00FA36D7"/>
    <w:rsid w:val="00FA37A0"/>
    <w:rsid w:val="00FA380B"/>
    <w:rsid w:val="00FA383F"/>
    <w:rsid w:val="00FA3971"/>
    <w:rsid w:val="00FA39CA"/>
    <w:rsid w:val="00FA3A31"/>
    <w:rsid w:val="00FA3B62"/>
    <w:rsid w:val="00FA3B67"/>
    <w:rsid w:val="00FA3B77"/>
    <w:rsid w:val="00FA3E04"/>
    <w:rsid w:val="00FA3E38"/>
    <w:rsid w:val="00FA3E44"/>
    <w:rsid w:val="00FA3EC2"/>
    <w:rsid w:val="00FA3FF4"/>
    <w:rsid w:val="00FA4147"/>
    <w:rsid w:val="00FA42F3"/>
    <w:rsid w:val="00FA4386"/>
    <w:rsid w:val="00FA4535"/>
    <w:rsid w:val="00FA458F"/>
    <w:rsid w:val="00FA45E0"/>
    <w:rsid w:val="00FA46F5"/>
    <w:rsid w:val="00FA4970"/>
    <w:rsid w:val="00FA4C0C"/>
    <w:rsid w:val="00FA4C10"/>
    <w:rsid w:val="00FA4D15"/>
    <w:rsid w:val="00FA4D5E"/>
    <w:rsid w:val="00FA4F3F"/>
    <w:rsid w:val="00FA4F67"/>
    <w:rsid w:val="00FA4FBF"/>
    <w:rsid w:val="00FA501C"/>
    <w:rsid w:val="00FA5049"/>
    <w:rsid w:val="00FA505B"/>
    <w:rsid w:val="00FA5070"/>
    <w:rsid w:val="00FA509C"/>
    <w:rsid w:val="00FA509F"/>
    <w:rsid w:val="00FA50C1"/>
    <w:rsid w:val="00FA50CD"/>
    <w:rsid w:val="00FA51A7"/>
    <w:rsid w:val="00FA52F2"/>
    <w:rsid w:val="00FA5329"/>
    <w:rsid w:val="00FA5360"/>
    <w:rsid w:val="00FA53A2"/>
    <w:rsid w:val="00FA5466"/>
    <w:rsid w:val="00FA5820"/>
    <w:rsid w:val="00FA585D"/>
    <w:rsid w:val="00FA58BE"/>
    <w:rsid w:val="00FA5918"/>
    <w:rsid w:val="00FA59D5"/>
    <w:rsid w:val="00FA5AB5"/>
    <w:rsid w:val="00FA5B61"/>
    <w:rsid w:val="00FA5BC9"/>
    <w:rsid w:val="00FA5BEA"/>
    <w:rsid w:val="00FA5CB5"/>
    <w:rsid w:val="00FA5D04"/>
    <w:rsid w:val="00FA5D37"/>
    <w:rsid w:val="00FA5DE9"/>
    <w:rsid w:val="00FA609B"/>
    <w:rsid w:val="00FA6233"/>
    <w:rsid w:val="00FA62A5"/>
    <w:rsid w:val="00FA6624"/>
    <w:rsid w:val="00FA66E8"/>
    <w:rsid w:val="00FA674E"/>
    <w:rsid w:val="00FA67E9"/>
    <w:rsid w:val="00FA67EF"/>
    <w:rsid w:val="00FA6826"/>
    <w:rsid w:val="00FA6ABA"/>
    <w:rsid w:val="00FA6C32"/>
    <w:rsid w:val="00FA6C8A"/>
    <w:rsid w:val="00FA6C9E"/>
    <w:rsid w:val="00FA6CAB"/>
    <w:rsid w:val="00FA6E0A"/>
    <w:rsid w:val="00FA6E4B"/>
    <w:rsid w:val="00FA6EA6"/>
    <w:rsid w:val="00FA7003"/>
    <w:rsid w:val="00FA7062"/>
    <w:rsid w:val="00FA70BE"/>
    <w:rsid w:val="00FA70DC"/>
    <w:rsid w:val="00FA7358"/>
    <w:rsid w:val="00FA7552"/>
    <w:rsid w:val="00FA75A8"/>
    <w:rsid w:val="00FA766D"/>
    <w:rsid w:val="00FA76F1"/>
    <w:rsid w:val="00FA7723"/>
    <w:rsid w:val="00FA7867"/>
    <w:rsid w:val="00FA7921"/>
    <w:rsid w:val="00FA79E0"/>
    <w:rsid w:val="00FA7B4F"/>
    <w:rsid w:val="00FA7CFB"/>
    <w:rsid w:val="00FA7D18"/>
    <w:rsid w:val="00FA7D51"/>
    <w:rsid w:val="00FA7DBD"/>
    <w:rsid w:val="00FA7DD6"/>
    <w:rsid w:val="00FA7E2E"/>
    <w:rsid w:val="00FA7E47"/>
    <w:rsid w:val="00FA7E60"/>
    <w:rsid w:val="00FB00B2"/>
    <w:rsid w:val="00FB01AC"/>
    <w:rsid w:val="00FB01E4"/>
    <w:rsid w:val="00FB027E"/>
    <w:rsid w:val="00FB03E1"/>
    <w:rsid w:val="00FB073F"/>
    <w:rsid w:val="00FB07E4"/>
    <w:rsid w:val="00FB080B"/>
    <w:rsid w:val="00FB0983"/>
    <w:rsid w:val="00FB0B46"/>
    <w:rsid w:val="00FB0D73"/>
    <w:rsid w:val="00FB0DF3"/>
    <w:rsid w:val="00FB0E6A"/>
    <w:rsid w:val="00FB0EA1"/>
    <w:rsid w:val="00FB0EBE"/>
    <w:rsid w:val="00FB1112"/>
    <w:rsid w:val="00FB1270"/>
    <w:rsid w:val="00FB1342"/>
    <w:rsid w:val="00FB1367"/>
    <w:rsid w:val="00FB1391"/>
    <w:rsid w:val="00FB13EB"/>
    <w:rsid w:val="00FB1639"/>
    <w:rsid w:val="00FB17B2"/>
    <w:rsid w:val="00FB17F7"/>
    <w:rsid w:val="00FB1825"/>
    <w:rsid w:val="00FB1851"/>
    <w:rsid w:val="00FB18F1"/>
    <w:rsid w:val="00FB192A"/>
    <w:rsid w:val="00FB19AE"/>
    <w:rsid w:val="00FB19B4"/>
    <w:rsid w:val="00FB19E9"/>
    <w:rsid w:val="00FB1A83"/>
    <w:rsid w:val="00FB1B33"/>
    <w:rsid w:val="00FB1B9C"/>
    <w:rsid w:val="00FB1C32"/>
    <w:rsid w:val="00FB1CF4"/>
    <w:rsid w:val="00FB1D87"/>
    <w:rsid w:val="00FB1E52"/>
    <w:rsid w:val="00FB2026"/>
    <w:rsid w:val="00FB20C7"/>
    <w:rsid w:val="00FB21CF"/>
    <w:rsid w:val="00FB22BE"/>
    <w:rsid w:val="00FB24E5"/>
    <w:rsid w:val="00FB2699"/>
    <w:rsid w:val="00FB26B4"/>
    <w:rsid w:val="00FB26D6"/>
    <w:rsid w:val="00FB285F"/>
    <w:rsid w:val="00FB28DE"/>
    <w:rsid w:val="00FB296C"/>
    <w:rsid w:val="00FB29A3"/>
    <w:rsid w:val="00FB29DA"/>
    <w:rsid w:val="00FB2A56"/>
    <w:rsid w:val="00FB2ACF"/>
    <w:rsid w:val="00FB2B60"/>
    <w:rsid w:val="00FB2BBE"/>
    <w:rsid w:val="00FB2BDC"/>
    <w:rsid w:val="00FB2D10"/>
    <w:rsid w:val="00FB2D87"/>
    <w:rsid w:val="00FB3094"/>
    <w:rsid w:val="00FB309E"/>
    <w:rsid w:val="00FB3143"/>
    <w:rsid w:val="00FB3153"/>
    <w:rsid w:val="00FB3224"/>
    <w:rsid w:val="00FB3250"/>
    <w:rsid w:val="00FB3406"/>
    <w:rsid w:val="00FB3441"/>
    <w:rsid w:val="00FB3445"/>
    <w:rsid w:val="00FB34BA"/>
    <w:rsid w:val="00FB34DC"/>
    <w:rsid w:val="00FB3593"/>
    <w:rsid w:val="00FB369D"/>
    <w:rsid w:val="00FB369F"/>
    <w:rsid w:val="00FB373E"/>
    <w:rsid w:val="00FB3813"/>
    <w:rsid w:val="00FB38AB"/>
    <w:rsid w:val="00FB3A34"/>
    <w:rsid w:val="00FB3C61"/>
    <w:rsid w:val="00FB3CC6"/>
    <w:rsid w:val="00FB3CDD"/>
    <w:rsid w:val="00FB3D28"/>
    <w:rsid w:val="00FB40A5"/>
    <w:rsid w:val="00FB411C"/>
    <w:rsid w:val="00FB414A"/>
    <w:rsid w:val="00FB41BD"/>
    <w:rsid w:val="00FB4307"/>
    <w:rsid w:val="00FB43C1"/>
    <w:rsid w:val="00FB4464"/>
    <w:rsid w:val="00FB458F"/>
    <w:rsid w:val="00FB45F2"/>
    <w:rsid w:val="00FB4649"/>
    <w:rsid w:val="00FB4655"/>
    <w:rsid w:val="00FB47B0"/>
    <w:rsid w:val="00FB49CC"/>
    <w:rsid w:val="00FB4ADF"/>
    <w:rsid w:val="00FB4B2F"/>
    <w:rsid w:val="00FB4C02"/>
    <w:rsid w:val="00FB4CD3"/>
    <w:rsid w:val="00FB4D23"/>
    <w:rsid w:val="00FB4E72"/>
    <w:rsid w:val="00FB4EFE"/>
    <w:rsid w:val="00FB4FEC"/>
    <w:rsid w:val="00FB5012"/>
    <w:rsid w:val="00FB5236"/>
    <w:rsid w:val="00FB529E"/>
    <w:rsid w:val="00FB52C3"/>
    <w:rsid w:val="00FB5344"/>
    <w:rsid w:val="00FB5403"/>
    <w:rsid w:val="00FB540C"/>
    <w:rsid w:val="00FB542C"/>
    <w:rsid w:val="00FB5708"/>
    <w:rsid w:val="00FB5715"/>
    <w:rsid w:val="00FB5749"/>
    <w:rsid w:val="00FB58C8"/>
    <w:rsid w:val="00FB5929"/>
    <w:rsid w:val="00FB5A1D"/>
    <w:rsid w:val="00FB5BE8"/>
    <w:rsid w:val="00FB5D25"/>
    <w:rsid w:val="00FB5E0A"/>
    <w:rsid w:val="00FB5E45"/>
    <w:rsid w:val="00FB5E6D"/>
    <w:rsid w:val="00FB5ECC"/>
    <w:rsid w:val="00FB5F4A"/>
    <w:rsid w:val="00FB5FAF"/>
    <w:rsid w:val="00FB5FEA"/>
    <w:rsid w:val="00FB6153"/>
    <w:rsid w:val="00FB625F"/>
    <w:rsid w:val="00FB62FC"/>
    <w:rsid w:val="00FB659C"/>
    <w:rsid w:val="00FB6785"/>
    <w:rsid w:val="00FB686B"/>
    <w:rsid w:val="00FB6ABD"/>
    <w:rsid w:val="00FB6CAF"/>
    <w:rsid w:val="00FB6CF5"/>
    <w:rsid w:val="00FB6D8A"/>
    <w:rsid w:val="00FB7060"/>
    <w:rsid w:val="00FB70E7"/>
    <w:rsid w:val="00FB71A1"/>
    <w:rsid w:val="00FB73A8"/>
    <w:rsid w:val="00FB73B9"/>
    <w:rsid w:val="00FB76AE"/>
    <w:rsid w:val="00FB78D6"/>
    <w:rsid w:val="00FB7944"/>
    <w:rsid w:val="00FB7BBD"/>
    <w:rsid w:val="00FB7CD4"/>
    <w:rsid w:val="00FB7D75"/>
    <w:rsid w:val="00FB7DBD"/>
    <w:rsid w:val="00FB7DC9"/>
    <w:rsid w:val="00FB7DF0"/>
    <w:rsid w:val="00FB7F9B"/>
    <w:rsid w:val="00FC0009"/>
    <w:rsid w:val="00FC0136"/>
    <w:rsid w:val="00FC0413"/>
    <w:rsid w:val="00FC072D"/>
    <w:rsid w:val="00FC07C1"/>
    <w:rsid w:val="00FC07CE"/>
    <w:rsid w:val="00FC08F2"/>
    <w:rsid w:val="00FC09AB"/>
    <w:rsid w:val="00FC09C1"/>
    <w:rsid w:val="00FC0A23"/>
    <w:rsid w:val="00FC0B33"/>
    <w:rsid w:val="00FC0C2E"/>
    <w:rsid w:val="00FC0CE9"/>
    <w:rsid w:val="00FC0D6D"/>
    <w:rsid w:val="00FC0D99"/>
    <w:rsid w:val="00FC0ED6"/>
    <w:rsid w:val="00FC0EDA"/>
    <w:rsid w:val="00FC0FA8"/>
    <w:rsid w:val="00FC103D"/>
    <w:rsid w:val="00FC107B"/>
    <w:rsid w:val="00FC10ED"/>
    <w:rsid w:val="00FC11CA"/>
    <w:rsid w:val="00FC1546"/>
    <w:rsid w:val="00FC1576"/>
    <w:rsid w:val="00FC1652"/>
    <w:rsid w:val="00FC1669"/>
    <w:rsid w:val="00FC17E4"/>
    <w:rsid w:val="00FC184A"/>
    <w:rsid w:val="00FC1879"/>
    <w:rsid w:val="00FC1920"/>
    <w:rsid w:val="00FC1B60"/>
    <w:rsid w:val="00FC1B9A"/>
    <w:rsid w:val="00FC1D51"/>
    <w:rsid w:val="00FC1EE9"/>
    <w:rsid w:val="00FC2100"/>
    <w:rsid w:val="00FC21E1"/>
    <w:rsid w:val="00FC221B"/>
    <w:rsid w:val="00FC23CE"/>
    <w:rsid w:val="00FC2468"/>
    <w:rsid w:val="00FC26BD"/>
    <w:rsid w:val="00FC2840"/>
    <w:rsid w:val="00FC289A"/>
    <w:rsid w:val="00FC29A3"/>
    <w:rsid w:val="00FC2D8C"/>
    <w:rsid w:val="00FC2FCE"/>
    <w:rsid w:val="00FC30C5"/>
    <w:rsid w:val="00FC34DF"/>
    <w:rsid w:val="00FC3626"/>
    <w:rsid w:val="00FC3652"/>
    <w:rsid w:val="00FC368A"/>
    <w:rsid w:val="00FC3732"/>
    <w:rsid w:val="00FC3809"/>
    <w:rsid w:val="00FC3908"/>
    <w:rsid w:val="00FC3946"/>
    <w:rsid w:val="00FC3948"/>
    <w:rsid w:val="00FC39C5"/>
    <w:rsid w:val="00FC3AFB"/>
    <w:rsid w:val="00FC3B2E"/>
    <w:rsid w:val="00FC3C79"/>
    <w:rsid w:val="00FC3D3C"/>
    <w:rsid w:val="00FC3F37"/>
    <w:rsid w:val="00FC41C9"/>
    <w:rsid w:val="00FC41FE"/>
    <w:rsid w:val="00FC4224"/>
    <w:rsid w:val="00FC42D0"/>
    <w:rsid w:val="00FC434D"/>
    <w:rsid w:val="00FC4357"/>
    <w:rsid w:val="00FC445A"/>
    <w:rsid w:val="00FC457C"/>
    <w:rsid w:val="00FC4666"/>
    <w:rsid w:val="00FC4756"/>
    <w:rsid w:val="00FC4792"/>
    <w:rsid w:val="00FC4962"/>
    <w:rsid w:val="00FC498E"/>
    <w:rsid w:val="00FC49F5"/>
    <w:rsid w:val="00FC4A44"/>
    <w:rsid w:val="00FC4A8D"/>
    <w:rsid w:val="00FC4E43"/>
    <w:rsid w:val="00FC4E80"/>
    <w:rsid w:val="00FC50E9"/>
    <w:rsid w:val="00FC5115"/>
    <w:rsid w:val="00FC5364"/>
    <w:rsid w:val="00FC5481"/>
    <w:rsid w:val="00FC5522"/>
    <w:rsid w:val="00FC5540"/>
    <w:rsid w:val="00FC5625"/>
    <w:rsid w:val="00FC56B9"/>
    <w:rsid w:val="00FC5751"/>
    <w:rsid w:val="00FC5977"/>
    <w:rsid w:val="00FC5A1F"/>
    <w:rsid w:val="00FC5A9D"/>
    <w:rsid w:val="00FC5B04"/>
    <w:rsid w:val="00FC5B4B"/>
    <w:rsid w:val="00FC5B57"/>
    <w:rsid w:val="00FC5B85"/>
    <w:rsid w:val="00FC5BCB"/>
    <w:rsid w:val="00FC5C93"/>
    <w:rsid w:val="00FC5C94"/>
    <w:rsid w:val="00FC5D5B"/>
    <w:rsid w:val="00FC5DFB"/>
    <w:rsid w:val="00FC5FAF"/>
    <w:rsid w:val="00FC60C3"/>
    <w:rsid w:val="00FC61B2"/>
    <w:rsid w:val="00FC6242"/>
    <w:rsid w:val="00FC6272"/>
    <w:rsid w:val="00FC62E2"/>
    <w:rsid w:val="00FC638A"/>
    <w:rsid w:val="00FC65D3"/>
    <w:rsid w:val="00FC661A"/>
    <w:rsid w:val="00FC66D6"/>
    <w:rsid w:val="00FC67BA"/>
    <w:rsid w:val="00FC67FF"/>
    <w:rsid w:val="00FC68A3"/>
    <w:rsid w:val="00FC6A8A"/>
    <w:rsid w:val="00FC6AAD"/>
    <w:rsid w:val="00FC6CC8"/>
    <w:rsid w:val="00FC6CEE"/>
    <w:rsid w:val="00FC6D1C"/>
    <w:rsid w:val="00FC6D4B"/>
    <w:rsid w:val="00FC6ED1"/>
    <w:rsid w:val="00FC6FE8"/>
    <w:rsid w:val="00FC7073"/>
    <w:rsid w:val="00FC7118"/>
    <w:rsid w:val="00FC715A"/>
    <w:rsid w:val="00FC71E3"/>
    <w:rsid w:val="00FC72EF"/>
    <w:rsid w:val="00FC73C0"/>
    <w:rsid w:val="00FC7407"/>
    <w:rsid w:val="00FC755E"/>
    <w:rsid w:val="00FC75CF"/>
    <w:rsid w:val="00FC75D9"/>
    <w:rsid w:val="00FC770A"/>
    <w:rsid w:val="00FC7973"/>
    <w:rsid w:val="00FC7A2C"/>
    <w:rsid w:val="00FC7AF6"/>
    <w:rsid w:val="00FC7C6E"/>
    <w:rsid w:val="00FC7CD7"/>
    <w:rsid w:val="00FC7DFF"/>
    <w:rsid w:val="00FC7E2E"/>
    <w:rsid w:val="00FC7E75"/>
    <w:rsid w:val="00FC7EAB"/>
    <w:rsid w:val="00FC7F41"/>
    <w:rsid w:val="00FC7F6E"/>
    <w:rsid w:val="00FC7FC1"/>
    <w:rsid w:val="00FC7FC9"/>
    <w:rsid w:val="00FC9FE3"/>
    <w:rsid w:val="00FCDB64"/>
    <w:rsid w:val="00FCDE66"/>
    <w:rsid w:val="00FD028B"/>
    <w:rsid w:val="00FD03F2"/>
    <w:rsid w:val="00FD041E"/>
    <w:rsid w:val="00FD044E"/>
    <w:rsid w:val="00FD0588"/>
    <w:rsid w:val="00FD0736"/>
    <w:rsid w:val="00FD0795"/>
    <w:rsid w:val="00FD0A70"/>
    <w:rsid w:val="00FD0A74"/>
    <w:rsid w:val="00FD0AEC"/>
    <w:rsid w:val="00FD0B25"/>
    <w:rsid w:val="00FD0DA4"/>
    <w:rsid w:val="00FD0DD2"/>
    <w:rsid w:val="00FD0DDF"/>
    <w:rsid w:val="00FD0E45"/>
    <w:rsid w:val="00FD0F8E"/>
    <w:rsid w:val="00FD0FBD"/>
    <w:rsid w:val="00FD1106"/>
    <w:rsid w:val="00FD11E7"/>
    <w:rsid w:val="00FD15A6"/>
    <w:rsid w:val="00FD1644"/>
    <w:rsid w:val="00FD1731"/>
    <w:rsid w:val="00FD1814"/>
    <w:rsid w:val="00FD189A"/>
    <w:rsid w:val="00FD1C4A"/>
    <w:rsid w:val="00FD1C65"/>
    <w:rsid w:val="00FD1E7A"/>
    <w:rsid w:val="00FD1FEF"/>
    <w:rsid w:val="00FD210F"/>
    <w:rsid w:val="00FD2117"/>
    <w:rsid w:val="00FD215B"/>
    <w:rsid w:val="00FD222D"/>
    <w:rsid w:val="00FD2262"/>
    <w:rsid w:val="00FD247F"/>
    <w:rsid w:val="00FD24EE"/>
    <w:rsid w:val="00FD2739"/>
    <w:rsid w:val="00FD2789"/>
    <w:rsid w:val="00FD287A"/>
    <w:rsid w:val="00FD289D"/>
    <w:rsid w:val="00FD28A7"/>
    <w:rsid w:val="00FD28D4"/>
    <w:rsid w:val="00FD2961"/>
    <w:rsid w:val="00FD2C37"/>
    <w:rsid w:val="00FD2CFB"/>
    <w:rsid w:val="00FD2D28"/>
    <w:rsid w:val="00FD2D48"/>
    <w:rsid w:val="00FD2E33"/>
    <w:rsid w:val="00FD2E76"/>
    <w:rsid w:val="00FD2F0E"/>
    <w:rsid w:val="00FD2F31"/>
    <w:rsid w:val="00FD2F48"/>
    <w:rsid w:val="00FD3072"/>
    <w:rsid w:val="00FD309B"/>
    <w:rsid w:val="00FD3249"/>
    <w:rsid w:val="00FD33B9"/>
    <w:rsid w:val="00FD353D"/>
    <w:rsid w:val="00FD35C9"/>
    <w:rsid w:val="00FD3847"/>
    <w:rsid w:val="00FD3A3D"/>
    <w:rsid w:val="00FD3A6B"/>
    <w:rsid w:val="00FD3BA2"/>
    <w:rsid w:val="00FD3C41"/>
    <w:rsid w:val="00FD3F30"/>
    <w:rsid w:val="00FD3FE8"/>
    <w:rsid w:val="00FD3FFC"/>
    <w:rsid w:val="00FD4125"/>
    <w:rsid w:val="00FD41CB"/>
    <w:rsid w:val="00FD423A"/>
    <w:rsid w:val="00FD4290"/>
    <w:rsid w:val="00FD42B4"/>
    <w:rsid w:val="00FD4341"/>
    <w:rsid w:val="00FD4344"/>
    <w:rsid w:val="00FD46A6"/>
    <w:rsid w:val="00FD47FB"/>
    <w:rsid w:val="00FD481C"/>
    <w:rsid w:val="00FD4C91"/>
    <w:rsid w:val="00FD4CD4"/>
    <w:rsid w:val="00FD4DAE"/>
    <w:rsid w:val="00FD4EE2"/>
    <w:rsid w:val="00FD5084"/>
    <w:rsid w:val="00FD508E"/>
    <w:rsid w:val="00FD520C"/>
    <w:rsid w:val="00FD5251"/>
    <w:rsid w:val="00FD5277"/>
    <w:rsid w:val="00FD531D"/>
    <w:rsid w:val="00FD5429"/>
    <w:rsid w:val="00FD5472"/>
    <w:rsid w:val="00FD54E2"/>
    <w:rsid w:val="00FD5526"/>
    <w:rsid w:val="00FD5898"/>
    <w:rsid w:val="00FD5A8F"/>
    <w:rsid w:val="00FD5B0D"/>
    <w:rsid w:val="00FD5D4D"/>
    <w:rsid w:val="00FD5DFA"/>
    <w:rsid w:val="00FD5E52"/>
    <w:rsid w:val="00FD5EEB"/>
    <w:rsid w:val="00FD5F93"/>
    <w:rsid w:val="00FD600E"/>
    <w:rsid w:val="00FD6283"/>
    <w:rsid w:val="00FD63DE"/>
    <w:rsid w:val="00FD63E1"/>
    <w:rsid w:val="00FD63F3"/>
    <w:rsid w:val="00FD64D4"/>
    <w:rsid w:val="00FD690A"/>
    <w:rsid w:val="00FD6956"/>
    <w:rsid w:val="00FD69B3"/>
    <w:rsid w:val="00FD6B5F"/>
    <w:rsid w:val="00FD6BF0"/>
    <w:rsid w:val="00FD6DE4"/>
    <w:rsid w:val="00FD6E80"/>
    <w:rsid w:val="00FD6EC1"/>
    <w:rsid w:val="00FD6F31"/>
    <w:rsid w:val="00FD7176"/>
    <w:rsid w:val="00FD71A1"/>
    <w:rsid w:val="00FD7427"/>
    <w:rsid w:val="00FD7480"/>
    <w:rsid w:val="00FD7487"/>
    <w:rsid w:val="00FD74FB"/>
    <w:rsid w:val="00FD76C3"/>
    <w:rsid w:val="00FD7894"/>
    <w:rsid w:val="00FD795B"/>
    <w:rsid w:val="00FD7AD0"/>
    <w:rsid w:val="00FD7B26"/>
    <w:rsid w:val="00FD7BB7"/>
    <w:rsid w:val="00FD7BFA"/>
    <w:rsid w:val="00FD7C00"/>
    <w:rsid w:val="00FD7CF3"/>
    <w:rsid w:val="00FD7CFB"/>
    <w:rsid w:val="00FD7E5A"/>
    <w:rsid w:val="00FD7E61"/>
    <w:rsid w:val="00FD7E6F"/>
    <w:rsid w:val="00FD7E92"/>
    <w:rsid w:val="00FD7F0A"/>
    <w:rsid w:val="00FDCFB0"/>
    <w:rsid w:val="00FE0245"/>
    <w:rsid w:val="00FE05C9"/>
    <w:rsid w:val="00FE0796"/>
    <w:rsid w:val="00FE0910"/>
    <w:rsid w:val="00FE09F7"/>
    <w:rsid w:val="00FE0A14"/>
    <w:rsid w:val="00FE0BF7"/>
    <w:rsid w:val="00FE0F19"/>
    <w:rsid w:val="00FE107C"/>
    <w:rsid w:val="00FE1160"/>
    <w:rsid w:val="00FE1287"/>
    <w:rsid w:val="00FE1341"/>
    <w:rsid w:val="00FE14FC"/>
    <w:rsid w:val="00FE1647"/>
    <w:rsid w:val="00FE191D"/>
    <w:rsid w:val="00FE1A1F"/>
    <w:rsid w:val="00FE1C28"/>
    <w:rsid w:val="00FE1CEF"/>
    <w:rsid w:val="00FE1E88"/>
    <w:rsid w:val="00FE1EDE"/>
    <w:rsid w:val="00FE20B0"/>
    <w:rsid w:val="00FE23DF"/>
    <w:rsid w:val="00FE241C"/>
    <w:rsid w:val="00FE24CD"/>
    <w:rsid w:val="00FE24D1"/>
    <w:rsid w:val="00FE2558"/>
    <w:rsid w:val="00FE258C"/>
    <w:rsid w:val="00FE28C1"/>
    <w:rsid w:val="00FE299F"/>
    <w:rsid w:val="00FE2A82"/>
    <w:rsid w:val="00FE2AF6"/>
    <w:rsid w:val="00FE2D70"/>
    <w:rsid w:val="00FE2E89"/>
    <w:rsid w:val="00FE2EFA"/>
    <w:rsid w:val="00FE30F7"/>
    <w:rsid w:val="00FE316B"/>
    <w:rsid w:val="00FE31E0"/>
    <w:rsid w:val="00FE31EC"/>
    <w:rsid w:val="00FE3236"/>
    <w:rsid w:val="00FE33B3"/>
    <w:rsid w:val="00FE34E6"/>
    <w:rsid w:val="00FE3540"/>
    <w:rsid w:val="00FE357D"/>
    <w:rsid w:val="00FE35CC"/>
    <w:rsid w:val="00FE36A4"/>
    <w:rsid w:val="00FE37BC"/>
    <w:rsid w:val="00FE381D"/>
    <w:rsid w:val="00FE38C7"/>
    <w:rsid w:val="00FE391A"/>
    <w:rsid w:val="00FE39D0"/>
    <w:rsid w:val="00FE3A3E"/>
    <w:rsid w:val="00FE3AD7"/>
    <w:rsid w:val="00FE3BFD"/>
    <w:rsid w:val="00FE3C0D"/>
    <w:rsid w:val="00FE3C69"/>
    <w:rsid w:val="00FE3CCE"/>
    <w:rsid w:val="00FE3F41"/>
    <w:rsid w:val="00FE3F8E"/>
    <w:rsid w:val="00FE3FE6"/>
    <w:rsid w:val="00FE40D9"/>
    <w:rsid w:val="00FE4151"/>
    <w:rsid w:val="00FE4444"/>
    <w:rsid w:val="00FE458B"/>
    <w:rsid w:val="00FE4744"/>
    <w:rsid w:val="00FE47A8"/>
    <w:rsid w:val="00FE4921"/>
    <w:rsid w:val="00FE495C"/>
    <w:rsid w:val="00FE4A13"/>
    <w:rsid w:val="00FE4AE6"/>
    <w:rsid w:val="00FE4C18"/>
    <w:rsid w:val="00FE4CB4"/>
    <w:rsid w:val="00FE4D20"/>
    <w:rsid w:val="00FE4F45"/>
    <w:rsid w:val="00FE5047"/>
    <w:rsid w:val="00FE511E"/>
    <w:rsid w:val="00FE53D9"/>
    <w:rsid w:val="00FE559D"/>
    <w:rsid w:val="00FE5620"/>
    <w:rsid w:val="00FE5646"/>
    <w:rsid w:val="00FE5745"/>
    <w:rsid w:val="00FE59B2"/>
    <w:rsid w:val="00FE59F4"/>
    <w:rsid w:val="00FE5A15"/>
    <w:rsid w:val="00FE5A52"/>
    <w:rsid w:val="00FE5B91"/>
    <w:rsid w:val="00FE5D41"/>
    <w:rsid w:val="00FE5D52"/>
    <w:rsid w:val="00FE5EE6"/>
    <w:rsid w:val="00FE60C7"/>
    <w:rsid w:val="00FE621F"/>
    <w:rsid w:val="00FE629E"/>
    <w:rsid w:val="00FE62F2"/>
    <w:rsid w:val="00FE6463"/>
    <w:rsid w:val="00FE64A5"/>
    <w:rsid w:val="00FE6603"/>
    <w:rsid w:val="00FE68A7"/>
    <w:rsid w:val="00FE6A16"/>
    <w:rsid w:val="00FE6A67"/>
    <w:rsid w:val="00FE6B70"/>
    <w:rsid w:val="00FE6BD3"/>
    <w:rsid w:val="00FE6CB6"/>
    <w:rsid w:val="00FE6D79"/>
    <w:rsid w:val="00FE6DF6"/>
    <w:rsid w:val="00FE6E55"/>
    <w:rsid w:val="00FE6E9D"/>
    <w:rsid w:val="00FE6EB6"/>
    <w:rsid w:val="00FE70BF"/>
    <w:rsid w:val="00FE71EC"/>
    <w:rsid w:val="00FE7503"/>
    <w:rsid w:val="00FE750E"/>
    <w:rsid w:val="00FE754E"/>
    <w:rsid w:val="00FE762B"/>
    <w:rsid w:val="00FE78C4"/>
    <w:rsid w:val="00FE7B95"/>
    <w:rsid w:val="00FE7BC4"/>
    <w:rsid w:val="00FE7BD3"/>
    <w:rsid w:val="00FE7C5E"/>
    <w:rsid w:val="00FE7DC4"/>
    <w:rsid w:val="00FE7DEC"/>
    <w:rsid w:val="00FE7F39"/>
    <w:rsid w:val="00FF01D1"/>
    <w:rsid w:val="00FF0274"/>
    <w:rsid w:val="00FF02D8"/>
    <w:rsid w:val="00FF0448"/>
    <w:rsid w:val="00FF0561"/>
    <w:rsid w:val="00FF05EC"/>
    <w:rsid w:val="00FF0731"/>
    <w:rsid w:val="00FF07B1"/>
    <w:rsid w:val="00FF0A86"/>
    <w:rsid w:val="00FF0AC1"/>
    <w:rsid w:val="00FF0B4C"/>
    <w:rsid w:val="00FF0C78"/>
    <w:rsid w:val="00FF0D5D"/>
    <w:rsid w:val="00FF0E4F"/>
    <w:rsid w:val="00FF10A1"/>
    <w:rsid w:val="00FF1621"/>
    <w:rsid w:val="00FF168F"/>
    <w:rsid w:val="00FF183F"/>
    <w:rsid w:val="00FF1AE8"/>
    <w:rsid w:val="00FF1BA2"/>
    <w:rsid w:val="00FF1BA7"/>
    <w:rsid w:val="00FF1CC1"/>
    <w:rsid w:val="00FF1CD7"/>
    <w:rsid w:val="00FF1DB9"/>
    <w:rsid w:val="00FF1E7D"/>
    <w:rsid w:val="00FF1F6A"/>
    <w:rsid w:val="00FF1F8D"/>
    <w:rsid w:val="00FF1FDA"/>
    <w:rsid w:val="00FF2437"/>
    <w:rsid w:val="00FF24D2"/>
    <w:rsid w:val="00FF250F"/>
    <w:rsid w:val="00FF2629"/>
    <w:rsid w:val="00FF2760"/>
    <w:rsid w:val="00FF28C8"/>
    <w:rsid w:val="00FF2960"/>
    <w:rsid w:val="00FF2A0D"/>
    <w:rsid w:val="00FF2AAD"/>
    <w:rsid w:val="00FF2C7B"/>
    <w:rsid w:val="00FF2DEE"/>
    <w:rsid w:val="00FF2E92"/>
    <w:rsid w:val="00FF2F01"/>
    <w:rsid w:val="00FF2F36"/>
    <w:rsid w:val="00FF322E"/>
    <w:rsid w:val="00FF32B6"/>
    <w:rsid w:val="00FF32E3"/>
    <w:rsid w:val="00FF341C"/>
    <w:rsid w:val="00FF34F9"/>
    <w:rsid w:val="00FF354A"/>
    <w:rsid w:val="00FF3641"/>
    <w:rsid w:val="00FF37E1"/>
    <w:rsid w:val="00FF383C"/>
    <w:rsid w:val="00FF3B44"/>
    <w:rsid w:val="00FF3D10"/>
    <w:rsid w:val="00FF3E9E"/>
    <w:rsid w:val="00FF3EB2"/>
    <w:rsid w:val="00FF3F79"/>
    <w:rsid w:val="00FF3F9B"/>
    <w:rsid w:val="00FF40C7"/>
    <w:rsid w:val="00FF40D7"/>
    <w:rsid w:val="00FF40FC"/>
    <w:rsid w:val="00FF4432"/>
    <w:rsid w:val="00FF46D5"/>
    <w:rsid w:val="00FF472E"/>
    <w:rsid w:val="00FF477B"/>
    <w:rsid w:val="00FF47B6"/>
    <w:rsid w:val="00FF48A6"/>
    <w:rsid w:val="00FF49F5"/>
    <w:rsid w:val="00FF4CEA"/>
    <w:rsid w:val="00FF4DBF"/>
    <w:rsid w:val="00FF4E4D"/>
    <w:rsid w:val="00FF4F78"/>
    <w:rsid w:val="00FF50E2"/>
    <w:rsid w:val="00FF5110"/>
    <w:rsid w:val="00FF53F4"/>
    <w:rsid w:val="00FF5635"/>
    <w:rsid w:val="00FF58A7"/>
    <w:rsid w:val="00FF5944"/>
    <w:rsid w:val="00FF59B3"/>
    <w:rsid w:val="00FF5A15"/>
    <w:rsid w:val="00FF5ABA"/>
    <w:rsid w:val="00FF5B43"/>
    <w:rsid w:val="00FF5CAE"/>
    <w:rsid w:val="00FF5E8F"/>
    <w:rsid w:val="00FF5EC8"/>
    <w:rsid w:val="00FF5FBA"/>
    <w:rsid w:val="00FF60AE"/>
    <w:rsid w:val="00FF612A"/>
    <w:rsid w:val="00FF652D"/>
    <w:rsid w:val="00FF6556"/>
    <w:rsid w:val="00FF6561"/>
    <w:rsid w:val="00FF6594"/>
    <w:rsid w:val="00FF66A4"/>
    <w:rsid w:val="00FF66BE"/>
    <w:rsid w:val="00FF66E1"/>
    <w:rsid w:val="00FF6793"/>
    <w:rsid w:val="00FF6803"/>
    <w:rsid w:val="00FF6837"/>
    <w:rsid w:val="00FF6889"/>
    <w:rsid w:val="00FF68C7"/>
    <w:rsid w:val="00FF6AC4"/>
    <w:rsid w:val="00FF6AF9"/>
    <w:rsid w:val="00FF6CED"/>
    <w:rsid w:val="00FF6F0F"/>
    <w:rsid w:val="00FF6F56"/>
    <w:rsid w:val="00FF70FA"/>
    <w:rsid w:val="00FF710D"/>
    <w:rsid w:val="00FF7395"/>
    <w:rsid w:val="00FF740A"/>
    <w:rsid w:val="00FF7898"/>
    <w:rsid w:val="00FF79AC"/>
    <w:rsid w:val="00FF7AFA"/>
    <w:rsid w:val="00FF7BE8"/>
    <w:rsid w:val="00FF7F4C"/>
    <w:rsid w:val="00FF7F83"/>
    <w:rsid w:val="010021F0"/>
    <w:rsid w:val="0100F19B"/>
    <w:rsid w:val="0100FDEC"/>
    <w:rsid w:val="010112EE"/>
    <w:rsid w:val="01018A9B"/>
    <w:rsid w:val="0101A954"/>
    <w:rsid w:val="01027D95"/>
    <w:rsid w:val="0102A620"/>
    <w:rsid w:val="01037F52"/>
    <w:rsid w:val="01041A9B"/>
    <w:rsid w:val="01047AAC"/>
    <w:rsid w:val="0105B74D"/>
    <w:rsid w:val="01062ADA"/>
    <w:rsid w:val="01076D0D"/>
    <w:rsid w:val="01079532"/>
    <w:rsid w:val="01082A69"/>
    <w:rsid w:val="0108FEEE"/>
    <w:rsid w:val="01094F29"/>
    <w:rsid w:val="010B97B4"/>
    <w:rsid w:val="010BA4EE"/>
    <w:rsid w:val="010BB2F3"/>
    <w:rsid w:val="010C5965"/>
    <w:rsid w:val="010CAC90"/>
    <w:rsid w:val="010CED8D"/>
    <w:rsid w:val="010D00E5"/>
    <w:rsid w:val="010D447B"/>
    <w:rsid w:val="010DAF25"/>
    <w:rsid w:val="010DDD53"/>
    <w:rsid w:val="010EB827"/>
    <w:rsid w:val="010F0861"/>
    <w:rsid w:val="010F92FF"/>
    <w:rsid w:val="010F9A25"/>
    <w:rsid w:val="01116434"/>
    <w:rsid w:val="0111BE72"/>
    <w:rsid w:val="0113E2A6"/>
    <w:rsid w:val="0113EB62"/>
    <w:rsid w:val="01142C57"/>
    <w:rsid w:val="01145219"/>
    <w:rsid w:val="01146AFE"/>
    <w:rsid w:val="01146B4B"/>
    <w:rsid w:val="0115009B"/>
    <w:rsid w:val="011590CB"/>
    <w:rsid w:val="0116E345"/>
    <w:rsid w:val="011868CE"/>
    <w:rsid w:val="0118DE38"/>
    <w:rsid w:val="0119F841"/>
    <w:rsid w:val="011A5114"/>
    <w:rsid w:val="011A99D0"/>
    <w:rsid w:val="011B214A"/>
    <w:rsid w:val="011BEF83"/>
    <w:rsid w:val="011CDB7F"/>
    <w:rsid w:val="011CF21D"/>
    <w:rsid w:val="011D47C5"/>
    <w:rsid w:val="011DED36"/>
    <w:rsid w:val="011F452A"/>
    <w:rsid w:val="011F4F70"/>
    <w:rsid w:val="011F6EA6"/>
    <w:rsid w:val="0120450A"/>
    <w:rsid w:val="0120C5E3"/>
    <w:rsid w:val="0120CE3F"/>
    <w:rsid w:val="012202F0"/>
    <w:rsid w:val="01223CCD"/>
    <w:rsid w:val="01224378"/>
    <w:rsid w:val="01234FCD"/>
    <w:rsid w:val="01238E58"/>
    <w:rsid w:val="01241244"/>
    <w:rsid w:val="01243040"/>
    <w:rsid w:val="0124E2F7"/>
    <w:rsid w:val="0125514E"/>
    <w:rsid w:val="0125F8F1"/>
    <w:rsid w:val="012629B8"/>
    <w:rsid w:val="01265FBA"/>
    <w:rsid w:val="0126C8EA"/>
    <w:rsid w:val="01270477"/>
    <w:rsid w:val="01270BE8"/>
    <w:rsid w:val="0127D29E"/>
    <w:rsid w:val="0127F4C1"/>
    <w:rsid w:val="01284BC9"/>
    <w:rsid w:val="012878D2"/>
    <w:rsid w:val="0129E3B8"/>
    <w:rsid w:val="012A27A6"/>
    <w:rsid w:val="012A7783"/>
    <w:rsid w:val="012ABCB3"/>
    <w:rsid w:val="012B44C0"/>
    <w:rsid w:val="012B9D81"/>
    <w:rsid w:val="012BE914"/>
    <w:rsid w:val="012C0DA1"/>
    <w:rsid w:val="012C1F31"/>
    <w:rsid w:val="012C72EC"/>
    <w:rsid w:val="012CAA82"/>
    <w:rsid w:val="012DCA68"/>
    <w:rsid w:val="012E9AA6"/>
    <w:rsid w:val="012E9E65"/>
    <w:rsid w:val="012EC2C8"/>
    <w:rsid w:val="012F81F4"/>
    <w:rsid w:val="01303B21"/>
    <w:rsid w:val="01307E78"/>
    <w:rsid w:val="0134B8B6"/>
    <w:rsid w:val="01367AA8"/>
    <w:rsid w:val="013715DB"/>
    <w:rsid w:val="0137B406"/>
    <w:rsid w:val="01383D01"/>
    <w:rsid w:val="013934BA"/>
    <w:rsid w:val="0139B0FB"/>
    <w:rsid w:val="013A1BE4"/>
    <w:rsid w:val="013A3840"/>
    <w:rsid w:val="013B1D25"/>
    <w:rsid w:val="013B3BC1"/>
    <w:rsid w:val="013B586D"/>
    <w:rsid w:val="013B943A"/>
    <w:rsid w:val="013C0539"/>
    <w:rsid w:val="013CEF30"/>
    <w:rsid w:val="013DB07B"/>
    <w:rsid w:val="013E3942"/>
    <w:rsid w:val="013E8B4F"/>
    <w:rsid w:val="013EFF61"/>
    <w:rsid w:val="013FB721"/>
    <w:rsid w:val="0140573A"/>
    <w:rsid w:val="01411593"/>
    <w:rsid w:val="014133F5"/>
    <w:rsid w:val="01414A96"/>
    <w:rsid w:val="01425BE2"/>
    <w:rsid w:val="01431ABD"/>
    <w:rsid w:val="014442FC"/>
    <w:rsid w:val="0144434C"/>
    <w:rsid w:val="01447168"/>
    <w:rsid w:val="0146CDB2"/>
    <w:rsid w:val="0146CFB2"/>
    <w:rsid w:val="01474C64"/>
    <w:rsid w:val="01478CBF"/>
    <w:rsid w:val="01482ABD"/>
    <w:rsid w:val="014A937C"/>
    <w:rsid w:val="014B5DB3"/>
    <w:rsid w:val="014C0312"/>
    <w:rsid w:val="014C3577"/>
    <w:rsid w:val="014C515E"/>
    <w:rsid w:val="014E0A1A"/>
    <w:rsid w:val="014F08C8"/>
    <w:rsid w:val="014F4D79"/>
    <w:rsid w:val="014F8A14"/>
    <w:rsid w:val="014FA709"/>
    <w:rsid w:val="014FD7FD"/>
    <w:rsid w:val="014FDCAC"/>
    <w:rsid w:val="014FFC1D"/>
    <w:rsid w:val="01509FCC"/>
    <w:rsid w:val="01513092"/>
    <w:rsid w:val="0151AFBD"/>
    <w:rsid w:val="01525BA9"/>
    <w:rsid w:val="0152A345"/>
    <w:rsid w:val="0152B23F"/>
    <w:rsid w:val="0152C438"/>
    <w:rsid w:val="01531218"/>
    <w:rsid w:val="015326D8"/>
    <w:rsid w:val="01537090"/>
    <w:rsid w:val="01540504"/>
    <w:rsid w:val="01544F8F"/>
    <w:rsid w:val="0154B87D"/>
    <w:rsid w:val="0154DB04"/>
    <w:rsid w:val="01553D5F"/>
    <w:rsid w:val="01553E7C"/>
    <w:rsid w:val="015565D3"/>
    <w:rsid w:val="015569B2"/>
    <w:rsid w:val="0155F068"/>
    <w:rsid w:val="0156179E"/>
    <w:rsid w:val="01562C57"/>
    <w:rsid w:val="015781C5"/>
    <w:rsid w:val="01583875"/>
    <w:rsid w:val="01583A7D"/>
    <w:rsid w:val="01586415"/>
    <w:rsid w:val="01598A90"/>
    <w:rsid w:val="01599CA1"/>
    <w:rsid w:val="0159B79F"/>
    <w:rsid w:val="015A85CB"/>
    <w:rsid w:val="015B22E1"/>
    <w:rsid w:val="015BD464"/>
    <w:rsid w:val="015BF77C"/>
    <w:rsid w:val="015C0C27"/>
    <w:rsid w:val="015C876B"/>
    <w:rsid w:val="015CE6F3"/>
    <w:rsid w:val="015CEB97"/>
    <w:rsid w:val="015D9D1B"/>
    <w:rsid w:val="015DF2E8"/>
    <w:rsid w:val="015E11DD"/>
    <w:rsid w:val="015F2CD4"/>
    <w:rsid w:val="015F3408"/>
    <w:rsid w:val="015FF8B6"/>
    <w:rsid w:val="016114D2"/>
    <w:rsid w:val="01622C88"/>
    <w:rsid w:val="01629429"/>
    <w:rsid w:val="016337F8"/>
    <w:rsid w:val="01633B19"/>
    <w:rsid w:val="01639DA6"/>
    <w:rsid w:val="0163F129"/>
    <w:rsid w:val="01645557"/>
    <w:rsid w:val="016458E8"/>
    <w:rsid w:val="0164CAE9"/>
    <w:rsid w:val="01670321"/>
    <w:rsid w:val="01678CD4"/>
    <w:rsid w:val="0167E3FC"/>
    <w:rsid w:val="01680470"/>
    <w:rsid w:val="01687438"/>
    <w:rsid w:val="016A6059"/>
    <w:rsid w:val="016A6B0C"/>
    <w:rsid w:val="016AA190"/>
    <w:rsid w:val="016B32DC"/>
    <w:rsid w:val="016BC4F0"/>
    <w:rsid w:val="016CB113"/>
    <w:rsid w:val="016E0F0F"/>
    <w:rsid w:val="016E10EC"/>
    <w:rsid w:val="016EA314"/>
    <w:rsid w:val="016EED75"/>
    <w:rsid w:val="016F081C"/>
    <w:rsid w:val="016F9A5C"/>
    <w:rsid w:val="01715C13"/>
    <w:rsid w:val="017241E2"/>
    <w:rsid w:val="0174106B"/>
    <w:rsid w:val="017469EE"/>
    <w:rsid w:val="0174AED4"/>
    <w:rsid w:val="0175167F"/>
    <w:rsid w:val="017578FC"/>
    <w:rsid w:val="0176A081"/>
    <w:rsid w:val="0176D722"/>
    <w:rsid w:val="017773AD"/>
    <w:rsid w:val="0178B84E"/>
    <w:rsid w:val="01795837"/>
    <w:rsid w:val="01798F6D"/>
    <w:rsid w:val="01799145"/>
    <w:rsid w:val="017B163B"/>
    <w:rsid w:val="017BA19A"/>
    <w:rsid w:val="017CC520"/>
    <w:rsid w:val="017D5B31"/>
    <w:rsid w:val="017DA298"/>
    <w:rsid w:val="017E9E8D"/>
    <w:rsid w:val="01807FB0"/>
    <w:rsid w:val="0180A99B"/>
    <w:rsid w:val="01814148"/>
    <w:rsid w:val="01816ED2"/>
    <w:rsid w:val="0181BD68"/>
    <w:rsid w:val="0181EEAD"/>
    <w:rsid w:val="0182B0F1"/>
    <w:rsid w:val="0183326D"/>
    <w:rsid w:val="0184622F"/>
    <w:rsid w:val="0184D82D"/>
    <w:rsid w:val="0185FD5B"/>
    <w:rsid w:val="0185FE02"/>
    <w:rsid w:val="01868FA8"/>
    <w:rsid w:val="01876E7E"/>
    <w:rsid w:val="0187B40F"/>
    <w:rsid w:val="0188382E"/>
    <w:rsid w:val="01885ED6"/>
    <w:rsid w:val="01892C64"/>
    <w:rsid w:val="018974B1"/>
    <w:rsid w:val="0189B3C2"/>
    <w:rsid w:val="0189FDB3"/>
    <w:rsid w:val="018A3B4F"/>
    <w:rsid w:val="018BE9B1"/>
    <w:rsid w:val="018C0677"/>
    <w:rsid w:val="018D7420"/>
    <w:rsid w:val="018D87CD"/>
    <w:rsid w:val="018D8FD7"/>
    <w:rsid w:val="018E8C87"/>
    <w:rsid w:val="018F7422"/>
    <w:rsid w:val="018FDAC9"/>
    <w:rsid w:val="018FFAF3"/>
    <w:rsid w:val="01902D8A"/>
    <w:rsid w:val="0191D544"/>
    <w:rsid w:val="01921555"/>
    <w:rsid w:val="01925C8D"/>
    <w:rsid w:val="0192994A"/>
    <w:rsid w:val="0192D155"/>
    <w:rsid w:val="01936BE3"/>
    <w:rsid w:val="0193C67A"/>
    <w:rsid w:val="0193F689"/>
    <w:rsid w:val="01942FEA"/>
    <w:rsid w:val="0194446D"/>
    <w:rsid w:val="01945F83"/>
    <w:rsid w:val="0194B9A4"/>
    <w:rsid w:val="0196BB70"/>
    <w:rsid w:val="019730EF"/>
    <w:rsid w:val="01974489"/>
    <w:rsid w:val="01986C48"/>
    <w:rsid w:val="01994C8A"/>
    <w:rsid w:val="01996D8A"/>
    <w:rsid w:val="019AAE24"/>
    <w:rsid w:val="019BB08A"/>
    <w:rsid w:val="019C1B5E"/>
    <w:rsid w:val="019CD303"/>
    <w:rsid w:val="019D29DE"/>
    <w:rsid w:val="019D6E1B"/>
    <w:rsid w:val="019D7FA7"/>
    <w:rsid w:val="019E5330"/>
    <w:rsid w:val="019EBB9D"/>
    <w:rsid w:val="019F102F"/>
    <w:rsid w:val="01A0665C"/>
    <w:rsid w:val="01A09228"/>
    <w:rsid w:val="01A0B98D"/>
    <w:rsid w:val="01A19152"/>
    <w:rsid w:val="01A1A18A"/>
    <w:rsid w:val="01A2ADF4"/>
    <w:rsid w:val="01A391BC"/>
    <w:rsid w:val="01A42B2A"/>
    <w:rsid w:val="01A4F2BF"/>
    <w:rsid w:val="01A4F752"/>
    <w:rsid w:val="01A67A15"/>
    <w:rsid w:val="01A6E7D6"/>
    <w:rsid w:val="01A6F514"/>
    <w:rsid w:val="01A7965E"/>
    <w:rsid w:val="01A7D24E"/>
    <w:rsid w:val="01A92214"/>
    <w:rsid w:val="01AAA6F4"/>
    <w:rsid w:val="01AB088E"/>
    <w:rsid w:val="01AC3FF7"/>
    <w:rsid w:val="01AC8C6E"/>
    <w:rsid w:val="01AC925D"/>
    <w:rsid w:val="01ACC237"/>
    <w:rsid w:val="01AD82C5"/>
    <w:rsid w:val="01AD989C"/>
    <w:rsid w:val="01ADF191"/>
    <w:rsid w:val="01AE41A1"/>
    <w:rsid w:val="01AE90A6"/>
    <w:rsid w:val="01AF243E"/>
    <w:rsid w:val="01AFCE84"/>
    <w:rsid w:val="01AFF170"/>
    <w:rsid w:val="01B0AF46"/>
    <w:rsid w:val="01B1482C"/>
    <w:rsid w:val="01B16337"/>
    <w:rsid w:val="01B274D0"/>
    <w:rsid w:val="01B409E9"/>
    <w:rsid w:val="01B69864"/>
    <w:rsid w:val="01B7C916"/>
    <w:rsid w:val="01B89C1C"/>
    <w:rsid w:val="01B8DA9F"/>
    <w:rsid w:val="01BA1360"/>
    <w:rsid w:val="01BA42A1"/>
    <w:rsid w:val="01BB1AA9"/>
    <w:rsid w:val="01BD0269"/>
    <w:rsid w:val="01BD22B3"/>
    <w:rsid w:val="01BD2D88"/>
    <w:rsid w:val="01BD44D0"/>
    <w:rsid w:val="01BD771F"/>
    <w:rsid w:val="01BE123E"/>
    <w:rsid w:val="01BE1547"/>
    <w:rsid w:val="01BE940D"/>
    <w:rsid w:val="01BEEB32"/>
    <w:rsid w:val="01BF2A27"/>
    <w:rsid w:val="01C12B55"/>
    <w:rsid w:val="01C1741F"/>
    <w:rsid w:val="01C24C0B"/>
    <w:rsid w:val="01C25220"/>
    <w:rsid w:val="01C29890"/>
    <w:rsid w:val="01C3BF88"/>
    <w:rsid w:val="01C45FA9"/>
    <w:rsid w:val="01C46066"/>
    <w:rsid w:val="01C548DD"/>
    <w:rsid w:val="01C5AB53"/>
    <w:rsid w:val="01C5AEBA"/>
    <w:rsid w:val="01C5B5C4"/>
    <w:rsid w:val="01C5D429"/>
    <w:rsid w:val="01C63E29"/>
    <w:rsid w:val="01C641A5"/>
    <w:rsid w:val="01C64BD9"/>
    <w:rsid w:val="01C66214"/>
    <w:rsid w:val="01C685E5"/>
    <w:rsid w:val="01C6E51E"/>
    <w:rsid w:val="01C70764"/>
    <w:rsid w:val="01C86B3A"/>
    <w:rsid w:val="01C8B444"/>
    <w:rsid w:val="01C92103"/>
    <w:rsid w:val="01C94FDA"/>
    <w:rsid w:val="01CA15D2"/>
    <w:rsid w:val="01CA68D5"/>
    <w:rsid w:val="01CB43D2"/>
    <w:rsid w:val="01CC0293"/>
    <w:rsid w:val="01CC1C4A"/>
    <w:rsid w:val="01CD19A4"/>
    <w:rsid w:val="01CD6D8E"/>
    <w:rsid w:val="01CD72BD"/>
    <w:rsid w:val="01CE92A1"/>
    <w:rsid w:val="01CFCDBA"/>
    <w:rsid w:val="01D0F467"/>
    <w:rsid w:val="01D30962"/>
    <w:rsid w:val="01D37495"/>
    <w:rsid w:val="01D3BCF0"/>
    <w:rsid w:val="01D42C39"/>
    <w:rsid w:val="01D4584F"/>
    <w:rsid w:val="01D54A41"/>
    <w:rsid w:val="01D57504"/>
    <w:rsid w:val="01D688DD"/>
    <w:rsid w:val="01D69316"/>
    <w:rsid w:val="01D6F2F9"/>
    <w:rsid w:val="01D73EA0"/>
    <w:rsid w:val="01D77D80"/>
    <w:rsid w:val="01D882B9"/>
    <w:rsid w:val="01D8EDBE"/>
    <w:rsid w:val="01D90172"/>
    <w:rsid w:val="01DA88BD"/>
    <w:rsid w:val="01DAA0CB"/>
    <w:rsid w:val="01DC26DB"/>
    <w:rsid w:val="01DD7DA6"/>
    <w:rsid w:val="01DE17A4"/>
    <w:rsid w:val="01DE7DD2"/>
    <w:rsid w:val="01DFC09C"/>
    <w:rsid w:val="01E05337"/>
    <w:rsid w:val="01E07280"/>
    <w:rsid w:val="01E09710"/>
    <w:rsid w:val="01E0FD14"/>
    <w:rsid w:val="01E1BD87"/>
    <w:rsid w:val="01E2771E"/>
    <w:rsid w:val="01E33751"/>
    <w:rsid w:val="01E39572"/>
    <w:rsid w:val="01E3ECE4"/>
    <w:rsid w:val="01E432BB"/>
    <w:rsid w:val="01E48714"/>
    <w:rsid w:val="01E49B19"/>
    <w:rsid w:val="01E517BB"/>
    <w:rsid w:val="01E5AF16"/>
    <w:rsid w:val="01E6E817"/>
    <w:rsid w:val="01E726F0"/>
    <w:rsid w:val="01E88AF3"/>
    <w:rsid w:val="01E9A9F3"/>
    <w:rsid w:val="01EAAA38"/>
    <w:rsid w:val="01EAD73C"/>
    <w:rsid w:val="01EB81F9"/>
    <w:rsid w:val="01EB822E"/>
    <w:rsid w:val="01EBDC61"/>
    <w:rsid w:val="01EC0370"/>
    <w:rsid w:val="01EDD274"/>
    <w:rsid w:val="01EE9803"/>
    <w:rsid w:val="01EEAC8E"/>
    <w:rsid w:val="01EF9BB8"/>
    <w:rsid w:val="01F11D5B"/>
    <w:rsid w:val="01F4EC89"/>
    <w:rsid w:val="01F541A7"/>
    <w:rsid w:val="01F56DEF"/>
    <w:rsid w:val="01F797C0"/>
    <w:rsid w:val="01F7CDC6"/>
    <w:rsid w:val="01F7D338"/>
    <w:rsid w:val="01F816C2"/>
    <w:rsid w:val="01F84F7B"/>
    <w:rsid w:val="01F88402"/>
    <w:rsid w:val="01F96A66"/>
    <w:rsid w:val="01F98818"/>
    <w:rsid w:val="01FAC257"/>
    <w:rsid w:val="01FAFBCB"/>
    <w:rsid w:val="01FB0C31"/>
    <w:rsid w:val="01FB6230"/>
    <w:rsid w:val="01FC246D"/>
    <w:rsid w:val="01FC85A3"/>
    <w:rsid w:val="01FE024D"/>
    <w:rsid w:val="01FE69AB"/>
    <w:rsid w:val="01FF1480"/>
    <w:rsid w:val="01FF40A4"/>
    <w:rsid w:val="01FF89C0"/>
    <w:rsid w:val="01FFCA15"/>
    <w:rsid w:val="02008B88"/>
    <w:rsid w:val="02009E73"/>
    <w:rsid w:val="0200E17B"/>
    <w:rsid w:val="02023342"/>
    <w:rsid w:val="02024A70"/>
    <w:rsid w:val="02028FE5"/>
    <w:rsid w:val="0202AD3E"/>
    <w:rsid w:val="020331EA"/>
    <w:rsid w:val="02036C23"/>
    <w:rsid w:val="0203B3AC"/>
    <w:rsid w:val="0203F4C1"/>
    <w:rsid w:val="02046334"/>
    <w:rsid w:val="0204A164"/>
    <w:rsid w:val="0204E6A1"/>
    <w:rsid w:val="02050AFA"/>
    <w:rsid w:val="02055925"/>
    <w:rsid w:val="0205793A"/>
    <w:rsid w:val="02059084"/>
    <w:rsid w:val="02070CCA"/>
    <w:rsid w:val="02077018"/>
    <w:rsid w:val="0207B374"/>
    <w:rsid w:val="020805FA"/>
    <w:rsid w:val="0208A720"/>
    <w:rsid w:val="02090CDC"/>
    <w:rsid w:val="02090D5E"/>
    <w:rsid w:val="0209856C"/>
    <w:rsid w:val="0209CE6B"/>
    <w:rsid w:val="020AD107"/>
    <w:rsid w:val="020AEECE"/>
    <w:rsid w:val="020B34BB"/>
    <w:rsid w:val="020BC77A"/>
    <w:rsid w:val="020C054E"/>
    <w:rsid w:val="020C662C"/>
    <w:rsid w:val="020C91C3"/>
    <w:rsid w:val="020F3A55"/>
    <w:rsid w:val="020F5F22"/>
    <w:rsid w:val="02103511"/>
    <w:rsid w:val="0210F236"/>
    <w:rsid w:val="0211299B"/>
    <w:rsid w:val="02132149"/>
    <w:rsid w:val="0214AB43"/>
    <w:rsid w:val="0216023C"/>
    <w:rsid w:val="02167CDA"/>
    <w:rsid w:val="0216B024"/>
    <w:rsid w:val="0217235D"/>
    <w:rsid w:val="0217388A"/>
    <w:rsid w:val="02179674"/>
    <w:rsid w:val="02183275"/>
    <w:rsid w:val="021962DC"/>
    <w:rsid w:val="02197203"/>
    <w:rsid w:val="0219803E"/>
    <w:rsid w:val="021A8C44"/>
    <w:rsid w:val="021A99B2"/>
    <w:rsid w:val="021AD8ED"/>
    <w:rsid w:val="021AEF59"/>
    <w:rsid w:val="021B7F0D"/>
    <w:rsid w:val="021F3266"/>
    <w:rsid w:val="0221CF5D"/>
    <w:rsid w:val="0221E574"/>
    <w:rsid w:val="02224D50"/>
    <w:rsid w:val="0222966A"/>
    <w:rsid w:val="0222D45C"/>
    <w:rsid w:val="0223AFD9"/>
    <w:rsid w:val="02242E4D"/>
    <w:rsid w:val="022485D9"/>
    <w:rsid w:val="02251EAA"/>
    <w:rsid w:val="02265137"/>
    <w:rsid w:val="0226BDB5"/>
    <w:rsid w:val="0227B932"/>
    <w:rsid w:val="0227D6D6"/>
    <w:rsid w:val="02281587"/>
    <w:rsid w:val="0228AD79"/>
    <w:rsid w:val="022997EE"/>
    <w:rsid w:val="022A5CB1"/>
    <w:rsid w:val="022A9E13"/>
    <w:rsid w:val="022AA220"/>
    <w:rsid w:val="022AA37B"/>
    <w:rsid w:val="022B61E6"/>
    <w:rsid w:val="022BC796"/>
    <w:rsid w:val="022C0E12"/>
    <w:rsid w:val="022C242E"/>
    <w:rsid w:val="022DA80E"/>
    <w:rsid w:val="022DB702"/>
    <w:rsid w:val="022DEEAC"/>
    <w:rsid w:val="022DF147"/>
    <w:rsid w:val="02301E94"/>
    <w:rsid w:val="02319D1C"/>
    <w:rsid w:val="0232E555"/>
    <w:rsid w:val="0232FE22"/>
    <w:rsid w:val="0233CB8D"/>
    <w:rsid w:val="0235007C"/>
    <w:rsid w:val="02350860"/>
    <w:rsid w:val="0235F994"/>
    <w:rsid w:val="02368A10"/>
    <w:rsid w:val="02375225"/>
    <w:rsid w:val="02383EC9"/>
    <w:rsid w:val="0238B340"/>
    <w:rsid w:val="0239AFE4"/>
    <w:rsid w:val="023A7BF7"/>
    <w:rsid w:val="023AB975"/>
    <w:rsid w:val="023AD9B4"/>
    <w:rsid w:val="023ADE02"/>
    <w:rsid w:val="023B6C14"/>
    <w:rsid w:val="023C0CEA"/>
    <w:rsid w:val="023D80B9"/>
    <w:rsid w:val="023D81AC"/>
    <w:rsid w:val="023DC165"/>
    <w:rsid w:val="023DE00F"/>
    <w:rsid w:val="023F4177"/>
    <w:rsid w:val="023F9858"/>
    <w:rsid w:val="023FBCEF"/>
    <w:rsid w:val="02404108"/>
    <w:rsid w:val="02406121"/>
    <w:rsid w:val="0240A120"/>
    <w:rsid w:val="024132DA"/>
    <w:rsid w:val="024140D3"/>
    <w:rsid w:val="0241F984"/>
    <w:rsid w:val="02422428"/>
    <w:rsid w:val="0242E12D"/>
    <w:rsid w:val="0243ED47"/>
    <w:rsid w:val="024436CA"/>
    <w:rsid w:val="02461F99"/>
    <w:rsid w:val="0246A78E"/>
    <w:rsid w:val="0247A4C0"/>
    <w:rsid w:val="0247DA7F"/>
    <w:rsid w:val="0247F94A"/>
    <w:rsid w:val="0248DCB2"/>
    <w:rsid w:val="024944BC"/>
    <w:rsid w:val="0249AC71"/>
    <w:rsid w:val="024A0621"/>
    <w:rsid w:val="024CA67E"/>
    <w:rsid w:val="024D0D7E"/>
    <w:rsid w:val="024DDB2D"/>
    <w:rsid w:val="024F7F4F"/>
    <w:rsid w:val="024F90BC"/>
    <w:rsid w:val="025012AE"/>
    <w:rsid w:val="02502F28"/>
    <w:rsid w:val="0250F620"/>
    <w:rsid w:val="0251E3D2"/>
    <w:rsid w:val="0252A4FE"/>
    <w:rsid w:val="0252FAC0"/>
    <w:rsid w:val="0253B2EA"/>
    <w:rsid w:val="0253C5F9"/>
    <w:rsid w:val="0253D389"/>
    <w:rsid w:val="0254D9F4"/>
    <w:rsid w:val="0255A008"/>
    <w:rsid w:val="0255ACC8"/>
    <w:rsid w:val="0256B688"/>
    <w:rsid w:val="02570043"/>
    <w:rsid w:val="02572F30"/>
    <w:rsid w:val="02578016"/>
    <w:rsid w:val="02579DE7"/>
    <w:rsid w:val="02581ECC"/>
    <w:rsid w:val="02588B56"/>
    <w:rsid w:val="02589571"/>
    <w:rsid w:val="0258B6B5"/>
    <w:rsid w:val="0258BA40"/>
    <w:rsid w:val="02599045"/>
    <w:rsid w:val="0259A2E3"/>
    <w:rsid w:val="025A0489"/>
    <w:rsid w:val="025A2A21"/>
    <w:rsid w:val="025B0443"/>
    <w:rsid w:val="025B1665"/>
    <w:rsid w:val="025BAEEA"/>
    <w:rsid w:val="025CE9C4"/>
    <w:rsid w:val="025D0890"/>
    <w:rsid w:val="025D3142"/>
    <w:rsid w:val="025D8746"/>
    <w:rsid w:val="025E12B8"/>
    <w:rsid w:val="025E51C6"/>
    <w:rsid w:val="025E6FF0"/>
    <w:rsid w:val="025F3CCF"/>
    <w:rsid w:val="02606BC7"/>
    <w:rsid w:val="0260BD88"/>
    <w:rsid w:val="026145CA"/>
    <w:rsid w:val="0261BF33"/>
    <w:rsid w:val="0261F39F"/>
    <w:rsid w:val="0262508A"/>
    <w:rsid w:val="026250B1"/>
    <w:rsid w:val="0263B1D0"/>
    <w:rsid w:val="0263CC48"/>
    <w:rsid w:val="02648426"/>
    <w:rsid w:val="0264AB53"/>
    <w:rsid w:val="0265D636"/>
    <w:rsid w:val="0266589F"/>
    <w:rsid w:val="0266B9C9"/>
    <w:rsid w:val="0267666E"/>
    <w:rsid w:val="02680027"/>
    <w:rsid w:val="0268B44E"/>
    <w:rsid w:val="0269C8ED"/>
    <w:rsid w:val="026AFD2D"/>
    <w:rsid w:val="026B3F42"/>
    <w:rsid w:val="026B9449"/>
    <w:rsid w:val="026BD0F9"/>
    <w:rsid w:val="026C26DE"/>
    <w:rsid w:val="026C36C1"/>
    <w:rsid w:val="026C40C1"/>
    <w:rsid w:val="026C7607"/>
    <w:rsid w:val="026C8D2A"/>
    <w:rsid w:val="026C90C6"/>
    <w:rsid w:val="026D8F45"/>
    <w:rsid w:val="026E4155"/>
    <w:rsid w:val="026E41DE"/>
    <w:rsid w:val="026F972F"/>
    <w:rsid w:val="0270BCCE"/>
    <w:rsid w:val="0270FBCF"/>
    <w:rsid w:val="0271370E"/>
    <w:rsid w:val="027281A3"/>
    <w:rsid w:val="0272892E"/>
    <w:rsid w:val="0272A240"/>
    <w:rsid w:val="02734935"/>
    <w:rsid w:val="0273B2C3"/>
    <w:rsid w:val="02744D25"/>
    <w:rsid w:val="027510AA"/>
    <w:rsid w:val="0275251B"/>
    <w:rsid w:val="02756BE3"/>
    <w:rsid w:val="0275AB33"/>
    <w:rsid w:val="0276637E"/>
    <w:rsid w:val="02777A84"/>
    <w:rsid w:val="02790DA9"/>
    <w:rsid w:val="027B047C"/>
    <w:rsid w:val="027F8E18"/>
    <w:rsid w:val="02815918"/>
    <w:rsid w:val="02820A89"/>
    <w:rsid w:val="0282DDE3"/>
    <w:rsid w:val="0282F883"/>
    <w:rsid w:val="0283F76C"/>
    <w:rsid w:val="02847DAE"/>
    <w:rsid w:val="02867FB2"/>
    <w:rsid w:val="0287C5B5"/>
    <w:rsid w:val="028839D1"/>
    <w:rsid w:val="0288637D"/>
    <w:rsid w:val="0288B785"/>
    <w:rsid w:val="02894747"/>
    <w:rsid w:val="02897C0A"/>
    <w:rsid w:val="02897E18"/>
    <w:rsid w:val="0289E921"/>
    <w:rsid w:val="028AC522"/>
    <w:rsid w:val="028B0897"/>
    <w:rsid w:val="028BB0BC"/>
    <w:rsid w:val="028C832C"/>
    <w:rsid w:val="028C990C"/>
    <w:rsid w:val="028CAC6F"/>
    <w:rsid w:val="028DBB78"/>
    <w:rsid w:val="028E9C31"/>
    <w:rsid w:val="028EF3C2"/>
    <w:rsid w:val="028FA93A"/>
    <w:rsid w:val="028FB613"/>
    <w:rsid w:val="028FF78D"/>
    <w:rsid w:val="02906C96"/>
    <w:rsid w:val="02912647"/>
    <w:rsid w:val="0291BAD8"/>
    <w:rsid w:val="02928F1A"/>
    <w:rsid w:val="029291C8"/>
    <w:rsid w:val="0293454A"/>
    <w:rsid w:val="02935C05"/>
    <w:rsid w:val="0294A5A5"/>
    <w:rsid w:val="0295DD0A"/>
    <w:rsid w:val="0295E536"/>
    <w:rsid w:val="02961BB0"/>
    <w:rsid w:val="0296CD7D"/>
    <w:rsid w:val="0297F738"/>
    <w:rsid w:val="0298B440"/>
    <w:rsid w:val="029947AA"/>
    <w:rsid w:val="0299ED06"/>
    <w:rsid w:val="029A808A"/>
    <w:rsid w:val="029AB5B1"/>
    <w:rsid w:val="029C464F"/>
    <w:rsid w:val="029C5761"/>
    <w:rsid w:val="029DDB02"/>
    <w:rsid w:val="029E3D2F"/>
    <w:rsid w:val="029E7681"/>
    <w:rsid w:val="029E822C"/>
    <w:rsid w:val="029E999F"/>
    <w:rsid w:val="029EB707"/>
    <w:rsid w:val="029F1DD0"/>
    <w:rsid w:val="02A00EA7"/>
    <w:rsid w:val="02A03182"/>
    <w:rsid w:val="02A07061"/>
    <w:rsid w:val="02A1B505"/>
    <w:rsid w:val="02A22DCC"/>
    <w:rsid w:val="02A22F0C"/>
    <w:rsid w:val="02A27677"/>
    <w:rsid w:val="02A286DB"/>
    <w:rsid w:val="02A2D89F"/>
    <w:rsid w:val="02A2F388"/>
    <w:rsid w:val="02A40B40"/>
    <w:rsid w:val="02A44EB3"/>
    <w:rsid w:val="02A4542B"/>
    <w:rsid w:val="02A45568"/>
    <w:rsid w:val="02A54733"/>
    <w:rsid w:val="02A5636C"/>
    <w:rsid w:val="02A5A59C"/>
    <w:rsid w:val="02A5A90F"/>
    <w:rsid w:val="02A5D5DF"/>
    <w:rsid w:val="02A638E8"/>
    <w:rsid w:val="02A6A823"/>
    <w:rsid w:val="02A6B695"/>
    <w:rsid w:val="02A75BE9"/>
    <w:rsid w:val="02A9CFED"/>
    <w:rsid w:val="02AA64BE"/>
    <w:rsid w:val="02AA6AF1"/>
    <w:rsid w:val="02AA77DA"/>
    <w:rsid w:val="02AABD9D"/>
    <w:rsid w:val="02AB6474"/>
    <w:rsid w:val="02AB8F06"/>
    <w:rsid w:val="02ABAF07"/>
    <w:rsid w:val="02ACAD0E"/>
    <w:rsid w:val="02ACD7EF"/>
    <w:rsid w:val="02AD3830"/>
    <w:rsid w:val="02AD5D79"/>
    <w:rsid w:val="02ADDB42"/>
    <w:rsid w:val="02AEA90F"/>
    <w:rsid w:val="02AECFC4"/>
    <w:rsid w:val="02AF31DB"/>
    <w:rsid w:val="02AF40A1"/>
    <w:rsid w:val="02AF7436"/>
    <w:rsid w:val="02AFDA24"/>
    <w:rsid w:val="02B007FA"/>
    <w:rsid w:val="02B0EB23"/>
    <w:rsid w:val="02B313FC"/>
    <w:rsid w:val="02B50E59"/>
    <w:rsid w:val="02B5316F"/>
    <w:rsid w:val="02B63EC8"/>
    <w:rsid w:val="02B6E68A"/>
    <w:rsid w:val="02B7CED6"/>
    <w:rsid w:val="02B8B5D9"/>
    <w:rsid w:val="02BB30AD"/>
    <w:rsid w:val="02BB7D7B"/>
    <w:rsid w:val="02BCF9ED"/>
    <w:rsid w:val="02BCFDB9"/>
    <w:rsid w:val="02BD7CBC"/>
    <w:rsid w:val="02BE34B1"/>
    <w:rsid w:val="02BE40C8"/>
    <w:rsid w:val="02BFB35C"/>
    <w:rsid w:val="02C1FC18"/>
    <w:rsid w:val="02C2ABB0"/>
    <w:rsid w:val="02C3F8AA"/>
    <w:rsid w:val="02C4303A"/>
    <w:rsid w:val="02C447D6"/>
    <w:rsid w:val="02C46926"/>
    <w:rsid w:val="02C4853C"/>
    <w:rsid w:val="02C491F0"/>
    <w:rsid w:val="02C4CA3B"/>
    <w:rsid w:val="02C4E9A6"/>
    <w:rsid w:val="02C569B7"/>
    <w:rsid w:val="02C592FA"/>
    <w:rsid w:val="02C5AEEE"/>
    <w:rsid w:val="02C5EE3F"/>
    <w:rsid w:val="02C7194D"/>
    <w:rsid w:val="02C72C52"/>
    <w:rsid w:val="02C7FF45"/>
    <w:rsid w:val="02C83700"/>
    <w:rsid w:val="02C83F71"/>
    <w:rsid w:val="02C88D3B"/>
    <w:rsid w:val="02C952D9"/>
    <w:rsid w:val="02C9E703"/>
    <w:rsid w:val="02CA09D8"/>
    <w:rsid w:val="02CA3A4A"/>
    <w:rsid w:val="02CAE96F"/>
    <w:rsid w:val="02CBBE81"/>
    <w:rsid w:val="02CBDB83"/>
    <w:rsid w:val="02CC8780"/>
    <w:rsid w:val="02CCE3AA"/>
    <w:rsid w:val="02CDC54E"/>
    <w:rsid w:val="02CED92C"/>
    <w:rsid w:val="02CF30A7"/>
    <w:rsid w:val="02CF7042"/>
    <w:rsid w:val="02CFA0AB"/>
    <w:rsid w:val="02D0C390"/>
    <w:rsid w:val="02D0EDCF"/>
    <w:rsid w:val="02D1236F"/>
    <w:rsid w:val="02D173BF"/>
    <w:rsid w:val="02D19D12"/>
    <w:rsid w:val="02D22FF3"/>
    <w:rsid w:val="02D28389"/>
    <w:rsid w:val="02D2FB07"/>
    <w:rsid w:val="02D355DF"/>
    <w:rsid w:val="02D3E359"/>
    <w:rsid w:val="02D42333"/>
    <w:rsid w:val="02D45E9A"/>
    <w:rsid w:val="02D4755F"/>
    <w:rsid w:val="02D48684"/>
    <w:rsid w:val="02D53E35"/>
    <w:rsid w:val="02D552B1"/>
    <w:rsid w:val="02D57212"/>
    <w:rsid w:val="02D58958"/>
    <w:rsid w:val="02D5AAFA"/>
    <w:rsid w:val="02D5D0C2"/>
    <w:rsid w:val="02D6E89F"/>
    <w:rsid w:val="02D790D3"/>
    <w:rsid w:val="02D873D5"/>
    <w:rsid w:val="02D9CF8A"/>
    <w:rsid w:val="02DA6624"/>
    <w:rsid w:val="02DB8740"/>
    <w:rsid w:val="02DBAF4E"/>
    <w:rsid w:val="02DBDED9"/>
    <w:rsid w:val="02DC1425"/>
    <w:rsid w:val="02DC4BBA"/>
    <w:rsid w:val="02DC6852"/>
    <w:rsid w:val="02DD4893"/>
    <w:rsid w:val="02DDED2B"/>
    <w:rsid w:val="02DE1A27"/>
    <w:rsid w:val="02DE5588"/>
    <w:rsid w:val="02DFFC9F"/>
    <w:rsid w:val="02E006CB"/>
    <w:rsid w:val="02E0A5BA"/>
    <w:rsid w:val="02E191CD"/>
    <w:rsid w:val="02E251F0"/>
    <w:rsid w:val="02E262B0"/>
    <w:rsid w:val="02E4ED21"/>
    <w:rsid w:val="02E5290E"/>
    <w:rsid w:val="02E5E195"/>
    <w:rsid w:val="02E65778"/>
    <w:rsid w:val="02E6A33A"/>
    <w:rsid w:val="02E72018"/>
    <w:rsid w:val="02E76A75"/>
    <w:rsid w:val="02E7C3C9"/>
    <w:rsid w:val="02E7E36C"/>
    <w:rsid w:val="02E85578"/>
    <w:rsid w:val="02E86894"/>
    <w:rsid w:val="02E88241"/>
    <w:rsid w:val="02E92C82"/>
    <w:rsid w:val="02E986F9"/>
    <w:rsid w:val="02EA5544"/>
    <w:rsid w:val="02EB1832"/>
    <w:rsid w:val="02EB4B2D"/>
    <w:rsid w:val="02EB8EFB"/>
    <w:rsid w:val="02EC032D"/>
    <w:rsid w:val="02EC9692"/>
    <w:rsid w:val="02EDF693"/>
    <w:rsid w:val="02EE7A21"/>
    <w:rsid w:val="02EF0965"/>
    <w:rsid w:val="02F0C695"/>
    <w:rsid w:val="02F10687"/>
    <w:rsid w:val="02F15532"/>
    <w:rsid w:val="02F1A217"/>
    <w:rsid w:val="02F1B0D3"/>
    <w:rsid w:val="02F21705"/>
    <w:rsid w:val="02F287D5"/>
    <w:rsid w:val="02F312C1"/>
    <w:rsid w:val="02F3F67E"/>
    <w:rsid w:val="02F65594"/>
    <w:rsid w:val="02F65E8F"/>
    <w:rsid w:val="02F808E1"/>
    <w:rsid w:val="02F82639"/>
    <w:rsid w:val="02F8DE1B"/>
    <w:rsid w:val="02F9A4A9"/>
    <w:rsid w:val="02F9D379"/>
    <w:rsid w:val="02FA0BB4"/>
    <w:rsid w:val="02FA3BD6"/>
    <w:rsid w:val="02FB7276"/>
    <w:rsid w:val="02FB8F42"/>
    <w:rsid w:val="02FBFCA5"/>
    <w:rsid w:val="02FDAB09"/>
    <w:rsid w:val="02FDD0FE"/>
    <w:rsid w:val="02FDF5B6"/>
    <w:rsid w:val="02FEF417"/>
    <w:rsid w:val="02FF7157"/>
    <w:rsid w:val="02FF9EA0"/>
    <w:rsid w:val="02FFC6BF"/>
    <w:rsid w:val="0301BCE1"/>
    <w:rsid w:val="0301E803"/>
    <w:rsid w:val="0302764D"/>
    <w:rsid w:val="03031BAF"/>
    <w:rsid w:val="0303B59A"/>
    <w:rsid w:val="03042342"/>
    <w:rsid w:val="030534F2"/>
    <w:rsid w:val="030550B3"/>
    <w:rsid w:val="0305BE27"/>
    <w:rsid w:val="0306ED5F"/>
    <w:rsid w:val="0307312E"/>
    <w:rsid w:val="03076981"/>
    <w:rsid w:val="0307A26E"/>
    <w:rsid w:val="0307F1CA"/>
    <w:rsid w:val="03093E39"/>
    <w:rsid w:val="030A9699"/>
    <w:rsid w:val="030AF0C0"/>
    <w:rsid w:val="030C325B"/>
    <w:rsid w:val="030C5C1C"/>
    <w:rsid w:val="030C6757"/>
    <w:rsid w:val="030C7D84"/>
    <w:rsid w:val="030D3735"/>
    <w:rsid w:val="030E0627"/>
    <w:rsid w:val="030EA1CA"/>
    <w:rsid w:val="030ECD15"/>
    <w:rsid w:val="030F1A0C"/>
    <w:rsid w:val="03104F91"/>
    <w:rsid w:val="0311D715"/>
    <w:rsid w:val="0312E45B"/>
    <w:rsid w:val="0313CC0A"/>
    <w:rsid w:val="0313D116"/>
    <w:rsid w:val="0313D363"/>
    <w:rsid w:val="03145FA1"/>
    <w:rsid w:val="031494F0"/>
    <w:rsid w:val="031558CB"/>
    <w:rsid w:val="03161914"/>
    <w:rsid w:val="0316F73A"/>
    <w:rsid w:val="03177D67"/>
    <w:rsid w:val="0317BB16"/>
    <w:rsid w:val="03181F6F"/>
    <w:rsid w:val="031844BA"/>
    <w:rsid w:val="0318577B"/>
    <w:rsid w:val="031932BF"/>
    <w:rsid w:val="0319C081"/>
    <w:rsid w:val="0319EF4A"/>
    <w:rsid w:val="031A3FB1"/>
    <w:rsid w:val="031B60F8"/>
    <w:rsid w:val="031B673D"/>
    <w:rsid w:val="031BEE57"/>
    <w:rsid w:val="031BFC4E"/>
    <w:rsid w:val="031D2A77"/>
    <w:rsid w:val="031D33F8"/>
    <w:rsid w:val="031D8C7A"/>
    <w:rsid w:val="031DCA8B"/>
    <w:rsid w:val="03200135"/>
    <w:rsid w:val="0320E7D6"/>
    <w:rsid w:val="03214C81"/>
    <w:rsid w:val="0322AC8D"/>
    <w:rsid w:val="03243E39"/>
    <w:rsid w:val="0327061C"/>
    <w:rsid w:val="03282C1C"/>
    <w:rsid w:val="032895FD"/>
    <w:rsid w:val="0328A768"/>
    <w:rsid w:val="0329061F"/>
    <w:rsid w:val="03299571"/>
    <w:rsid w:val="0329E882"/>
    <w:rsid w:val="032B3E2E"/>
    <w:rsid w:val="032B89BF"/>
    <w:rsid w:val="032C236B"/>
    <w:rsid w:val="032D0470"/>
    <w:rsid w:val="032D42D3"/>
    <w:rsid w:val="032E327A"/>
    <w:rsid w:val="032EFEC7"/>
    <w:rsid w:val="032F3886"/>
    <w:rsid w:val="032F70BA"/>
    <w:rsid w:val="032F8903"/>
    <w:rsid w:val="0332038A"/>
    <w:rsid w:val="03325A3D"/>
    <w:rsid w:val="0332AB9D"/>
    <w:rsid w:val="0332D83C"/>
    <w:rsid w:val="03331087"/>
    <w:rsid w:val="033311DE"/>
    <w:rsid w:val="0333795C"/>
    <w:rsid w:val="0333A372"/>
    <w:rsid w:val="0334040E"/>
    <w:rsid w:val="03340429"/>
    <w:rsid w:val="03344BE9"/>
    <w:rsid w:val="0334E508"/>
    <w:rsid w:val="033506D4"/>
    <w:rsid w:val="03353D2B"/>
    <w:rsid w:val="033590F6"/>
    <w:rsid w:val="03359592"/>
    <w:rsid w:val="0335DB90"/>
    <w:rsid w:val="03361ACC"/>
    <w:rsid w:val="033682CC"/>
    <w:rsid w:val="0336FF37"/>
    <w:rsid w:val="033704F9"/>
    <w:rsid w:val="033787EF"/>
    <w:rsid w:val="03380A89"/>
    <w:rsid w:val="03381E73"/>
    <w:rsid w:val="0338A4D4"/>
    <w:rsid w:val="033A05F8"/>
    <w:rsid w:val="033A12EB"/>
    <w:rsid w:val="033A39A2"/>
    <w:rsid w:val="033A8942"/>
    <w:rsid w:val="033A8BFE"/>
    <w:rsid w:val="033B19C1"/>
    <w:rsid w:val="033BCAF2"/>
    <w:rsid w:val="033C6203"/>
    <w:rsid w:val="033D46A3"/>
    <w:rsid w:val="033D4C51"/>
    <w:rsid w:val="033DBA5B"/>
    <w:rsid w:val="033E1844"/>
    <w:rsid w:val="033ECAAA"/>
    <w:rsid w:val="033EE32B"/>
    <w:rsid w:val="033F1784"/>
    <w:rsid w:val="033F51F9"/>
    <w:rsid w:val="034027B3"/>
    <w:rsid w:val="0340C339"/>
    <w:rsid w:val="034182A5"/>
    <w:rsid w:val="0341F8DB"/>
    <w:rsid w:val="03423465"/>
    <w:rsid w:val="03427D11"/>
    <w:rsid w:val="03430D0E"/>
    <w:rsid w:val="0343783E"/>
    <w:rsid w:val="0343DF7B"/>
    <w:rsid w:val="0345C3A1"/>
    <w:rsid w:val="034634DF"/>
    <w:rsid w:val="03463DFE"/>
    <w:rsid w:val="03471F3A"/>
    <w:rsid w:val="03475534"/>
    <w:rsid w:val="0347A743"/>
    <w:rsid w:val="0347B5A4"/>
    <w:rsid w:val="0348540F"/>
    <w:rsid w:val="0348B9DF"/>
    <w:rsid w:val="03492137"/>
    <w:rsid w:val="03492A4D"/>
    <w:rsid w:val="034A1A8D"/>
    <w:rsid w:val="034AD081"/>
    <w:rsid w:val="034AFF5F"/>
    <w:rsid w:val="034B0597"/>
    <w:rsid w:val="034E8136"/>
    <w:rsid w:val="034F14C0"/>
    <w:rsid w:val="034F15B3"/>
    <w:rsid w:val="0350D996"/>
    <w:rsid w:val="0350F411"/>
    <w:rsid w:val="03510AF7"/>
    <w:rsid w:val="0351D137"/>
    <w:rsid w:val="0351D243"/>
    <w:rsid w:val="035226CE"/>
    <w:rsid w:val="03522B72"/>
    <w:rsid w:val="035234A4"/>
    <w:rsid w:val="035292A0"/>
    <w:rsid w:val="03529813"/>
    <w:rsid w:val="0352DADF"/>
    <w:rsid w:val="03535532"/>
    <w:rsid w:val="0354223E"/>
    <w:rsid w:val="035534D8"/>
    <w:rsid w:val="0355688C"/>
    <w:rsid w:val="03558866"/>
    <w:rsid w:val="0357AB29"/>
    <w:rsid w:val="0358B555"/>
    <w:rsid w:val="0358BA67"/>
    <w:rsid w:val="03594DA1"/>
    <w:rsid w:val="0359FFA0"/>
    <w:rsid w:val="035A4848"/>
    <w:rsid w:val="035A9C19"/>
    <w:rsid w:val="035ABE30"/>
    <w:rsid w:val="035B1BE2"/>
    <w:rsid w:val="035C1BA2"/>
    <w:rsid w:val="035C35DD"/>
    <w:rsid w:val="035D90F2"/>
    <w:rsid w:val="035E65F5"/>
    <w:rsid w:val="035F95AE"/>
    <w:rsid w:val="035FA31C"/>
    <w:rsid w:val="035FCC36"/>
    <w:rsid w:val="03608593"/>
    <w:rsid w:val="0361A48A"/>
    <w:rsid w:val="0362558B"/>
    <w:rsid w:val="0363BCCA"/>
    <w:rsid w:val="0363C5C5"/>
    <w:rsid w:val="0363F09C"/>
    <w:rsid w:val="0364425A"/>
    <w:rsid w:val="0365095E"/>
    <w:rsid w:val="036584BD"/>
    <w:rsid w:val="0365D3DC"/>
    <w:rsid w:val="0366B326"/>
    <w:rsid w:val="03678CD6"/>
    <w:rsid w:val="03679506"/>
    <w:rsid w:val="036797BB"/>
    <w:rsid w:val="03681849"/>
    <w:rsid w:val="03685152"/>
    <w:rsid w:val="0368A1A1"/>
    <w:rsid w:val="03692CEA"/>
    <w:rsid w:val="03694E73"/>
    <w:rsid w:val="036A207D"/>
    <w:rsid w:val="036AABE8"/>
    <w:rsid w:val="036AE01F"/>
    <w:rsid w:val="036BA537"/>
    <w:rsid w:val="036BDF36"/>
    <w:rsid w:val="036D166E"/>
    <w:rsid w:val="036D7394"/>
    <w:rsid w:val="036DBEA0"/>
    <w:rsid w:val="036E168F"/>
    <w:rsid w:val="036E1F41"/>
    <w:rsid w:val="036E28F0"/>
    <w:rsid w:val="036FAB2F"/>
    <w:rsid w:val="0370AA01"/>
    <w:rsid w:val="0371A49D"/>
    <w:rsid w:val="0372DF94"/>
    <w:rsid w:val="0372E3A1"/>
    <w:rsid w:val="0373815C"/>
    <w:rsid w:val="03739F57"/>
    <w:rsid w:val="0373D346"/>
    <w:rsid w:val="0374CBFB"/>
    <w:rsid w:val="037586AE"/>
    <w:rsid w:val="03761F9E"/>
    <w:rsid w:val="03768DA1"/>
    <w:rsid w:val="03773AA8"/>
    <w:rsid w:val="03774812"/>
    <w:rsid w:val="0377EC33"/>
    <w:rsid w:val="03781C25"/>
    <w:rsid w:val="03782A92"/>
    <w:rsid w:val="03785D5D"/>
    <w:rsid w:val="03788A4F"/>
    <w:rsid w:val="037A6315"/>
    <w:rsid w:val="037A7421"/>
    <w:rsid w:val="037ADC57"/>
    <w:rsid w:val="037B422E"/>
    <w:rsid w:val="037B6058"/>
    <w:rsid w:val="037C509B"/>
    <w:rsid w:val="037C6710"/>
    <w:rsid w:val="037D0905"/>
    <w:rsid w:val="037D0965"/>
    <w:rsid w:val="037DA623"/>
    <w:rsid w:val="037F37DB"/>
    <w:rsid w:val="037FE527"/>
    <w:rsid w:val="037FF344"/>
    <w:rsid w:val="0381C71C"/>
    <w:rsid w:val="03820BEF"/>
    <w:rsid w:val="03828D90"/>
    <w:rsid w:val="0382E1B9"/>
    <w:rsid w:val="0383CCD6"/>
    <w:rsid w:val="03840276"/>
    <w:rsid w:val="038452B5"/>
    <w:rsid w:val="03849059"/>
    <w:rsid w:val="03857E04"/>
    <w:rsid w:val="0385FC2C"/>
    <w:rsid w:val="03860623"/>
    <w:rsid w:val="038618E9"/>
    <w:rsid w:val="038773DB"/>
    <w:rsid w:val="0387979B"/>
    <w:rsid w:val="0387F4E3"/>
    <w:rsid w:val="0387FB1D"/>
    <w:rsid w:val="038819BD"/>
    <w:rsid w:val="03882209"/>
    <w:rsid w:val="03884758"/>
    <w:rsid w:val="03898FF2"/>
    <w:rsid w:val="0389B4C9"/>
    <w:rsid w:val="0389EE05"/>
    <w:rsid w:val="038A0705"/>
    <w:rsid w:val="038A4075"/>
    <w:rsid w:val="038B3425"/>
    <w:rsid w:val="038BAE6E"/>
    <w:rsid w:val="038BE9D5"/>
    <w:rsid w:val="038C9474"/>
    <w:rsid w:val="038D076F"/>
    <w:rsid w:val="038D59BE"/>
    <w:rsid w:val="038D938D"/>
    <w:rsid w:val="038F3CD5"/>
    <w:rsid w:val="038FEF57"/>
    <w:rsid w:val="0390426D"/>
    <w:rsid w:val="0390EB96"/>
    <w:rsid w:val="039113B9"/>
    <w:rsid w:val="03917804"/>
    <w:rsid w:val="0391ACE7"/>
    <w:rsid w:val="0391F362"/>
    <w:rsid w:val="03926086"/>
    <w:rsid w:val="0392D890"/>
    <w:rsid w:val="0393E07C"/>
    <w:rsid w:val="0394374C"/>
    <w:rsid w:val="0394B8AE"/>
    <w:rsid w:val="0394F066"/>
    <w:rsid w:val="03950030"/>
    <w:rsid w:val="03960126"/>
    <w:rsid w:val="03973BFC"/>
    <w:rsid w:val="0397A68D"/>
    <w:rsid w:val="0397A83F"/>
    <w:rsid w:val="0397C9CA"/>
    <w:rsid w:val="0397D77D"/>
    <w:rsid w:val="0398659E"/>
    <w:rsid w:val="03987C64"/>
    <w:rsid w:val="0398ACCD"/>
    <w:rsid w:val="03993C68"/>
    <w:rsid w:val="0399C06A"/>
    <w:rsid w:val="0399CBE0"/>
    <w:rsid w:val="0399ED79"/>
    <w:rsid w:val="039A40A3"/>
    <w:rsid w:val="039AF647"/>
    <w:rsid w:val="039B44C9"/>
    <w:rsid w:val="039B78BC"/>
    <w:rsid w:val="039CD4F6"/>
    <w:rsid w:val="039CF913"/>
    <w:rsid w:val="039D71CF"/>
    <w:rsid w:val="039D75CB"/>
    <w:rsid w:val="039E0414"/>
    <w:rsid w:val="039E14C2"/>
    <w:rsid w:val="039F516A"/>
    <w:rsid w:val="039F7586"/>
    <w:rsid w:val="039FFE52"/>
    <w:rsid w:val="03A02B08"/>
    <w:rsid w:val="03A08A40"/>
    <w:rsid w:val="03A0EE2A"/>
    <w:rsid w:val="03A14643"/>
    <w:rsid w:val="03A146DB"/>
    <w:rsid w:val="03A288C9"/>
    <w:rsid w:val="03A2E103"/>
    <w:rsid w:val="03A57DBF"/>
    <w:rsid w:val="03A58470"/>
    <w:rsid w:val="03A5B1DE"/>
    <w:rsid w:val="03A65EC5"/>
    <w:rsid w:val="03A6E36A"/>
    <w:rsid w:val="03A73B76"/>
    <w:rsid w:val="03A7CB10"/>
    <w:rsid w:val="03A97C57"/>
    <w:rsid w:val="03A98A7D"/>
    <w:rsid w:val="03AB5912"/>
    <w:rsid w:val="03AC88C5"/>
    <w:rsid w:val="03AD0E38"/>
    <w:rsid w:val="03AD226D"/>
    <w:rsid w:val="03AD91E3"/>
    <w:rsid w:val="03AE4AB7"/>
    <w:rsid w:val="03AEA1EB"/>
    <w:rsid w:val="03AEB27C"/>
    <w:rsid w:val="03AEB602"/>
    <w:rsid w:val="03AF4E10"/>
    <w:rsid w:val="03AF7935"/>
    <w:rsid w:val="03AFC998"/>
    <w:rsid w:val="03B0C1F4"/>
    <w:rsid w:val="03B105FC"/>
    <w:rsid w:val="03B18D3D"/>
    <w:rsid w:val="03B1E900"/>
    <w:rsid w:val="03B27D51"/>
    <w:rsid w:val="03B2F044"/>
    <w:rsid w:val="03B3CE38"/>
    <w:rsid w:val="03B4166F"/>
    <w:rsid w:val="03B46421"/>
    <w:rsid w:val="03B4CA09"/>
    <w:rsid w:val="03B4E4A7"/>
    <w:rsid w:val="03B55360"/>
    <w:rsid w:val="03B7ED8C"/>
    <w:rsid w:val="03B86454"/>
    <w:rsid w:val="03B86BED"/>
    <w:rsid w:val="03B92EEE"/>
    <w:rsid w:val="03B94A9C"/>
    <w:rsid w:val="03B9751E"/>
    <w:rsid w:val="03BA8A7C"/>
    <w:rsid w:val="03BCC906"/>
    <w:rsid w:val="03BE8093"/>
    <w:rsid w:val="03BEFBBA"/>
    <w:rsid w:val="03BF697E"/>
    <w:rsid w:val="03C0D9E2"/>
    <w:rsid w:val="03C1FAA2"/>
    <w:rsid w:val="03C2818B"/>
    <w:rsid w:val="03C34ED3"/>
    <w:rsid w:val="03C432F9"/>
    <w:rsid w:val="03C503BF"/>
    <w:rsid w:val="03C57E86"/>
    <w:rsid w:val="03C8F42D"/>
    <w:rsid w:val="03C980B2"/>
    <w:rsid w:val="03C98E59"/>
    <w:rsid w:val="03CADF31"/>
    <w:rsid w:val="03CAF10B"/>
    <w:rsid w:val="03CBEB9A"/>
    <w:rsid w:val="03CC2782"/>
    <w:rsid w:val="03CD610A"/>
    <w:rsid w:val="03CDE92D"/>
    <w:rsid w:val="03CF0BB4"/>
    <w:rsid w:val="03CF1F47"/>
    <w:rsid w:val="03CFFCAA"/>
    <w:rsid w:val="03D04A83"/>
    <w:rsid w:val="03D057AF"/>
    <w:rsid w:val="03D1301D"/>
    <w:rsid w:val="03D1876C"/>
    <w:rsid w:val="03D1F7CF"/>
    <w:rsid w:val="03D29761"/>
    <w:rsid w:val="03D33832"/>
    <w:rsid w:val="03D35EB6"/>
    <w:rsid w:val="03D397D9"/>
    <w:rsid w:val="03D45652"/>
    <w:rsid w:val="03D46A93"/>
    <w:rsid w:val="03D4AC67"/>
    <w:rsid w:val="03D4C3CE"/>
    <w:rsid w:val="03D4F1C8"/>
    <w:rsid w:val="03D5A61F"/>
    <w:rsid w:val="03D5F17D"/>
    <w:rsid w:val="03D6A6A4"/>
    <w:rsid w:val="03D738FD"/>
    <w:rsid w:val="03D801EA"/>
    <w:rsid w:val="03D825A8"/>
    <w:rsid w:val="03D9F367"/>
    <w:rsid w:val="03DB535F"/>
    <w:rsid w:val="03DC02E2"/>
    <w:rsid w:val="03DC27AC"/>
    <w:rsid w:val="03DCE07A"/>
    <w:rsid w:val="03DE7B21"/>
    <w:rsid w:val="03DF24DE"/>
    <w:rsid w:val="03DF281D"/>
    <w:rsid w:val="03E23065"/>
    <w:rsid w:val="03E34AFF"/>
    <w:rsid w:val="03E38FAD"/>
    <w:rsid w:val="03E3961B"/>
    <w:rsid w:val="03E4352B"/>
    <w:rsid w:val="03E520D2"/>
    <w:rsid w:val="03E54975"/>
    <w:rsid w:val="03E57A18"/>
    <w:rsid w:val="03E584A0"/>
    <w:rsid w:val="03E5F8B3"/>
    <w:rsid w:val="03E609D1"/>
    <w:rsid w:val="03E64AAA"/>
    <w:rsid w:val="03E6DA3A"/>
    <w:rsid w:val="03E75200"/>
    <w:rsid w:val="03E765B2"/>
    <w:rsid w:val="03E793E9"/>
    <w:rsid w:val="03E7A5A7"/>
    <w:rsid w:val="03E931D2"/>
    <w:rsid w:val="03E9B6B8"/>
    <w:rsid w:val="03EB83CE"/>
    <w:rsid w:val="03EC0DC0"/>
    <w:rsid w:val="03EC23AD"/>
    <w:rsid w:val="03EC5269"/>
    <w:rsid w:val="03ED35C9"/>
    <w:rsid w:val="03EDC3FF"/>
    <w:rsid w:val="03EF4DFA"/>
    <w:rsid w:val="03EF7317"/>
    <w:rsid w:val="03EFE441"/>
    <w:rsid w:val="03F00474"/>
    <w:rsid w:val="03F007B9"/>
    <w:rsid w:val="03F0345F"/>
    <w:rsid w:val="03F1DCA4"/>
    <w:rsid w:val="03F2B415"/>
    <w:rsid w:val="03F38EC7"/>
    <w:rsid w:val="03F41BCD"/>
    <w:rsid w:val="03F4FC70"/>
    <w:rsid w:val="03F70D22"/>
    <w:rsid w:val="03F717ED"/>
    <w:rsid w:val="03F7F038"/>
    <w:rsid w:val="03F83B39"/>
    <w:rsid w:val="03F94E1A"/>
    <w:rsid w:val="03F951F4"/>
    <w:rsid w:val="03F9E96F"/>
    <w:rsid w:val="03F9E9A5"/>
    <w:rsid w:val="03FA2EE3"/>
    <w:rsid w:val="03FABB1B"/>
    <w:rsid w:val="03FB3CF6"/>
    <w:rsid w:val="03FCB725"/>
    <w:rsid w:val="03FD5AF9"/>
    <w:rsid w:val="03FD9445"/>
    <w:rsid w:val="03FDB1C5"/>
    <w:rsid w:val="03FE22C4"/>
    <w:rsid w:val="03FF0A8E"/>
    <w:rsid w:val="03FF566A"/>
    <w:rsid w:val="0400486E"/>
    <w:rsid w:val="04014086"/>
    <w:rsid w:val="0401B9B9"/>
    <w:rsid w:val="04021597"/>
    <w:rsid w:val="04029806"/>
    <w:rsid w:val="0403946B"/>
    <w:rsid w:val="040396B6"/>
    <w:rsid w:val="0404FFEA"/>
    <w:rsid w:val="04051526"/>
    <w:rsid w:val="04054A33"/>
    <w:rsid w:val="04062349"/>
    <w:rsid w:val="0406C312"/>
    <w:rsid w:val="0406F533"/>
    <w:rsid w:val="040709BC"/>
    <w:rsid w:val="0407CBAF"/>
    <w:rsid w:val="04081A7B"/>
    <w:rsid w:val="04096336"/>
    <w:rsid w:val="040966E5"/>
    <w:rsid w:val="0409953E"/>
    <w:rsid w:val="0409A0AF"/>
    <w:rsid w:val="0409F51B"/>
    <w:rsid w:val="040A3D1E"/>
    <w:rsid w:val="040A9156"/>
    <w:rsid w:val="040AE261"/>
    <w:rsid w:val="040BF583"/>
    <w:rsid w:val="040D78EE"/>
    <w:rsid w:val="040DB3A2"/>
    <w:rsid w:val="040E2D52"/>
    <w:rsid w:val="040E4AA5"/>
    <w:rsid w:val="040EBBD2"/>
    <w:rsid w:val="040F8286"/>
    <w:rsid w:val="040FF44D"/>
    <w:rsid w:val="0410A481"/>
    <w:rsid w:val="0410BB3B"/>
    <w:rsid w:val="0410D8F6"/>
    <w:rsid w:val="04113C9F"/>
    <w:rsid w:val="041171E5"/>
    <w:rsid w:val="0411CCBA"/>
    <w:rsid w:val="0412EAE6"/>
    <w:rsid w:val="041424B7"/>
    <w:rsid w:val="0414C2F6"/>
    <w:rsid w:val="0415AA61"/>
    <w:rsid w:val="04169703"/>
    <w:rsid w:val="041819B8"/>
    <w:rsid w:val="0418F032"/>
    <w:rsid w:val="041A3AB8"/>
    <w:rsid w:val="041A5C0E"/>
    <w:rsid w:val="041B2BE3"/>
    <w:rsid w:val="041C413C"/>
    <w:rsid w:val="041C73F3"/>
    <w:rsid w:val="041CBD10"/>
    <w:rsid w:val="041D9BD4"/>
    <w:rsid w:val="041DA690"/>
    <w:rsid w:val="041E3FE0"/>
    <w:rsid w:val="041E5042"/>
    <w:rsid w:val="041E66B7"/>
    <w:rsid w:val="041FD996"/>
    <w:rsid w:val="041FEB80"/>
    <w:rsid w:val="0420F582"/>
    <w:rsid w:val="04211C98"/>
    <w:rsid w:val="04217E8C"/>
    <w:rsid w:val="0421F162"/>
    <w:rsid w:val="04229570"/>
    <w:rsid w:val="04259484"/>
    <w:rsid w:val="0426E508"/>
    <w:rsid w:val="042743BA"/>
    <w:rsid w:val="0427770F"/>
    <w:rsid w:val="0427DB6C"/>
    <w:rsid w:val="0427DD5E"/>
    <w:rsid w:val="04287B56"/>
    <w:rsid w:val="04289180"/>
    <w:rsid w:val="0428B7FD"/>
    <w:rsid w:val="042960D0"/>
    <w:rsid w:val="04299B6B"/>
    <w:rsid w:val="0429EA54"/>
    <w:rsid w:val="042B2EE2"/>
    <w:rsid w:val="042B67D6"/>
    <w:rsid w:val="042B74C6"/>
    <w:rsid w:val="042BD172"/>
    <w:rsid w:val="042E251F"/>
    <w:rsid w:val="0430777C"/>
    <w:rsid w:val="0431C585"/>
    <w:rsid w:val="0431EFC6"/>
    <w:rsid w:val="043223CB"/>
    <w:rsid w:val="0432E156"/>
    <w:rsid w:val="04340058"/>
    <w:rsid w:val="04346D61"/>
    <w:rsid w:val="0434B306"/>
    <w:rsid w:val="0434C7A7"/>
    <w:rsid w:val="0434F367"/>
    <w:rsid w:val="0435180B"/>
    <w:rsid w:val="04354BB3"/>
    <w:rsid w:val="0435D5F8"/>
    <w:rsid w:val="04361F3E"/>
    <w:rsid w:val="043739A6"/>
    <w:rsid w:val="04374966"/>
    <w:rsid w:val="04384810"/>
    <w:rsid w:val="04393B13"/>
    <w:rsid w:val="0439CC50"/>
    <w:rsid w:val="043A0208"/>
    <w:rsid w:val="043AA78E"/>
    <w:rsid w:val="043AAA0F"/>
    <w:rsid w:val="043AE44F"/>
    <w:rsid w:val="043B8DCA"/>
    <w:rsid w:val="043B9695"/>
    <w:rsid w:val="043BB748"/>
    <w:rsid w:val="043BE1BD"/>
    <w:rsid w:val="043CADD6"/>
    <w:rsid w:val="043CD802"/>
    <w:rsid w:val="043CED08"/>
    <w:rsid w:val="043EDAAC"/>
    <w:rsid w:val="043F427A"/>
    <w:rsid w:val="0440D790"/>
    <w:rsid w:val="04421BAF"/>
    <w:rsid w:val="044230EA"/>
    <w:rsid w:val="04435B5C"/>
    <w:rsid w:val="04446A91"/>
    <w:rsid w:val="04446F8B"/>
    <w:rsid w:val="044489C4"/>
    <w:rsid w:val="04448CE5"/>
    <w:rsid w:val="0444A0F4"/>
    <w:rsid w:val="04455C57"/>
    <w:rsid w:val="04458EEB"/>
    <w:rsid w:val="0446080E"/>
    <w:rsid w:val="0448460F"/>
    <w:rsid w:val="044849CB"/>
    <w:rsid w:val="04486B5D"/>
    <w:rsid w:val="04494916"/>
    <w:rsid w:val="044A8472"/>
    <w:rsid w:val="044B5012"/>
    <w:rsid w:val="044B6905"/>
    <w:rsid w:val="044BEE5C"/>
    <w:rsid w:val="044C0362"/>
    <w:rsid w:val="044C13D2"/>
    <w:rsid w:val="044C40BF"/>
    <w:rsid w:val="044D29BC"/>
    <w:rsid w:val="044E3878"/>
    <w:rsid w:val="044F7968"/>
    <w:rsid w:val="044FB385"/>
    <w:rsid w:val="0450B93E"/>
    <w:rsid w:val="04515EA2"/>
    <w:rsid w:val="0452168E"/>
    <w:rsid w:val="0452EAF7"/>
    <w:rsid w:val="0452FF01"/>
    <w:rsid w:val="04532E61"/>
    <w:rsid w:val="0453B5D0"/>
    <w:rsid w:val="04545BAE"/>
    <w:rsid w:val="0454B6F9"/>
    <w:rsid w:val="0454C3F7"/>
    <w:rsid w:val="045514F2"/>
    <w:rsid w:val="045520F1"/>
    <w:rsid w:val="045558AF"/>
    <w:rsid w:val="045672FF"/>
    <w:rsid w:val="0456DD9F"/>
    <w:rsid w:val="0456E5E7"/>
    <w:rsid w:val="045706A3"/>
    <w:rsid w:val="0457447F"/>
    <w:rsid w:val="0457E626"/>
    <w:rsid w:val="0457F54A"/>
    <w:rsid w:val="045816C3"/>
    <w:rsid w:val="04583F99"/>
    <w:rsid w:val="045858F3"/>
    <w:rsid w:val="04588345"/>
    <w:rsid w:val="045B72B3"/>
    <w:rsid w:val="045DD028"/>
    <w:rsid w:val="046032BE"/>
    <w:rsid w:val="04607638"/>
    <w:rsid w:val="0460E4A5"/>
    <w:rsid w:val="0463DDC1"/>
    <w:rsid w:val="0464E452"/>
    <w:rsid w:val="0465BC7C"/>
    <w:rsid w:val="04669323"/>
    <w:rsid w:val="0466C02D"/>
    <w:rsid w:val="0467D545"/>
    <w:rsid w:val="04687499"/>
    <w:rsid w:val="04691071"/>
    <w:rsid w:val="0469C12E"/>
    <w:rsid w:val="046B3201"/>
    <w:rsid w:val="046BE941"/>
    <w:rsid w:val="046D15EC"/>
    <w:rsid w:val="046D39BA"/>
    <w:rsid w:val="046E6C07"/>
    <w:rsid w:val="046E7720"/>
    <w:rsid w:val="046ECB68"/>
    <w:rsid w:val="046F53C4"/>
    <w:rsid w:val="046FFCE1"/>
    <w:rsid w:val="04713CD8"/>
    <w:rsid w:val="0471AD4A"/>
    <w:rsid w:val="04722B49"/>
    <w:rsid w:val="047285C8"/>
    <w:rsid w:val="04729047"/>
    <w:rsid w:val="04729205"/>
    <w:rsid w:val="04733C75"/>
    <w:rsid w:val="0473436A"/>
    <w:rsid w:val="0473BFC3"/>
    <w:rsid w:val="047689F4"/>
    <w:rsid w:val="0476B01D"/>
    <w:rsid w:val="0476CF10"/>
    <w:rsid w:val="0478A433"/>
    <w:rsid w:val="047A3C6E"/>
    <w:rsid w:val="047A3ECC"/>
    <w:rsid w:val="047ADA1E"/>
    <w:rsid w:val="047B4403"/>
    <w:rsid w:val="047B64A0"/>
    <w:rsid w:val="047B9930"/>
    <w:rsid w:val="047C14DB"/>
    <w:rsid w:val="047CD21A"/>
    <w:rsid w:val="047D7A75"/>
    <w:rsid w:val="047E447B"/>
    <w:rsid w:val="047F8A66"/>
    <w:rsid w:val="047F8C6E"/>
    <w:rsid w:val="047FC723"/>
    <w:rsid w:val="04801B03"/>
    <w:rsid w:val="0481A505"/>
    <w:rsid w:val="0481CAF9"/>
    <w:rsid w:val="0481DE43"/>
    <w:rsid w:val="04823271"/>
    <w:rsid w:val="04824D10"/>
    <w:rsid w:val="0483DFDD"/>
    <w:rsid w:val="0486EF98"/>
    <w:rsid w:val="0487CBB6"/>
    <w:rsid w:val="0489F9DF"/>
    <w:rsid w:val="048B28E6"/>
    <w:rsid w:val="048C9A72"/>
    <w:rsid w:val="048CB474"/>
    <w:rsid w:val="048D28EE"/>
    <w:rsid w:val="048D5638"/>
    <w:rsid w:val="048DDABA"/>
    <w:rsid w:val="048E2398"/>
    <w:rsid w:val="048E5E44"/>
    <w:rsid w:val="048F30CD"/>
    <w:rsid w:val="048F57B6"/>
    <w:rsid w:val="048FEFD1"/>
    <w:rsid w:val="049026D5"/>
    <w:rsid w:val="0490D03F"/>
    <w:rsid w:val="0491355C"/>
    <w:rsid w:val="04923F79"/>
    <w:rsid w:val="0492D00D"/>
    <w:rsid w:val="04950601"/>
    <w:rsid w:val="04959E78"/>
    <w:rsid w:val="0495BE67"/>
    <w:rsid w:val="0496648B"/>
    <w:rsid w:val="0496C815"/>
    <w:rsid w:val="04970EA9"/>
    <w:rsid w:val="0497B12B"/>
    <w:rsid w:val="04997D38"/>
    <w:rsid w:val="049B0E3A"/>
    <w:rsid w:val="049B3577"/>
    <w:rsid w:val="049BA46D"/>
    <w:rsid w:val="049C1E5F"/>
    <w:rsid w:val="049C3697"/>
    <w:rsid w:val="049D6D9B"/>
    <w:rsid w:val="049D7958"/>
    <w:rsid w:val="049E16C9"/>
    <w:rsid w:val="049E4786"/>
    <w:rsid w:val="049E7FAF"/>
    <w:rsid w:val="049F38FC"/>
    <w:rsid w:val="049FB5CF"/>
    <w:rsid w:val="049FB5DC"/>
    <w:rsid w:val="04A03652"/>
    <w:rsid w:val="04A0B21C"/>
    <w:rsid w:val="04A0CCBC"/>
    <w:rsid w:val="04A13741"/>
    <w:rsid w:val="04A197F3"/>
    <w:rsid w:val="04A24F31"/>
    <w:rsid w:val="04A46C2F"/>
    <w:rsid w:val="04A4D244"/>
    <w:rsid w:val="04A4EF85"/>
    <w:rsid w:val="04A57B07"/>
    <w:rsid w:val="04A5EEE2"/>
    <w:rsid w:val="04A65667"/>
    <w:rsid w:val="04A68521"/>
    <w:rsid w:val="04A73CA7"/>
    <w:rsid w:val="04A79F9D"/>
    <w:rsid w:val="04A8449D"/>
    <w:rsid w:val="04A8AAA8"/>
    <w:rsid w:val="04A8B01B"/>
    <w:rsid w:val="04AB3762"/>
    <w:rsid w:val="04AB3F9C"/>
    <w:rsid w:val="04AB60F6"/>
    <w:rsid w:val="04ABB12D"/>
    <w:rsid w:val="04ABD470"/>
    <w:rsid w:val="04AC4333"/>
    <w:rsid w:val="04AD557A"/>
    <w:rsid w:val="04ADA935"/>
    <w:rsid w:val="04AE4723"/>
    <w:rsid w:val="04AF146F"/>
    <w:rsid w:val="04AF8C33"/>
    <w:rsid w:val="04AFEED6"/>
    <w:rsid w:val="04B0C91C"/>
    <w:rsid w:val="04B13476"/>
    <w:rsid w:val="04B26B67"/>
    <w:rsid w:val="04B2F3BB"/>
    <w:rsid w:val="04B3C01A"/>
    <w:rsid w:val="04B3EF20"/>
    <w:rsid w:val="04B45A9C"/>
    <w:rsid w:val="04B4C509"/>
    <w:rsid w:val="04B4E1AB"/>
    <w:rsid w:val="04B5DE96"/>
    <w:rsid w:val="04B71799"/>
    <w:rsid w:val="04B8EC13"/>
    <w:rsid w:val="04B904F7"/>
    <w:rsid w:val="04B9CE85"/>
    <w:rsid w:val="04B9DA16"/>
    <w:rsid w:val="04BB0049"/>
    <w:rsid w:val="04BE1FC4"/>
    <w:rsid w:val="04BE44BF"/>
    <w:rsid w:val="04BEA750"/>
    <w:rsid w:val="04BEECA5"/>
    <w:rsid w:val="04C0087E"/>
    <w:rsid w:val="04C03660"/>
    <w:rsid w:val="04C07111"/>
    <w:rsid w:val="04C07175"/>
    <w:rsid w:val="04C0CF6A"/>
    <w:rsid w:val="04C13D26"/>
    <w:rsid w:val="04C1867D"/>
    <w:rsid w:val="04C238DF"/>
    <w:rsid w:val="04C29142"/>
    <w:rsid w:val="04C2FFD1"/>
    <w:rsid w:val="04C348E5"/>
    <w:rsid w:val="04C42A39"/>
    <w:rsid w:val="04C5384A"/>
    <w:rsid w:val="04C5F584"/>
    <w:rsid w:val="04C69927"/>
    <w:rsid w:val="04C6BC6D"/>
    <w:rsid w:val="04C6DC5E"/>
    <w:rsid w:val="04C73156"/>
    <w:rsid w:val="04C7693B"/>
    <w:rsid w:val="04C7BC49"/>
    <w:rsid w:val="04C7F499"/>
    <w:rsid w:val="04C83038"/>
    <w:rsid w:val="04C84873"/>
    <w:rsid w:val="04C85E2C"/>
    <w:rsid w:val="04C86E41"/>
    <w:rsid w:val="04C882EE"/>
    <w:rsid w:val="04C89217"/>
    <w:rsid w:val="04C9AF44"/>
    <w:rsid w:val="04CAA1C5"/>
    <w:rsid w:val="04CB044E"/>
    <w:rsid w:val="04CB4351"/>
    <w:rsid w:val="04CB5073"/>
    <w:rsid w:val="04CB9AD2"/>
    <w:rsid w:val="04CC3FD7"/>
    <w:rsid w:val="04CC5531"/>
    <w:rsid w:val="04CC86FE"/>
    <w:rsid w:val="04CCD22E"/>
    <w:rsid w:val="04CD223C"/>
    <w:rsid w:val="04CD63AC"/>
    <w:rsid w:val="04CD79A7"/>
    <w:rsid w:val="04CF395A"/>
    <w:rsid w:val="04CF6CAD"/>
    <w:rsid w:val="04CFE744"/>
    <w:rsid w:val="04D0115B"/>
    <w:rsid w:val="04D05CAD"/>
    <w:rsid w:val="04D0D407"/>
    <w:rsid w:val="04D12C77"/>
    <w:rsid w:val="04D13C97"/>
    <w:rsid w:val="04D17B1F"/>
    <w:rsid w:val="04D38D30"/>
    <w:rsid w:val="04D39E0B"/>
    <w:rsid w:val="04D3D85C"/>
    <w:rsid w:val="04D3F548"/>
    <w:rsid w:val="04D3FDDA"/>
    <w:rsid w:val="04D46333"/>
    <w:rsid w:val="04D48FF5"/>
    <w:rsid w:val="04D598B0"/>
    <w:rsid w:val="04D63DDB"/>
    <w:rsid w:val="04D66EF2"/>
    <w:rsid w:val="04D6CB46"/>
    <w:rsid w:val="04D76F64"/>
    <w:rsid w:val="04D7EE10"/>
    <w:rsid w:val="04D87713"/>
    <w:rsid w:val="04D94E72"/>
    <w:rsid w:val="04DA5E60"/>
    <w:rsid w:val="04DB7882"/>
    <w:rsid w:val="04DB9844"/>
    <w:rsid w:val="04DCB513"/>
    <w:rsid w:val="04DD1F54"/>
    <w:rsid w:val="04DDB3EB"/>
    <w:rsid w:val="04DDEF64"/>
    <w:rsid w:val="04DE94B1"/>
    <w:rsid w:val="04DECC98"/>
    <w:rsid w:val="04DF1154"/>
    <w:rsid w:val="04DF3F5A"/>
    <w:rsid w:val="04DF423D"/>
    <w:rsid w:val="04DF6ACB"/>
    <w:rsid w:val="04DF93F7"/>
    <w:rsid w:val="04E065DE"/>
    <w:rsid w:val="04E06E97"/>
    <w:rsid w:val="04E091B0"/>
    <w:rsid w:val="04E0C451"/>
    <w:rsid w:val="04E0EBFA"/>
    <w:rsid w:val="04E197E2"/>
    <w:rsid w:val="04E2BAD9"/>
    <w:rsid w:val="04E4F539"/>
    <w:rsid w:val="04E51A58"/>
    <w:rsid w:val="04E6156A"/>
    <w:rsid w:val="04E72553"/>
    <w:rsid w:val="04E73C47"/>
    <w:rsid w:val="04E7F307"/>
    <w:rsid w:val="04E7F3E9"/>
    <w:rsid w:val="04E8420B"/>
    <w:rsid w:val="04E8B524"/>
    <w:rsid w:val="04E8E750"/>
    <w:rsid w:val="04E8EB75"/>
    <w:rsid w:val="04E977D0"/>
    <w:rsid w:val="04E9980E"/>
    <w:rsid w:val="04EA02C0"/>
    <w:rsid w:val="04EAC05A"/>
    <w:rsid w:val="04EB9757"/>
    <w:rsid w:val="04EC2889"/>
    <w:rsid w:val="04EC43D2"/>
    <w:rsid w:val="04ECD73A"/>
    <w:rsid w:val="04ECEBBB"/>
    <w:rsid w:val="04ED0E48"/>
    <w:rsid w:val="04ED1391"/>
    <w:rsid w:val="04ED6121"/>
    <w:rsid w:val="04ED81B7"/>
    <w:rsid w:val="04EDDA71"/>
    <w:rsid w:val="04EE388A"/>
    <w:rsid w:val="04EE8870"/>
    <w:rsid w:val="04EF1A6B"/>
    <w:rsid w:val="04EF42C9"/>
    <w:rsid w:val="04EF69D8"/>
    <w:rsid w:val="04EFACC1"/>
    <w:rsid w:val="04F0CE74"/>
    <w:rsid w:val="04F16208"/>
    <w:rsid w:val="04F336BF"/>
    <w:rsid w:val="04F33A1D"/>
    <w:rsid w:val="04F4097F"/>
    <w:rsid w:val="04F43247"/>
    <w:rsid w:val="04F517F6"/>
    <w:rsid w:val="04F676FE"/>
    <w:rsid w:val="04F7BF2F"/>
    <w:rsid w:val="04F856BA"/>
    <w:rsid w:val="04F8B0D0"/>
    <w:rsid w:val="04F94D06"/>
    <w:rsid w:val="04F9D857"/>
    <w:rsid w:val="04FA4DFF"/>
    <w:rsid w:val="04FB1F48"/>
    <w:rsid w:val="04FB92F5"/>
    <w:rsid w:val="04FD0402"/>
    <w:rsid w:val="04FD7BEA"/>
    <w:rsid w:val="04FDDCF3"/>
    <w:rsid w:val="04FE202D"/>
    <w:rsid w:val="04FE207F"/>
    <w:rsid w:val="04FEB3B5"/>
    <w:rsid w:val="04FEF8FE"/>
    <w:rsid w:val="04FF34A6"/>
    <w:rsid w:val="04FF5B6F"/>
    <w:rsid w:val="05001BEA"/>
    <w:rsid w:val="0504630F"/>
    <w:rsid w:val="05046868"/>
    <w:rsid w:val="05046B7A"/>
    <w:rsid w:val="05074117"/>
    <w:rsid w:val="050769F3"/>
    <w:rsid w:val="0508CEF6"/>
    <w:rsid w:val="05094F59"/>
    <w:rsid w:val="05098A88"/>
    <w:rsid w:val="050A4914"/>
    <w:rsid w:val="050B02FA"/>
    <w:rsid w:val="050C155B"/>
    <w:rsid w:val="050CB5CB"/>
    <w:rsid w:val="050CCCE0"/>
    <w:rsid w:val="050D6D63"/>
    <w:rsid w:val="050EE624"/>
    <w:rsid w:val="050F9D57"/>
    <w:rsid w:val="0510B023"/>
    <w:rsid w:val="0511FB79"/>
    <w:rsid w:val="05122663"/>
    <w:rsid w:val="0512CB47"/>
    <w:rsid w:val="05132916"/>
    <w:rsid w:val="0513DC81"/>
    <w:rsid w:val="0514DF46"/>
    <w:rsid w:val="05153F5C"/>
    <w:rsid w:val="0516FC67"/>
    <w:rsid w:val="051723B3"/>
    <w:rsid w:val="05174A33"/>
    <w:rsid w:val="05176385"/>
    <w:rsid w:val="0518ECCF"/>
    <w:rsid w:val="051B3C9A"/>
    <w:rsid w:val="051BC501"/>
    <w:rsid w:val="051D0F41"/>
    <w:rsid w:val="051D3754"/>
    <w:rsid w:val="051D533E"/>
    <w:rsid w:val="051D6BD6"/>
    <w:rsid w:val="051EAF7D"/>
    <w:rsid w:val="051F2F7B"/>
    <w:rsid w:val="051F5BB7"/>
    <w:rsid w:val="051F5FE9"/>
    <w:rsid w:val="051F67EF"/>
    <w:rsid w:val="051F6996"/>
    <w:rsid w:val="051FC682"/>
    <w:rsid w:val="052089AD"/>
    <w:rsid w:val="0520C4BB"/>
    <w:rsid w:val="0521680F"/>
    <w:rsid w:val="05223548"/>
    <w:rsid w:val="052270E6"/>
    <w:rsid w:val="0523099F"/>
    <w:rsid w:val="0523B388"/>
    <w:rsid w:val="0523E318"/>
    <w:rsid w:val="0524314C"/>
    <w:rsid w:val="0524ABF9"/>
    <w:rsid w:val="05253640"/>
    <w:rsid w:val="05254A56"/>
    <w:rsid w:val="0525E142"/>
    <w:rsid w:val="05264C3C"/>
    <w:rsid w:val="052765C2"/>
    <w:rsid w:val="0527B25A"/>
    <w:rsid w:val="05282C27"/>
    <w:rsid w:val="05283EC2"/>
    <w:rsid w:val="0528CEB6"/>
    <w:rsid w:val="0529F91E"/>
    <w:rsid w:val="052AE2EA"/>
    <w:rsid w:val="052B18BB"/>
    <w:rsid w:val="052D5C0A"/>
    <w:rsid w:val="052DBB5A"/>
    <w:rsid w:val="052DCC27"/>
    <w:rsid w:val="052DE249"/>
    <w:rsid w:val="052FFB4D"/>
    <w:rsid w:val="0530360F"/>
    <w:rsid w:val="05305605"/>
    <w:rsid w:val="053078B3"/>
    <w:rsid w:val="0530A1F8"/>
    <w:rsid w:val="05315FC1"/>
    <w:rsid w:val="05325529"/>
    <w:rsid w:val="05332003"/>
    <w:rsid w:val="0533C4DA"/>
    <w:rsid w:val="05341847"/>
    <w:rsid w:val="05348BAF"/>
    <w:rsid w:val="0534DAC1"/>
    <w:rsid w:val="053595EF"/>
    <w:rsid w:val="0536F73B"/>
    <w:rsid w:val="0537D333"/>
    <w:rsid w:val="05386094"/>
    <w:rsid w:val="0538F0BF"/>
    <w:rsid w:val="05397E4B"/>
    <w:rsid w:val="0539B97A"/>
    <w:rsid w:val="0539EC9E"/>
    <w:rsid w:val="053A6F58"/>
    <w:rsid w:val="053B1A44"/>
    <w:rsid w:val="053B75AA"/>
    <w:rsid w:val="053B98C7"/>
    <w:rsid w:val="053C6E17"/>
    <w:rsid w:val="053D4B39"/>
    <w:rsid w:val="053D8CFF"/>
    <w:rsid w:val="053DE6F7"/>
    <w:rsid w:val="053E9592"/>
    <w:rsid w:val="053EEE8F"/>
    <w:rsid w:val="053EEF02"/>
    <w:rsid w:val="053F444A"/>
    <w:rsid w:val="053FAFB5"/>
    <w:rsid w:val="05422B26"/>
    <w:rsid w:val="05451334"/>
    <w:rsid w:val="0549D939"/>
    <w:rsid w:val="054AB551"/>
    <w:rsid w:val="054AD377"/>
    <w:rsid w:val="054B2D9A"/>
    <w:rsid w:val="054DB32B"/>
    <w:rsid w:val="054E554D"/>
    <w:rsid w:val="054E9A70"/>
    <w:rsid w:val="054EA33A"/>
    <w:rsid w:val="054EF632"/>
    <w:rsid w:val="054F1436"/>
    <w:rsid w:val="054F64A3"/>
    <w:rsid w:val="054F6F07"/>
    <w:rsid w:val="054FB09C"/>
    <w:rsid w:val="05504A22"/>
    <w:rsid w:val="0550A52C"/>
    <w:rsid w:val="0550E6E1"/>
    <w:rsid w:val="05515D5B"/>
    <w:rsid w:val="05517F04"/>
    <w:rsid w:val="0551AF20"/>
    <w:rsid w:val="05520F78"/>
    <w:rsid w:val="05526547"/>
    <w:rsid w:val="0552C704"/>
    <w:rsid w:val="0552E2D8"/>
    <w:rsid w:val="05539098"/>
    <w:rsid w:val="0553E151"/>
    <w:rsid w:val="05544676"/>
    <w:rsid w:val="055451F6"/>
    <w:rsid w:val="055468EC"/>
    <w:rsid w:val="0555F344"/>
    <w:rsid w:val="055848F3"/>
    <w:rsid w:val="0558669C"/>
    <w:rsid w:val="0558BEF6"/>
    <w:rsid w:val="055A9295"/>
    <w:rsid w:val="055B6A74"/>
    <w:rsid w:val="055B70D0"/>
    <w:rsid w:val="055C80DD"/>
    <w:rsid w:val="055CC311"/>
    <w:rsid w:val="055E8580"/>
    <w:rsid w:val="05606B22"/>
    <w:rsid w:val="05612D65"/>
    <w:rsid w:val="05615A02"/>
    <w:rsid w:val="05616AE6"/>
    <w:rsid w:val="05617AB3"/>
    <w:rsid w:val="0562CDA3"/>
    <w:rsid w:val="05637C62"/>
    <w:rsid w:val="0563C5A2"/>
    <w:rsid w:val="0564A3D6"/>
    <w:rsid w:val="056571CF"/>
    <w:rsid w:val="05666853"/>
    <w:rsid w:val="05676400"/>
    <w:rsid w:val="0567761C"/>
    <w:rsid w:val="0567A760"/>
    <w:rsid w:val="0567B188"/>
    <w:rsid w:val="0567BA15"/>
    <w:rsid w:val="05685A66"/>
    <w:rsid w:val="056863D9"/>
    <w:rsid w:val="0568B374"/>
    <w:rsid w:val="0568FAF8"/>
    <w:rsid w:val="056950AF"/>
    <w:rsid w:val="056A4EDF"/>
    <w:rsid w:val="056A5274"/>
    <w:rsid w:val="056A9EA9"/>
    <w:rsid w:val="056AA330"/>
    <w:rsid w:val="056B2B0E"/>
    <w:rsid w:val="056C2B25"/>
    <w:rsid w:val="056C316A"/>
    <w:rsid w:val="056C978E"/>
    <w:rsid w:val="056CB6E9"/>
    <w:rsid w:val="056D5A1B"/>
    <w:rsid w:val="056F54C8"/>
    <w:rsid w:val="056FDA4D"/>
    <w:rsid w:val="05712B4E"/>
    <w:rsid w:val="057154F5"/>
    <w:rsid w:val="05717BD2"/>
    <w:rsid w:val="0571823C"/>
    <w:rsid w:val="057216B8"/>
    <w:rsid w:val="0572A935"/>
    <w:rsid w:val="0572B3CA"/>
    <w:rsid w:val="0572F62E"/>
    <w:rsid w:val="057401E2"/>
    <w:rsid w:val="05740C10"/>
    <w:rsid w:val="0574430A"/>
    <w:rsid w:val="05749948"/>
    <w:rsid w:val="05759177"/>
    <w:rsid w:val="05769D86"/>
    <w:rsid w:val="05774DD5"/>
    <w:rsid w:val="0577ABD9"/>
    <w:rsid w:val="057842C7"/>
    <w:rsid w:val="0578AA28"/>
    <w:rsid w:val="05793520"/>
    <w:rsid w:val="05799761"/>
    <w:rsid w:val="0579C3E9"/>
    <w:rsid w:val="0579E676"/>
    <w:rsid w:val="057A2A1A"/>
    <w:rsid w:val="057AFC1F"/>
    <w:rsid w:val="057D4614"/>
    <w:rsid w:val="057E99C0"/>
    <w:rsid w:val="057F0BEB"/>
    <w:rsid w:val="057F1BB9"/>
    <w:rsid w:val="057F61E8"/>
    <w:rsid w:val="057FB6C8"/>
    <w:rsid w:val="057FF9E5"/>
    <w:rsid w:val="0581DCF0"/>
    <w:rsid w:val="0582A73E"/>
    <w:rsid w:val="05830A5B"/>
    <w:rsid w:val="05833F36"/>
    <w:rsid w:val="05847A1D"/>
    <w:rsid w:val="0584B8CD"/>
    <w:rsid w:val="058587DA"/>
    <w:rsid w:val="0585ADE5"/>
    <w:rsid w:val="0585B2CF"/>
    <w:rsid w:val="05868226"/>
    <w:rsid w:val="0587FF67"/>
    <w:rsid w:val="0588943E"/>
    <w:rsid w:val="0588A21F"/>
    <w:rsid w:val="05892F20"/>
    <w:rsid w:val="058A3C77"/>
    <w:rsid w:val="058ADCA6"/>
    <w:rsid w:val="058AF155"/>
    <w:rsid w:val="058B07D7"/>
    <w:rsid w:val="058B7C27"/>
    <w:rsid w:val="058BC9E8"/>
    <w:rsid w:val="058BD048"/>
    <w:rsid w:val="058C65B3"/>
    <w:rsid w:val="058D0D3A"/>
    <w:rsid w:val="058D7795"/>
    <w:rsid w:val="058DAD05"/>
    <w:rsid w:val="058DD7BB"/>
    <w:rsid w:val="058E15CA"/>
    <w:rsid w:val="058E1FFC"/>
    <w:rsid w:val="058E596D"/>
    <w:rsid w:val="058E69A0"/>
    <w:rsid w:val="058F04FF"/>
    <w:rsid w:val="058F50A5"/>
    <w:rsid w:val="058FE049"/>
    <w:rsid w:val="0590151D"/>
    <w:rsid w:val="05906DCD"/>
    <w:rsid w:val="0590F027"/>
    <w:rsid w:val="05914375"/>
    <w:rsid w:val="05934178"/>
    <w:rsid w:val="059467DE"/>
    <w:rsid w:val="059497A1"/>
    <w:rsid w:val="0594A6FB"/>
    <w:rsid w:val="0594A7DC"/>
    <w:rsid w:val="05951738"/>
    <w:rsid w:val="0595513E"/>
    <w:rsid w:val="0596141F"/>
    <w:rsid w:val="05962846"/>
    <w:rsid w:val="05966C16"/>
    <w:rsid w:val="0596AF37"/>
    <w:rsid w:val="0597618A"/>
    <w:rsid w:val="0597B79B"/>
    <w:rsid w:val="0598322E"/>
    <w:rsid w:val="05983AE2"/>
    <w:rsid w:val="0599F0E2"/>
    <w:rsid w:val="0599F5A0"/>
    <w:rsid w:val="059A9621"/>
    <w:rsid w:val="059B15B3"/>
    <w:rsid w:val="059D3EB9"/>
    <w:rsid w:val="059D48F5"/>
    <w:rsid w:val="059D5CC2"/>
    <w:rsid w:val="059E2DC9"/>
    <w:rsid w:val="059E82CE"/>
    <w:rsid w:val="059EE56B"/>
    <w:rsid w:val="05A03004"/>
    <w:rsid w:val="05A07505"/>
    <w:rsid w:val="05A14C83"/>
    <w:rsid w:val="05A27E4C"/>
    <w:rsid w:val="05A29DEF"/>
    <w:rsid w:val="05A34DBE"/>
    <w:rsid w:val="05A3A4CB"/>
    <w:rsid w:val="05A3C19D"/>
    <w:rsid w:val="05A48EDD"/>
    <w:rsid w:val="05A4C8C6"/>
    <w:rsid w:val="05A5288D"/>
    <w:rsid w:val="05A56337"/>
    <w:rsid w:val="05A57D69"/>
    <w:rsid w:val="05A5E243"/>
    <w:rsid w:val="05A68066"/>
    <w:rsid w:val="05A7FA43"/>
    <w:rsid w:val="05A8C151"/>
    <w:rsid w:val="05A983B8"/>
    <w:rsid w:val="05A98D8B"/>
    <w:rsid w:val="05AA2151"/>
    <w:rsid w:val="05AA6F21"/>
    <w:rsid w:val="05AAB2EB"/>
    <w:rsid w:val="05AAD322"/>
    <w:rsid w:val="05AB0925"/>
    <w:rsid w:val="05AB0C8E"/>
    <w:rsid w:val="05AB1C5E"/>
    <w:rsid w:val="05AB6904"/>
    <w:rsid w:val="05ACDDE6"/>
    <w:rsid w:val="05AEB30C"/>
    <w:rsid w:val="05B02894"/>
    <w:rsid w:val="05B05C97"/>
    <w:rsid w:val="05B0E43C"/>
    <w:rsid w:val="05B11AE2"/>
    <w:rsid w:val="05B180F2"/>
    <w:rsid w:val="05B1EA71"/>
    <w:rsid w:val="05B21347"/>
    <w:rsid w:val="05B3F2D9"/>
    <w:rsid w:val="05B4C048"/>
    <w:rsid w:val="05B5D848"/>
    <w:rsid w:val="05B5FD3E"/>
    <w:rsid w:val="05B6273A"/>
    <w:rsid w:val="05B693ED"/>
    <w:rsid w:val="05B8497F"/>
    <w:rsid w:val="05B9720E"/>
    <w:rsid w:val="05B990F5"/>
    <w:rsid w:val="05BA11F1"/>
    <w:rsid w:val="05BAFD79"/>
    <w:rsid w:val="05BB27D3"/>
    <w:rsid w:val="05BB8417"/>
    <w:rsid w:val="05BC953E"/>
    <w:rsid w:val="05BD03C8"/>
    <w:rsid w:val="05BDD658"/>
    <w:rsid w:val="05BE03C5"/>
    <w:rsid w:val="05BE3C3C"/>
    <w:rsid w:val="05BE71F9"/>
    <w:rsid w:val="05BEF494"/>
    <w:rsid w:val="05BF4CF0"/>
    <w:rsid w:val="05BF5580"/>
    <w:rsid w:val="05BFA183"/>
    <w:rsid w:val="05BFEA49"/>
    <w:rsid w:val="05C029C8"/>
    <w:rsid w:val="05C098F1"/>
    <w:rsid w:val="05C0D2C8"/>
    <w:rsid w:val="05C2BFA7"/>
    <w:rsid w:val="05C2E6C4"/>
    <w:rsid w:val="05C30DE7"/>
    <w:rsid w:val="05C321DA"/>
    <w:rsid w:val="05C36852"/>
    <w:rsid w:val="05C3A3D1"/>
    <w:rsid w:val="05C41034"/>
    <w:rsid w:val="05C474F0"/>
    <w:rsid w:val="05C60BCF"/>
    <w:rsid w:val="05C6A74E"/>
    <w:rsid w:val="05C6E335"/>
    <w:rsid w:val="05C71441"/>
    <w:rsid w:val="05C7D3CD"/>
    <w:rsid w:val="05C7ED08"/>
    <w:rsid w:val="05C8E9BA"/>
    <w:rsid w:val="05C92420"/>
    <w:rsid w:val="05C95698"/>
    <w:rsid w:val="05C95AFF"/>
    <w:rsid w:val="05CD8AF2"/>
    <w:rsid w:val="05CDB304"/>
    <w:rsid w:val="05CDB797"/>
    <w:rsid w:val="05CDD830"/>
    <w:rsid w:val="05CDD8E0"/>
    <w:rsid w:val="05CE9FD1"/>
    <w:rsid w:val="05CF5032"/>
    <w:rsid w:val="05CFB79A"/>
    <w:rsid w:val="05CFDC5D"/>
    <w:rsid w:val="05D23A87"/>
    <w:rsid w:val="05D2A52D"/>
    <w:rsid w:val="05D3A473"/>
    <w:rsid w:val="05D3E54A"/>
    <w:rsid w:val="05D70F6D"/>
    <w:rsid w:val="05D757B5"/>
    <w:rsid w:val="05D9FA86"/>
    <w:rsid w:val="05DA54CB"/>
    <w:rsid w:val="05DA7FC7"/>
    <w:rsid w:val="05DAD5AB"/>
    <w:rsid w:val="05DADAEE"/>
    <w:rsid w:val="05DB4285"/>
    <w:rsid w:val="05DB47BB"/>
    <w:rsid w:val="05DBCE44"/>
    <w:rsid w:val="05DBE291"/>
    <w:rsid w:val="05DBFE15"/>
    <w:rsid w:val="05DDFD93"/>
    <w:rsid w:val="05DE140E"/>
    <w:rsid w:val="05DE20B6"/>
    <w:rsid w:val="05DEE226"/>
    <w:rsid w:val="05DF62A5"/>
    <w:rsid w:val="05DFFB83"/>
    <w:rsid w:val="05E00C80"/>
    <w:rsid w:val="05E0AF12"/>
    <w:rsid w:val="05E0DEC3"/>
    <w:rsid w:val="05E11F11"/>
    <w:rsid w:val="05E15640"/>
    <w:rsid w:val="05E18406"/>
    <w:rsid w:val="05E1F91C"/>
    <w:rsid w:val="05E3006E"/>
    <w:rsid w:val="05E3169F"/>
    <w:rsid w:val="05E42097"/>
    <w:rsid w:val="05E47323"/>
    <w:rsid w:val="05E4E47A"/>
    <w:rsid w:val="05E4F657"/>
    <w:rsid w:val="05E55A13"/>
    <w:rsid w:val="05E5AE19"/>
    <w:rsid w:val="05E6D3F1"/>
    <w:rsid w:val="05E76644"/>
    <w:rsid w:val="05E807F9"/>
    <w:rsid w:val="05E80EDD"/>
    <w:rsid w:val="05E88CAC"/>
    <w:rsid w:val="05E8EA6D"/>
    <w:rsid w:val="05E97C21"/>
    <w:rsid w:val="05EA1221"/>
    <w:rsid w:val="05EAEAD6"/>
    <w:rsid w:val="05EC337F"/>
    <w:rsid w:val="05EDDD21"/>
    <w:rsid w:val="05EE6045"/>
    <w:rsid w:val="05EF553C"/>
    <w:rsid w:val="05F00F1D"/>
    <w:rsid w:val="05F03B7C"/>
    <w:rsid w:val="05F2D074"/>
    <w:rsid w:val="05F33AAD"/>
    <w:rsid w:val="05F390A6"/>
    <w:rsid w:val="05F3FA59"/>
    <w:rsid w:val="05F5DEBD"/>
    <w:rsid w:val="05F79519"/>
    <w:rsid w:val="05F863A0"/>
    <w:rsid w:val="05F94194"/>
    <w:rsid w:val="05F99CB0"/>
    <w:rsid w:val="05FA7CB1"/>
    <w:rsid w:val="05FB7CE6"/>
    <w:rsid w:val="05FC4E0B"/>
    <w:rsid w:val="05FC8829"/>
    <w:rsid w:val="05FD63FF"/>
    <w:rsid w:val="05FDA526"/>
    <w:rsid w:val="05FE30A7"/>
    <w:rsid w:val="05FF1304"/>
    <w:rsid w:val="0600AF9A"/>
    <w:rsid w:val="0600F9AC"/>
    <w:rsid w:val="0601089C"/>
    <w:rsid w:val="06024408"/>
    <w:rsid w:val="06026A11"/>
    <w:rsid w:val="06027447"/>
    <w:rsid w:val="0602A337"/>
    <w:rsid w:val="0602A556"/>
    <w:rsid w:val="06036126"/>
    <w:rsid w:val="0603C3A6"/>
    <w:rsid w:val="0603DDEA"/>
    <w:rsid w:val="06041895"/>
    <w:rsid w:val="06052858"/>
    <w:rsid w:val="0605A524"/>
    <w:rsid w:val="06061AED"/>
    <w:rsid w:val="060647DF"/>
    <w:rsid w:val="06064979"/>
    <w:rsid w:val="06068219"/>
    <w:rsid w:val="0606FEF2"/>
    <w:rsid w:val="060A1DD4"/>
    <w:rsid w:val="060A8700"/>
    <w:rsid w:val="060ABCB9"/>
    <w:rsid w:val="060B02F9"/>
    <w:rsid w:val="060B3C6F"/>
    <w:rsid w:val="060C4D14"/>
    <w:rsid w:val="060CF564"/>
    <w:rsid w:val="060EA95C"/>
    <w:rsid w:val="060ED2BD"/>
    <w:rsid w:val="060FA40F"/>
    <w:rsid w:val="060FC8BB"/>
    <w:rsid w:val="060FE491"/>
    <w:rsid w:val="06101197"/>
    <w:rsid w:val="06111AB9"/>
    <w:rsid w:val="06112EAD"/>
    <w:rsid w:val="061135B2"/>
    <w:rsid w:val="06118F89"/>
    <w:rsid w:val="061195C1"/>
    <w:rsid w:val="06119DA2"/>
    <w:rsid w:val="0611B10B"/>
    <w:rsid w:val="0615123F"/>
    <w:rsid w:val="0615E9E1"/>
    <w:rsid w:val="06165A82"/>
    <w:rsid w:val="0617EBCB"/>
    <w:rsid w:val="06181259"/>
    <w:rsid w:val="0619E235"/>
    <w:rsid w:val="0619EDC9"/>
    <w:rsid w:val="061E077D"/>
    <w:rsid w:val="061F842E"/>
    <w:rsid w:val="061F88A7"/>
    <w:rsid w:val="061FDB95"/>
    <w:rsid w:val="062033B8"/>
    <w:rsid w:val="06204048"/>
    <w:rsid w:val="06206925"/>
    <w:rsid w:val="0621D572"/>
    <w:rsid w:val="06227C88"/>
    <w:rsid w:val="062400A7"/>
    <w:rsid w:val="06247E1D"/>
    <w:rsid w:val="062550C6"/>
    <w:rsid w:val="06260464"/>
    <w:rsid w:val="06261609"/>
    <w:rsid w:val="0626327A"/>
    <w:rsid w:val="0626C93A"/>
    <w:rsid w:val="0627D23F"/>
    <w:rsid w:val="06284380"/>
    <w:rsid w:val="0628F12D"/>
    <w:rsid w:val="06293525"/>
    <w:rsid w:val="06293AC3"/>
    <w:rsid w:val="0629F4FD"/>
    <w:rsid w:val="062A160E"/>
    <w:rsid w:val="062B0944"/>
    <w:rsid w:val="062B60F9"/>
    <w:rsid w:val="062BD808"/>
    <w:rsid w:val="062C4425"/>
    <w:rsid w:val="062CEABF"/>
    <w:rsid w:val="062CF551"/>
    <w:rsid w:val="062CF948"/>
    <w:rsid w:val="062CFEC2"/>
    <w:rsid w:val="062D146C"/>
    <w:rsid w:val="062DEC84"/>
    <w:rsid w:val="062E302E"/>
    <w:rsid w:val="062F4246"/>
    <w:rsid w:val="062FDDD0"/>
    <w:rsid w:val="062FFF83"/>
    <w:rsid w:val="06305ECD"/>
    <w:rsid w:val="0630F18F"/>
    <w:rsid w:val="0630F9B9"/>
    <w:rsid w:val="0631106A"/>
    <w:rsid w:val="06313A8C"/>
    <w:rsid w:val="06314DA5"/>
    <w:rsid w:val="0631E026"/>
    <w:rsid w:val="06324E39"/>
    <w:rsid w:val="0633C698"/>
    <w:rsid w:val="06345BC9"/>
    <w:rsid w:val="0637A22E"/>
    <w:rsid w:val="0638CA47"/>
    <w:rsid w:val="06398C09"/>
    <w:rsid w:val="063A01C9"/>
    <w:rsid w:val="063A631C"/>
    <w:rsid w:val="063BE029"/>
    <w:rsid w:val="063D888F"/>
    <w:rsid w:val="063D9C8B"/>
    <w:rsid w:val="063E25F7"/>
    <w:rsid w:val="063F7BE2"/>
    <w:rsid w:val="063F97B9"/>
    <w:rsid w:val="063FC351"/>
    <w:rsid w:val="06401A89"/>
    <w:rsid w:val="06403714"/>
    <w:rsid w:val="06406515"/>
    <w:rsid w:val="0640EA4D"/>
    <w:rsid w:val="06412D70"/>
    <w:rsid w:val="0642145A"/>
    <w:rsid w:val="0643483B"/>
    <w:rsid w:val="06439F3B"/>
    <w:rsid w:val="06444FF2"/>
    <w:rsid w:val="06455655"/>
    <w:rsid w:val="064602B7"/>
    <w:rsid w:val="064741DE"/>
    <w:rsid w:val="064758E2"/>
    <w:rsid w:val="0647A3D0"/>
    <w:rsid w:val="0647BA99"/>
    <w:rsid w:val="064816EB"/>
    <w:rsid w:val="064859B2"/>
    <w:rsid w:val="06497CAB"/>
    <w:rsid w:val="064AF703"/>
    <w:rsid w:val="064B4EBE"/>
    <w:rsid w:val="064B8B3E"/>
    <w:rsid w:val="064BD7D1"/>
    <w:rsid w:val="064C1919"/>
    <w:rsid w:val="064EC790"/>
    <w:rsid w:val="064F602E"/>
    <w:rsid w:val="0652DE4D"/>
    <w:rsid w:val="0653E18D"/>
    <w:rsid w:val="065401A8"/>
    <w:rsid w:val="06541CA1"/>
    <w:rsid w:val="06554949"/>
    <w:rsid w:val="06560097"/>
    <w:rsid w:val="0656113B"/>
    <w:rsid w:val="06561573"/>
    <w:rsid w:val="0656AA1F"/>
    <w:rsid w:val="0656C101"/>
    <w:rsid w:val="065712D9"/>
    <w:rsid w:val="0657625A"/>
    <w:rsid w:val="065838A9"/>
    <w:rsid w:val="065885B4"/>
    <w:rsid w:val="0658F4AB"/>
    <w:rsid w:val="06590810"/>
    <w:rsid w:val="065A132E"/>
    <w:rsid w:val="065A861E"/>
    <w:rsid w:val="065A8841"/>
    <w:rsid w:val="065BBFF5"/>
    <w:rsid w:val="065C4003"/>
    <w:rsid w:val="065C4EB0"/>
    <w:rsid w:val="065DCB6B"/>
    <w:rsid w:val="065DEDD4"/>
    <w:rsid w:val="065E13AE"/>
    <w:rsid w:val="065E6644"/>
    <w:rsid w:val="065E7BAA"/>
    <w:rsid w:val="065EE63D"/>
    <w:rsid w:val="065F16DF"/>
    <w:rsid w:val="0660C48C"/>
    <w:rsid w:val="0660CEE5"/>
    <w:rsid w:val="0661EAD2"/>
    <w:rsid w:val="0663348A"/>
    <w:rsid w:val="0663ED33"/>
    <w:rsid w:val="0664C199"/>
    <w:rsid w:val="06652ECB"/>
    <w:rsid w:val="0665E354"/>
    <w:rsid w:val="06662B82"/>
    <w:rsid w:val="06663717"/>
    <w:rsid w:val="06676FB6"/>
    <w:rsid w:val="0668BC8B"/>
    <w:rsid w:val="0668C3CC"/>
    <w:rsid w:val="0668CB5E"/>
    <w:rsid w:val="0668F9A8"/>
    <w:rsid w:val="066971D9"/>
    <w:rsid w:val="066AC8EE"/>
    <w:rsid w:val="066BEE3E"/>
    <w:rsid w:val="066CD269"/>
    <w:rsid w:val="066E8A91"/>
    <w:rsid w:val="066FD782"/>
    <w:rsid w:val="067005D2"/>
    <w:rsid w:val="06704085"/>
    <w:rsid w:val="0670F3EA"/>
    <w:rsid w:val="067177C3"/>
    <w:rsid w:val="0671D1FE"/>
    <w:rsid w:val="067264FB"/>
    <w:rsid w:val="06727191"/>
    <w:rsid w:val="06732BF4"/>
    <w:rsid w:val="06757D3B"/>
    <w:rsid w:val="0675ED62"/>
    <w:rsid w:val="06769A9B"/>
    <w:rsid w:val="0677BE3A"/>
    <w:rsid w:val="06785D26"/>
    <w:rsid w:val="06791B57"/>
    <w:rsid w:val="067983A5"/>
    <w:rsid w:val="067A05C4"/>
    <w:rsid w:val="067A5D8E"/>
    <w:rsid w:val="067B0D68"/>
    <w:rsid w:val="067BF018"/>
    <w:rsid w:val="067D4E6D"/>
    <w:rsid w:val="067E2B4C"/>
    <w:rsid w:val="067F7079"/>
    <w:rsid w:val="067F8BB1"/>
    <w:rsid w:val="067FB68C"/>
    <w:rsid w:val="067FCA99"/>
    <w:rsid w:val="067FCEF6"/>
    <w:rsid w:val="067FD8A1"/>
    <w:rsid w:val="06816697"/>
    <w:rsid w:val="0681BFC8"/>
    <w:rsid w:val="0681F344"/>
    <w:rsid w:val="06820EF4"/>
    <w:rsid w:val="06835410"/>
    <w:rsid w:val="068399BB"/>
    <w:rsid w:val="068446B2"/>
    <w:rsid w:val="068544B1"/>
    <w:rsid w:val="0685E1F9"/>
    <w:rsid w:val="06863583"/>
    <w:rsid w:val="0687876A"/>
    <w:rsid w:val="06882D26"/>
    <w:rsid w:val="06896384"/>
    <w:rsid w:val="068A217A"/>
    <w:rsid w:val="068A6528"/>
    <w:rsid w:val="068B3691"/>
    <w:rsid w:val="068B43F2"/>
    <w:rsid w:val="068C672E"/>
    <w:rsid w:val="068D006D"/>
    <w:rsid w:val="068D3BAC"/>
    <w:rsid w:val="068D5735"/>
    <w:rsid w:val="068D8DB7"/>
    <w:rsid w:val="068D91AC"/>
    <w:rsid w:val="068D99CA"/>
    <w:rsid w:val="068DD9F4"/>
    <w:rsid w:val="068E09C5"/>
    <w:rsid w:val="068E8960"/>
    <w:rsid w:val="068F130E"/>
    <w:rsid w:val="068F4AB4"/>
    <w:rsid w:val="068FC959"/>
    <w:rsid w:val="069073B2"/>
    <w:rsid w:val="06922C4D"/>
    <w:rsid w:val="06926019"/>
    <w:rsid w:val="0692D64E"/>
    <w:rsid w:val="06931974"/>
    <w:rsid w:val="0693CDDC"/>
    <w:rsid w:val="06945A14"/>
    <w:rsid w:val="06945FE5"/>
    <w:rsid w:val="06949449"/>
    <w:rsid w:val="0694F14B"/>
    <w:rsid w:val="0695266A"/>
    <w:rsid w:val="069592D0"/>
    <w:rsid w:val="0696D322"/>
    <w:rsid w:val="0696DD29"/>
    <w:rsid w:val="06977D25"/>
    <w:rsid w:val="0697D646"/>
    <w:rsid w:val="06981CF0"/>
    <w:rsid w:val="0698923C"/>
    <w:rsid w:val="06991707"/>
    <w:rsid w:val="0699A714"/>
    <w:rsid w:val="069A1EB1"/>
    <w:rsid w:val="069A37FA"/>
    <w:rsid w:val="069A6A67"/>
    <w:rsid w:val="069A7594"/>
    <w:rsid w:val="069AA707"/>
    <w:rsid w:val="069BA39B"/>
    <w:rsid w:val="069BC5C3"/>
    <w:rsid w:val="069C4222"/>
    <w:rsid w:val="069D18AC"/>
    <w:rsid w:val="069D2D8E"/>
    <w:rsid w:val="069D86F5"/>
    <w:rsid w:val="069DD49D"/>
    <w:rsid w:val="069E2AFD"/>
    <w:rsid w:val="069FAF95"/>
    <w:rsid w:val="06A07959"/>
    <w:rsid w:val="06A12D42"/>
    <w:rsid w:val="06A168F7"/>
    <w:rsid w:val="06A2A6EB"/>
    <w:rsid w:val="06A3001C"/>
    <w:rsid w:val="06A4ED8F"/>
    <w:rsid w:val="06A6F7DA"/>
    <w:rsid w:val="06A70801"/>
    <w:rsid w:val="06A71B76"/>
    <w:rsid w:val="06A7708D"/>
    <w:rsid w:val="06A825B2"/>
    <w:rsid w:val="06A876B7"/>
    <w:rsid w:val="06A89558"/>
    <w:rsid w:val="06A94F08"/>
    <w:rsid w:val="06A98976"/>
    <w:rsid w:val="06A9FF04"/>
    <w:rsid w:val="06A9FF19"/>
    <w:rsid w:val="06AAF0F3"/>
    <w:rsid w:val="06AAFBCC"/>
    <w:rsid w:val="06AB5732"/>
    <w:rsid w:val="06ABA8D8"/>
    <w:rsid w:val="06ABE1D5"/>
    <w:rsid w:val="06ABEC45"/>
    <w:rsid w:val="06ACA9DA"/>
    <w:rsid w:val="06ACCA4A"/>
    <w:rsid w:val="06AD04E0"/>
    <w:rsid w:val="06AD4BC7"/>
    <w:rsid w:val="06ADF74B"/>
    <w:rsid w:val="06AE6D2D"/>
    <w:rsid w:val="06AE99D6"/>
    <w:rsid w:val="06AEC14E"/>
    <w:rsid w:val="06AFE16C"/>
    <w:rsid w:val="06B00D67"/>
    <w:rsid w:val="06B04589"/>
    <w:rsid w:val="06B04DC6"/>
    <w:rsid w:val="06B052EB"/>
    <w:rsid w:val="06B06197"/>
    <w:rsid w:val="06B0AFA7"/>
    <w:rsid w:val="06B13CC6"/>
    <w:rsid w:val="06B13E50"/>
    <w:rsid w:val="06B29955"/>
    <w:rsid w:val="06B393C5"/>
    <w:rsid w:val="06B3F7C6"/>
    <w:rsid w:val="06B5492F"/>
    <w:rsid w:val="06B6B319"/>
    <w:rsid w:val="06B6B70C"/>
    <w:rsid w:val="06B6EFC3"/>
    <w:rsid w:val="06B77542"/>
    <w:rsid w:val="06B7D6E2"/>
    <w:rsid w:val="06B7FD79"/>
    <w:rsid w:val="06B80434"/>
    <w:rsid w:val="06B80456"/>
    <w:rsid w:val="06B80F0A"/>
    <w:rsid w:val="06B92E2D"/>
    <w:rsid w:val="06BA2B59"/>
    <w:rsid w:val="06BAAB0E"/>
    <w:rsid w:val="06BF2B42"/>
    <w:rsid w:val="06BF5C69"/>
    <w:rsid w:val="06BFA1FC"/>
    <w:rsid w:val="06C0990C"/>
    <w:rsid w:val="06C0E4A4"/>
    <w:rsid w:val="06C26A4D"/>
    <w:rsid w:val="06C60C4F"/>
    <w:rsid w:val="06C631FE"/>
    <w:rsid w:val="06C6819A"/>
    <w:rsid w:val="06C6D7CB"/>
    <w:rsid w:val="06C81297"/>
    <w:rsid w:val="06C8998E"/>
    <w:rsid w:val="06C9A107"/>
    <w:rsid w:val="06C9B432"/>
    <w:rsid w:val="06CA4A36"/>
    <w:rsid w:val="06CA79DD"/>
    <w:rsid w:val="06CAAD50"/>
    <w:rsid w:val="06CAB437"/>
    <w:rsid w:val="06CAB939"/>
    <w:rsid w:val="06CB41E6"/>
    <w:rsid w:val="06CCEB43"/>
    <w:rsid w:val="06CF3619"/>
    <w:rsid w:val="06CF4213"/>
    <w:rsid w:val="06CF4EC8"/>
    <w:rsid w:val="06D01DF7"/>
    <w:rsid w:val="06D032B1"/>
    <w:rsid w:val="06D0ED81"/>
    <w:rsid w:val="06D121EB"/>
    <w:rsid w:val="06D19395"/>
    <w:rsid w:val="06D24F67"/>
    <w:rsid w:val="06D2BA75"/>
    <w:rsid w:val="06D351ED"/>
    <w:rsid w:val="06D375D8"/>
    <w:rsid w:val="06D424E4"/>
    <w:rsid w:val="06D4EDFB"/>
    <w:rsid w:val="06D57097"/>
    <w:rsid w:val="06D6BE10"/>
    <w:rsid w:val="06D6FA2F"/>
    <w:rsid w:val="06D78574"/>
    <w:rsid w:val="06D81034"/>
    <w:rsid w:val="06D938C3"/>
    <w:rsid w:val="06D9478A"/>
    <w:rsid w:val="06D9A504"/>
    <w:rsid w:val="06D9D675"/>
    <w:rsid w:val="06DACD81"/>
    <w:rsid w:val="06DB71A4"/>
    <w:rsid w:val="06DC1843"/>
    <w:rsid w:val="06DC7AD9"/>
    <w:rsid w:val="06DC94CA"/>
    <w:rsid w:val="06DD78F7"/>
    <w:rsid w:val="06DD9841"/>
    <w:rsid w:val="06DE1E70"/>
    <w:rsid w:val="06DE21E8"/>
    <w:rsid w:val="06DECA7E"/>
    <w:rsid w:val="06DF4F38"/>
    <w:rsid w:val="06E09991"/>
    <w:rsid w:val="06E0B4E6"/>
    <w:rsid w:val="06E0EF29"/>
    <w:rsid w:val="06E13B89"/>
    <w:rsid w:val="06E1C352"/>
    <w:rsid w:val="06E20007"/>
    <w:rsid w:val="06E32AE4"/>
    <w:rsid w:val="06E406B4"/>
    <w:rsid w:val="06E43D30"/>
    <w:rsid w:val="06E472F5"/>
    <w:rsid w:val="06E4FD85"/>
    <w:rsid w:val="06E577AD"/>
    <w:rsid w:val="06E58BFB"/>
    <w:rsid w:val="06E7AF35"/>
    <w:rsid w:val="06E80332"/>
    <w:rsid w:val="06E89DA7"/>
    <w:rsid w:val="06E8AFE3"/>
    <w:rsid w:val="06E92A8F"/>
    <w:rsid w:val="06E9B109"/>
    <w:rsid w:val="06EA46F4"/>
    <w:rsid w:val="06EA797E"/>
    <w:rsid w:val="06EACF25"/>
    <w:rsid w:val="06EB2ABA"/>
    <w:rsid w:val="06EDA912"/>
    <w:rsid w:val="06EF2186"/>
    <w:rsid w:val="06EFEA7D"/>
    <w:rsid w:val="06F10CD1"/>
    <w:rsid w:val="06F188A9"/>
    <w:rsid w:val="06F2A25A"/>
    <w:rsid w:val="06F32903"/>
    <w:rsid w:val="06F3926F"/>
    <w:rsid w:val="06F3BCDD"/>
    <w:rsid w:val="06F3C6F5"/>
    <w:rsid w:val="06F3CD44"/>
    <w:rsid w:val="06F51598"/>
    <w:rsid w:val="06F67136"/>
    <w:rsid w:val="06F6E190"/>
    <w:rsid w:val="06F78303"/>
    <w:rsid w:val="06F7B545"/>
    <w:rsid w:val="06FA6BBA"/>
    <w:rsid w:val="06FAED32"/>
    <w:rsid w:val="06FBAF08"/>
    <w:rsid w:val="06FBF4E9"/>
    <w:rsid w:val="06FC0301"/>
    <w:rsid w:val="06FC0601"/>
    <w:rsid w:val="06FC2483"/>
    <w:rsid w:val="06FEAC64"/>
    <w:rsid w:val="06FFA53A"/>
    <w:rsid w:val="07006AA8"/>
    <w:rsid w:val="07021021"/>
    <w:rsid w:val="070245BE"/>
    <w:rsid w:val="0702C42B"/>
    <w:rsid w:val="0702FDFE"/>
    <w:rsid w:val="0703814F"/>
    <w:rsid w:val="07050934"/>
    <w:rsid w:val="07055D14"/>
    <w:rsid w:val="07063623"/>
    <w:rsid w:val="07069470"/>
    <w:rsid w:val="0706E79B"/>
    <w:rsid w:val="0707BB98"/>
    <w:rsid w:val="0708B2B0"/>
    <w:rsid w:val="07090CC8"/>
    <w:rsid w:val="070923CA"/>
    <w:rsid w:val="07099F82"/>
    <w:rsid w:val="070AC5EC"/>
    <w:rsid w:val="070B4E79"/>
    <w:rsid w:val="070C53BD"/>
    <w:rsid w:val="070CD774"/>
    <w:rsid w:val="070D072C"/>
    <w:rsid w:val="070D96CE"/>
    <w:rsid w:val="070DC41D"/>
    <w:rsid w:val="070EA4A9"/>
    <w:rsid w:val="070EE088"/>
    <w:rsid w:val="070EE9CE"/>
    <w:rsid w:val="070F7330"/>
    <w:rsid w:val="07108313"/>
    <w:rsid w:val="0712598D"/>
    <w:rsid w:val="07132D02"/>
    <w:rsid w:val="07156048"/>
    <w:rsid w:val="07171C1E"/>
    <w:rsid w:val="0717568D"/>
    <w:rsid w:val="07182B3C"/>
    <w:rsid w:val="0718728D"/>
    <w:rsid w:val="0718D922"/>
    <w:rsid w:val="07198E4C"/>
    <w:rsid w:val="0719B04E"/>
    <w:rsid w:val="071ABAB2"/>
    <w:rsid w:val="071B4C24"/>
    <w:rsid w:val="071B83EF"/>
    <w:rsid w:val="071C4D80"/>
    <w:rsid w:val="071C7D19"/>
    <w:rsid w:val="071C8927"/>
    <w:rsid w:val="071FB7DC"/>
    <w:rsid w:val="07202B35"/>
    <w:rsid w:val="0720A3B7"/>
    <w:rsid w:val="0721E319"/>
    <w:rsid w:val="07221C3B"/>
    <w:rsid w:val="072289D6"/>
    <w:rsid w:val="0723B163"/>
    <w:rsid w:val="0726FA01"/>
    <w:rsid w:val="0728E3C5"/>
    <w:rsid w:val="07293179"/>
    <w:rsid w:val="0729673E"/>
    <w:rsid w:val="072B6C1D"/>
    <w:rsid w:val="072BC048"/>
    <w:rsid w:val="072C1ECB"/>
    <w:rsid w:val="072DFF41"/>
    <w:rsid w:val="072EF769"/>
    <w:rsid w:val="072F6C76"/>
    <w:rsid w:val="072FA5E7"/>
    <w:rsid w:val="07308F0C"/>
    <w:rsid w:val="07309118"/>
    <w:rsid w:val="07317BCC"/>
    <w:rsid w:val="0732718D"/>
    <w:rsid w:val="07332DBB"/>
    <w:rsid w:val="073385CF"/>
    <w:rsid w:val="0733A428"/>
    <w:rsid w:val="0733BD22"/>
    <w:rsid w:val="07340D1E"/>
    <w:rsid w:val="07357640"/>
    <w:rsid w:val="0735F7AD"/>
    <w:rsid w:val="0735FC5F"/>
    <w:rsid w:val="07361294"/>
    <w:rsid w:val="0736DBB1"/>
    <w:rsid w:val="073780FF"/>
    <w:rsid w:val="0737D887"/>
    <w:rsid w:val="07381C87"/>
    <w:rsid w:val="0738D0E5"/>
    <w:rsid w:val="0739BBC2"/>
    <w:rsid w:val="073A845D"/>
    <w:rsid w:val="073CFDE3"/>
    <w:rsid w:val="073D2243"/>
    <w:rsid w:val="073D6B86"/>
    <w:rsid w:val="073EBD94"/>
    <w:rsid w:val="073EC15B"/>
    <w:rsid w:val="073EF651"/>
    <w:rsid w:val="073F2837"/>
    <w:rsid w:val="073FF8A6"/>
    <w:rsid w:val="07404E39"/>
    <w:rsid w:val="0740587A"/>
    <w:rsid w:val="0740E1EC"/>
    <w:rsid w:val="0740FD58"/>
    <w:rsid w:val="0741608F"/>
    <w:rsid w:val="07418F39"/>
    <w:rsid w:val="0742B958"/>
    <w:rsid w:val="0744B9D4"/>
    <w:rsid w:val="07452589"/>
    <w:rsid w:val="07462133"/>
    <w:rsid w:val="0746A197"/>
    <w:rsid w:val="0747925E"/>
    <w:rsid w:val="0748150D"/>
    <w:rsid w:val="0749201F"/>
    <w:rsid w:val="074A6A47"/>
    <w:rsid w:val="074A6E58"/>
    <w:rsid w:val="074AB06E"/>
    <w:rsid w:val="074B0E59"/>
    <w:rsid w:val="074C46CB"/>
    <w:rsid w:val="074C83D1"/>
    <w:rsid w:val="074DEBAA"/>
    <w:rsid w:val="074DFFCC"/>
    <w:rsid w:val="075038CD"/>
    <w:rsid w:val="07504DD8"/>
    <w:rsid w:val="07513D91"/>
    <w:rsid w:val="0752644E"/>
    <w:rsid w:val="075276F0"/>
    <w:rsid w:val="0752DA7A"/>
    <w:rsid w:val="075307F0"/>
    <w:rsid w:val="075313AD"/>
    <w:rsid w:val="0753207C"/>
    <w:rsid w:val="07536A84"/>
    <w:rsid w:val="0754066D"/>
    <w:rsid w:val="07542589"/>
    <w:rsid w:val="07547599"/>
    <w:rsid w:val="0754D598"/>
    <w:rsid w:val="0755DA54"/>
    <w:rsid w:val="0755F391"/>
    <w:rsid w:val="0756DA89"/>
    <w:rsid w:val="0756F66F"/>
    <w:rsid w:val="075780B6"/>
    <w:rsid w:val="07589C04"/>
    <w:rsid w:val="07594AD2"/>
    <w:rsid w:val="07596368"/>
    <w:rsid w:val="075A5152"/>
    <w:rsid w:val="075B5655"/>
    <w:rsid w:val="075B7A1E"/>
    <w:rsid w:val="075C0376"/>
    <w:rsid w:val="075C362F"/>
    <w:rsid w:val="075C3FA4"/>
    <w:rsid w:val="075C592A"/>
    <w:rsid w:val="075C78A8"/>
    <w:rsid w:val="075C8A73"/>
    <w:rsid w:val="075CFDAB"/>
    <w:rsid w:val="075D5FDA"/>
    <w:rsid w:val="075D78A9"/>
    <w:rsid w:val="075DB59F"/>
    <w:rsid w:val="075E1327"/>
    <w:rsid w:val="075E785D"/>
    <w:rsid w:val="075EEB67"/>
    <w:rsid w:val="076014AD"/>
    <w:rsid w:val="07607FD8"/>
    <w:rsid w:val="0761C281"/>
    <w:rsid w:val="07620328"/>
    <w:rsid w:val="0762655B"/>
    <w:rsid w:val="076291A5"/>
    <w:rsid w:val="07659B4B"/>
    <w:rsid w:val="0766E852"/>
    <w:rsid w:val="076718D7"/>
    <w:rsid w:val="0767BA9D"/>
    <w:rsid w:val="0767DE11"/>
    <w:rsid w:val="076A047F"/>
    <w:rsid w:val="076A82A5"/>
    <w:rsid w:val="076B7EE4"/>
    <w:rsid w:val="076B83DF"/>
    <w:rsid w:val="076BBCF4"/>
    <w:rsid w:val="076C3994"/>
    <w:rsid w:val="076C6673"/>
    <w:rsid w:val="076C6F23"/>
    <w:rsid w:val="076C75AD"/>
    <w:rsid w:val="076CEFFD"/>
    <w:rsid w:val="076D224B"/>
    <w:rsid w:val="076D22E0"/>
    <w:rsid w:val="076DED50"/>
    <w:rsid w:val="076E1831"/>
    <w:rsid w:val="076E1CAD"/>
    <w:rsid w:val="076EDD03"/>
    <w:rsid w:val="077099AA"/>
    <w:rsid w:val="07712730"/>
    <w:rsid w:val="0771652F"/>
    <w:rsid w:val="077166FD"/>
    <w:rsid w:val="0771DEA4"/>
    <w:rsid w:val="07720816"/>
    <w:rsid w:val="07722B18"/>
    <w:rsid w:val="0772F933"/>
    <w:rsid w:val="0774A0BF"/>
    <w:rsid w:val="07755D10"/>
    <w:rsid w:val="07774E75"/>
    <w:rsid w:val="07786352"/>
    <w:rsid w:val="0778B4FD"/>
    <w:rsid w:val="0778D5E0"/>
    <w:rsid w:val="077ABB55"/>
    <w:rsid w:val="077B590E"/>
    <w:rsid w:val="077B7458"/>
    <w:rsid w:val="077D2669"/>
    <w:rsid w:val="077E5A21"/>
    <w:rsid w:val="077E66DF"/>
    <w:rsid w:val="077E8412"/>
    <w:rsid w:val="077EC38C"/>
    <w:rsid w:val="077F5A3E"/>
    <w:rsid w:val="0780B704"/>
    <w:rsid w:val="0781EC0C"/>
    <w:rsid w:val="078204FA"/>
    <w:rsid w:val="0782BA68"/>
    <w:rsid w:val="0782F080"/>
    <w:rsid w:val="0783C6FF"/>
    <w:rsid w:val="0783EA55"/>
    <w:rsid w:val="078560FB"/>
    <w:rsid w:val="0786C6A9"/>
    <w:rsid w:val="0786DC62"/>
    <w:rsid w:val="0786EE4A"/>
    <w:rsid w:val="0787E6EA"/>
    <w:rsid w:val="0788A5A3"/>
    <w:rsid w:val="078AAD4A"/>
    <w:rsid w:val="078B7F83"/>
    <w:rsid w:val="078BC105"/>
    <w:rsid w:val="078C2A8B"/>
    <w:rsid w:val="078C9B72"/>
    <w:rsid w:val="078CD8A6"/>
    <w:rsid w:val="078D3858"/>
    <w:rsid w:val="078D8AE7"/>
    <w:rsid w:val="078DB4F5"/>
    <w:rsid w:val="078E41C7"/>
    <w:rsid w:val="078F3E45"/>
    <w:rsid w:val="078FA068"/>
    <w:rsid w:val="0791C5F7"/>
    <w:rsid w:val="0791D16E"/>
    <w:rsid w:val="0791DDCF"/>
    <w:rsid w:val="079226DC"/>
    <w:rsid w:val="07926F54"/>
    <w:rsid w:val="0795CFEB"/>
    <w:rsid w:val="07973AEB"/>
    <w:rsid w:val="07979EEE"/>
    <w:rsid w:val="079810C1"/>
    <w:rsid w:val="079898F8"/>
    <w:rsid w:val="07997AA2"/>
    <w:rsid w:val="079B1094"/>
    <w:rsid w:val="079B1B9A"/>
    <w:rsid w:val="079B2BCD"/>
    <w:rsid w:val="079B7CC9"/>
    <w:rsid w:val="079BCE29"/>
    <w:rsid w:val="079C2973"/>
    <w:rsid w:val="079C6DFD"/>
    <w:rsid w:val="079CF20A"/>
    <w:rsid w:val="079D8E47"/>
    <w:rsid w:val="079DE7F7"/>
    <w:rsid w:val="079EA370"/>
    <w:rsid w:val="079F5ABA"/>
    <w:rsid w:val="079F87D5"/>
    <w:rsid w:val="079F8C32"/>
    <w:rsid w:val="07A0092F"/>
    <w:rsid w:val="07A05AA7"/>
    <w:rsid w:val="07A07FA7"/>
    <w:rsid w:val="07A08BFC"/>
    <w:rsid w:val="07A13741"/>
    <w:rsid w:val="07A1A334"/>
    <w:rsid w:val="07A22CE3"/>
    <w:rsid w:val="07A2386A"/>
    <w:rsid w:val="07A278C0"/>
    <w:rsid w:val="07A39F0C"/>
    <w:rsid w:val="07A40F56"/>
    <w:rsid w:val="07A46C92"/>
    <w:rsid w:val="07A4BCD6"/>
    <w:rsid w:val="07A55479"/>
    <w:rsid w:val="07A56BEE"/>
    <w:rsid w:val="07A7B9B6"/>
    <w:rsid w:val="07A8D93F"/>
    <w:rsid w:val="07AAAD7D"/>
    <w:rsid w:val="07AAB078"/>
    <w:rsid w:val="07AADADB"/>
    <w:rsid w:val="07AB19C6"/>
    <w:rsid w:val="07AB2A43"/>
    <w:rsid w:val="07ABD566"/>
    <w:rsid w:val="07AC7022"/>
    <w:rsid w:val="07AC94CE"/>
    <w:rsid w:val="07AE6B10"/>
    <w:rsid w:val="07AF67C0"/>
    <w:rsid w:val="07B05875"/>
    <w:rsid w:val="07B256E2"/>
    <w:rsid w:val="07B299B4"/>
    <w:rsid w:val="07B2C872"/>
    <w:rsid w:val="07B2F946"/>
    <w:rsid w:val="07B4AA40"/>
    <w:rsid w:val="07B7C1A2"/>
    <w:rsid w:val="07B7F1AD"/>
    <w:rsid w:val="07B7F3EB"/>
    <w:rsid w:val="07B95DF8"/>
    <w:rsid w:val="07BB583B"/>
    <w:rsid w:val="07BB5908"/>
    <w:rsid w:val="07BB7809"/>
    <w:rsid w:val="07BC53C7"/>
    <w:rsid w:val="07BE8305"/>
    <w:rsid w:val="07BF9248"/>
    <w:rsid w:val="07C09385"/>
    <w:rsid w:val="07C0B66D"/>
    <w:rsid w:val="07C0CFE2"/>
    <w:rsid w:val="07C0E793"/>
    <w:rsid w:val="07C21CAD"/>
    <w:rsid w:val="07C35538"/>
    <w:rsid w:val="07C38742"/>
    <w:rsid w:val="07C4F298"/>
    <w:rsid w:val="07C61CB6"/>
    <w:rsid w:val="07C6D1D3"/>
    <w:rsid w:val="07C710CA"/>
    <w:rsid w:val="07C78FBC"/>
    <w:rsid w:val="07C8D2BE"/>
    <w:rsid w:val="07C96B38"/>
    <w:rsid w:val="07C96E1E"/>
    <w:rsid w:val="07C99BF5"/>
    <w:rsid w:val="07CA7A0C"/>
    <w:rsid w:val="07CACC51"/>
    <w:rsid w:val="07CB6CF3"/>
    <w:rsid w:val="07CBECC6"/>
    <w:rsid w:val="07CBF3D1"/>
    <w:rsid w:val="07CC1C60"/>
    <w:rsid w:val="07CCE19A"/>
    <w:rsid w:val="07CD4129"/>
    <w:rsid w:val="07CD5F33"/>
    <w:rsid w:val="07CD9DE6"/>
    <w:rsid w:val="07CEECB9"/>
    <w:rsid w:val="07CEFAD4"/>
    <w:rsid w:val="07CF7917"/>
    <w:rsid w:val="07D0E17D"/>
    <w:rsid w:val="07D0EF63"/>
    <w:rsid w:val="07D17A44"/>
    <w:rsid w:val="07D1A727"/>
    <w:rsid w:val="07D2A62C"/>
    <w:rsid w:val="07D2B554"/>
    <w:rsid w:val="07D2DCE1"/>
    <w:rsid w:val="07D3F376"/>
    <w:rsid w:val="07D43462"/>
    <w:rsid w:val="07D43A81"/>
    <w:rsid w:val="07D4AD85"/>
    <w:rsid w:val="07D5E9A6"/>
    <w:rsid w:val="07D61099"/>
    <w:rsid w:val="07D6528F"/>
    <w:rsid w:val="07D67B3D"/>
    <w:rsid w:val="07D7E27F"/>
    <w:rsid w:val="07D9D68A"/>
    <w:rsid w:val="07D9F7BF"/>
    <w:rsid w:val="07D9FA88"/>
    <w:rsid w:val="07DA2F0A"/>
    <w:rsid w:val="07DA34F5"/>
    <w:rsid w:val="07DA66CB"/>
    <w:rsid w:val="07DA7579"/>
    <w:rsid w:val="07DB212F"/>
    <w:rsid w:val="07DBA462"/>
    <w:rsid w:val="07DC6E16"/>
    <w:rsid w:val="07DCBB8F"/>
    <w:rsid w:val="07DDAA04"/>
    <w:rsid w:val="07DDB2B8"/>
    <w:rsid w:val="07DDED8B"/>
    <w:rsid w:val="07DE9A0C"/>
    <w:rsid w:val="07DEF566"/>
    <w:rsid w:val="07DFC22B"/>
    <w:rsid w:val="07DFEEEA"/>
    <w:rsid w:val="07E08E46"/>
    <w:rsid w:val="07E0D49F"/>
    <w:rsid w:val="07E10906"/>
    <w:rsid w:val="07E20500"/>
    <w:rsid w:val="07E214B4"/>
    <w:rsid w:val="07E22B31"/>
    <w:rsid w:val="07E2F4E0"/>
    <w:rsid w:val="07E2FF74"/>
    <w:rsid w:val="07E375FA"/>
    <w:rsid w:val="07E52930"/>
    <w:rsid w:val="07E60861"/>
    <w:rsid w:val="07E651DF"/>
    <w:rsid w:val="07E7C762"/>
    <w:rsid w:val="07E852CB"/>
    <w:rsid w:val="07E87AAB"/>
    <w:rsid w:val="07E8A7DD"/>
    <w:rsid w:val="07E95ECD"/>
    <w:rsid w:val="07E97B18"/>
    <w:rsid w:val="07E987F2"/>
    <w:rsid w:val="07EA2436"/>
    <w:rsid w:val="07EA6C96"/>
    <w:rsid w:val="07EB24D4"/>
    <w:rsid w:val="07EBBBAF"/>
    <w:rsid w:val="07EC1641"/>
    <w:rsid w:val="07ED23B2"/>
    <w:rsid w:val="07ED3D87"/>
    <w:rsid w:val="07ED78FF"/>
    <w:rsid w:val="07EDFB03"/>
    <w:rsid w:val="07EE238A"/>
    <w:rsid w:val="07EE6386"/>
    <w:rsid w:val="07EE7253"/>
    <w:rsid w:val="07EEA2B7"/>
    <w:rsid w:val="07EEC05B"/>
    <w:rsid w:val="07EFD418"/>
    <w:rsid w:val="07F04729"/>
    <w:rsid w:val="07F0A8DC"/>
    <w:rsid w:val="07F0D70F"/>
    <w:rsid w:val="07F0E1FB"/>
    <w:rsid w:val="07F138C4"/>
    <w:rsid w:val="07F1FB94"/>
    <w:rsid w:val="07F27A3E"/>
    <w:rsid w:val="07F2A281"/>
    <w:rsid w:val="07F2BC0F"/>
    <w:rsid w:val="07F375F0"/>
    <w:rsid w:val="07F38994"/>
    <w:rsid w:val="07F450D2"/>
    <w:rsid w:val="07F45A24"/>
    <w:rsid w:val="07F4FD9D"/>
    <w:rsid w:val="07F58432"/>
    <w:rsid w:val="07F65A09"/>
    <w:rsid w:val="07F65BD1"/>
    <w:rsid w:val="07F6872D"/>
    <w:rsid w:val="07F78706"/>
    <w:rsid w:val="07F79BBD"/>
    <w:rsid w:val="07F94CDF"/>
    <w:rsid w:val="07F9999D"/>
    <w:rsid w:val="07F9CB76"/>
    <w:rsid w:val="07FA6E92"/>
    <w:rsid w:val="07FA7799"/>
    <w:rsid w:val="07FAA539"/>
    <w:rsid w:val="07FAE1F2"/>
    <w:rsid w:val="07FAFD5C"/>
    <w:rsid w:val="07FB192A"/>
    <w:rsid w:val="07FEDD20"/>
    <w:rsid w:val="07FF8553"/>
    <w:rsid w:val="08002116"/>
    <w:rsid w:val="08002F17"/>
    <w:rsid w:val="08008689"/>
    <w:rsid w:val="080092D4"/>
    <w:rsid w:val="0801A71B"/>
    <w:rsid w:val="08021F66"/>
    <w:rsid w:val="080265F3"/>
    <w:rsid w:val="0802B65A"/>
    <w:rsid w:val="0802BB4C"/>
    <w:rsid w:val="0802E574"/>
    <w:rsid w:val="0804C7BD"/>
    <w:rsid w:val="080501D1"/>
    <w:rsid w:val="080569F0"/>
    <w:rsid w:val="0805972A"/>
    <w:rsid w:val="0805EA05"/>
    <w:rsid w:val="0805FA78"/>
    <w:rsid w:val="0805FC46"/>
    <w:rsid w:val="0805FCE4"/>
    <w:rsid w:val="080608B3"/>
    <w:rsid w:val="080667CC"/>
    <w:rsid w:val="0806745D"/>
    <w:rsid w:val="08071614"/>
    <w:rsid w:val="080765DC"/>
    <w:rsid w:val="08084749"/>
    <w:rsid w:val="0808E5F0"/>
    <w:rsid w:val="08091D4B"/>
    <w:rsid w:val="0809F749"/>
    <w:rsid w:val="080A343A"/>
    <w:rsid w:val="080A753C"/>
    <w:rsid w:val="080AC396"/>
    <w:rsid w:val="080B5FC9"/>
    <w:rsid w:val="080BA586"/>
    <w:rsid w:val="080EFDCF"/>
    <w:rsid w:val="080F5CAC"/>
    <w:rsid w:val="080FCEEC"/>
    <w:rsid w:val="0810ACA7"/>
    <w:rsid w:val="0810C7E1"/>
    <w:rsid w:val="081176FE"/>
    <w:rsid w:val="0811E59B"/>
    <w:rsid w:val="08127EC6"/>
    <w:rsid w:val="0812FABB"/>
    <w:rsid w:val="0812FDB2"/>
    <w:rsid w:val="08137649"/>
    <w:rsid w:val="0813F2F7"/>
    <w:rsid w:val="08145790"/>
    <w:rsid w:val="081531D0"/>
    <w:rsid w:val="0815345F"/>
    <w:rsid w:val="08160867"/>
    <w:rsid w:val="0816915D"/>
    <w:rsid w:val="0816A4CB"/>
    <w:rsid w:val="081705DE"/>
    <w:rsid w:val="08179EEB"/>
    <w:rsid w:val="0817A410"/>
    <w:rsid w:val="0817C9A3"/>
    <w:rsid w:val="08180FEB"/>
    <w:rsid w:val="08193FEB"/>
    <w:rsid w:val="08194436"/>
    <w:rsid w:val="081986C3"/>
    <w:rsid w:val="081A1A8E"/>
    <w:rsid w:val="081A1AD1"/>
    <w:rsid w:val="081ACDCC"/>
    <w:rsid w:val="081B461C"/>
    <w:rsid w:val="081C6408"/>
    <w:rsid w:val="081CB274"/>
    <w:rsid w:val="081D2A9A"/>
    <w:rsid w:val="081E6279"/>
    <w:rsid w:val="081F1E59"/>
    <w:rsid w:val="082134BA"/>
    <w:rsid w:val="08218AEE"/>
    <w:rsid w:val="0822B8D2"/>
    <w:rsid w:val="0822FFAD"/>
    <w:rsid w:val="08231B0E"/>
    <w:rsid w:val="08245413"/>
    <w:rsid w:val="08267988"/>
    <w:rsid w:val="08281D9F"/>
    <w:rsid w:val="08284953"/>
    <w:rsid w:val="08284B39"/>
    <w:rsid w:val="082850A8"/>
    <w:rsid w:val="08293E7F"/>
    <w:rsid w:val="0829F3BF"/>
    <w:rsid w:val="082CA32C"/>
    <w:rsid w:val="082CF069"/>
    <w:rsid w:val="082D274B"/>
    <w:rsid w:val="082DC8A5"/>
    <w:rsid w:val="082E9ACB"/>
    <w:rsid w:val="082FABAC"/>
    <w:rsid w:val="0830F7B1"/>
    <w:rsid w:val="083169C0"/>
    <w:rsid w:val="08327C0C"/>
    <w:rsid w:val="083488DC"/>
    <w:rsid w:val="083500BD"/>
    <w:rsid w:val="08351D16"/>
    <w:rsid w:val="08356D11"/>
    <w:rsid w:val="08357588"/>
    <w:rsid w:val="08369D81"/>
    <w:rsid w:val="0838097A"/>
    <w:rsid w:val="0838532C"/>
    <w:rsid w:val="083929B5"/>
    <w:rsid w:val="0839E3E3"/>
    <w:rsid w:val="083A85B5"/>
    <w:rsid w:val="083B7DF1"/>
    <w:rsid w:val="083C2E54"/>
    <w:rsid w:val="083DF147"/>
    <w:rsid w:val="083E041D"/>
    <w:rsid w:val="083E0FD4"/>
    <w:rsid w:val="083E4307"/>
    <w:rsid w:val="083F4199"/>
    <w:rsid w:val="0841DE05"/>
    <w:rsid w:val="084210C5"/>
    <w:rsid w:val="084250AF"/>
    <w:rsid w:val="0842572B"/>
    <w:rsid w:val="08427583"/>
    <w:rsid w:val="0842CCFF"/>
    <w:rsid w:val="08432AC1"/>
    <w:rsid w:val="0843A541"/>
    <w:rsid w:val="0843E562"/>
    <w:rsid w:val="084456D8"/>
    <w:rsid w:val="08455B76"/>
    <w:rsid w:val="0845BC9B"/>
    <w:rsid w:val="08474A19"/>
    <w:rsid w:val="08493708"/>
    <w:rsid w:val="0849DD25"/>
    <w:rsid w:val="084C8008"/>
    <w:rsid w:val="084CD8AE"/>
    <w:rsid w:val="084D08A2"/>
    <w:rsid w:val="084D185A"/>
    <w:rsid w:val="084D3D2C"/>
    <w:rsid w:val="084D4683"/>
    <w:rsid w:val="084E4138"/>
    <w:rsid w:val="084EFB8C"/>
    <w:rsid w:val="084F0430"/>
    <w:rsid w:val="0850442C"/>
    <w:rsid w:val="08505229"/>
    <w:rsid w:val="08516866"/>
    <w:rsid w:val="08522B46"/>
    <w:rsid w:val="08522F77"/>
    <w:rsid w:val="085238B1"/>
    <w:rsid w:val="085341EE"/>
    <w:rsid w:val="08542228"/>
    <w:rsid w:val="0854D70E"/>
    <w:rsid w:val="085614E5"/>
    <w:rsid w:val="0856BD02"/>
    <w:rsid w:val="0856DCB7"/>
    <w:rsid w:val="0856F32F"/>
    <w:rsid w:val="085741B0"/>
    <w:rsid w:val="085792AA"/>
    <w:rsid w:val="0857CC1F"/>
    <w:rsid w:val="0858179A"/>
    <w:rsid w:val="08586632"/>
    <w:rsid w:val="085B27E8"/>
    <w:rsid w:val="085B497B"/>
    <w:rsid w:val="085C8E38"/>
    <w:rsid w:val="085D3D57"/>
    <w:rsid w:val="085E429D"/>
    <w:rsid w:val="086403BF"/>
    <w:rsid w:val="08642E0D"/>
    <w:rsid w:val="0864B950"/>
    <w:rsid w:val="0866DA8A"/>
    <w:rsid w:val="08697323"/>
    <w:rsid w:val="086A8371"/>
    <w:rsid w:val="086B8158"/>
    <w:rsid w:val="086C3E92"/>
    <w:rsid w:val="086CF990"/>
    <w:rsid w:val="086D1EA7"/>
    <w:rsid w:val="086D8F40"/>
    <w:rsid w:val="086DD0AD"/>
    <w:rsid w:val="086E35E6"/>
    <w:rsid w:val="086ED60E"/>
    <w:rsid w:val="086F1428"/>
    <w:rsid w:val="086FBD03"/>
    <w:rsid w:val="0870D3AC"/>
    <w:rsid w:val="0871FD82"/>
    <w:rsid w:val="08722EC6"/>
    <w:rsid w:val="08743BE8"/>
    <w:rsid w:val="08748F83"/>
    <w:rsid w:val="0874E61D"/>
    <w:rsid w:val="0875B411"/>
    <w:rsid w:val="08763D54"/>
    <w:rsid w:val="0876A4D0"/>
    <w:rsid w:val="087717E9"/>
    <w:rsid w:val="0878C1EE"/>
    <w:rsid w:val="08790A0A"/>
    <w:rsid w:val="0879FDA4"/>
    <w:rsid w:val="087A61EC"/>
    <w:rsid w:val="087B2073"/>
    <w:rsid w:val="087BDA6D"/>
    <w:rsid w:val="087C624D"/>
    <w:rsid w:val="087E2083"/>
    <w:rsid w:val="087F5D34"/>
    <w:rsid w:val="0881AFDF"/>
    <w:rsid w:val="088477E0"/>
    <w:rsid w:val="0884DFFC"/>
    <w:rsid w:val="0885440F"/>
    <w:rsid w:val="08864A86"/>
    <w:rsid w:val="08868C22"/>
    <w:rsid w:val="08874C28"/>
    <w:rsid w:val="0889977B"/>
    <w:rsid w:val="0889DD91"/>
    <w:rsid w:val="088A017D"/>
    <w:rsid w:val="088A0742"/>
    <w:rsid w:val="088A78DD"/>
    <w:rsid w:val="088AD793"/>
    <w:rsid w:val="088B12AA"/>
    <w:rsid w:val="088BA8CB"/>
    <w:rsid w:val="088DA1F1"/>
    <w:rsid w:val="088DE945"/>
    <w:rsid w:val="088F86C1"/>
    <w:rsid w:val="088FA515"/>
    <w:rsid w:val="088FC72F"/>
    <w:rsid w:val="0890016B"/>
    <w:rsid w:val="08916318"/>
    <w:rsid w:val="0891D19E"/>
    <w:rsid w:val="089239D1"/>
    <w:rsid w:val="08936F6A"/>
    <w:rsid w:val="0893753F"/>
    <w:rsid w:val="0893E558"/>
    <w:rsid w:val="0894A74E"/>
    <w:rsid w:val="0894C834"/>
    <w:rsid w:val="0895198B"/>
    <w:rsid w:val="0895FE39"/>
    <w:rsid w:val="08961EEC"/>
    <w:rsid w:val="08977DC2"/>
    <w:rsid w:val="0898C15B"/>
    <w:rsid w:val="0898D00E"/>
    <w:rsid w:val="0898E203"/>
    <w:rsid w:val="08994468"/>
    <w:rsid w:val="08998C10"/>
    <w:rsid w:val="08998DFD"/>
    <w:rsid w:val="089A4A89"/>
    <w:rsid w:val="089BD979"/>
    <w:rsid w:val="089CFC72"/>
    <w:rsid w:val="089DDAA5"/>
    <w:rsid w:val="089E095F"/>
    <w:rsid w:val="089E36DE"/>
    <w:rsid w:val="089E8B1F"/>
    <w:rsid w:val="089EA4EA"/>
    <w:rsid w:val="089ECF78"/>
    <w:rsid w:val="089ECFDF"/>
    <w:rsid w:val="089EF5DC"/>
    <w:rsid w:val="08A01EDE"/>
    <w:rsid w:val="08A04807"/>
    <w:rsid w:val="08A0C4F2"/>
    <w:rsid w:val="08A3537A"/>
    <w:rsid w:val="08A3D791"/>
    <w:rsid w:val="08A4272B"/>
    <w:rsid w:val="08A46480"/>
    <w:rsid w:val="08A50F4C"/>
    <w:rsid w:val="08A62739"/>
    <w:rsid w:val="08A64EA6"/>
    <w:rsid w:val="08A7532B"/>
    <w:rsid w:val="08A75D2C"/>
    <w:rsid w:val="08A7D986"/>
    <w:rsid w:val="08A8308E"/>
    <w:rsid w:val="08A929B6"/>
    <w:rsid w:val="08A9D2E4"/>
    <w:rsid w:val="08A9ECA4"/>
    <w:rsid w:val="08AB629A"/>
    <w:rsid w:val="08ABD9DA"/>
    <w:rsid w:val="08AD3716"/>
    <w:rsid w:val="08AE0D45"/>
    <w:rsid w:val="08AE37F3"/>
    <w:rsid w:val="08AE8AD4"/>
    <w:rsid w:val="08AEC517"/>
    <w:rsid w:val="08AEF371"/>
    <w:rsid w:val="08AF0B21"/>
    <w:rsid w:val="08AF18DC"/>
    <w:rsid w:val="08AF48AC"/>
    <w:rsid w:val="08B00463"/>
    <w:rsid w:val="08B069B3"/>
    <w:rsid w:val="08B06CE9"/>
    <w:rsid w:val="08B0EE07"/>
    <w:rsid w:val="08B10A35"/>
    <w:rsid w:val="08B16CAE"/>
    <w:rsid w:val="08B2C621"/>
    <w:rsid w:val="08B2D05A"/>
    <w:rsid w:val="08B47939"/>
    <w:rsid w:val="08B47C89"/>
    <w:rsid w:val="08B5262E"/>
    <w:rsid w:val="08B6243F"/>
    <w:rsid w:val="08B6A5DF"/>
    <w:rsid w:val="08B6EDCE"/>
    <w:rsid w:val="08B7524E"/>
    <w:rsid w:val="08B7F558"/>
    <w:rsid w:val="08B82749"/>
    <w:rsid w:val="08B8EE76"/>
    <w:rsid w:val="08BA55CC"/>
    <w:rsid w:val="08BA74AB"/>
    <w:rsid w:val="08BB6B95"/>
    <w:rsid w:val="08BBFEDC"/>
    <w:rsid w:val="08BC2392"/>
    <w:rsid w:val="08BC4378"/>
    <w:rsid w:val="08BDFF23"/>
    <w:rsid w:val="08BF48A0"/>
    <w:rsid w:val="08BFAA6B"/>
    <w:rsid w:val="08BFC6AC"/>
    <w:rsid w:val="08C0D681"/>
    <w:rsid w:val="08C0EEE9"/>
    <w:rsid w:val="08C1A3F1"/>
    <w:rsid w:val="08C1A424"/>
    <w:rsid w:val="08C1B447"/>
    <w:rsid w:val="08C275B9"/>
    <w:rsid w:val="08C2895F"/>
    <w:rsid w:val="08C2B46D"/>
    <w:rsid w:val="08C2CB70"/>
    <w:rsid w:val="08C2CE12"/>
    <w:rsid w:val="08C34B73"/>
    <w:rsid w:val="08C35166"/>
    <w:rsid w:val="08C3D3AC"/>
    <w:rsid w:val="08C40B9A"/>
    <w:rsid w:val="08C45E9E"/>
    <w:rsid w:val="08C58D05"/>
    <w:rsid w:val="08C62841"/>
    <w:rsid w:val="08C64211"/>
    <w:rsid w:val="08C66D91"/>
    <w:rsid w:val="08C737E1"/>
    <w:rsid w:val="08CAA1B6"/>
    <w:rsid w:val="08CAA56B"/>
    <w:rsid w:val="08CAA9F2"/>
    <w:rsid w:val="08CBF3E3"/>
    <w:rsid w:val="08CC1C90"/>
    <w:rsid w:val="08CD5D92"/>
    <w:rsid w:val="08CE83AE"/>
    <w:rsid w:val="08CE9323"/>
    <w:rsid w:val="08CE95E4"/>
    <w:rsid w:val="08D09A62"/>
    <w:rsid w:val="08D11252"/>
    <w:rsid w:val="08D1784A"/>
    <w:rsid w:val="08D333C7"/>
    <w:rsid w:val="08D4D094"/>
    <w:rsid w:val="08D5B77A"/>
    <w:rsid w:val="08D692AF"/>
    <w:rsid w:val="08D6F0E1"/>
    <w:rsid w:val="08D7A256"/>
    <w:rsid w:val="08D85808"/>
    <w:rsid w:val="08D97E38"/>
    <w:rsid w:val="08D993BE"/>
    <w:rsid w:val="08DA76FF"/>
    <w:rsid w:val="08DBF92D"/>
    <w:rsid w:val="08DCE646"/>
    <w:rsid w:val="08DCFD01"/>
    <w:rsid w:val="08DD0B41"/>
    <w:rsid w:val="08DE17D0"/>
    <w:rsid w:val="08DEA5DF"/>
    <w:rsid w:val="08E03FA0"/>
    <w:rsid w:val="08E0C05A"/>
    <w:rsid w:val="08E3362B"/>
    <w:rsid w:val="08E33651"/>
    <w:rsid w:val="08E3487A"/>
    <w:rsid w:val="08E3530B"/>
    <w:rsid w:val="08E3BCA5"/>
    <w:rsid w:val="08E70804"/>
    <w:rsid w:val="08E77DC7"/>
    <w:rsid w:val="08E7CFD1"/>
    <w:rsid w:val="08E8AAD1"/>
    <w:rsid w:val="08E929B0"/>
    <w:rsid w:val="08E9676C"/>
    <w:rsid w:val="08EA064B"/>
    <w:rsid w:val="08EA5864"/>
    <w:rsid w:val="08EB639D"/>
    <w:rsid w:val="08EB7FAE"/>
    <w:rsid w:val="08EC251B"/>
    <w:rsid w:val="08EC7532"/>
    <w:rsid w:val="08ED1458"/>
    <w:rsid w:val="08ED7B68"/>
    <w:rsid w:val="08EE454E"/>
    <w:rsid w:val="08EF1E49"/>
    <w:rsid w:val="08EF66DD"/>
    <w:rsid w:val="08EF67D2"/>
    <w:rsid w:val="08EFA064"/>
    <w:rsid w:val="08F04618"/>
    <w:rsid w:val="08F09236"/>
    <w:rsid w:val="08F16760"/>
    <w:rsid w:val="08F2183C"/>
    <w:rsid w:val="08F28283"/>
    <w:rsid w:val="08F2B3A2"/>
    <w:rsid w:val="08F2BA0D"/>
    <w:rsid w:val="08F39E4D"/>
    <w:rsid w:val="08F3D1FF"/>
    <w:rsid w:val="08F3EB5C"/>
    <w:rsid w:val="08F41350"/>
    <w:rsid w:val="08F42D2F"/>
    <w:rsid w:val="08F68A9C"/>
    <w:rsid w:val="08F80EF0"/>
    <w:rsid w:val="08F8EFBF"/>
    <w:rsid w:val="08F902C8"/>
    <w:rsid w:val="08F9728D"/>
    <w:rsid w:val="08F9959B"/>
    <w:rsid w:val="08F9B529"/>
    <w:rsid w:val="08FA126E"/>
    <w:rsid w:val="08FA4305"/>
    <w:rsid w:val="08FA465C"/>
    <w:rsid w:val="08FADF42"/>
    <w:rsid w:val="08FBC5D4"/>
    <w:rsid w:val="08FC44C4"/>
    <w:rsid w:val="08FD519E"/>
    <w:rsid w:val="08FE193F"/>
    <w:rsid w:val="08FEE5E9"/>
    <w:rsid w:val="08FF467D"/>
    <w:rsid w:val="08FFA1DA"/>
    <w:rsid w:val="09008A7C"/>
    <w:rsid w:val="0901147E"/>
    <w:rsid w:val="09015723"/>
    <w:rsid w:val="090197EC"/>
    <w:rsid w:val="0901CFAC"/>
    <w:rsid w:val="09028EEA"/>
    <w:rsid w:val="0903004C"/>
    <w:rsid w:val="090307D2"/>
    <w:rsid w:val="09038F00"/>
    <w:rsid w:val="090431CA"/>
    <w:rsid w:val="09057C86"/>
    <w:rsid w:val="0905AF39"/>
    <w:rsid w:val="0906BD07"/>
    <w:rsid w:val="090742AB"/>
    <w:rsid w:val="09083F74"/>
    <w:rsid w:val="09090EB0"/>
    <w:rsid w:val="0909A745"/>
    <w:rsid w:val="0909D9DE"/>
    <w:rsid w:val="090B313C"/>
    <w:rsid w:val="090BFA19"/>
    <w:rsid w:val="090CB5ED"/>
    <w:rsid w:val="090CFB0E"/>
    <w:rsid w:val="090EC913"/>
    <w:rsid w:val="090F498F"/>
    <w:rsid w:val="090FBFBA"/>
    <w:rsid w:val="09100CD4"/>
    <w:rsid w:val="09107DB3"/>
    <w:rsid w:val="0910CE85"/>
    <w:rsid w:val="0910F159"/>
    <w:rsid w:val="09125FF3"/>
    <w:rsid w:val="0914E890"/>
    <w:rsid w:val="09163965"/>
    <w:rsid w:val="0917296F"/>
    <w:rsid w:val="09174445"/>
    <w:rsid w:val="0917AE26"/>
    <w:rsid w:val="0918D39B"/>
    <w:rsid w:val="09192594"/>
    <w:rsid w:val="09192986"/>
    <w:rsid w:val="091A6050"/>
    <w:rsid w:val="091A65F9"/>
    <w:rsid w:val="091B19E8"/>
    <w:rsid w:val="091B52F7"/>
    <w:rsid w:val="091BA377"/>
    <w:rsid w:val="091BF04E"/>
    <w:rsid w:val="091C4347"/>
    <w:rsid w:val="091CB7B8"/>
    <w:rsid w:val="091D22CE"/>
    <w:rsid w:val="091DE70D"/>
    <w:rsid w:val="091EC675"/>
    <w:rsid w:val="0921A893"/>
    <w:rsid w:val="0921B053"/>
    <w:rsid w:val="0921E11A"/>
    <w:rsid w:val="0922D9C9"/>
    <w:rsid w:val="092341BC"/>
    <w:rsid w:val="09246652"/>
    <w:rsid w:val="0924752D"/>
    <w:rsid w:val="092537B2"/>
    <w:rsid w:val="0925A239"/>
    <w:rsid w:val="0926BBDF"/>
    <w:rsid w:val="092732E2"/>
    <w:rsid w:val="0927B2A4"/>
    <w:rsid w:val="09283FC6"/>
    <w:rsid w:val="092A0341"/>
    <w:rsid w:val="092A0EB8"/>
    <w:rsid w:val="092A84E8"/>
    <w:rsid w:val="092BC388"/>
    <w:rsid w:val="092BC421"/>
    <w:rsid w:val="092C5FE2"/>
    <w:rsid w:val="092CA69E"/>
    <w:rsid w:val="092D2E22"/>
    <w:rsid w:val="092DD898"/>
    <w:rsid w:val="092DF73D"/>
    <w:rsid w:val="092E16BF"/>
    <w:rsid w:val="092F35CE"/>
    <w:rsid w:val="0930870D"/>
    <w:rsid w:val="09320A3E"/>
    <w:rsid w:val="0932B9AC"/>
    <w:rsid w:val="0933205E"/>
    <w:rsid w:val="09333860"/>
    <w:rsid w:val="09345143"/>
    <w:rsid w:val="09346610"/>
    <w:rsid w:val="093514B7"/>
    <w:rsid w:val="09352401"/>
    <w:rsid w:val="09355817"/>
    <w:rsid w:val="093583B3"/>
    <w:rsid w:val="093588FC"/>
    <w:rsid w:val="09369DD2"/>
    <w:rsid w:val="09380C04"/>
    <w:rsid w:val="093858CC"/>
    <w:rsid w:val="09390B65"/>
    <w:rsid w:val="0939CF1B"/>
    <w:rsid w:val="093CE4EB"/>
    <w:rsid w:val="093D096B"/>
    <w:rsid w:val="093D36EA"/>
    <w:rsid w:val="093D38E3"/>
    <w:rsid w:val="093D6D11"/>
    <w:rsid w:val="093E80CC"/>
    <w:rsid w:val="093EAA35"/>
    <w:rsid w:val="093F7ED4"/>
    <w:rsid w:val="093F9C03"/>
    <w:rsid w:val="093FAA9E"/>
    <w:rsid w:val="094086F6"/>
    <w:rsid w:val="094098B1"/>
    <w:rsid w:val="09413AD5"/>
    <w:rsid w:val="09416876"/>
    <w:rsid w:val="09417CDA"/>
    <w:rsid w:val="0941B2E3"/>
    <w:rsid w:val="09421065"/>
    <w:rsid w:val="09429543"/>
    <w:rsid w:val="09429886"/>
    <w:rsid w:val="094307F7"/>
    <w:rsid w:val="09430BD1"/>
    <w:rsid w:val="09433682"/>
    <w:rsid w:val="0943507B"/>
    <w:rsid w:val="09444E7A"/>
    <w:rsid w:val="0944C2DA"/>
    <w:rsid w:val="09453982"/>
    <w:rsid w:val="09468E64"/>
    <w:rsid w:val="0946A15E"/>
    <w:rsid w:val="0946A439"/>
    <w:rsid w:val="0946FAA4"/>
    <w:rsid w:val="094817BD"/>
    <w:rsid w:val="0948988D"/>
    <w:rsid w:val="0948A86D"/>
    <w:rsid w:val="0948B876"/>
    <w:rsid w:val="094963A0"/>
    <w:rsid w:val="094C4E95"/>
    <w:rsid w:val="094CA57C"/>
    <w:rsid w:val="094CA7EB"/>
    <w:rsid w:val="094F048B"/>
    <w:rsid w:val="09508383"/>
    <w:rsid w:val="0951A7F1"/>
    <w:rsid w:val="09526C6D"/>
    <w:rsid w:val="0952AA4B"/>
    <w:rsid w:val="0953160F"/>
    <w:rsid w:val="09535A01"/>
    <w:rsid w:val="0953A6F3"/>
    <w:rsid w:val="09554511"/>
    <w:rsid w:val="09572969"/>
    <w:rsid w:val="09573ED6"/>
    <w:rsid w:val="09575523"/>
    <w:rsid w:val="095862F9"/>
    <w:rsid w:val="09589549"/>
    <w:rsid w:val="09599FA3"/>
    <w:rsid w:val="095A8ED6"/>
    <w:rsid w:val="095A947E"/>
    <w:rsid w:val="095BECC4"/>
    <w:rsid w:val="095D9673"/>
    <w:rsid w:val="095E69FC"/>
    <w:rsid w:val="095E6CA7"/>
    <w:rsid w:val="09601687"/>
    <w:rsid w:val="0960F6FD"/>
    <w:rsid w:val="096265F0"/>
    <w:rsid w:val="09627050"/>
    <w:rsid w:val="096290B4"/>
    <w:rsid w:val="0964AF6B"/>
    <w:rsid w:val="0965D9D9"/>
    <w:rsid w:val="0967530D"/>
    <w:rsid w:val="09676BB0"/>
    <w:rsid w:val="0967B113"/>
    <w:rsid w:val="0967F4D5"/>
    <w:rsid w:val="09681F11"/>
    <w:rsid w:val="09682D98"/>
    <w:rsid w:val="09688238"/>
    <w:rsid w:val="0968B12C"/>
    <w:rsid w:val="0968F00D"/>
    <w:rsid w:val="096964E3"/>
    <w:rsid w:val="09697983"/>
    <w:rsid w:val="096984F5"/>
    <w:rsid w:val="0969B607"/>
    <w:rsid w:val="096A6127"/>
    <w:rsid w:val="096AF01A"/>
    <w:rsid w:val="096B6808"/>
    <w:rsid w:val="096D0675"/>
    <w:rsid w:val="096D2477"/>
    <w:rsid w:val="096D36B9"/>
    <w:rsid w:val="096D567E"/>
    <w:rsid w:val="096DC206"/>
    <w:rsid w:val="096E4DF1"/>
    <w:rsid w:val="096E87EB"/>
    <w:rsid w:val="096EF71E"/>
    <w:rsid w:val="096F5556"/>
    <w:rsid w:val="097222F0"/>
    <w:rsid w:val="0972E883"/>
    <w:rsid w:val="09730FB0"/>
    <w:rsid w:val="09746497"/>
    <w:rsid w:val="09746C9D"/>
    <w:rsid w:val="09747B2C"/>
    <w:rsid w:val="0975AF24"/>
    <w:rsid w:val="09777612"/>
    <w:rsid w:val="0977A4B5"/>
    <w:rsid w:val="09790504"/>
    <w:rsid w:val="09798B9A"/>
    <w:rsid w:val="097BFCA9"/>
    <w:rsid w:val="097CB8C9"/>
    <w:rsid w:val="097D3DD4"/>
    <w:rsid w:val="097DC34B"/>
    <w:rsid w:val="097DD25F"/>
    <w:rsid w:val="097DD5EE"/>
    <w:rsid w:val="097DF4E5"/>
    <w:rsid w:val="097E18AB"/>
    <w:rsid w:val="097EA2C2"/>
    <w:rsid w:val="097ED02F"/>
    <w:rsid w:val="097F0649"/>
    <w:rsid w:val="097F1F41"/>
    <w:rsid w:val="097F30D5"/>
    <w:rsid w:val="097F67C3"/>
    <w:rsid w:val="097F7204"/>
    <w:rsid w:val="097F7BE7"/>
    <w:rsid w:val="097FA964"/>
    <w:rsid w:val="098030FD"/>
    <w:rsid w:val="09803693"/>
    <w:rsid w:val="09817FEA"/>
    <w:rsid w:val="09822508"/>
    <w:rsid w:val="098350D4"/>
    <w:rsid w:val="09837706"/>
    <w:rsid w:val="0984EAB9"/>
    <w:rsid w:val="09863AF9"/>
    <w:rsid w:val="098694CA"/>
    <w:rsid w:val="0987F56E"/>
    <w:rsid w:val="0988C4DD"/>
    <w:rsid w:val="0988C89D"/>
    <w:rsid w:val="098934EF"/>
    <w:rsid w:val="098976FD"/>
    <w:rsid w:val="09897A0D"/>
    <w:rsid w:val="0989E075"/>
    <w:rsid w:val="098A0263"/>
    <w:rsid w:val="098A3A37"/>
    <w:rsid w:val="098C2964"/>
    <w:rsid w:val="098C57B6"/>
    <w:rsid w:val="098C58F9"/>
    <w:rsid w:val="098D3503"/>
    <w:rsid w:val="098DA50F"/>
    <w:rsid w:val="098FC864"/>
    <w:rsid w:val="0990AAF0"/>
    <w:rsid w:val="0990CBE0"/>
    <w:rsid w:val="099180F4"/>
    <w:rsid w:val="0991EE30"/>
    <w:rsid w:val="0991F808"/>
    <w:rsid w:val="0994AD2B"/>
    <w:rsid w:val="09953AC9"/>
    <w:rsid w:val="0995A8CC"/>
    <w:rsid w:val="0995D66B"/>
    <w:rsid w:val="09963EF3"/>
    <w:rsid w:val="09965BBF"/>
    <w:rsid w:val="09971DC9"/>
    <w:rsid w:val="09976BDA"/>
    <w:rsid w:val="0997BE06"/>
    <w:rsid w:val="09983A97"/>
    <w:rsid w:val="09984521"/>
    <w:rsid w:val="0998465B"/>
    <w:rsid w:val="09996B93"/>
    <w:rsid w:val="099A31E4"/>
    <w:rsid w:val="099A4693"/>
    <w:rsid w:val="099BB996"/>
    <w:rsid w:val="099BC9C1"/>
    <w:rsid w:val="099C6495"/>
    <w:rsid w:val="099CBBDC"/>
    <w:rsid w:val="099CD826"/>
    <w:rsid w:val="099D0983"/>
    <w:rsid w:val="099D860E"/>
    <w:rsid w:val="099DD326"/>
    <w:rsid w:val="099F6324"/>
    <w:rsid w:val="099F7827"/>
    <w:rsid w:val="099F872C"/>
    <w:rsid w:val="09A004E7"/>
    <w:rsid w:val="09A02193"/>
    <w:rsid w:val="09A34BE1"/>
    <w:rsid w:val="09A3E6C9"/>
    <w:rsid w:val="09A59886"/>
    <w:rsid w:val="09A5AFD2"/>
    <w:rsid w:val="09A68D01"/>
    <w:rsid w:val="09A69FC3"/>
    <w:rsid w:val="09A6B444"/>
    <w:rsid w:val="09A6BB47"/>
    <w:rsid w:val="09A6D7FD"/>
    <w:rsid w:val="09A79CBB"/>
    <w:rsid w:val="09A8D553"/>
    <w:rsid w:val="09A98EA0"/>
    <w:rsid w:val="09AA1522"/>
    <w:rsid w:val="09AA4FF7"/>
    <w:rsid w:val="09AA95BE"/>
    <w:rsid w:val="09AB699A"/>
    <w:rsid w:val="09ABD230"/>
    <w:rsid w:val="09AC32F6"/>
    <w:rsid w:val="09AC761A"/>
    <w:rsid w:val="09ADBBEE"/>
    <w:rsid w:val="09ADF80A"/>
    <w:rsid w:val="09AEB2A0"/>
    <w:rsid w:val="09AEC8D0"/>
    <w:rsid w:val="09AEE669"/>
    <w:rsid w:val="09AF5FFE"/>
    <w:rsid w:val="09AF8006"/>
    <w:rsid w:val="09AF87C7"/>
    <w:rsid w:val="09B0B3DF"/>
    <w:rsid w:val="09B15683"/>
    <w:rsid w:val="09B1B86F"/>
    <w:rsid w:val="09B1D133"/>
    <w:rsid w:val="09B2427F"/>
    <w:rsid w:val="09B25F7F"/>
    <w:rsid w:val="09B2E060"/>
    <w:rsid w:val="09B39A31"/>
    <w:rsid w:val="09B3A129"/>
    <w:rsid w:val="09B475B1"/>
    <w:rsid w:val="09B4D95D"/>
    <w:rsid w:val="09B5A910"/>
    <w:rsid w:val="09B61987"/>
    <w:rsid w:val="09B8E6B8"/>
    <w:rsid w:val="09BB06D6"/>
    <w:rsid w:val="09BB84ED"/>
    <w:rsid w:val="09BB8AB2"/>
    <w:rsid w:val="09BBB601"/>
    <w:rsid w:val="09BC9AAC"/>
    <w:rsid w:val="09BCF2E3"/>
    <w:rsid w:val="09BD4B48"/>
    <w:rsid w:val="09BD5008"/>
    <w:rsid w:val="09BE5AED"/>
    <w:rsid w:val="09BEDAAC"/>
    <w:rsid w:val="09BF1A22"/>
    <w:rsid w:val="09BFFA9F"/>
    <w:rsid w:val="09C0450B"/>
    <w:rsid w:val="09C0580E"/>
    <w:rsid w:val="09C06179"/>
    <w:rsid w:val="09C0CBA8"/>
    <w:rsid w:val="09C1978B"/>
    <w:rsid w:val="09C1C61A"/>
    <w:rsid w:val="09C24B66"/>
    <w:rsid w:val="09C26990"/>
    <w:rsid w:val="09C2E1BE"/>
    <w:rsid w:val="09C37D1F"/>
    <w:rsid w:val="09C40E49"/>
    <w:rsid w:val="09C62592"/>
    <w:rsid w:val="09C69542"/>
    <w:rsid w:val="09C6B33F"/>
    <w:rsid w:val="09C6E4E4"/>
    <w:rsid w:val="09C77421"/>
    <w:rsid w:val="09C78506"/>
    <w:rsid w:val="09C89D5A"/>
    <w:rsid w:val="09C8DCA8"/>
    <w:rsid w:val="09C9B565"/>
    <w:rsid w:val="09C9D4C6"/>
    <w:rsid w:val="09C9EF2E"/>
    <w:rsid w:val="09CB8ADB"/>
    <w:rsid w:val="09CBB351"/>
    <w:rsid w:val="09CC2B44"/>
    <w:rsid w:val="09CC3658"/>
    <w:rsid w:val="09CC6297"/>
    <w:rsid w:val="09CC962E"/>
    <w:rsid w:val="09CDE90E"/>
    <w:rsid w:val="09CE07AB"/>
    <w:rsid w:val="09CE231E"/>
    <w:rsid w:val="09CF28BE"/>
    <w:rsid w:val="09CF4DD7"/>
    <w:rsid w:val="09CF7673"/>
    <w:rsid w:val="09CFA3BC"/>
    <w:rsid w:val="09CFE02C"/>
    <w:rsid w:val="09D0AE46"/>
    <w:rsid w:val="09D118B3"/>
    <w:rsid w:val="09D1436A"/>
    <w:rsid w:val="09D2514D"/>
    <w:rsid w:val="09D2D0D9"/>
    <w:rsid w:val="09D3B36D"/>
    <w:rsid w:val="09D5065E"/>
    <w:rsid w:val="09D5E98B"/>
    <w:rsid w:val="09D6F8F1"/>
    <w:rsid w:val="09D80AB9"/>
    <w:rsid w:val="09D88C0A"/>
    <w:rsid w:val="09D89CBE"/>
    <w:rsid w:val="09DA3354"/>
    <w:rsid w:val="09DA7EFC"/>
    <w:rsid w:val="09DBCA41"/>
    <w:rsid w:val="09DC93F7"/>
    <w:rsid w:val="09DCFD60"/>
    <w:rsid w:val="09DE2B08"/>
    <w:rsid w:val="09DE6A7D"/>
    <w:rsid w:val="09DEBC08"/>
    <w:rsid w:val="09DF86CF"/>
    <w:rsid w:val="09DFFD1A"/>
    <w:rsid w:val="09E0A56B"/>
    <w:rsid w:val="09E17D72"/>
    <w:rsid w:val="09E3AACD"/>
    <w:rsid w:val="09E43397"/>
    <w:rsid w:val="09E43E5F"/>
    <w:rsid w:val="09E4E7F7"/>
    <w:rsid w:val="09E5C1D5"/>
    <w:rsid w:val="09E65ED6"/>
    <w:rsid w:val="09E6DDFC"/>
    <w:rsid w:val="09E7EF78"/>
    <w:rsid w:val="09E8F1F3"/>
    <w:rsid w:val="09E9C195"/>
    <w:rsid w:val="09E9F23C"/>
    <w:rsid w:val="09E9FB64"/>
    <w:rsid w:val="09EAB7BE"/>
    <w:rsid w:val="09EAC960"/>
    <w:rsid w:val="09EB12B3"/>
    <w:rsid w:val="09EB1BA7"/>
    <w:rsid w:val="09EBF143"/>
    <w:rsid w:val="09EC0D73"/>
    <w:rsid w:val="09EC5492"/>
    <w:rsid w:val="09EC8481"/>
    <w:rsid w:val="09EC9E25"/>
    <w:rsid w:val="09EDE920"/>
    <w:rsid w:val="09EDE928"/>
    <w:rsid w:val="09F085F1"/>
    <w:rsid w:val="09F09C51"/>
    <w:rsid w:val="09F1E3B7"/>
    <w:rsid w:val="09F23C36"/>
    <w:rsid w:val="09F32C0C"/>
    <w:rsid w:val="09F3CF44"/>
    <w:rsid w:val="09F5245F"/>
    <w:rsid w:val="09F54865"/>
    <w:rsid w:val="09F573D8"/>
    <w:rsid w:val="09F5901A"/>
    <w:rsid w:val="09F5CE45"/>
    <w:rsid w:val="09F6594E"/>
    <w:rsid w:val="09F6B798"/>
    <w:rsid w:val="09F6F634"/>
    <w:rsid w:val="09F7BE60"/>
    <w:rsid w:val="09F8BE8D"/>
    <w:rsid w:val="09F92CA4"/>
    <w:rsid w:val="09FA6177"/>
    <w:rsid w:val="09FA6CD0"/>
    <w:rsid w:val="09FA9189"/>
    <w:rsid w:val="09FB1252"/>
    <w:rsid w:val="09FBDDE9"/>
    <w:rsid w:val="09FCF40F"/>
    <w:rsid w:val="09FD4BEA"/>
    <w:rsid w:val="09FE20C0"/>
    <w:rsid w:val="09FE2A2D"/>
    <w:rsid w:val="09FE66F5"/>
    <w:rsid w:val="09FEA06D"/>
    <w:rsid w:val="09FEAC0B"/>
    <w:rsid w:val="09FF03CA"/>
    <w:rsid w:val="09FF0E33"/>
    <w:rsid w:val="0A01EBFF"/>
    <w:rsid w:val="0A023E35"/>
    <w:rsid w:val="0A02BD34"/>
    <w:rsid w:val="0A03AFD0"/>
    <w:rsid w:val="0A0411B4"/>
    <w:rsid w:val="0A044C18"/>
    <w:rsid w:val="0A052C1B"/>
    <w:rsid w:val="0A05340D"/>
    <w:rsid w:val="0A0543EF"/>
    <w:rsid w:val="0A06523D"/>
    <w:rsid w:val="0A066DC4"/>
    <w:rsid w:val="0A07EE90"/>
    <w:rsid w:val="0A0806FF"/>
    <w:rsid w:val="0A08D6DF"/>
    <w:rsid w:val="0A095BE9"/>
    <w:rsid w:val="0A0B21FE"/>
    <w:rsid w:val="0A0B93DC"/>
    <w:rsid w:val="0A0C69D1"/>
    <w:rsid w:val="0A0CEF7B"/>
    <w:rsid w:val="0A0E0CC9"/>
    <w:rsid w:val="0A0E33BE"/>
    <w:rsid w:val="0A0E6D6F"/>
    <w:rsid w:val="0A0EECD4"/>
    <w:rsid w:val="0A0F0129"/>
    <w:rsid w:val="0A0F55BF"/>
    <w:rsid w:val="0A108617"/>
    <w:rsid w:val="0A10D44F"/>
    <w:rsid w:val="0A122FAF"/>
    <w:rsid w:val="0A12B24E"/>
    <w:rsid w:val="0A12B654"/>
    <w:rsid w:val="0A13253A"/>
    <w:rsid w:val="0A13355B"/>
    <w:rsid w:val="0A14287E"/>
    <w:rsid w:val="0A151EA7"/>
    <w:rsid w:val="0A15663A"/>
    <w:rsid w:val="0A15ACA0"/>
    <w:rsid w:val="0A1627C2"/>
    <w:rsid w:val="0A16BFBF"/>
    <w:rsid w:val="0A17AF60"/>
    <w:rsid w:val="0A182CEC"/>
    <w:rsid w:val="0A1896BD"/>
    <w:rsid w:val="0A190938"/>
    <w:rsid w:val="0A197462"/>
    <w:rsid w:val="0A199748"/>
    <w:rsid w:val="0A19D2B1"/>
    <w:rsid w:val="0A1B6862"/>
    <w:rsid w:val="0A1C5594"/>
    <w:rsid w:val="0A1C67BA"/>
    <w:rsid w:val="0A1E14E2"/>
    <w:rsid w:val="0A1E19EF"/>
    <w:rsid w:val="0A1E4403"/>
    <w:rsid w:val="0A1E5228"/>
    <w:rsid w:val="0A1FA7E1"/>
    <w:rsid w:val="0A203B58"/>
    <w:rsid w:val="0A20A93D"/>
    <w:rsid w:val="0A2101E2"/>
    <w:rsid w:val="0A21855F"/>
    <w:rsid w:val="0A2242D8"/>
    <w:rsid w:val="0A23017D"/>
    <w:rsid w:val="0A231107"/>
    <w:rsid w:val="0A24E186"/>
    <w:rsid w:val="0A259B18"/>
    <w:rsid w:val="0A262578"/>
    <w:rsid w:val="0A26CC45"/>
    <w:rsid w:val="0A275B88"/>
    <w:rsid w:val="0A285252"/>
    <w:rsid w:val="0A28F5BF"/>
    <w:rsid w:val="0A29C3AB"/>
    <w:rsid w:val="0A2DE44B"/>
    <w:rsid w:val="0A2E36A4"/>
    <w:rsid w:val="0A2E85D1"/>
    <w:rsid w:val="0A31D971"/>
    <w:rsid w:val="0A31E20D"/>
    <w:rsid w:val="0A34158E"/>
    <w:rsid w:val="0A343882"/>
    <w:rsid w:val="0A34B12A"/>
    <w:rsid w:val="0A351AAA"/>
    <w:rsid w:val="0A3524AD"/>
    <w:rsid w:val="0A360298"/>
    <w:rsid w:val="0A365C9B"/>
    <w:rsid w:val="0A36DE71"/>
    <w:rsid w:val="0A38C0D3"/>
    <w:rsid w:val="0A39C7F9"/>
    <w:rsid w:val="0A3A7722"/>
    <w:rsid w:val="0A3A777F"/>
    <w:rsid w:val="0A3B93DF"/>
    <w:rsid w:val="0A3DC5CB"/>
    <w:rsid w:val="0A3E30BE"/>
    <w:rsid w:val="0A3E6380"/>
    <w:rsid w:val="0A3F0A8B"/>
    <w:rsid w:val="0A4043BE"/>
    <w:rsid w:val="0A407838"/>
    <w:rsid w:val="0A42BBBE"/>
    <w:rsid w:val="0A4447CF"/>
    <w:rsid w:val="0A44D926"/>
    <w:rsid w:val="0A46B919"/>
    <w:rsid w:val="0A47BB5F"/>
    <w:rsid w:val="0A48A960"/>
    <w:rsid w:val="0A490303"/>
    <w:rsid w:val="0A492C04"/>
    <w:rsid w:val="0A496A51"/>
    <w:rsid w:val="0A49B8CB"/>
    <w:rsid w:val="0A4A48DB"/>
    <w:rsid w:val="0A4A979A"/>
    <w:rsid w:val="0A4B002F"/>
    <w:rsid w:val="0A4B3B23"/>
    <w:rsid w:val="0A4B6916"/>
    <w:rsid w:val="0A4BCD98"/>
    <w:rsid w:val="0A4BD22A"/>
    <w:rsid w:val="0A4CA341"/>
    <w:rsid w:val="0A4CD9F6"/>
    <w:rsid w:val="0A4CFEFB"/>
    <w:rsid w:val="0A4E8A56"/>
    <w:rsid w:val="0A4E9A46"/>
    <w:rsid w:val="0A4EF0A2"/>
    <w:rsid w:val="0A4F5AE6"/>
    <w:rsid w:val="0A4F98EE"/>
    <w:rsid w:val="0A509822"/>
    <w:rsid w:val="0A50A90A"/>
    <w:rsid w:val="0A526847"/>
    <w:rsid w:val="0A52962B"/>
    <w:rsid w:val="0A543E7A"/>
    <w:rsid w:val="0A5478ED"/>
    <w:rsid w:val="0A551806"/>
    <w:rsid w:val="0A55C582"/>
    <w:rsid w:val="0A56547D"/>
    <w:rsid w:val="0A569312"/>
    <w:rsid w:val="0A56FE96"/>
    <w:rsid w:val="0A579314"/>
    <w:rsid w:val="0A57A83B"/>
    <w:rsid w:val="0A57BD5C"/>
    <w:rsid w:val="0A581E05"/>
    <w:rsid w:val="0A58B12D"/>
    <w:rsid w:val="0A595BF3"/>
    <w:rsid w:val="0A5A5FBF"/>
    <w:rsid w:val="0A5ABE0A"/>
    <w:rsid w:val="0A5B2AF9"/>
    <w:rsid w:val="0A5B6011"/>
    <w:rsid w:val="0A5BE168"/>
    <w:rsid w:val="0A5E18B6"/>
    <w:rsid w:val="0A5ED623"/>
    <w:rsid w:val="0A5F710E"/>
    <w:rsid w:val="0A5F92CB"/>
    <w:rsid w:val="0A5FD1CD"/>
    <w:rsid w:val="0A60233F"/>
    <w:rsid w:val="0A607905"/>
    <w:rsid w:val="0A60F071"/>
    <w:rsid w:val="0A6219EF"/>
    <w:rsid w:val="0A627147"/>
    <w:rsid w:val="0A659CB5"/>
    <w:rsid w:val="0A66E344"/>
    <w:rsid w:val="0A67105D"/>
    <w:rsid w:val="0A673B7B"/>
    <w:rsid w:val="0A67F967"/>
    <w:rsid w:val="0A682EE6"/>
    <w:rsid w:val="0A68B996"/>
    <w:rsid w:val="0A6B5017"/>
    <w:rsid w:val="0A6B79E6"/>
    <w:rsid w:val="0A6B93AE"/>
    <w:rsid w:val="0A6BBBA0"/>
    <w:rsid w:val="0A6BC33D"/>
    <w:rsid w:val="0A6BF493"/>
    <w:rsid w:val="0A6C2BE6"/>
    <w:rsid w:val="0A6C3A61"/>
    <w:rsid w:val="0A6C4F7B"/>
    <w:rsid w:val="0A6C9552"/>
    <w:rsid w:val="0A6D74C0"/>
    <w:rsid w:val="0A6E44AD"/>
    <w:rsid w:val="0A6E5D65"/>
    <w:rsid w:val="0A70CF34"/>
    <w:rsid w:val="0A70CFFD"/>
    <w:rsid w:val="0A71A278"/>
    <w:rsid w:val="0A727E22"/>
    <w:rsid w:val="0A72CC18"/>
    <w:rsid w:val="0A72E2D6"/>
    <w:rsid w:val="0A734789"/>
    <w:rsid w:val="0A74213B"/>
    <w:rsid w:val="0A74E42C"/>
    <w:rsid w:val="0A79076E"/>
    <w:rsid w:val="0A794C67"/>
    <w:rsid w:val="0A797696"/>
    <w:rsid w:val="0A79E38D"/>
    <w:rsid w:val="0A7A0057"/>
    <w:rsid w:val="0A7A02D6"/>
    <w:rsid w:val="0A7A2A2F"/>
    <w:rsid w:val="0A7A497A"/>
    <w:rsid w:val="0A7C089D"/>
    <w:rsid w:val="0A7C0921"/>
    <w:rsid w:val="0A7C4673"/>
    <w:rsid w:val="0A7CA7FD"/>
    <w:rsid w:val="0A7EAC8E"/>
    <w:rsid w:val="0A7EB07E"/>
    <w:rsid w:val="0A7EBB5C"/>
    <w:rsid w:val="0A7F4F9C"/>
    <w:rsid w:val="0A7F6918"/>
    <w:rsid w:val="0A8112CD"/>
    <w:rsid w:val="0A822C36"/>
    <w:rsid w:val="0A82D642"/>
    <w:rsid w:val="0A83E03A"/>
    <w:rsid w:val="0A8594B2"/>
    <w:rsid w:val="0A89F440"/>
    <w:rsid w:val="0A8A16A8"/>
    <w:rsid w:val="0A8A4EAA"/>
    <w:rsid w:val="0A8C3CE9"/>
    <w:rsid w:val="0A8CBF65"/>
    <w:rsid w:val="0A8CEE8D"/>
    <w:rsid w:val="0A8D087E"/>
    <w:rsid w:val="0A8D767F"/>
    <w:rsid w:val="0A8E8F26"/>
    <w:rsid w:val="0A8FCCA6"/>
    <w:rsid w:val="0A90E452"/>
    <w:rsid w:val="0A92EC1D"/>
    <w:rsid w:val="0A935EC1"/>
    <w:rsid w:val="0A94BC41"/>
    <w:rsid w:val="0A9521B8"/>
    <w:rsid w:val="0A9525EF"/>
    <w:rsid w:val="0A95B9C5"/>
    <w:rsid w:val="0A96ACA7"/>
    <w:rsid w:val="0A971B07"/>
    <w:rsid w:val="0A973CC1"/>
    <w:rsid w:val="0A98D894"/>
    <w:rsid w:val="0A98E9F9"/>
    <w:rsid w:val="0A996343"/>
    <w:rsid w:val="0A99A515"/>
    <w:rsid w:val="0A99CE0D"/>
    <w:rsid w:val="0A9B557F"/>
    <w:rsid w:val="0A9BBC9A"/>
    <w:rsid w:val="0A9C37BB"/>
    <w:rsid w:val="0A9C3D5A"/>
    <w:rsid w:val="0A9D0C77"/>
    <w:rsid w:val="0A9E0BC4"/>
    <w:rsid w:val="0A9E0EF4"/>
    <w:rsid w:val="0A9E75F8"/>
    <w:rsid w:val="0A9F37E9"/>
    <w:rsid w:val="0A9FA37F"/>
    <w:rsid w:val="0A9FAE05"/>
    <w:rsid w:val="0AA11482"/>
    <w:rsid w:val="0AA29C73"/>
    <w:rsid w:val="0AA2A24C"/>
    <w:rsid w:val="0AA2E2CE"/>
    <w:rsid w:val="0AA3BC33"/>
    <w:rsid w:val="0AA468E2"/>
    <w:rsid w:val="0AA48776"/>
    <w:rsid w:val="0AA5CD6B"/>
    <w:rsid w:val="0AA7361A"/>
    <w:rsid w:val="0AA829FF"/>
    <w:rsid w:val="0AA88932"/>
    <w:rsid w:val="0AA89266"/>
    <w:rsid w:val="0AA93B6A"/>
    <w:rsid w:val="0AA97311"/>
    <w:rsid w:val="0AA9A604"/>
    <w:rsid w:val="0AAACDE7"/>
    <w:rsid w:val="0AAB3038"/>
    <w:rsid w:val="0AAB3E5F"/>
    <w:rsid w:val="0AABAB59"/>
    <w:rsid w:val="0AAC0E58"/>
    <w:rsid w:val="0AAC92E4"/>
    <w:rsid w:val="0AAC9E9E"/>
    <w:rsid w:val="0AACA20A"/>
    <w:rsid w:val="0AACAC40"/>
    <w:rsid w:val="0AADFA5F"/>
    <w:rsid w:val="0AAE288A"/>
    <w:rsid w:val="0AAE8BED"/>
    <w:rsid w:val="0AAF0CFF"/>
    <w:rsid w:val="0AB02E22"/>
    <w:rsid w:val="0AB04189"/>
    <w:rsid w:val="0AB0E4EC"/>
    <w:rsid w:val="0AB12CCA"/>
    <w:rsid w:val="0AB1A18B"/>
    <w:rsid w:val="0AB1C3C9"/>
    <w:rsid w:val="0AB32C2E"/>
    <w:rsid w:val="0AB3F3C3"/>
    <w:rsid w:val="0AB40BBE"/>
    <w:rsid w:val="0AB41195"/>
    <w:rsid w:val="0AB534FE"/>
    <w:rsid w:val="0AB5DDE5"/>
    <w:rsid w:val="0AB62FE8"/>
    <w:rsid w:val="0AB6473B"/>
    <w:rsid w:val="0AB649CE"/>
    <w:rsid w:val="0AB704DA"/>
    <w:rsid w:val="0AB7FB31"/>
    <w:rsid w:val="0AB814AF"/>
    <w:rsid w:val="0ABA76C3"/>
    <w:rsid w:val="0ABB74AC"/>
    <w:rsid w:val="0ABBF9F5"/>
    <w:rsid w:val="0ABE0319"/>
    <w:rsid w:val="0ABE1584"/>
    <w:rsid w:val="0ABE693A"/>
    <w:rsid w:val="0ABECA68"/>
    <w:rsid w:val="0ABF21A7"/>
    <w:rsid w:val="0ABF27D2"/>
    <w:rsid w:val="0ABFB2EE"/>
    <w:rsid w:val="0AC1D0AB"/>
    <w:rsid w:val="0AC2962D"/>
    <w:rsid w:val="0AC2E0DA"/>
    <w:rsid w:val="0AC3291D"/>
    <w:rsid w:val="0AC37362"/>
    <w:rsid w:val="0AC443FE"/>
    <w:rsid w:val="0AC51195"/>
    <w:rsid w:val="0AC537CE"/>
    <w:rsid w:val="0AC5C5F9"/>
    <w:rsid w:val="0AC5E291"/>
    <w:rsid w:val="0AC68929"/>
    <w:rsid w:val="0AC6F277"/>
    <w:rsid w:val="0AC70BC7"/>
    <w:rsid w:val="0AC7A6FD"/>
    <w:rsid w:val="0AC865EE"/>
    <w:rsid w:val="0AC97F58"/>
    <w:rsid w:val="0AC98B5C"/>
    <w:rsid w:val="0AC996CB"/>
    <w:rsid w:val="0AC9AC28"/>
    <w:rsid w:val="0ACA3ABA"/>
    <w:rsid w:val="0ACB4550"/>
    <w:rsid w:val="0ACB6ADA"/>
    <w:rsid w:val="0ACB7651"/>
    <w:rsid w:val="0ACCBC0E"/>
    <w:rsid w:val="0ACD4906"/>
    <w:rsid w:val="0ACE1377"/>
    <w:rsid w:val="0ACF06F3"/>
    <w:rsid w:val="0ACF1DE8"/>
    <w:rsid w:val="0ACF257D"/>
    <w:rsid w:val="0ACF8208"/>
    <w:rsid w:val="0ACFA069"/>
    <w:rsid w:val="0ACFEC4B"/>
    <w:rsid w:val="0AD054F1"/>
    <w:rsid w:val="0AD05792"/>
    <w:rsid w:val="0AD0A8A4"/>
    <w:rsid w:val="0AD0C83C"/>
    <w:rsid w:val="0AD13F3D"/>
    <w:rsid w:val="0AD17F72"/>
    <w:rsid w:val="0AD18D4A"/>
    <w:rsid w:val="0AD1D90B"/>
    <w:rsid w:val="0AD2F6F7"/>
    <w:rsid w:val="0AD3213D"/>
    <w:rsid w:val="0AD391E6"/>
    <w:rsid w:val="0AD42D20"/>
    <w:rsid w:val="0AD504B9"/>
    <w:rsid w:val="0AD55F97"/>
    <w:rsid w:val="0AD64DA2"/>
    <w:rsid w:val="0AD6E8FF"/>
    <w:rsid w:val="0AD77368"/>
    <w:rsid w:val="0AD853B7"/>
    <w:rsid w:val="0AD8DCCD"/>
    <w:rsid w:val="0AD91437"/>
    <w:rsid w:val="0AD9A815"/>
    <w:rsid w:val="0AD9AC9D"/>
    <w:rsid w:val="0AD9F2E1"/>
    <w:rsid w:val="0ADB1A07"/>
    <w:rsid w:val="0ADB7CEC"/>
    <w:rsid w:val="0ADB8100"/>
    <w:rsid w:val="0ADB8398"/>
    <w:rsid w:val="0ADBE7F1"/>
    <w:rsid w:val="0ADC7CA9"/>
    <w:rsid w:val="0ADE7279"/>
    <w:rsid w:val="0ADF0C36"/>
    <w:rsid w:val="0AE04BF8"/>
    <w:rsid w:val="0AE16039"/>
    <w:rsid w:val="0AE1881E"/>
    <w:rsid w:val="0AE206D1"/>
    <w:rsid w:val="0AE20EE1"/>
    <w:rsid w:val="0AE26996"/>
    <w:rsid w:val="0AE398A1"/>
    <w:rsid w:val="0AE3A76A"/>
    <w:rsid w:val="0AE4FAC5"/>
    <w:rsid w:val="0AE7A25A"/>
    <w:rsid w:val="0AE900DB"/>
    <w:rsid w:val="0AE9C923"/>
    <w:rsid w:val="0AE9EB2E"/>
    <w:rsid w:val="0AEA8CF2"/>
    <w:rsid w:val="0AEB2E6F"/>
    <w:rsid w:val="0AEB3DE1"/>
    <w:rsid w:val="0AEB71EB"/>
    <w:rsid w:val="0AEBCD78"/>
    <w:rsid w:val="0AECDBA1"/>
    <w:rsid w:val="0AED22F2"/>
    <w:rsid w:val="0AEDB9F3"/>
    <w:rsid w:val="0AEDBFD0"/>
    <w:rsid w:val="0AEE3929"/>
    <w:rsid w:val="0AEF654F"/>
    <w:rsid w:val="0AEF9D0C"/>
    <w:rsid w:val="0AEFC4DD"/>
    <w:rsid w:val="0AEFE249"/>
    <w:rsid w:val="0AEFF417"/>
    <w:rsid w:val="0AEFFF7A"/>
    <w:rsid w:val="0AF01C2F"/>
    <w:rsid w:val="0AF0F2A5"/>
    <w:rsid w:val="0AF1C448"/>
    <w:rsid w:val="0AF2F551"/>
    <w:rsid w:val="0AF2F9CA"/>
    <w:rsid w:val="0AF38882"/>
    <w:rsid w:val="0AF38BE9"/>
    <w:rsid w:val="0AF39426"/>
    <w:rsid w:val="0AF3E25B"/>
    <w:rsid w:val="0AF50D48"/>
    <w:rsid w:val="0AF6C219"/>
    <w:rsid w:val="0AF6C5A0"/>
    <w:rsid w:val="0AF716DA"/>
    <w:rsid w:val="0AF8F4D8"/>
    <w:rsid w:val="0AFA2AEF"/>
    <w:rsid w:val="0AFA3B75"/>
    <w:rsid w:val="0AFA7A40"/>
    <w:rsid w:val="0AFA9557"/>
    <w:rsid w:val="0AFAE9B3"/>
    <w:rsid w:val="0AFC2102"/>
    <w:rsid w:val="0AFC25F4"/>
    <w:rsid w:val="0AFE73E3"/>
    <w:rsid w:val="0AFE919C"/>
    <w:rsid w:val="0AFF5691"/>
    <w:rsid w:val="0AFFB789"/>
    <w:rsid w:val="0B00E541"/>
    <w:rsid w:val="0B02078D"/>
    <w:rsid w:val="0B029FD4"/>
    <w:rsid w:val="0B02D588"/>
    <w:rsid w:val="0B031F8C"/>
    <w:rsid w:val="0B032491"/>
    <w:rsid w:val="0B035617"/>
    <w:rsid w:val="0B03F5D2"/>
    <w:rsid w:val="0B040F6F"/>
    <w:rsid w:val="0B044FF8"/>
    <w:rsid w:val="0B05095E"/>
    <w:rsid w:val="0B055CA7"/>
    <w:rsid w:val="0B05E78A"/>
    <w:rsid w:val="0B077E13"/>
    <w:rsid w:val="0B08A081"/>
    <w:rsid w:val="0B0A3BED"/>
    <w:rsid w:val="0B0A442C"/>
    <w:rsid w:val="0B0AB7F7"/>
    <w:rsid w:val="0B0B3842"/>
    <w:rsid w:val="0B0CA56D"/>
    <w:rsid w:val="0B0CD010"/>
    <w:rsid w:val="0B0DDF57"/>
    <w:rsid w:val="0B0E9484"/>
    <w:rsid w:val="0B0EAEE2"/>
    <w:rsid w:val="0B0ED085"/>
    <w:rsid w:val="0B0F2094"/>
    <w:rsid w:val="0B0F58E2"/>
    <w:rsid w:val="0B0F755A"/>
    <w:rsid w:val="0B0F810E"/>
    <w:rsid w:val="0B0F947D"/>
    <w:rsid w:val="0B1067F7"/>
    <w:rsid w:val="0B106ADA"/>
    <w:rsid w:val="0B118171"/>
    <w:rsid w:val="0B11F28A"/>
    <w:rsid w:val="0B128F29"/>
    <w:rsid w:val="0B12E1FB"/>
    <w:rsid w:val="0B131B26"/>
    <w:rsid w:val="0B133D96"/>
    <w:rsid w:val="0B13705C"/>
    <w:rsid w:val="0B13F6F3"/>
    <w:rsid w:val="0B13F852"/>
    <w:rsid w:val="0B146059"/>
    <w:rsid w:val="0B14A452"/>
    <w:rsid w:val="0B15FAFA"/>
    <w:rsid w:val="0B1610AE"/>
    <w:rsid w:val="0B180928"/>
    <w:rsid w:val="0B18D298"/>
    <w:rsid w:val="0B18D9D7"/>
    <w:rsid w:val="0B1A3276"/>
    <w:rsid w:val="0B1A45A7"/>
    <w:rsid w:val="0B1A5699"/>
    <w:rsid w:val="0B1A6A57"/>
    <w:rsid w:val="0B1BE787"/>
    <w:rsid w:val="0B1D1707"/>
    <w:rsid w:val="0B1D8123"/>
    <w:rsid w:val="0B1D8925"/>
    <w:rsid w:val="0B1DD540"/>
    <w:rsid w:val="0B1E0739"/>
    <w:rsid w:val="0B1E57B1"/>
    <w:rsid w:val="0B1EAEB4"/>
    <w:rsid w:val="0B223307"/>
    <w:rsid w:val="0B2251AE"/>
    <w:rsid w:val="0B22E2D0"/>
    <w:rsid w:val="0B240BA1"/>
    <w:rsid w:val="0B24FF27"/>
    <w:rsid w:val="0B268CB8"/>
    <w:rsid w:val="0B26A002"/>
    <w:rsid w:val="0B26CEC7"/>
    <w:rsid w:val="0B27E496"/>
    <w:rsid w:val="0B27F068"/>
    <w:rsid w:val="0B284552"/>
    <w:rsid w:val="0B28EC1A"/>
    <w:rsid w:val="0B29C81E"/>
    <w:rsid w:val="0B29CA42"/>
    <w:rsid w:val="0B2A3F32"/>
    <w:rsid w:val="0B2A8776"/>
    <w:rsid w:val="0B2ADBAD"/>
    <w:rsid w:val="0B2B416F"/>
    <w:rsid w:val="0B2BBA0D"/>
    <w:rsid w:val="0B2BC6F9"/>
    <w:rsid w:val="0B2C1F88"/>
    <w:rsid w:val="0B2C2544"/>
    <w:rsid w:val="0B2C39FE"/>
    <w:rsid w:val="0B2C5BFA"/>
    <w:rsid w:val="0B2DD67E"/>
    <w:rsid w:val="0B2E5FBE"/>
    <w:rsid w:val="0B2ED973"/>
    <w:rsid w:val="0B2FF0B4"/>
    <w:rsid w:val="0B302EAF"/>
    <w:rsid w:val="0B3068F3"/>
    <w:rsid w:val="0B30F0AE"/>
    <w:rsid w:val="0B317155"/>
    <w:rsid w:val="0B319FF0"/>
    <w:rsid w:val="0B32011F"/>
    <w:rsid w:val="0B322DED"/>
    <w:rsid w:val="0B324B13"/>
    <w:rsid w:val="0B325FDD"/>
    <w:rsid w:val="0B326158"/>
    <w:rsid w:val="0B32E83D"/>
    <w:rsid w:val="0B32E85A"/>
    <w:rsid w:val="0B344140"/>
    <w:rsid w:val="0B34AEFD"/>
    <w:rsid w:val="0B355F22"/>
    <w:rsid w:val="0B357D3A"/>
    <w:rsid w:val="0B35A8AB"/>
    <w:rsid w:val="0B3776B9"/>
    <w:rsid w:val="0B37FD15"/>
    <w:rsid w:val="0B3856A1"/>
    <w:rsid w:val="0B391E0D"/>
    <w:rsid w:val="0B3A9B13"/>
    <w:rsid w:val="0B3AE9CA"/>
    <w:rsid w:val="0B3B1642"/>
    <w:rsid w:val="0B3BB98D"/>
    <w:rsid w:val="0B3C5A02"/>
    <w:rsid w:val="0B3D3590"/>
    <w:rsid w:val="0B3D72E5"/>
    <w:rsid w:val="0B3DB789"/>
    <w:rsid w:val="0B3DBE04"/>
    <w:rsid w:val="0B3EE335"/>
    <w:rsid w:val="0B3FC3A3"/>
    <w:rsid w:val="0B40012E"/>
    <w:rsid w:val="0B414B68"/>
    <w:rsid w:val="0B421C3D"/>
    <w:rsid w:val="0B433F03"/>
    <w:rsid w:val="0B4363A8"/>
    <w:rsid w:val="0B43DFB9"/>
    <w:rsid w:val="0B43E5E2"/>
    <w:rsid w:val="0B43FD0E"/>
    <w:rsid w:val="0B442100"/>
    <w:rsid w:val="0B443256"/>
    <w:rsid w:val="0B453C31"/>
    <w:rsid w:val="0B465661"/>
    <w:rsid w:val="0B471156"/>
    <w:rsid w:val="0B4740B4"/>
    <w:rsid w:val="0B4772B1"/>
    <w:rsid w:val="0B47F98B"/>
    <w:rsid w:val="0B48649D"/>
    <w:rsid w:val="0B48A26E"/>
    <w:rsid w:val="0B48F9E6"/>
    <w:rsid w:val="0B4A14F1"/>
    <w:rsid w:val="0B4A2F1A"/>
    <w:rsid w:val="0B4B724E"/>
    <w:rsid w:val="0B4B85AD"/>
    <w:rsid w:val="0B4B9944"/>
    <w:rsid w:val="0B4BF78F"/>
    <w:rsid w:val="0B4C68F3"/>
    <w:rsid w:val="0B4D06C6"/>
    <w:rsid w:val="0B4D5A70"/>
    <w:rsid w:val="0B4D982E"/>
    <w:rsid w:val="0B4E56D5"/>
    <w:rsid w:val="0B4EAA0A"/>
    <w:rsid w:val="0B4F025B"/>
    <w:rsid w:val="0B4F1DDB"/>
    <w:rsid w:val="0B50E324"/>
    <w:rsid w:val="0B511173"/>
    <w:rsid w:val="0B51171E"/>
    <w:rsid w:val="0B516154"/>
    <w:rsid w:val="0B52AF8E"/>
    <w:rsid w:val="0B531703"/>
    <w:rsid w:val="0B53AF2F"/>
    <w:rsid w:val="0B540C38"/>
    <w:rsid w:val="0B54C8EC"/>
    <w:rsid w:val="0B55F276"/>
    <w:rsid w:val="0B55FA99"/>
    <w:rsid w:val="0B56237E"/>
    <w:rsid w:val="0B5827BD"/>
    <w:rsid w:val="0B583C9A"/>
    <w:rsid w:val="0B5895E6"/>
    <w:rsid w:val="0B592273"/>
    <w:rsid w:val="0B59412E"/>
    <w:rsid w:val="0B5A1656"/>
    <w:rsid w:val="0B5BA44B"/>
    <w:rsid w:val="0B5BCB2B"/>
    <w:rsid w:val="0B5C89C5"/>
    <w:rsid w:val="0B5CA52D"/>
    <w:rsid w:val="0B5CD5E9"/>
    <w:rsid w:val="0B5E0053"/>
    <w:rsid w:val="0B5E5076"/>
    <w:rsid w:val="0B5E8FB8"/>
    <w:rsid w:val="0B5F0BDD"/>
    <w:rsid w:val="0B607260"/>
    <w:rsid w:val="0B608C6F"/>
    <w:rsid w:val="0B611992"/>
    <w:rsid w:val="0B618916"/>
    <w:rsid w:val="0B648834"/>
    <w:rsid w:val="0B6549EA"/>
    <w:rsid w:val="0B663B8D"/>
    <w:rsid w:val="0B667C71"/>
    <w:rsid w:val="0B673228"/>
    <w:rsid w:val="0B675CCA"/>
    <w:rsid w:val="0B67A4BA"/>
    <w:rsid w:val="0B67BA24"/>
    <w:rsid w:val="0B685557"/>
    <w:rsid w:val="0B697F37"/>
    <w:rsid w:val="0B69DC76"/>
    <w:rsid w:val="0B6A2919"/>
    <w:rsid w:val="0B6B24B5"/>
    <w:rsid w:val="0B6C2913"/>
    <w:rsid w:val="0B6CD3E1"/>
    <w:rsid w:val="0B6D5DEA"/>
    <w:rsid w:val="0B6D797C"/>
    <w:rsid w:val="0B6F07ED"/>
    <w:rsid w:val="0B701C2D"/>
    <w:rsid w:val="0B7054FA"/>
    <w:rsid w:val="0B70ED17"/>
    <w:rsid w:val="0B732DA0"/>
    <w:rsid w:val="0B73479D"/>
    <w:rsid w:val="0B73BCD7"/>
    <w:rsid w:val="0B73C204"/>
    <w:rsid w:val="0B752965"/>
    <w:rsid w:val="0B75617D"/>
    <w:rsid w:val="0B7572DB"/>
    <w:rsid w:val="0B75FDB4"/>
    <w:rsid w:val="0B7638BF"/>
    <w:rsid w:val="0B766503"/>
    <w:rsid w:val="0B76F00A"/>
    <w:rsid w:val="0B770180"/>
    <w:rsid w:val="0B770AA9"/>
    <w:rsid w:val="0B775C56"/>
    <w:rsid w:val="0B7770D1"/>
    <w:rsid w:val="0B77AFB0"/>
    <w:rsid w:val="0B77EC52"/>
    <w:rsid w:val="0B7874B5"/>
    <w:rsid w:val="0B79AC9D"/>
    <w:rsid w:val="0B7AE11E"/>
    <w:rsid w:val="0B7AEC71"/>
    <w:rsid w:val="0B7BE332"/>
    <w:rsid w:val="0B7C1CA5"/>
    <w:rsid w:val="0B7CDA10"/>
    <w:rsid w:val="0B7D7BE8"/>
    <w:rsid w:val="0B7D8462"/>
    <w:rsid w:val="0B7D9001"/>
    <w:rsid w:val="0B7E468A"/>
    <w:rsid w:val="0B7E875A"/>
    <w:rsid w:val="0B7E93C0"/>
    <w:rsid w:val="0B7EBEDD"/>
    <w:rsid w:val="0B7EFC7B"/>
    <w:rsid w:val="0B7FA4E9"/>
    <w:rsid w:val="0B80CEEE"/>
    <w:rsid w:val="0B80EEB6"/>
    <w:rsid w:val="0B821AC7"/>
    <w:rsid w:val="0B82D55E"/>
    <w:rsid w:val="0B83968A"/>
    <w:rsid w:val="0B84911B"/>
    <w:rsid w:val="0B8526E4"/>
    <w:rsid w:val="0B854FAF"/>
    <w:rsid w:val="0B868E0E"/>
    <w:rsid w:val="0B872AE3"/>
    <w:rsid w:val="0B884512"/>
    <w:rsid w:val="0B894063"/>
    <w:rsid w:val="0B8942C0"/>
    <w:rsid w:val="0B89AD1C"/>
    <w:rsid w:val="0B89D6C1"/>
    <w:rsid w:val="0B8A2065"/>
    <w:rsid w:val="0B8AD3EF"/>
    <w:rsid w:val="0B8B824D"/>
    <w:rsid w:val="0B8CD4E4"/>
    <w:rsid w:val="0B8CEF7D"/>
    <w:rsid w:val="0B8D63B3"/>
    <w:rsid w:val="0B8E377E"/>
    <w:rsid w:val="0B8E8F61"/>
    <w:rsid w:val="0B8F64BB"/>
    <w:rsid w:val="0B906564"/>
    <w:rsid w:val="0B9066BD"/>
    <w:rsid w:val="0B9091C3"/>
    <w:rsid w:val="0B90B01B"/>
    <w:rsid w:val="0B90E309"/>
    <w:rsid w:val="0B90F966"/>
    <w:rsid w:val="0B91E7E6"/>
    <w:rsid w:val="0B921FF3"/>
    <w:rsid w:val="0B922497"/>
    <w:rsid w:val="0B92512F"/>
    <w:rsid w:val="0B9253FA"/>
    <w:rsid w:val="0B927126"/>
    <w:rsid w:val="0B92981F"/>
    <w:rsid w:val="0B92D072"/>
    <w:rsid w:val="0B93972A"/>
    <w:rsid w:val="0B94476B"/>
    <w:rsid w:val="0B94FBA0"/>
    <w:rsid w:val="0B968611"/>
    <w:rsid w:val="0B96F1AD"/>
    <w:rsid w:val="0B9861D9"/>
    <w:rsid w:val="0B99371D"/>
    <w:rsid w:val="0B9A2CCA"/>
    <w:rsid w:val="0B9C166E"/>
    <w:rsid w:val="0B9C3CBB"/>
    <w:rsid w:val="0B9D6CF0"/>
    <w:rsid w:val="0B9E2EEF"/>
    <w:rsid w:val="0B9E42CF"/>
    <w:rsid w:val="0BA0A0F9"/>
    <w:rsid w:val="0BA0EC37"/>
    <w:rsid w:val="0BA0FBB0"/>
    <w:rsid w:val="0BA161BF"/>
    <w:rsid w:val="0BA1AADE"/>
    <w:rsid w:val="0BA2BA02"/>
    <w:rsid w:val="0BA3028B"/>
    <w:rsid w:val="0BA30D01"/>
    <w:rsid w:val="0BA3A28E"/>
    <w:rsid w:val="0BA42166"/>
    <w:rsid w:val="0BA47B8C"/>
    <w:rsid w:val="0BA5291E"/>
    <w:rsid w:val="0BA66D7C"/>
    <w:rsid w:val="0BA6B297"/>
    <w:rsid w:val="0BA6B812"/>
    <w:rsid w:val="0BA6B9A2"/>
    <w:rsid w:val="0BA7210A"/>
    <w:rsid w:val="0BA752D3"/>
    <w:rsid w:val="0BA7559E"/>
    <w:rsid w:val="0BA7A9B8"/>
    <w:rsid w:val="0BA8386C"/>
    <w:rsid w:val="0BA8642C"/>
    <w:rsid w:val="0BA88B0A"/>
    <w:rsid w:val="0BA89BAC"/>
    <w:rsid w:val="0BA89E9F"/>
    <w:rsid w:val="0BAA4636"/>
    <w:rsid w:val="0BAB1400"/>
    <w:rsid w:val="0BAC7728"/>
    <w:rsid w:val="0BAE0C52"/>
    <w:rsid w:val="0BAE30CE"/>
    <w:rsid w:val="0BAF6144"/>
    <w:rsid w:val="0BAFA09D"/>
    <w:rsid w:val="0BB1209B"/>
    <w:rsid w:val="0BB37645"/>
    <w:rsid w:val="0BB3F6D2"/>
    <w:rsid w:val="0BB48987"/>
    <w:rsid w:val="0BB4A65E"/>
    <w:rsid w:val="0BB4BA14"/>
    <w:rsid w:val="0BB528CD"/>
    <w:rsid w:val="0BB5C6A7"/>
    <w:rsid w:val="0BB609F7"/>
    <w:rsid w:val="0BB68CE1"/>
    <w:rsid w:val="0BB74B96"/>
    <w:rsid w:val="0BB7CB8E"/>
    <w:rsid w:val="0BB86DE8"/>
    <w:rsid w:val="0BB8B102"/>
    <w:rsid w:val="0BB93DA5"/>
    <w:rsid w:val="0BB9F0A1"/>
    <w:rsid w:val="0BBAE3EC"/>
    <w:rsid w:val="0BBB75AE"/>
    <w:rsid w:val="0BBD1703"/>
    <w:rsid w:val="0BBDA0BF"/>
    <w:rsid w:val="0BBE0F9D"/>
    <w:rsid w:val="0BBE7C02"/>
    <w:rsid w:val="0BBEC7BD"/>
    <w:rsid w:val="0BBECB79"/>
    <w:rsid w:val="0BBF0BCA"/>
    <w:rsid w:val="0BC0855B"/>
    <w:rsid w:val="0BC1285E"/>
    <w:rsid w:val="0BC1F6DA"/>
    <w:rsid w:val="0BC28E63"/>
    <w:rsid w:val="0BC465A1"/>
    <w:rsid w:val="0BC564BD"/>
    <w:rsid w:val="0BC6A0E0"/>
    <w:rsid w:val="0BC6DC2C"/>
    <w:rsid w:val="0BC6F794"/>
    <w:rsid w:val="0BC70DE4"/>
    <w:rsid w:val="0BC73F1C"/>
    <w:rsid w:val="0BC7BA71"/>
    <w:rsid w:val="0BC7E0A6"/>
    <w:rsid w:val="0BC834EA"/>
    <w:rsid w:val="0BC8CED9"/>
    <w:rsid w:val="0BC8FB14"/>
    <w:rsid w:val="0BC98716"/>
    <w:rsid w:val="0BC9BF59"/>
    <w:rsid w:val="0BC9ED0D"/>
    <w:rsid w:val="0BCABE5F"/>
    <w:rsid w:val="0BCB8DF6"/>
    <w:rsid w:val="0BCB9123"/>
    <w:rsid w:val="0BCC8684"/>
    <w:rsid w:val="0BCC9134"/>
    <w:rsid w:val="0BCE622B"/>
    <w:rsid w:val="0BCE9B08"/>
    <w:rsid w:val="0BCF18FC"/>
    <w:rsid w:val="0BCF1940"/>
    <w:rsid w:val="0BCF1A48"/>
    <w:rsid w:val="0BCF3848"/>
    <w:rsid w:val="0BCF95A6"/>
    <w:rsid w:val="0BCFB25A"/>
    <w:rsid w:val="0BCFC0DF"/>
    <w:rsid w:val="0BD06D64"/>
    <w:rsid w:val="0BD070B0"/>
    <w:rsid w:val="0BD1EC7A"/>
    <w:rsid w:val="0BD2D993"/>
    <w:rsid w:val="0BD3016B"/>
    <w:rsid w:val="0BD47526"/>
    <w:rsid w:val="0BD59C87"/>
    <w:rsid w:val="0BD5D657"/>
    <w:rsid w:val="0BD686AA"/>
    <w:rsid w:val="0BD6E828"/>
    <w:rsid w:val="0BD8C032"/>
    <w:rsid w:val="0BD944F7"/>
    <w:rsid w:val="0BDA96F4"/>
    <w:rsid w:val="0BDBFE94"/>
    <w:rsid w:val="0BDDB37A"/>
    <w:rsid w:val="0BDDEFEE"/>
    <w:rsid w:val="0BDE12C7"/>
    <w:rsid w:val="0BDEEBBA"/>
    <w:rsid w:val="0BDF69F1"/>
    <w:rsid w:val="0BDF92C2"/>
    <w:rsid w:val="0BDF9495"/>
    <w:rsid w:val="0BDFB1F4"/>
    <w:rsid w:val="0BDFB5DF"/>
    <w:rsid w:val="0BE09F80"/>
    <w:rsid w:val="0BE175BD"/>
    <w:rsid w:val="0BE3AF70"/>
    <w:rsid w:val="0BE3D17F"/>
    <w:rsid w:val="0BE44E97"/>
    <w:rsid w:val="0BE5155C"/>
    <w:rsid w:val="0BE60A5A"/>
    <w:rsid w:val="0BE6672F"/>
    <w:rsid w:val="0BE78505"/>
    <w:rsid w:val="0BE7DCE0"/>
    <w:rsid w:val="0BE7F010"/>
    <w:rsid w:val="0BE96C61"/>
    <w:rsid w:val="0BE9D96A"/>
    <w:rsid w:val="0BEA2952"/>
    <w:rsid w:val="0BEC70F0"/>
    <w:rsid w:val="0BED997A"/>
    <w:rsid w:val="0BEED149"/>
    <w:rsid w:val="0BEF2E85"/>
    <w:rsid w:val="0BEFAEFA"/>
    <w:rsid w:val="0BF12F52"/>
    <w:rsid w:val="0BF25034"/>
    <w:rsid w:val="0BF31984"/>
    <w:rsid w:val="0BF349AE"/>
    <w:rsid w:val="0BF3604A"/>
    <w:rsid w:val="0BF38736"/>
    <w:rsid w:val="0BF41FEB"/>
    <w:rsid w:val="0BF42B4A"/>
    <w:rsid w:val="0BF42FFE"/>
    <w:rsid w:val="0BF44C5A"/>
    <w:rsid w:val="0BF466D2"/>
    <w:rsid w:val="0BF60DF6"/>
    <w:rsid w:val="0BF68FC7"/>
    <w:rsid w:val="0BF7CE25"/>
    <w:rsid w:val="0BF7E7C2"/>
    <w:rsid w:val="0BF7EE49"/>
    <w:rsid w:val="0BF9EC81"/>
    <w:rsid w:val="0BFAE2CE"/>
    <w:rsid w:val="0BFB3E6F"/>
    <w:rsid w:val="0BFB47C2"/>
    <w:rsid w:val="0BFB632C"/>
    <w:rsid w:val="0BFB8931"/>
    <w:rsid w:val="0BFBF205"/>
    <w:rsid w:val="0BFCC24F"/>
    <w:rsid w:val="0BFD7595"/>
    <w:rsid w:val="0BFDB340"/>
    <w:rsid w:val="0BFECA3C"/>
    <w:rsid w:val="0BFF339D"/>
    <w:rsid w:val="0BFF5DAD"/>
    <w:rsid w:val="0BFF6601"/>
    <w:rsid w:val="0C000037"/>
    <w:rsid w:val="0C00DFD3"/>
    <w:rsid w:val="0C01091B"/>
    <w:rsid w:val="0C01365F"/>
    <w:rsid w:val="0C01543C"/>
    <w:rsid w:val="0C016E91"/>
    <w:rsid w:val="0C019581"/>
    <w:rsid w:val="0C024E85"/>
    <w:rsid w:val="0C033482"/>
    <w:rsid w:val="0C034B86"/>
    <w:rsid w:val="0C04A5FE"/>
    <w:rsid w:val="0C052E68"/>
    <w:rsid w:val="0C05D9E8"/>
    <w:rsid w:val="0C064C3B"/>
    <w:rsid w:val="0C06DA13"/>
    <w:rsid w:val="0C06F52E"/>
    <w:rsid w:val="0C07EC6C"/>
    <w:rsid w:val="0C0849EC"/>
    <w:rsid w:val="0C085635"/>
    <w:rsid w:val="0C086070"/>
    <w:rsid w:val="0C090CE9"/>
    <w:rsid w:val="0C099F01"/>
    <w:rsid w:val="0C0B1EEB"/>
    <w:rsid w:val="0C0B211D"/>
    <w:rsid w:val="0C0BBDA0"/>
    <w:rsid w:val="0C0BF9B6"/>
    <w:rsid w:val="0C0BFEED"/>
    <w:rsid w:val="0C0D1C48"/>
    <w:rsid w:val="0C0DCE9E"/>
    <w:rsid w:val="0C0E4950"/>
    <w:rsid w:val="0C0F5A10"/>
    <w:rsid w:val="0C100A32"/>
    <w:rsid w:val="0C101D3E"/>
    <w:rsid w:val="0C103C2C"/>
    <w:rsid w:val="0C10AD56"/>
    <w:rsid w:val="0C111A93"/>
    <w:rsid w:val="0C11557F"/>
    <w:rsid w:val="0C1166B5"/>
    <w:rsid w:val="0C117EE6"/>
    <w:rsid w:val="0C122D4B"/>
    <w:rsid w:val="0C14D949"/>
    <w:rsid w:val="0C1625BB"/>
    <w:rsid w:val="0C16688E"/>
    <w:rsid w:val="0C16AF2F"/>
    <w:rsid w:val="0C16B5CF"/>
    <w:rsid w:val="0C16D086"/>
    <w:rsid w:val="0C16D298"/>
    <w:rsid w:val="0C16FFDD"/>
    <w:rsid w:val="0C1702C1"/>
    <w:rsid w:val="0C1787E2"/>
    <w:rsid w:val="0C17A95D"/>
    <w:rsid w:val="0C17B2FA"/>
    <w:rsid w:val="0C17FE22"/>
    <w:rsid w:val="0C185CC0"/>
    <w:rsid w:val="0C18609F"/>
    <w:rsid w:val="0C18CCB7"/>
    <w:rsid w:val="0C1932B8"/>
    <w:rsid w:val="0C193FFE"/>
    <w:rsid w:val="0C1A1D77"/>
    <w:rsid w:val="0C1A9648"/>
    <w:rsid w:val="0C1B0EE5"/>
    <w:rsid w:val="0C1BA13C"/>
    <w:rsid w:val="0C1BDAA9"/>
    <w:rsid w:val="0C1BE2D9"/>
    <w:rsid w:val="0C1D51FF"/>
    <w:rsid w:val="0C1D60E5"/>
    <w:rsid w:val="0C1E4A0F"/>
    <w:rsid w:val="0C1E7B2B"/>
    <w:rsid w:val="0C1F8D7C"/>
    <w:rsid w:val="0C200D0D"/>
    <w:rsid w:val="0C20159B"/>
    <w:rsid w:val="0C20A474"/>
    <w:rsid w:val="0C20B298"/>
    <w:rsid w:val="0C20CAD8"/>
    <w:rsid w:val="0C214A10"/>
    <w:rsid w:val="0C216DE4"/>
    <w:rsid w:val="0C21F650"/>
    <w:rsid w:val="0C2203E3"/>
    <w:rsid w:val="0C22115A"/>
    <w:rsid w:val="0C225C2F"/>
    <w:rsid w:val="0C22E59B"/>
    <w:rsid w:val="0C23A873"/>
    <w:rsid w:val="0C243EF2"/>
    <w:rsid w:val="0C2466BD"/>
    <w:rsid w:val="0C250405"/>
    <w:rsid w:val="0C251A10"/>
    <w:rsid w:val="0C251B8E"/>
    <w:rsid w:val="0C255FED"/>
    <w:rsid w:val="0C257E45"/>
    <w:rsid w:val="0C25DCB5"/>
    <w:rsid w:val="0C26543B"/>
    <w:rsid w:val="0C2660A0"/>
    <w:rsid w:val="0C28A146"/>
    <w:rsid w:val="0C296D92"/>
    <w:rsid w:val="0C299648"/>
    <w:rsid w:val="0C2A9D24"/>
    <w:rsid w:val="0C2B6709"/>
    <w:rsid w:val="0C2B6B49"/>
    <w:rsid w:val="0C2B7FEE"/>
    <w:rsid w:val="0C2DB7E6"/>
    <w:rsid w:val="0C2DD9E9"/>
    <w:rsid w:val="0C2DE5FF"/>
    <w:rsid w:val="0C2F2EE5"/>
    <w:rsid w:val="0C30610D"/>
    <w:rsid w:val="0C3141E7"/>
    <w:rsid w:val="0C31B5FF"/>
    <w:rsid w:val="0C329EE3"/>
    <w:rsid w:val="0C32D012"/>
    <w:rsid w:val="0C3300B9"/>
    <w:rsid w:val="0C3367B4"/>
    <w:rsid w:val="0C34825D"/>
    <w:rsid w:val="0C348578"/>
    <w:rsid w:val="0C34B638"/>
    <w:rsid w:val="0C352329"/>
    <w:rsid w:val="0C373869"/>
    <w:rsid w:val="0C384289"/>
    <w:rsid w:val="0C388B60"/>
    <w:rsid w:val="0C389A3A"/>
    <w:rsid w:val="0C38AD15"/>
    <w:rsid w:val="0C38BA32"/>
    <w:rsid w:val="0C39457F"/>
    <w:rsid w:val="0C39727C"/>
    <w:rsid w:val="0C39F0CE"/>
    <w:rsid w:val="0C3A1D2B"/>
    <w:rsid w:val="0C3A6C8F"/>
    <w:rsid w:val="0C3A8345"/>
    <w:rsid w:val="0C3A8F37"/>
    <w:rsid w:val="0C3ADB15"/>
    <w:rsid w:val="0C3ADE33"/>
    <w:rsid w:val="0C3B9E84"/>
    <w:rsid w:val="0C3CB117"/>
    <w:rsid w:val="0C3E04CC"/>
    <w:rsid w:val="0C3FBB74"/>
    <w:rsid w:val="0C400375"/>
    <w:rsid w:val="0C404ECD"/>
    <w:rsid w:val="0C4108D3"/>
    <w:rsid w:val="0C411A0A"/>
    <w:rsid w:val="0C415C51"/>
    <w:rsid w:val="0C42D87D"/>
    <w:rsid w:val="0C44A813"/>
    <w:rsid w:val="0C44A97D"/>
    <w:rsid w:val="0C45826F"/>
    <w:rsid w:val="0C45D9B6"/>
    <w:rsid w:val="0C469A15"/>
    <w:rsid w:val="0C47D149"/>
    <w:rsid w:val="0C4811E9"/>
    <w:rsid w:val="0C4847D4"/>
    <w:rsid w:val="0C4A8B75"/>
    <w:rsid w:val="0C4B0970"/>
    <w:rsid w:val="0C4B741D"/>
    <w:rsid w:val="0C4C205C"/>
    <w:rsid w:val="0C4CF356"/>
    <w:rsid w:val="0C4D696B"/>
    <w:rsid w:val="0C4E1C91"/>
    <w:rsid w:val="0C4E7193"/>
    <w:rsid w:val="0C4EAC0F"/>
    <w:rsid w:val="0C4EC58E"/>
    <w:rsid w:val="0C4F2CE1"/>
    <w:rsid w:val="0C4FC4FE"/>
    <w:rsid w:val="0C505F41"/>
    <w:rsid w:val="0C506BBC"/>
    <w:rsid w:val="0C507980"/>
    <w:rsid w:val="0C51B915"/>
    <w:rsid w:val="0C5209AB"/>
    <w:rsid w:val="0C52B7E2"/>
    <w:rsid w:val="0C54FE05"/>
    <w:rsid w:val="0C560568"/>
    <w:rsid w:val="0C57293B"/>
    <w:rsid w:val="0C57FC67"/>
    <w:rsid w:val="0C584020"/>
    <w:rsid w:val="0C58CFBA"/>
    <w:rsid w:val="0C594CD4"/>
    <w:rsid w:val="0C5AC86D"/>
    <w:rsid w:val="0C5C7821"/>
    <w:rsid w:val="0C5E013A"/>
    <w:rsid w:val="0C5E0536"/>
    <w:rsid w:val="0C5E53BC"/>
    <w:rsid w:val="0C6026D7"/>
    <w:rsid w:val="0C61E423"/>
    <w:rsid w:val="0C61FB12"/>
    <w:rsid w:val="0C620ADE"/>
    <w:rsid w:val="0C629ADE"/>
    <w:rsid w:val="0C62CE3B"/>
    <w:rsid w:val="0C62D59C"/>
    <w:rsid w:val="0C62E6FC"/>
    <w:rsid w:val="0C6340F6"/>
    <w:rsid w:val="0C658643"/>
    <w:rsid w:val="0C6611A4"/>
    <w:rsid w:val="0C666EC5"/>
    <w:rsid w:val="0C66A9E9"/>
    <w:rsid w:val="0C67784B"/>
    <w:rsid w:val="0C689E1B"/>
    <w:rsid w:val="0C698A71"/>
    <w:rsid w:val="0C6A3E65"/>
    <w:rsid w:val="0C6B5041"/>
    <w:rsid w:val="0C6BA513"/>
    <w:rsid w:val="0C6C6A94"/>
    <w:rsid w:val="0C6C786A"/>
    <w:rsid w:val="0C6D20F5"/>
    <w:rsid w:val="0C6DBE36"/>
    <w:rsid w:val="0C6DD58A"/>
    <w:rsid w:val="0C6DD8BD"/>
    <w:rsid w:val="0C6DF1B9"/>
    <w:rsid w:val="0C6E2CC1"/>
    <w:rsid w:val="0C6F61F1"/>
    <w:rsid w:val="0C6FE4B6"/>
    <w:rsid w:val="0C7215C5"/>
    <w:rsid w:val="0C7240D1"/>
    <w:rsid w:val="0C72458A"/>
    <w:rsid w:val="0C72487D"/>
    <w:rsid w:val="0C7268D3"/>
    <w:rsid w:val="0C727EE2"/>
    <w:rsid w:val="0C73FA39"/>
    <w:rsid w:val="0C74763A"/>
    <w:rsid w:val="0C7528B8"/>
    <w:rsid w:val="0C75726A"/>
    <w:rsid w:val="0C75B921"/>
    <w:rsid w:val="0C75DCF1"/>
    <w:rsid w:val="0C766965"/>
    <w:rsid w:val="0C77282B"/>
    <w:rsid w:val="0C78189F"/>
    <w:rsid w:val="0C78631F"/>
    <w:rsid w:val="0C7978A8"/>
    <w:rsid w:val="0C79A742"/>
    <w:rsid w:val="0C7A97BA"/>
    <w:rsid w:val="0C7AED63"/>
    <w:rsid w:val="0C7BCD5A"/>
    <w:rsid w:val="0C7C0B56"/>
    <w:rsid w:val="0C7DF65D"/>
    <w:rsid w:val="0C7F0F1B"/>
    <w:rsid w:val="0C7FFF6A"/>
    <w:rsid w:val="0C802A87"/>
    <w:rsid w:val="0C80CB66"/>
    <w:rsid w:val="0C80F488"/>
    <w:rsid w:val="0C82E2FC"/>
    <w:rsid w:val="0C82F4DF"/>
    <w:rsid w:val="0C83948E"/>
    <w:rsid w:val="0C84549C"/>
    <w:rsid w:val="0C846C23"/>
    <w:rsid w:val="0C84BAD4"/>
    <w:rsid w:val="0C84E9C5"/>
    <w:rsid w:val="0C856658"/>
    <w:rsid w:val="0C85B650"/>
    <w:rsid w:val="0C862575"/>
    <w:rsid w:val="0C86D74C"/>
    <w:rsid w:val="0C87D4AF"/>
    <w:rsid w:val="0C87EDD9"/>
    <w:rsid w:val="0C883D4A"/>
    <w:rsid w:val="0C8879EA"/>
    <w:rsid w:val="0C88D197"/>
    <w:rsid w:val="0C8970AE"/>
    <w:rsid w:val="0C899031"/>
    <w:rsid w:val="0C8A20FD"/>
    <w:rsid w:val="0C8BA2BB"/>
    <w:rsid w:val="0C8CB785"/>
    <w:rsid w:val="0C8D2C1B"/>
    <w:rsid w:val="0C8EAE09"/>
    <w:rsid w:val="0C8F3DFE"/>
    <w:rsid w:val="0C8FD34B"/>
    <w:rsid w:val="0C909CB1"/>
    <w:rsid w:val="0C912386"/>
    <w:rsid w:val="0C915369"/>
    <w:rsid w:val="0C9262AE"/>
    <w:rsid w:val="0C9264FD"/>
    <w:rsid w:val="0C928D8D"/>
    <w:rsid w:val="0C933915"/>
    <w:rsid w:val="0C936D8F"/>
    <w:rsid w:val="0C93E88D"/>
    <w:rsid w:val="0C94DFB7"/>
    <w:rsid w:val="0C9500E5"/>
    <w:rsid w:val="0C952C99"/>
    <w:rsid w:val="0C964208"/>
    <w:rsid w:val="0C967BBF"/>
    <w:rsid w:val="0C9681F7"/>
    <w:rsid w:val="0C97410E"/>
    <w:rsid w:val="0C974B88"/>
    <w:rsid w:val="0C97E1D4"/>
    <w:rsid w:val="0C97EC69"/>
    <w:rsid w:val="0C996F71"/>
    <w:rsid w:val="0C99B0DF"/>
    <w:rsid w:val="0C99B783"/>
    <w:rsid w:val="0C9C119E"/>
    <w:rsid w:val="0C9C2CCF"/>
    <w:rsid w:val="0C9C4E25"/>
    <w:rsid w:val="0C9C4E7C"/>
    <w:rsid w:val="0C9C52BB"/>
    <w:rsid w:val="0C9C9D43"/>
    <w:rsid w:val="0C9CEA47"/>
    <w:rsid w:val="0C9D938A"/>
    <w:rsid w:val="0C9DFABA"/>
    <w:rsid w:val="0C9FDC75"/>
    <w:rsid w:val="0CA02CFD"/>
    <w:rsid w:val="0CA07F67"/>
    <w:rsid w:val="0CA08D96"/>
    <w:rsid w:val="0CA0D621"/>
    <w:rsid w:val="0CA0DF5C"/>
    <w:rsid w:val="0CA0E35B"/>
    <w:rsid w:val="0CA15589"/>
    <w:rsid w:val="0CA2E38E"/>
    <w:rsid w:val="0CA2F06B"/>
    <w:rsid w:val="0CA30F6D"/>
    <w:rsid w:val="0CA38CD2"/>
    <w:rsid w:val="0CA7768A"/>
    <w:rsid w:val="0CA77CEC"/>
    <w:rsid w:val="0CA78B56"/>
    <w:rsid w:val="0CA86693"/>
    <w:rsid w:val="0CA907A7"/>
    <w:rsid w:val="0CA95ECB"/>
    <w:rsid w:val="0CA9BCA6"/>
    <w:rsid w:val="0CAA756A"/>
    <w:rsid w:val="0CABC7DA"/>
    <w:rsid w:val="0CABD08C"/>
    <w:rsid w:val="0CADE6BF"/>
    <w:rsid w:val="0CAE43BF"/>
    <w:rsid w:val="0CAE4719"/>
    <w:rsid w:val="0CAF3E0A"/>
    <w:rsid w:val="0CAF81B0"/>
    <w:rsid w:val="0CAFA4B0"/>
    <w:rsid w:val="0CB01FC1"/>
    <w:rsid w:val="0CB02096"/>
    <w:rsid w:val="0CB0539C"/>
    <w:rsid w:val="0CB15818"/>
    <w:rsid w:val="0CB1862F"/>
    <w:rsid w:val="0CB1BFCC"/>
    <w:rsid w:val="0CB3DC2A"/>
    <w:rsid w:val="0CB40FAF"/>
    <w:rsid w:val="0CB4DD0B"/>
    <w:rsid w:val="0CB501A9"/>
    <w:rsid w:val="0CB550CD"/>
    <w:rsid w:val="0CB57E26"/>
    <w:rsid w:val="0CB59866"/>
    <w:rsid w:val="0CB5AD47"/>
    <w:rsid w:val="0CB5CB6C"/>
    <w:rsid w:val="0CB70BF8"/>
    <w:rsid w:val="0CB79CEC"/>
    <w:rsid w:val="0CB81252"/>
    <w:rsid w:val="0CB91BAA"/>
    <w:rsid w:val="0CB95E63"/>
    <w:rsid w:val="0CBA17B4"/>
    <w:rsid w:val="0CBA6588"/>
    <w:rsid w:val="0CBABDCC"/>
    <w:rsid w:val="0CBAE6FE"/>
    <w:rsid w:val="0CBAF414"/>
    <w:rsid w:val="0CBB7743"/>
    <w:rsid w:val="0CBB80CA"/>
    <w:rsid w:val="0CBBEA14"/>
    <w:rsid w:val="0CBC0BB4"/>
    <w:rsid w:val="0CBCA3CD"/>
    <w:rsid w:val="0CBCF473"/>
    <w:rsid w:val="0CBDC2FE"/>
    <w:rsid w:val="0CBEF60B"/>
    <w:rsid w:val="0CBF2D6D"/>
    <w:rsid w:val="0CBF8C8B"/>
    <w:rsid w:val="0CC04165"/>
    <w:rsid w:val="0CC137AB"/>
    <w:rsid w:val="0CC16C15"/>
    <w:rsid w:val="0CC1C9A5"/>
    <w:rsid w:val="0CC1E5CC"/>
    <w:rsid w:val="0CC26B8D"/>
    <w:rsid w:val="0CC40A06"/>
    <w:rsid w:val="0CC5608E"/>
    <w:rsid w:val="0CC5C694"/>
    <w:rsid w:val="0CC640B1"/>
    <w:rsid w:val="0CC88532"/>
    <w:rsid w:val="0CCAE51B"/>
    <w:rsid w:val="0CCB1CF6"/>
    <w:rsid w:val="0CCBCEF1"/>
    <w:rsid w:val="0CCC3A33"/>
    <w:rsid w:val="0CCCBAE2"/>
    <w:rsid w:val="0CCCC6B8"/>
    <w:rsid w:val="0CCCE006"/>
    <w:rsid w:val="0CCD8B55"/>
    <w:rsid w:val="0CCE6FAC"/>
    <w:rsid w:val="0CCEB785"/>
    <w:rsid w:val="0CCEE99B"/>
    <w:rsid w:val="0CD0ACDE"/>
    <w:rsid w:val="0CD0FFCC"/>
    <w:rsid w:val="0CD1200C"/>
    <w:rsid w:val="0CD198BE"/>
    <w:rsid w:val="0CD2C522"/>
    <w:rsid w:val="0CD3075E"/>
    <w:rsid w:val="0CD3BFE9"/>
    <w:rsid w:val="0CD42248"/>
    <w:rsid w:val="0CD42F23"/>
    <w:rsid w:val="0CD445F3"/>
    <w:rsid w:val="0CD4F3E6"/>
    <w:rsid w:val="0CD577BE"/>
    <w:rsid w:val="0CD65B12"/>
    <w:rsid w:val="0CD6CAEF"/>
    <w:rsid w:val="0CD76025"/>
    <w:rsid w:val="0CD7835C"/>
    <w:rsid w:val="0CD78B08"/>
    <w:rsid w:val="0CD7D85A"/>
    <w:rsid w:val="0CD8E46F"/>
    <w:rsid w:val="0CD93363"/>
    <w:rsid w:val="0CD98340"/>
    <w:rsid w:val="0CDB768C"/>
    <w:rsid w:val="0CDBC8E5"/>
    <w:rsid w:val="0CDC4E0F"/>
    <w:rsid w:val="0CDD5B5A"/>
    <w:rsid w:val="0CDE247E"/>
    <w:rsid w:val="0CDE83F6"/>
    <w:rsid w:val="0CDE9B49"/>
    <w:rsid w:val="0CE07E4F"/>
    <w:rsid w:val="0CE0FCC8"/>
    <w:rsid w:val="0CE20ECE"/>
    <w:rsid w:val="0CE277C8"/>
    <w:rsid w:val="0CE2EA77"/>
    <w:rsid w:val="0CE2EAAB"/>
    <w:rsid w:val="0CE331F3"/>
    <w:rsid w:val="0CE41749"/>
    <w:rsid w:val="0CE42015"/>
    <w:rsid w:val="0CE4246E"/>
    <w:rsid w:val="0CE54CDB"/>
    <w:rsid w:val="0CE5AB25"/>
    <w:rsid w:val="0CE63D52"/>
    <w:rsid w:val="0CE756E8"/>
    <w:rsid w:val="0CE75F77"/>
    <w:rsid w:val="0CE76D3F"/>
    <w:rsid w:val="0CE7B595"/>
    <w:rsid w:val="0CE85812"/>
    <w:rsid w:val="0CE885BE"/>
    <w:rsid w:val="0CEA12CC"/>
    <w:rsid w:val="0CEA4406"/>
    <w:rsid w:val="0CEB91FD"/>
    <w:rsid w:val="0CEC6F3E"/>
    <w:rsid w:val="0CECD711"/>
    <w:rsid w:val="0CEE3AE5"/>
    <w:rsid w:val="0CEE6A78"/>
    <w:rsid w:val="0CEE8BC0"/>
    <w:rsid w:val="0CEF2D53"/>
    <w:rsid w:val="0CEF9DB1"/>
    <w:rsid w:val="0CF07427"/>
    <w:rsid w:val="0CF10C44"/>
    <w:rsid w:val="0CF10FF6"/>
    <w:rsid w:val="0CF40E70"/>
    <w:rsid w:val="0CF51B0C"/>
    <w:rsid w:val="0CF55BCD"/>
    <w:rsid w:val="0CF59322"/>
    <w:rsid w:val="0CF65C22"/>
    <w:rsid w:val="0CF71252"/>
    <w:rsid w:val="0CF72256"/>
    <w:rsid w:val="0CF7833D"/>
    <w:rsid w:val="0CF7C66A"/>
    <w:rsid w:val="0CF7FD06"/>
    <w:rsid w:val="0CF8E869"/>
    <w:rsid w:val="0CF90F0E"/>
    <w:rsid w:val="0CF97C12"/>
    <w:rsid w:val="0CFB0C10"/>
    <w:rsid w:val="0CFBD623"/>
    <w:rsid w:val="0CFC29A9"/>
    <w:rsid w:val="0CFC31BD"/>
    <w:rsid w:val="0CFD2C65"/>
    <w:rsid w:val="0CFE2E74"/>
    <w:rsid w:val="0CFEC2FA"/>
    <w:rsid w:val="0CFF09AA"/>
    <w:rsid w:val="0CFF7FE8"/>
    <w:rsid w:val="0D009AC9"/>
    <w:rsid w:val="0D02C9B4"/>
    <w:rsid w:val="0D02DEC2"/>
    <w:rsid w:val="0D02E4EC"/>
    <w:rsid w:val="0D02F8D2"/>
    <w:rsid w:val="0D04775E"/>
    <w:rsid w:val="0D06D7CB"/>
    <w:rsid w:val="0D07266E"/>
    <w:rsid w:val="0D077247"/>
    <w:rsid w:val="0D07B64C"/>
    <w:rsid w:val="0D08B260"/>
    <w:rsid w:val="0D0A27D7"/>
    <w:rsid w:val="0D0A3153"/>
    <w:rsid w:val="0D0A6777"/>
    <w:rsid w:val="0D0A813C"/>
    <w:rsid w:val="0D0B90D1"/>
    <w:rsid w:val="0D0BD060"/>
    <w:rsid w:val="0D0E0D41"/>
    <w:rsid w:val="0D0F4DFF"/>
    <w:rsid w:val="0D0FB6B7"/>
    <w:rsid w:val="0D1055B6"/>
    <w:rsid w:val="0D10C58E"/>
    <w:rsid w:val="0D10F284"/>
    <w:rsid w:val="0D1217AB"/>
    <w:rsid w:val="0D12194C"/>
    <w:rsid w:val="0D121E4E"/>
    <w:rsid w:val="0D126356"/>
    <w:rsid w:val="0D1379C6"/>
    <w:rsid w:val="0D15BC57"/>
    <w:rsid w:val="0D1630E5"/>
    <w:rsid w:val="0D163201"/>
    <w:rsid w:val="0D169710"/>
    <w:rsid w:val="0D175BD6"/>
    <w:rsid w:val="0D17799D"/>
    <w:rsid w:val="0D180A28"/>
    <w:rsid w:val="0D18B54A"/>
    <w:rsid w:val="0D195845"/>
    <w:rsid w:val="0D19B3FE"/>
    <w:rsid w:val="0D19B4B7"/>
    <w:rsid w:val="0D19C04B"/>
    <w:rsid w:val="0D1B04A7"/>
    <w:rsid w:val="0D1B0A03"/>
    <w:rsid w:val="0D1B7DBD"/>
    <w:rsid w:val="0D1BF8FA"/>
    <w:rsid w:val="0D1C3FFB"/>
    <w:rsid w:val="0D1C62CE"/>
    <w:rsid w:val="0D1C8739"/>
    <w:rsid w:val="0D1CA45F"/>
    <w:rsid w:val="0D1DEC9A"/>
    <w:rsid w:val="0D1DF706"/>
    <w:rsid w:val="0D1F8904"/>
    <w:rsid w:val="0D20167B"/>
    <w:rsid w:val="0D2018B7"/>
    <w:rsid w:val="0D203E26"/>
    <w:rsid w:val="0D207087"/>
    <w:rsid w:val="0D209084"/>
    <w:rsid w:val="0D2094DE"/>
    <w:rsid w:val="0D213F34"/>
    <w:rsid w:val="0D226E60"/>
    <w:rsid w:val="0D22FA1E"/>
    <w:rsid w:val="0D231889"/>
    <w:rsid w:val="0D24A5E8"/>
    <w:rsid w:val="0D24C216"/>
    <w:rsid w:val="0D251A52"/>
    <w:rsid w:val="0D26FF0C"/>
    <w:rsid w:val="0D2743F4"/>
    <w:rsid w:val="0D274D21"/>
    <w:rsid w:val="0D2840A4"/>
    <w:rsid w:val="0D28A85F"/>
    <w:rsid w:val="0D28EE74"/>
    <w:rsid w:val="0D29B3DE"/>
    <w:rsid w:val="0D29C862"/>
    <w:rsid w:val="0D2B9AE9"/>
    <w:rsid w:val="0D2BAE0D"/>
    <w:rsid w:val="0D2BD4BF"/>
    <w:rsid w:val="0D2BD665"/>
    <w:rsid w:val="0D2C1126"/>
    <w:rsid w:val="0D2ED93E"/>
    <w:rsid w:val="0D301EB4"/>
    <w:rsid w:val="0D306DE8"/>
    <w:rsid w:val="0D3092CB"/>
    <w:rsid w:val="0D30DD57"/>
    <w:rsid w:val="0D311F21"/>
    <w:rsid w:val="0D317544"/>
    <w:rsid w:val="0D322358"/>
    <w:rsid w:val="0D3398E3"/>
    <w:rsid w:val="0D34645B"/>
    <w:rsid w:val="0D3573F3"/>
    <w:rsid w:val="0D35E6F7"/>
    <w:rsid w:val="0D364106"/>
    <w:rsid w:val="0D36BEC8"/>
    <w:rsid w:val="0D3807B0"/>
    <w:rsid w:val="0D3A5405"/>
    <w:rsid w:val="0D3B672B"/>
    <w:rsid w:val="0D3C6950"/>
    <w:rsid w:val="0D3CE7F2"/>
    <w:rsid w:val="0D3D46B9"/>
    <w:rsid w:val="0D3D530D"/>
    <w:rsid w:val="0D3D5E0B"/>
    <w:rsid w:val="0D3D6E59"/>
    <w:rsid w:val="0D3E6ECB"/>
    <w:rsid w:val="0D41AA98"/>
    <w:rsid w:val="0D420920"/>
    <w:rsid w:val="0D42F81F"/>
    <w:rsid w:val="0D442FB4"/>
    <w:rsid w:val="0D454F03"/>
    <w:rsid w:val="0D45D3ED"/>
    <w:rsid w:val="0D45E758"/>
    <w:rsid w:val="0D45ED38"/>
    <w:rsid w:val="0D45F2DE"/>
    <w:rsid w:val="0D46C0B4"/>
    <w:rsid w:val="0D472A1B"/>
    <w:rsid w:val="0D47ED45"/>
    <w:rsid w:val="0D480728"/>
    <w:rsid w:val="0D4832CE"/>
    <w:rsid w:val="0D487DE2"/>
    <w:rsid w:val="0D48CCB2"/>
    <w:rsid w:val="0D4941C6"/>
    <w:rsid w:val="0D49A928"/>
    <w:rsid w:val="0D4A153E"/>
    <w:rsid w:val="0D4AF5E9"/>
    <w:rsid w:val="0D4B1D6C"/>
    <w:rsid w:val="0D4C3007"/>
    <w:rsid w:val="0D4C6E8D"/>
    <w:rsid w:val="0D4CBA60"/>
    <w:rsid w:val="0D4E1F00"/>
    <w:rsid w:val="0D4F5A46"/>
    <w:rsid w:val="0D4FAD9C"/>
    <w:rsid w:val="0D51DEB5"/>
    <w:rsid w:val="0D521D81"/>
    <w:rsid w:val="0D53BFBB"/>
    <w:rsid w:val="0D548A2E"/>
    <w:rsid w:val="0D54E696"/>
    <w:rsid w:val="0D54FE4E"/>
    <w:rsid w:val="0D5561E0"/>
    <w:rsid w:val="0D55BE1B"/>
    <w:rsid w:val="0D56472C"/>
    <w:rsid w:val="0D570C58"/>
    <w:rsid w:val="0D574370"/>
    <w:rsid w:val="0D575F58"/>
    <w:rsid w:val="0D58068F"/>
    <w:rsid w:val="0D586802"/>
    <w:rsid w:val="0D588D5B"/>
    <w:rsid w:val="0D58CC25"/>
    <w:rsid w:val="0D597E9F"/>
    <w:rsid w:val="0D59BEA6"/>
    <w:rsid w:val="0D5B11DA"/>
    <w:rsid w:val="0D5B56EE"/>
    <w:rsid w:val="0D5B6C86"/>
    <w:rsid w:val="0D5BB6F0"/>
    <w:rsid w:val="0D5C1F15"/>
    <w:rsid w:val="0D5C263C"/>
    <w:rsid w:val="0D5E1ECA"/>
    <w:rsid w:val="0D5EC7FF"/>
    <w:rsid w:val="0D5ECE65"/>
    <w:rsid w:val="0D5EE195"/>
    <w:rsid w:val="0D605D3D"/>
    <w:rsid w:val="0D60D21F"/>
    <w:rsid w:val="0D6122A2"/>
    <w:rsid w:val="0D61314F"/>
    <w:rsid w:val="0D61635F"/>
    <w:rsid w:val="0D61CE59"/>
    <w:rsid w:val="0D620D2B"/>
    <w:rsid w:val="0D6485E8"/>
    <w:rsid w:val="0D673EBE"/>
    <w:rsid w:val="0D678520"/>
    <w:rsid w:val="0D67BA22"/>
    <w:rsid w:val="0D67E882"/>
    <w:rsid w:val="0D68085E"/>
    <w:rsid w:val="0D68A3C1"/>
    <w:rsid w:val="0D69FDD0"/>
    <w:rsid w:val="0D6A0619"/>
    <w:rsid w:val="0D6A3B41"/>
    <w:rsid w:val="0D6B2420"/>
    <w:rsid w:val="0D6B5144"/>
    <w:rsid w:val="0D6C6AA6"/>
    <w:rsid w:val="0D6CDE77"/>
    <w:rsid w:val="0D6D9791"/>
    <w:rsid w:val="0D6F0F68"/>
    <w:rsid w:val="0D706DA5"/>
    <w:rsid w:val="0D70F676"/>
    <w:rsid w:val="0D713ADE"/>
    <w:rsid w:val="0D71B068"/>
    <w:rsid w:val="0D71BCA8"/>
    <w:rsid w:val="0D71D6BA"/>
    <w:rsid w:val="0D71FAB5"/>
    <w:rsid w:val="0D72058F"/>
    <w:rsid w:val="0D721EFF"/>
    <w:rsid w:val="0D722145"/>
    <w:rsid w:val="0D724A90"/>
    <w:rsid w:val="0D724D26"/>
    <w:rsid w:val="0D737F2A"/>
    <w:rsid w:val="0D7496F9"/>
    <w:rsid w:val="0D750322"/>
    <w:rsid w:val="0D754E9C"/>
    <w:rsid w:val="0D758A09"/>
    <w:rsid w:val="0D75BEAE"/>
    <w:rsid w:val="0D75DC08"/>
    <w:rsid w:val="0D7613EA"/>
    <w:rsid w:val="0D76DCE6"/>
    <w:rsid w:val="0D77987D"/>
    <w:rsid w:val="0D795580"/>
    <w:rsid w:val="0D7972DF"/>
    <w:rsid w:val="0D79BD0E"/>
    <w:rsid w:val="0D79CC4E"/>
    <w:rsid w:val="0D79FF27"/>
    <w:rsid w:val="0D7A4BB0"/>
    <w:rsid w:val="0D7A7CF9"/>
    <w:rsid w:val="0D7AAFCE"/>
    <w:rsid w:val="0D7ADEEC"/>
    <w:rsid w:val="0D7AF292"/>
    <w:rsid w:val="0D7AF2DB"/>
    <w:rsid w:val="0D7B04C8"/>
    <w:rsid w:val="0D7B672F"/>
    <w:rsid w:val="0D7B825B"/>
    <w:rsid w:val="0D7B88A9"/>
    <w:rsid w:val="0D7BA196"/>
    <w:rsid w:val="0D7BA633"/>
    <w:rsid w:val="0D7C10C6"/>
    <w:rsid w:val="0D7F29A5"/>
    <w:rsid w:val="0D7F795E"/>
    <w:rsid w:val="0D811422"/>
    <w:rsid w:val="0D81C5FC"/>
    <w:rsid w:val="0D82A4BE"/>
    <w:rsid w:val="0D82C160"/>
    <w:rsid w:val="0D82C9BF"/>
    <w:rsid w:val="0D833AEE"/>
    <w:rsid w:val="0D835615"/>
    <w:rsid w:val="0D83E194"/>
    <w:rsid w:val="0D846483"/>
    <w:rsid w:val="0D84DE35"/>
    <w:rsid w:val="0D86E13F"/>
    <w:rsid w:val="0D86EE37"/>
    <w:rsid w:val="0D86FC35"/>
    <w:rsid w:val="0D879D24"/>
    <w:rsid w:val="0D87FADC"/>
    <w:rsid w:val="0D88DB67"/>
    <w:rsid w:val="0D89A0AE"/>
    <w:rsid w:val="0D8B520D"/>
    <w:rsid w:val="0D8C87E5"/>
    <w:rsid w:val="0D8CB8D0"/>
    <w:rsid w:val="0D8D95CE"/>
    <w:rsid w:val="0D8E7B33"/>
    <w:rsid w:val="0D8F6FFF"/>
    <w:rsid w:val="0D8FACB5"/>
    <w:rsid w:val="0D91200B"/>
    <w:rsid w:val="0D91B275"/>
    <w:rsid w:val="0D922478"/>
    <w:rsid w:val="0D9312E1"/>
    <w:rsid w:val="0D9381A8"/>
    <w:rsid w:val="0D9408BA"/>
    <w:rsid w:val="0D95FF4A"/>
    <w:rsid w:val="0D96BF4F"/>
    <w:rsid w:val="0D970B2D"/>
    <w:rsid w:val="0D9770D9"/>
    <w:rsid w:val="0D977CAF"/>
    <w:rsid w:val="0D980565"/>
    <w:rsid w:val="0D98AA05"/>
    <w:rsid w:val="0D99AB47"/>
    <w:rsid w:val="0D9ADCA7"/>
    <w:rsid w:val="0D9B79B8"/>
    <w:rsid w:val="0D9D404D"/>
    <w:rsid w:val="0D9EB22D"/>
    <w:rsid w:val="0D9ECADA"/>
    <w:rsid w:val="0D9EF27B"/>
    <w:rsid w:val="0D9EFA41"/>
    <w:rsid w:val="0D9FD3E7"/>
    <w:rsid w:val="0D9FF972"/>
    <w:rsid w:val="0DA07601"/>
    <w:rsid w:val="0DA0BCD7"/>
    <w:rsid w:val="0DA0C4F1"/>
    <w:rsid w:val="0DA0EA69"/>
    <w:rsid w:val="0DA1504A"/>
    <w:rsid w:val="0DA1A558"/>
    <w:rsid w:val="0DA25A63"/>
    <w:rsid w:val="0DA2EBCA"/>
    <w:rsid w:val="0DA4C7BE"/>
    <w:rsid w:val="0DAA0AA4"/>
    <w:rsid w:val="0DAC158A"/>
    <w:rsid w:val="0DAC2A8B"/>
    <w:rsid w:val="0DACCB77"/>
    <w:rsid w:val="0DAD2B27"/>
    <w:rsid w:val="0DAD4F26"/>
    <w:rsid w:val="0DADACA7"/>
    <w:rsid w:val="0DADCAA2"/>
    <w:rsid w:val="0DAF5808"/>
    <w:rsid w:val="0DAF607C"/>
    <w:rsid w:val="0DB03543"/>
    <w:rsid w:val="0DB0E19A"/>
    <w:rsid w:val="0DB0E81B"/>
    <w:rsid w:val="0DB0EA70"/>
    <w:rsid w:val="0DB1B915"/>
    <w:rsid w:val="0DB1EAC8"/>
    <w:rsid w:val="0DB1F3E1"/>
    <w:rsid w:val="0DB2830B"/>
    <w:rsid w:val="0DB3D693"/>
    <w:rsid w:val="0DB5B4CE"/>
    <w:rsid w:val="0DB78303"/>
    <w:rsid w:val="0DB7BFCB"/>
    <w:rsid w:val="0DB87738"/>
    <w:rsid w:val="0DB8E2CD"/>
    <w:rsid w:val="0DB98728"/>
    <w:rsid w:val="0DB99DDA"/>
    <w:rsid w:val="0DBAAF68"/>
    <w:rsid w:val="0DBBF784"/>
    <w:rsid w:val="0DBC2DBE"/>
    <w:rsid w:val="0DBDBA24"/>
    <w:rsid w:val="0DBDD6C2"/>
    <w:rsid w:val="0DBE5D3F"/>
    <w:rsid w:val="0DBECB08"/>
    <w:rsid w:val="0DC187A9"/>
    <w:rsid w:val="0DC2B6C9"/>
    <w:rsid w:val="0DC2D42B"/>
    <w:rsid w:val="0DC2E0C2"/>
    <w:rsid w:val="0DC44AB7"/>
    <w:rsid w:val="0DC4A5DF"/>
    <w:rsid w:val="0DC4C910"/>
    <w:rsid w:val="0DC590B5"/>
    <w:rsid w:val="0DC5AAA4"/>
    <w:rsid w:val="0DC5AB00"/>
    <w:rsid w:val="0DC5ADCC"/>
    <w:rsid w:val="0DC649FB"/>
    <w:rsid w:val="0DC6741E"/>
    <w:rsid w:val="0DC7986E"/>
    <w:rsid w:val="0DC84212"/>
    <w:rsid w:val="0DC91B22"/>
    <w:rsid w:val="0DC9226C"/>
    <w:rsid w:val="0DC964D3"/>
    <w:rsid w:val="0DC97A06"/>
    <w:rsid w:val="0DC98634"/>
    <w:rsid w:val="0DC9BE17"/>
    <w:rsid w:val="0DC9CC05"/>
    <w:rsid w:val="0DCA4A6E"/>
    <w:rsid w:val="0DCAED16"/>
    <w:rsid w:val="0DCB25F7"/>
    <w:rsid w:val="0DCB55D9"/>
    <w:rsid w:val="0DCC4B98"/>
    <w:rsid w:val="0DCD0512"/>
    <w:rsid w:val="0DCDAF84"/>
    <w:rsid w:val="0DCED0F1"/>
    <w:rsid w:val="0DCF5AE3"/>
    <w:rsid w:val="0DCF797A"/>
    <w:rsid w:val="0DCFAEEA"/>
    <w:rsid w:val="0DD029D0"/>
    <w:rsid w:val="0DD18449"/>
    <w:rsid w:val="0DD1C7FA"/>
    <w:rsid w:val="0DD1E143"/>
    <w:rsid w:val="0DD2FE01"/>
    <w:rsid w:val="0DD32E78"/>
    <w:rsid w:val="0DD3368B"/>
    <w:rsid w:val="0DD3D23B"/>
    <w:rsid w:val="0DD54ADB"/>
    <w:rsid w:val="0DD5684F"/>
    <w:rsid w:val="0DD768A0"/>
    <w:rsid w:val="0DD800B3"/>
    <w:rsid w:val="0DD8AFF9"/>
    <w:rsid w:val="0DD91C06"/>
    <w:rsid w:val="0DD92F08"/>
    <w:rsid w:val="0DD9DAED"/>
    <w:rsid w:val="0DDA18CB"/>
    <w:rsid w:val="0DDBAF0F"/>
    <w:rsid w:val="0DDC0970"/>
    <w:rsid w:val="0DDDD46E"/>
    <w:rsid w:val="0DDDE894"/>
    <w:rsid w:val="0DDE1185"/>
    <w:rsid w:val="0DDE80A3"/>
    <w:rsid w:val="0DDED897"/>
    <w:rsid w:val="0DDFBBC0"/>
    <w:rsid w:val="0DDFC07A"/>
    <w:rsid w:val="0DE010A6"/>
    <w:rsid w:val="0DE17790"/>
    <w:rsid w:val="0DE1794F"/>
    <w:rsid w:val="0DE2464A"/>
    <w:rsid w:val="0DE27FF5"/>
    <w:rsid w:val="0DE2CEAA"/>
    <w:rsid w:val="0DE2E5A5"/>
    <w:rsid w:val="0DE339EF"/>
    <w:rsid w:val="0DE35BB9"/>
    <w:rsid w:val="0DE3E9A7"/>
    <w:rsid w:val="0DE45CCE"/>
    <w:rsid w:val="0DE469C5"/>
    <w:rsid w:val="0DE4AC23"/>
    <w:rsid w:val="0DE73178"/>
    <w:rsid w:val="0DE76DEE"/>
    <w:rsid w:val="0DE7D385"/>
    <w:rsid w:val="0DE85BA7"/>
    <w:rsid w:val="0DE89BD7"/>
    <w:rsid w:val="0DE9815D"/>
    <w:rsid w:val="0DEA7477"/>
    <w:rsid w:val="0DEAE26A"/>
    <w:rsid w:val="0DEC7062"/>
    <w:rsid w:val="0DECFB61"/>
    <w:rsid w:val="0DED47E1"/>
    <w:rsid w:val="0DED546B"/>
    <w:rsid w:val="0DEDAC79"/>
    <w:rsid w:val="0DF079A6"/>
    <w:rsid w:val="0DF085C7"/>
    <w:rsid w:val="0DF13C25"/>
    <w:rsid w:val="0DF17280"/>
    <w:rsid w:val="0DF1B7E4"/>
    <w:rsid w:val="0DF227A2"/>
    <w:rsid w:val="0DF2BE4E"/>
    <w:rsid w:val="0DF2F105"/>
    <w:rsid w:val="0DF319DE"/>
    <w:rsid w:val="0DF33B9E"/>
    <w:rsid w:val="0DF3445E"/>
    <w:rsid w:val="0DF45256"/>
    <w:rsid w:val="0DF4E7B2"/>
    <w:rsid w:val="0DF4FA50"/>
    <w:rsid w:val="0DF57885"/>
    <w:rsid w:val="0DF7E650"/>
    <w:rsid w:val="0DFB086D"/>
    <w:rsid w:val="0DFB4254"/>
    <w:rsid w:val="0DFB56E7"/>
    <w:rsid w:val="0DFBF738"/>
    <w:rsid w:val="0DFCF243"/>
    <w:rsid w:val="0DFCF39D"/>
    <w:rsid w:val="0DFDB154"/>
    <w:rsid w:val="0DFE10B8"/>
    <w:rsid w:val="0DFE7515"/>
    <w:rsid w:val="0DFF5912"/>
    <w:rsid w:val="0E00D086"/>
    <w:rsid w:val="0E00FCAC"/>
    <w:rsid w:val="0E0147CC"/>
    <w:rsid w:val="0E01D537"/>
    <w:rsid w:val="0E02006A"/>
    <w:rsid w:val="0E027E3D"/>
    <w:rsid w:val="0E02D7A5"/>
    <w:rsid w:val="0E031116"/>
    <w:rsid w:val="0E032BBA"/>
    <w:rsid w:val="0E035CE0"/>
    <w:rsid w:val="0E03669B"/>
    <w:rsid w:val="0E0465FF"/>
    <w:rsid w:val="0E04E480"/>
    <w:rsid w:val="0E0525FA"/>
    <w:rsid w:val="0E069986"/>
    <w:rsid w:val="0E0732CE"/>
    <w:rsid w:val="0E0789D0"/>
    <w:rsid w:val="0E07B150"/>
    <w:rsid w:val="0E07D12E"/>
    <w:rsid w:val="0E080287"/>
    <w:rsid w:val="0E085DBF"/>
    <w:rsid w:val="0E091119"/>
    <w:rsid w:val="0E0973A7"/>
    <w:rsid w:val="0E09C05D"/>
    <w:rsid w:val="0E0A16A9"/>
    <w:rsid w:val="0E0A7F5A"/>
    <w:rsid w:val="0E0B2BDF"/>
    <w:rsid w:val="0E0B5425"/>
    <w:rsid w:val="0E0B9535"/>
    <w:rsid w:val="0E0CAA79"/>
    <w:rsid w:val="0E0EAF7E"/>
    <w:rsid w:val="0E0F982C"/>
    <w:rsid w:val="0E0FA187"/>
    <w:rsid w:val="0E100083"/>
    <w:rsid w:val="0E110918"/>
    <w:rsid w:val="0E112D8D"/>
    <w:rsid w:val="0E11E0C6"/>
    <w:rsid w:val="0E1207F2"/>
    <w:rsid w:val="0E1230FA"/>
    <w:rsid w:val="0E12653C"/>
    <w:rsid w:val="0E132D2A"/>
    <w:rsid w:val="0E14382D"/>
    <w:rsid w:val="0E14BF35"/>
    <w:rsid w:val="0E15C4F9"/>
    <w:rsid w:val="0E15FE7F"/>
    <w:rsid w:val="0E1644B9"/>
    <w:rsid w:val="0E16714D"/>
    <w:rsid w:val="0E16E9F0"/>
    <w:rsid w:val="0E1978C0"/>
    <w:rsid w:val="0E19F2D4"/>
    <w:rsid w:val="0E19F2F3"/>
    <w:rsid w:val="0E1A8429"/>
    <w:rsid w:val="0E1A8847"/>
    <w:rsid w:val="0E1A90B6"/>
    <w:rsid w:val="0E1BB081"/>
    <w:rsid w:val="0E1C13A4"/>
    <w:rsid w:val="0E1CDF09"/>
    <w:rsid w:val="0E1DC0F5"/>
    <w:rsid w:val="0E1E8088"/>
    <w:rsid w:val="0E1F3B3B"/>
    <w:rsid w:val="0E1F533B"/>
    <w:rsid w:val="0E206A9A"/>
    <w:rsid w:val="0E21CB9B"/>
    <w:rsid w:val="0E223A66"/>
    <w:rsid w:val="0E224788"/>
    <w:rsid w:val="0E22C038"/>
    <w:rsid w:val="0E2350FB"/>
    <w:rsid w:val="0E236A50"/>
    <w:rsid w:val="0E240FAC"/>
    <w:rsid w:val="0E241F02"/>
    <w:rsid w:val="0E24E45B"/>
    <w:rsid w:val="0E24F127"/>
    <w:rsid w:val="0E266664"/>
    <w:rsid w:val="0E26B629"/>
    <w:rsid w:val="0E26C969"/>
    <w:rsid w:val="0E2CC34A"/>
    <w:rsid w:val="0E2D284E"/>
    <w:rsid w:val="0E2D3959"/>
    <w:rsid w:val="0E2D5F5F"/>
    <w:rsid w:val="0E2DC6B6"/>
    <w:rsid w:val="0E2DD880"/>
    <w:rsid w:val="0E2F9754"/>
    <w:rsid w:val="0E2FA961"/>
    <w:rsid w:val="0E2FD9B8"/>
    <w:rsid w:val="0E2FEDE6"/>
    <w:rsid w:val="0E31D500"/>
    <w:rsid w:val="0E31FCC0"/>
    <w:rsid w:val="0E321C7B"/>
    <w:rsid w:val="0E3232A4"/>
    <w:rsid w:val="0E32DA4E"/>
    <w:rsid w:val="0E332E29"/>
    <w:rsid w:val="0E341CD1"/>
    <w:rsid w:val="0E351134"/>
    <w:rsid w:val="0E364479"/>
    <w:rsid w:val="0E367D31"/>
    <w:rsid w:val="0E36B3FE"/>
    <w:rsid w:val="0E36E349"/>
    <w:rsid w:val="0E36E465"/>
    <w:rsid w:val="0E382568"/>
    <w:rsid w:val="0E384E24"/>
    <w:rsid w:val="0E3852ED"/>
    <w:rsid w:val="0E3898CB"/>
    <w:rsid w:val="0E38F038"/>
    <w:rsid w:val="0E39106A"/>
    <w:rsid w:val="0E39DC5C"/>
    <w:rsid w:val="0E39F7F6"/>
    <w:rsid w:val="0E3A9728"/>
    <w:rsid w:val="0E3B016A"/>
    <w:rsid w:val="0E3BC0A6"/>
    <w:rsid w:val="0E3C26AF"/>
    <w:rsid w:val="0E3E6914"/>
    <w:rsid w:val="0E3E89B8"/>
    <w:rsid w:val="0E3E8B96"/>
    <w:rsid w:val="0E3EA450"/>
    <w:rsid w:val="0E3F6C63"/>
    <w:rsid w:val="0E3F8188"/>
    <w:rsid w:val="0E3FBCE9"/>
    <w:rsid w:val="0E3FDC86"/>
    <w:rsid w:val="0E40EF7C"/>
    <w:rsid w:val="0E4245AE"/>
    <w:rsid w:val="0E429C5B"/>
    <w:rsid w:val="0E42CF93"/>
    <w:rsid w:val="0E434352"/>
    <w:rsid w:val="0E43C6FA"/>
    <w:rsid w:val="0E43D935"/>
    <w:rsid w:val="0E4521D7"/>
    <w:rsid w:val="0E459DA4"/>
    <w:rsid w:val="0E45A3C6"/>
    <w:rsid w:val="0E475486"/>
    <w:rsid w:val="0E47C733"/>
    <w:rsid w:val="0E481DC7"/>
    <w:rsid w:val="0E488644"/>
    <w:rsid w:val="0E495481"/>
    <w:rsid w:val="0E495828"/>
    <w:rsid w:val="0E498386"/>
    <w:rsid w:val="0E49BC96"/>
    <w:rsid w:val="0E49EFA0"/>
    <w:rsid w:val="0E4B45E8"/>
    <w:rsid w:val="0E4C1D93"/>
    <w:rsid w:val="0E4CCD62"/>
    <w:rsid w:val="0E4D9689"/>
    <w:rsid w:val="0E4DEEE0"/>
    <w:rsid w:val="0E4E21DF"/>
    <w:rsid w:val="0E4E6992"/>
    <w:rsid w:val="0E4ECC0A"/>
    <w:rsid w:val="0E5029FC"/>
    <w:rsid w:val="0E5116C8"/>
    <w:rsid w:val="0E51E4E5"/>
    <w:rsid w:val="0E535226"/>
    <w:rsid w:val="0E5484DF"/>
    <w:rsid w:val="0E550CF3"/>
    <w:rsid w:val="0E557131"/>
    <w:rsid w:val="0E55E63F"/>
    <w:rsid w:val="0E56025C"/>
    <w:rsid w:val="0E56098C"/>
    <w:rsid w:val="0E567CEB"/>
    <w:rsid w:val="0E581BF8"/>
    <w:rsid w:val="0E583405"/>
    <w:rsid w:val="0E583825"/>
    <w:rsid w:val="0E589C89"/>
    <w:rsid w:val="0E59AA8B"/>
    <w:rsid w:val="0E5A45CD"/>
    <w:rsid w:val="0E5ACB2A"/>
    <w:rsid w:val="0E5B0A88"/>
    <w:rsid w:val="0E5B65B8"/>
    <w:rsid w:val="0E5BA966"/>
    <w:rsid w:val="0E5C5AE0"/>
    <w:rsid w:val="0E5CAFC8"/>
    <w:rsid w:val="0E5D34D5"/>
    <w:rsid w:val="0E5E7132"/>
    <w:rsid w:val="0E5FF608"/>
    <w:rsid w:val="0E602CC3"/>
    <w:rsid w:val="0E605B98"/>
    <w:rsid w:val="0E61B34D"/>
    <w:rsid w:val="0E61BB23"/>
    <w:rsid w:val="0E61EEA3"/>
    <w:rsid w:val="0E629BBB"/>
    <w:rsid w:val="0E6302C8"/>
    <w:rsid w:val="0E632260"/>
    <w:rsid w:val="0E659D77"/>
    <w:rsid w:val="0E663802"/>
    <w:rsid w:val="0E6690CB"/>
    <w:rsid w:val="0E67D5FA"/>
    <w:rsid w:val="0E67F970"/>
    <w:rsid w:val="0E6A28B8"/>
    <w:rsid w:val="0E6A9F05"/>
    <w:rsid w:val="0E6AD3E2"/>
    <w:rsid w:val="0E6B3449"/>
    <w:rsid w:val="0E6B7010"/>
    <w:rsid w:val="0E6BF5B1"/>
    <w:rsid w:val="0E6C2A28"/>
    <w:rsid w:val="0E6CF109"/>
    <w:rsid w:val="0E6CFCD5"/>
    <w:rsid w:val="0E6DACF1"/>
    <w:rsid w:val="0E6E0554"/>
    <w:rsid w:val="0E6E0E9C"/>
    <w:rsid w:val="0E6E524E"/>
    <w:rsid w:val="0E6E78A0"/>
    <w:rsid w:val="0E6F46F2"/>
    <w:rsid w:val="0E6F5A54"/>
    <w:rsid w:val="0E7162B7"/>
    <w:rsid w:val="0E721AA4"/>
    <w:rsid w:val="0E7237FB"/>
    <w:rsid w:val="0E758125"/>
    <w:rsid w:val="0E7668B7"/>
    <w:rsid w:val="0E766A57"/>
    <w:rsid w:val="0E76B10E"/>
    <w:rsid w:val="0E76B52C"/>
    <w:rsid w:val="0E773D49"/>
    <w:rsid w:val="0E77775E"/>
    <w:rsid w:val="0E78C9A9"/>
    <w:rsid w:val="0E790983"/>
    <w:rsid w:val="0E7984B5"/>
    <w:rsid w:val="0E7A0304"/>
    <w:rsid w:val="0E7AC721"/>
    <w:rsid w:val="0E7B0D30"/>
    <w:rsid w:val="0E7BDAE1"/>
    <w:rsid w:val="0E7BE3C3"/>
    <w:rsid w:val="0E7BEE6E"/>
    <w:rsid w:val="0E7D1798"/>
    <w:rsid w:val="0E7E4279"/>
    <w:rsid w:val="0E7F0750"/>
    <w:rsid w:val="0E7F1055"/>
    <w:rsid w:val="0E80A1C0"/>
    <w:rsid w:val="0E812D22"/>
    <w:rsid w:val="0E8284B8"/>
    <w:rsid w:val="0E82D788"/>
    <w:rsid w:val="0E82D908"/>
    <w:rsid w:val="0E851D2F"/>
    <w:rsid w:val="0E85FEA4"/>
    <w:rsid w:val="0E860F94"/>
    <w:rsid w:val="0E863F4F"/>
    <w:rsid w:val="0E88335F"/>
    <w:rsid w:val="0E8A1BAC"/>
    <w:rsid w:val="0E8BB483"/>
    <w:rsid w:val="0E8BE95C"/>
    <w:rsid w:val="0E8C8051"/>
    <w:rsid w:val="0E8D7060"/>
    <w:rsid w:val="0E8DA350"/>
    <w:rsid w:val="0E8EFFBB"/>
    <w:rsid w:val="0E8F1AB2"/>
    <w:rsid w:val="0E903583"/>
    <w:rsid w:val="0E903943"/>
    <w:rsid w:val="0E905C46"/>
    <w:rsid w:val="0E905C69"/>
    <w:rsid w:val="0E923EE3"/>
    <w:rsid w:val="0E929B50"/>
    <w:rsid w:val="0E938E93"/>
    <w:rsid w:val="0E93CF93"/>
    <w:rsid w:val="0E93EE97"/>
    <w:rsid w:val="0E9579DB"/>
    <w:rsid w:val="0E9623D1"/>
    <w:rsid w:val="0E96961F"/>
    <w:rsid w:val="0E96C2D3"/>
    <w:rsid w:val="0E97C0B9"/>
    <w:rsid w:val="0E984557"/>
    <w:rsid w:val="0E995F79"/>
    <w:rsid w:val="0E9A1146"/>
    <w:rsid w:val="0E9AFD3E"/>
    <w:rsid w:val="0E9C8EBB"/>
    <w:rsid w:val="0E9D6D7C"/>
    <w:rsid w:val="0E9DBF12"/>
    <w:rsid w:val="0E9DE361"/>
    <w:rsid w:val="0E9DF2ED"/>
    <w:rsid w:val="0E9E0441"/>
    <w:rsid w:val="0E9FB2D7"/>
    <w:rsid w:val="0E9FE222"/>
    <w:rsid w:val="0EA0602D"/>
    <w:rsid w:val="0EA09CA8"/>
    <w:rsid w:val="0EA0D2D9"/>
    <w:rsid w:val="0EA19FA5"/>
    <w:rsid w:val="0EA1D9CD"/>
    <w:rsid w:val="0EA1F79C"/>
    <w:rsid w:val="0EA21279"/>
    <w:rsid w:val="0EA22BBB"/>
    <w:rsid w:val="0EA314D2"/>
    <w:rsid w:val="0EA4F2DB"/>
    <w:rsid w:val="0EA5E393"/>
    <w:rsid w:val="0EA6B17F"/>
    <w:rsid w:val="0EA6EBE0"/>
    <w:rsid w:val="0EA76254"/>
    <w:rsid w:val="0EA7CAB9"/>
    <w:rsid w:val="0EA88E75"/>
    <w:rsid w:val="0EA8B3B1"/>
    <w:rsid w:val="0EA90A32"/>
    <w:rsid w:val="0EA94016"/>
    <w:rsid w:val="0EA9B4DE"/>
    <w:rsid w:val="0EA9B945"/>
    <w:rsid w:val="0EAA00F2"/>
    <w:rsid w:val="0EAA11DC"/>
    <w:rsid w:val="0EAA5B8F"/>
    <w:rsid w:val="0EAA67DF"/>
    <w:rsid w:val="0EAC13BA"/>
    <w:rsid w:val="0EAC44F2"/>
    <w:rsid w:val="0EAD0C47"/>
    <w:rsid w:val="0EAF969B"/>
    <w:rsid w:val="0EAFEFBA"/>
    <w:rsid w:val="0EB02813"/>
    <w:rsid w:val="0EB081BC"/>
    <w:rsid w:val="0EB144AF"/>
    <w:rsid w:val="0EB2246E"/>
    <w:rsid w:val="0EB243DF"/>
    <w:rsid w:val="0EB272B6"/>
    <w:rsid w:val="0EB27EA9"/>
    <w:rsid w:val="0EB2EEAE"/>
    <w:rsid w:val="0EB3D849"/>
    <w:rsid w:val="0EB47B20"/>
    <w:rsid w:val="0EB4AE78"/>
    <w:rsid w:val="0EB5B0E9"/>
    <w:rsid w:val="0EB5D835"/>
    <w:rsid w:val="0EB609D8"/>
    <w:rsid w:val="0EB6EFC8"/>
    <w:rsid w:val="0EB7DB8B"/>
    <w:rsid w:val="0EB7E539"/>
    <w:rsid w:val="0EB7E74D"/>
    <w:rsid w:val="0EB9AF97"/>
    <w:rsid w:val="0EBB1AEC"/>
    <w:rsid w:val="0EBB8A48"/>
    <w:rsid w:val="0EBD1A2C"/>
    <w:rsid w:val="0EBD91DB"/>
    <w:rsid w:val="0EBF41CB"/>
    <w:rsid w:val="0EBF76BD"/>
    <w:rsid w:val="0EBFC92F"/>
    <w:rsid w:val="0EBFE97F"/>
    <w:rsid w:val="0EC08851"/>
    <w:rsid w:val="0EC133DA"/>
    <w:rsid w:val="0EC151A5"/>
    <w:rsid w:val="0EC15488"/>
    <w:rsid w:val="0EC1731A"/>
    <w:rsid w:val="0EC2AFDE"/>
    <w:rsid w:val="0EC368F3"/>
    <w:rsid w:val="0EC56BD4"/>
    <w:rsid w:val="0EC57CB8"/>
    <w:rsid w:val="0EC5918E"/>
    <w:rsid w:val="0EC68E23"/>
    <w:rsid w:val="0EC77D34"/>
    <w:rsid w:val="0EC88229"/>
    <w:rsid w:val="0EC8AC1D"/>
    <w:rsid w:val="0EC9380E"/>
    <w:rsid w:val="0EC9A6B3"/>
    <w:rsid w:val="0ECA4285"/>
    <w:rsid w:val="0ECA9A31"/>
    <w:rsid w:val="0ECAE03E"/>
    <w:rsid w:val="0ECBAAF1"/>
    <w:rsid w:val="0ECBB18B"/>
    <w:rsid w:val="0ECCBD9B"/>
    <w:rsid w:val="0ECD3770"/>
    <w:rsid w:val="0ECE4B5A"/>
    <w:rsid w:val="0ECE4C89"/>
    <w:rsid w:val="0ECE6251"/>
    <w:rsid w:val="0ECF4B81"/>
    <w:rsid w:val="0ED0B4FE"/>
    <w:rsid w:val="0ED17CDB"/>
    <w:rsid w:val="0ED1FE9C"/>
    <w:rsid w:val="0ED28800"/>
    <w:rsid w:val="0ED40492"/>
    <w:rsid w:val="0ED6ADB4"/>
    <w:rsid w:val="0ED6FE6D"/>
    <w:rsid w:val="0ED6FF24"/>
    <w:rsid w:val="0ED7682C"/>
    <w:rsid w:val="0ED76E9F"/>
    <w:rsid w:val="0ED9139F"/>
    <w:rsid w:val="0ED93961"/>
    <w:rsid w:val="0ED9DD4B"/>
    <w:rsid w:val="0EDA5B4E"/>
    <w:rsid w:val="0EDA9354"/>
    <w:rsid w:val="0EDACCC9"/>
    <w:rsid w:val="0EDC6858"/>
    <w:rsid w:val="0EDCA6F9"/>
    <w:rsid w:val="0EDD605D"/>
    <w:rsid w:val="0EDDD8B8"/>
    <w:rsid w:val="0EDE3901"/>
    <w:rsid w:val="0EDE5587"/>
    <w:rsid w:val="0EDE9B10"/>
    <w:rsid w:val="0EDEDE64"/>
    <w:rsid w:val="0EDFA46F"/>
    <w:rsid w:val="0EDFB5F8"/>
    <w:rsid w:val="0EDFF372"/>
    <w:rsid w:val="0EE0A0C4"/>
    <w:rsid w:val="0EE1105A"/>
    <w:rsid w:val="0EE18847"/>
    <w:rsid w:val="0EE208EC"/>
    <w:rsid w:val="0EE26DA2"/>
    <w:rsid w:val="0EE2DF8A"/>
    <w:rsid w:val="0EE354F4"/>
    <w:rsid w:val="0EE3F249"/>
    <w:rsid w:val="0EE49237"/>
    <w:rsid w:val="0EE4FC1C"/>
    <w:rsid w:val="0EE51964"/>
    <w:rsid w:val="0EE5E5D9"/>
    <w:rsid w:val="0EE646AE"/>
    <w:rsid w:val="0EE6CB76"/>
    <w:rsid w:val="0EE71783"/>
    <w:rsid w:val="0EE7414E"/>
    <w:rsid w:val="0EE775D9"/>
    <w:rsid w:val="0EE81F30"/>
    <w:rsid w:val="0EE823FC"/>
    <w:rsid w:val="0EE827C1"/>
    <w:rsid w:val="0EE88FD4"/>
    <w:rsid w:val="0EEB6F00"/>
    <w:rsid w:val="0EEBAC40"/>
    <w:rsid w:val="0EEC5D6D"/>
    <w:rsid w:val="0EECC94C"/>
    <w:rsid w:val="0EEDA9B9"/>
    <w:rsid w:val="0EEDB8C2"/>
    <w:rsid w:val="0EEE37B6"/>
    <w:rsid w:val="0EEE4B27"/>
    <w:rsid w:val="0EEE759D"/>
    <w:rsid w:val="0EEEAEDA"/>
    <w:rsid w:val="0EEED3B9"/>
    <w:rsid w:val="0EEF3B5D"/>
    <w:rsid w:val="0EEF700F"/>
    <w:rsid w:val="0EEF804C"/>
    <w:rsid w:val="0EEFECC0"/>
    <w:rsid w:val="0EF06F59"/>
    <w:rsid w:val="0EF0B2F3"/>
    <w:rsid w:val="0EF1490B"/>
    <w:rsid w:val="0EF2B1C8"/>
    <w:rsid w:val="0EF34C7E"/>
    <w:rsid w:val="0EF37356"/>
    <w:rsid w:val="0EF3E631"/>
    <w:rsid w:val="0EF3F753"/>
    <w:rsid w:val="0EF49A88"/>
    <w:rsid w:val="0EF534DD"/>
    <w:rsid w:val="0EF58452"/>
    <w:rsid w:val="0EF73894"/>
    <w:rsid w:val="0EF7E5C1"/>
    <w:rsid w:val="0EF83A68"/>
    <w:rsid w:val="0EF89457"/>
    <w:rsid w:val="0EF92CA7"/>
    <w:rsid w:val="0EF955F2"/>
    <w:rsid w:val="0EF984C1"/>
    <w:rsid w:val="0EF9C948"/>
    <w:rsid w:val="0EFA60EA"/>
    <w:rsid w:val="0EFBDE65"/>
    <w:rsid w:val="0EFC1250"/>
    <w:rsid w:val="0EFD8210"/>
    <w:rsid w:val="0EFDDF95"/>
    <w:rsid w:val="0EFE2AAD"/>
    <w:rsid w:val="0EFE6604"/>
    <w:rsid w:val="0EFE905E"/>
    <w:rsid w:val="0EFF63B0"/>
    <w:rsid w:val="0F007475"/>
    <w:rsid w:val="0F0310BA"/>
    <w:rsid w:val="0F03927D"/>
    <w:rsid w:val="0F044D6A"/>
    <w:rsid w:val="0F04A768"/>
    <w:rsid w:val="0F05A0EF"/>
    <w:rsid w:val="0F0639CD"/>
    <w:rsid w:val="0F0763B4"/>
    <w:rsid w:val="0F085BDE"/>
    <w:rsid w:val="0F08872C"/>
    <w:rsid w:val="0F08FD90"/>
    <w:rsid w:val="0F0B4FD0"/>
    <w:rsid w:val="0F0B9C28"/>
    <w:rsid w:val="0F0CA3EA"/>
    <w:rsid w:val="0F0D4E6E"/>
    <w:rsid w:val="0F0D705A"/>
    <w:rsid w:val="0F0E60C8"/>
    <w:rsid w:val="0F0EEAFA"/>
    <w:rsid w:val="0F0F63CD"/>
    <w:rsid w:val="0F0F6AE9"/>
    <w:rsid w:val="0F11479E"/>
    <w:rsid w:val="0F116AAB"/>
    <w:rsid w:val="0F122994"/>
    <w:rsid w:val="0F132103"/>
    <w:rsid w:val="0F13B5B4"/>
    <w:rsid w:val="0F13CF45"/>
    <w:rsid w:val="0F145C3D"/>
    <w:rsid w:val="0F14702E"/>
    <w:rsid w:val="0F14E186"/>
    <w:rsid w:val="0F158D6F"/>
    <w:rsid w:val="0F1720C7"/>
    <w:rsid w:val="0F179005"/>
    <w:rsid w:val="0F1844F1"/>
    <w:rsid w:val="0F18E641"/>
    <w:rsid w:val="0F190A3E"/>
    <w:rsid w:val="0F1A26FE"/>
    <w:rsid w:val="0F1C291D"/>
    <w:rsid w:val="0F1E19C8"/>
    <w:rsid w:val="0F1ED23F"/>
    <w:rsid w:val="0F1F2E00"/>
    <w:rsid w:val="0F1F65B2"/>
    <w:rsid w:val="0F1F9B25"/>
    <w:rsid w:val="0F1FB479"/>
    <w:rsid w:val="0F202C4D"/>
    <w:rsid w:val="0F20D97C"/>
    <w:rsid w:val="0F210F05"/>
    <w:rsid w:val="0F21306F"/>
    <w:rsid w:val="0F215920"/>
    <w:rsid w:val="0F21F30F"/>
    <w:rsid w:val="0F2353CB"/>
    <w:rsid w:val="0F239BAE"/>
    <w:rsid w:val="0F2404B4"/>
    <w:rsid w:val="0F24B042"/>
    <w:rsid w:val="0F25309B"/>
    <w:rsid w:val="0F258E23"/>
    <w:rsid w:val="0F26CC03"/>
    <w:rsid w:val="0F27A4BE"/>
    <w:rsid w:val="0F282C07"/>
    <w:rsid w:val="0F28ABF1"/>
    <w:rsid w:val="0F2926AF"/>
    <w:rsid w:val="0F29D08F"/>
    <w:rsid w:val="0F2A0B06"/>
    <w:rsid w:val="0F2A241A"/>
    <w:rsid w:val="0F2A7ED7"/>
    <w:rsid w:val="0F2A993A"/>
    <w:rsid w:val="0F2AD2B3"/>
    <w:rsid w:val="0F2BED50"/>
    <w:rsid w:val="0F2C1A43"/>
    <w:rsid w:val="0F2C59AD"/>
    <w:rsid w:val="0F2C61D1"/>
    <w:rsid w:val="0F2D0377"/>
    <w:rsid w:val="0F2E1281"/>
    <w:rsid w:val="0F2E77C4"/>
    <w:rsid w:val="0F2E81C2"/>
    <w:rsid w:val="0F2F0E8D"/>
    <w:rsid w:val="0F2F20E7"/>
    <w:rsid w:val="0F3053E0"/>
    <w:rsid w:val="0F3092CF"/>
    <w:rsid w:val="0F3104E1"/>
    <w:rsid w:val="0F310FFC"/>
    <w:rsid w:val="0F31580F"/>
    <w:rsid w:val="0F330713"/>
    <w:rsid w:val="0F33220F"/>
    <w:rsid w:val="0F33DAA4"/>
    <w:rsid w:val="0F345A6F"/>
    <w:rsid w:val="0F362261"/>
    <w:rsid w:val="0F363EE9"/>
    <w:rsid w:val="0F364E4C"/>
    <w:rsid w:val="0F36FF3D"/>
    <w:rsid w:val="0F37598B"/>
    <w:rsid w:val="0F37ABCB"/>
    <w:rsid w:val="0F37D4FD"/>
    <w:rsid w:val="0F37FF7D"/>
    <w:rsid w:val="0F380A6C"/>
    <w:rsid w:val="0F386A80"/>
    <w:rsid w:val="0F3AC02F"/>
    <w:rsid w:val="0F3AD75F"/>
    <w:rsid w:val="0F3B16E2"/>
    <w:rsid w:val="0F3C950F"/>
    <w:rsid w:val="0F3CCD5A"/>
    <w:rsid w:val="0F3D88DB"/>
    <w:rsid w:val="0F3E0C44"/>
    <w:rsid w:val="0F3E16C4"/>
    <w:rsid w:val="0F3E9A92"/>
    <w:rsid w:val="0F3EAF87"/>
    <w:rsid w:val="0F3F34FB"/>
    <w:rsid w:val="0F3F4FEF"/>
    <w:rsid w:val="0F3F9241"/>
    <w:rsid w:val="0F40E120"/>
    <w:rsid w:val="0F4141F7"/>
    <w:rsid w:val="0F41FE66"/>
    <w:rsid w:val="0F423B7A"/>
    <w:rsid w:val="0F428C9C"/>
    <w:rsid w:val="0F42AF38"/>
    <w:rsid w:val="0F43601B"/>
    <w:rsid w:val="0F43642B"/>
    <w:rsid w:val="0F44FC89"/>
    <w:rsid w:val="0F46351C"/>
    <w:rsid w:val="0F463706"/>
    <w:rsid w:val="0F46958E"/>
    <w:rsid w:val="0F4784BD"/>
    <w:rsid w:val="0F478580"/>
    <w:rsid w:val="0F4850A1"/>
    <w:rsid w:val="0F49ECFE"/>
    <w:rsid w:val="0F4B540B"/>
    <w:rsid w:val="0F4BA521"/>
    <w:rsid w:val="0F4BC3DB"/>
    <w:rsid w:val="0F4C53ED"/>
    <w:rsid w:val="0F4D163C"/>
    <w:rsid w:val="0F4DFA6F"/>
    <w:rsid w:val="0F4E1E07"/>
    <w:rsid w:val="0F4E6B51"/>
    <w:rsid w:val="0F4EDDF1"/>
    <w:rsid w:val="0F4F673B"/>
    <w:rsid w:val="0F502BD8"/>
    <w:rsid w:val="0F52282A"/>
    <w:rsid w:val="0F528D5C"/>
    <w:rsid w:val="0F536EB9"/>
    <w:rsid w:val="0F541EBA"/>
    <w:rsid w:val="0F552A41"/>
    <w:rsid w:val="0F55668A"/>
    <w:rsid w:val="0F560D64"/>
    <w:rsid w:val="0F5842E4"/>
    <w:rsid w:val="0F58FF95"/>
    <w:rsid w:val="0F595D81"/>
    <w:rsid w:val="0F596317"/>
    <w:rsid w:val="0F5969B7"/>
    <w:rsid w:val="0F5A1440"/>
    <w:rsid w:val="0F5A3629"/>
    <w:rsid w:val="0F5A9087"/>
    <w:rsid w:val="0F5AF372"/>
    <w:rsid w:val="0F5B1C8F"/>
    <w:rsid w:val="0F5B5ADA"/>
    <w:rsid w:val="0F5BD07A"/>
    <w:rsid w:val="0F5D67FA"/>
    <w:rsid w:val="0F5D8D8F"/>
    <w:rsid w:val="0F5DF1A1"/>
    <w:rsid w:val="0F5E165B"/>
    <w:rsid w:val="0F5F64E7"/>
    <w:rsid w:val="0F5F6B48"/>
    <w:rsid w:val="0F5FA542"/>
    <w:rsid w:val="0F608C80"/>
    <w:rsid w:val="0F60B22F"/>
    <w:rsid w:val="0F616FC8"/>
    <w:rsid w:val="0F618C89"/>
    <w:rsid w:val="0F61CE95"/>
    <w:rsid w:val="0F61D1FE"/>
    <w:rsid w:val="0F6231F7"/>
    <w:rsid w:val="0F628E6C"/>
    <w:rsid w:val="0F63BE47"/>
    <w:rsid w:val="0F63D2B3"/>
    <w:rsid w:val="0F64E553"/>
    <w:rsid w:val="0F6591D4"/>
    <w:rsid w:val="0F65BF74"/>
    <w:rsid w:val="0F663C1A"/>
    <w:rsid w:val="0F672C26"/>
    <w:rsid w:val="0F674678"/>
    <w:rsid w:val="0F676218"/>
    <w:rsid w:val="0F67B903"/>
    <w:rsid w:val="0F68730E"/>
    <w:rsid w:val="0F69F612"/>
    <w:rsid w:val="0F6B08F0"/>
    <w:rsid w:val="0F6BD9ED"/>
    <w:rsid w:val="0F6C0ABF"/>
    <w:rsid w:val="0F6C25CD"/>
    <w:rsid w:val="0F6E38CE"/>
    <w:rsid w:val="0F6E9115"/>
    <w:rsid w:val="0F70277E"/>
    <w:rsid w:val="0F70B521"/>
    <w:rsid w:val="0F711782"/>
    <w:rsid w:val="0F71388B"/>
    <w:rsid w:val="0F7157DE"/>
    <w:rsid w:val="0F718CE3"/>
    <w:rsid w:val="0F71EAE1"/>
    <w:rsid w:val="0F72A704"/>
    <w:rsid w:val="0F73E7D2"/>
    <w:rsid w:val="0F74588A"/>
    <w:rsid w:val="0F74FE57"/>
    <w:rsid w:val="0F75E358"/>
    <w:rsid w:val="0F763F84"/>
    <w:rsid w:val="0F764728"/>
    <w:rsid w:val="0F765700"/>
    <w:rsid w:val="0F76B029"/>
    <w:rsid w:val="0F776EE2"/>
    <w:rsid w:val="0F77BCA8"/>
    <w:rsid w:val="0F77D5F1"/>
    <w:rsid w:val="0F77E86E"/>
    <w:rsid w:val="0F77F32E"/>
    <w:rsid w:val="0F77F61A"/>
    <w:rsid w:val="0F77FF7B"/>
    <w:rsid w:val="0F78B8DB"/>
    <w:rsid w:val="0F790443"/>
    <w:rsid w:val="0F790AEC"/>
    <w:rsid w:val="0F793231"/>
    <w:rsid w:val="0F79B669"/>
    <w:rsid w:val="0F7A155B"/>
    <w:rsid w:val="0F7AA8F8"/>
    <w:rsid w:val="0F7AC185"/>
    <w:rsid w:val="0F7B2B7E"/>
    <w:rsid w:val="0F7CBF01"/>
    <w:rsid w:val="0F7CC916"/>
    <w:rsid w:val="0F7CE996"/>
    <w:rsid w:val="0F7D3FDE"/>
    <w:rsid w:val="0F7E19D5"/>
    <w:rsid w:val="0F7E2D53"/>
    <w:rsid w:val="0F7E3ACB"/>
    <w:rsid w:val="0F7F023D"/>
    <w:rsid w:val="0F7F657B"/>
    <w:rsid w:val="0F7F695D"/>
    <w:rsid w:val="0F801F80"/>
    <w:rsid w:val="0F8051E8"/>
    <w:rsid w:val="0F805491"/>
    <w:rsid w:val="0F806CD3"/>
    <w:rsid w:val="0F81080E"/>
    <w:rsid w:val="0F812B94"/>
    <w:rsid w:val="0F814F4B"/>
    <w:rsid w:val="0F822FCE"/>
    <w:rsid w:val="0F828039"/>
    <w:rsid w:val="0F83A951"/>
    <w:rsid w:val="0F851C0B"/>
    <w:rsid w:val="0F856264"/>
    <w:rsid w:val="0F85963A"/>
    <w:rsid w:val="0F8637D8"/>
    <w:rsid w:val="0F8640DB"/>
    <w:rsid w:val="0F86BAEB"/>
    <w:rsid w:val="0F86BF94"/>
    <w:rsid w:val="0F86CA44"/>
    <w:rsid w:val="0F877699"/>
    <w:rsid w:val="0F87FBB0"/>
    <w:rsid w:val="0F8847DD"/>
    <w:rsid w:val="0F8873F1"/>
    <w:rsid w:val="0F8888F5"/>
    <w:rsid w:val="0F8BAD50"/>
    <w:rsid w:val="0F8BBEC8"/>
    <w:rsid w:val="0F8CB92E"/>
    <w:rsid w:val="0F8D0C12"/>
    <w:rsid w:val="0F8D470D"/>
    <w:rsid w:val="0F8D8D36"/>
    <w:rsid w:val="0F8EA103"/>
    <w:rsid w:val="0F8F1384"/>
    <w:rsid w:val="0F8F31D9"/>
    <w:rsid w:val="0F8F6431"/>
    <w:rsid w:val="0F90ECEB"/>
    <w:rsid w:val="0F91EC81"/>
    <w:rsid w:val="0F92C236"/>
    <w:rsid w:val="0F93D5F7"/>
    <w:rsid w:val="0F943A35"/>
    <w:rsid w:val="0F94CFB9"/>
    <w:rsid w:val="0F951DE6"/>
    <w:rsid w:val="0F95272A"/>
    <w:rsid w:val="0F9592E8"/>
    <w:rsid w:val="0F976479"/>
    <w:rsid w:val="0F97A693"/>
    <w:rsid w:val="0F98C70F"/>
    <w:rsid w:val="0F99371C"/>
    <w:rsid w:val="0F99B5B2"/>
    <w:rsid w:val="0F9BCC88"/>
    <w:rsid w:val="0F9C2556"/>
    <w:rsid w:val="0F9C2A40"/>
    <w:rsid w:val="0F9C5966"/>
    <w:rsid w:val="0F9D029F"/>
    <w:rsid w:val="0F9E1D12"/>
    <w:rsid w:val="0F9FD006"/>
    <w:rsid w:val="0FA0502F"/>
    <w:rsid w:val="0FA231CE"/>
    <w:rsid w:val="0FA25E54"/>
    <w:rsid w:val="0FA2808E"/>
    <w:rsid w:val="0FA28483"/>
    <w:rsid w:val="0FA2D511"/>
    <w:rsid w:val="0FA2E638"/>
    <w:rsid w:val="0FA33462"/>
    <w:rsid w:val="0FA5433F"/>
    <w:rsid w:val="0FA582A1"/>
    <w:rsid w:val="0FA5E29A"/>
    <w:rsid w:val="0FA6135E"/>
    <w:rsid w:val="0FA7BF3F"/>
    <w:rsid w:val="0FA85FDD"/>
    <w:rsid w:val="0FA86EC4"/>
    <w:rsid w:val="0FA89D90"/>
    <w:rsid w:val="0FA8C7C9"/>
    <w:rsid w:val="0FA8D05B"/>
    <w:rsid w:val="0FA91008"/>
    <w:rsid w:val="0FA9193A"/>
    <w:rsid w:val="0FA92F36"/>
    <w:rsid w:val="0FA9A89F"/>
    <w:rsid w:val="0FAAC78E"/>
    <w:rsid w:val="0FAB223A"/>
    <w:rsid w:val="0FAD705C"/>
    <w:rsid w:val="0FAF3D6D"/>
    <w:rsid w:val="0FAF5FD0"/>
    <w:rsid w:val="0FAF6A28"/>
    <w:rsid w:val="0FB04D50"/>
    <w:rsid w:val="0FB06D54"/>
    <w:rsid w:val="0FB08655"/>
    <w:rsid w:val="0FB12678"/>
    <w:rsid w:val="0FB25DC0"/>
    <w:rsid w:val="0FB31C85"/>
    <w:rsid w:val="0FB4CC3B"/>
    <w:rsid w:val="0FB592B1"/>
    <w:rsid w:val="0FB635BB"/>
    <w:rsid w:val="0FB6DD49"/>
    <w:rsid w:val="0FB72F3C"/>
    <w:rsid w:val="0FB74A75"/>
    <w:rsid w:val="0FB76F74"/>
    <w:rsid w:val="0FB82BCE"/>
    <w:rsid w:val="0FB83777"/>
    <w:rsid w:val="0FB85B94"/>
    <w:rsid w:val="0FB9BD89"/>
    <w:rsid w:val="0FB9D1E5"/>
    <w:rsid w:val="0FBA11BB"/>
    <w:rsid w:val="0FBACB36"/>
    <w:rsid w:val="0FBB2311"/>
    <w:rsid w:val="0FBBEF21"/>
    <w:rsid w:val="0FBCC882"/>
    <w:rsid w:val="0FBD5C8C"/>
    <w:rsid w:val="0FBE12A6"/>
    <w:rsid w:val="0FBE8D55"/>
    <w:rsid w:val="0FBF1AD3"/>
    <w:rsid w:val="0FBF5D15"/>
    <w:rsid w:val="0FBF6FD3"/>
    <w:rsid w:val="0FC230A9"/>
    <w:rsid w:val="0FC24E96"/>
    <w:rsid w:val="0FC28EE7"/>
    <w:rsid w:val="0FC2C198"/>
    <w:rsid w:val="0FC2E547"/>
    <w:rsid w:val="0FC35E60"/>
    <w:rsid w:val="0FC3C13C"/>
    <w:rsid w:val="0FC45438"/>
    <w:rsid w:val="0FC488D2"/>
    <w:rsid w:val="0FC4958A"/>
    <w:rsid w:val="0FC53CDD"/>
    <w:rsid w:val="0FC66AED"/>
    <w:rsid w:val="0FC7A5FE"/>
    <w:rsid w:val="0FC7E9EE"/>
    <w:rsid w:val="0FC868B9"/>
    <w:rsid w:val="0FC8C351"/>
    <w:rsid w:val="0FC9F933"/>
    <w:rsid w:val="0FCA774D"/>
    <w:rsid w:val="0FCA965E"/>
    <w:rsid w:val="0FCB278A"/>
    <w:rsid w:val="0FCB2D4D"/>
    <w:rsid w:val="0FCBE02D"/>
    <w:rsid w:val="0FCC8F2C"/>
    <w:rsid w:val="0FCD3696"/>
    <w:rsid w:val="0FCD6AE5"/>
    <w:rsid w:val="0FCD6FFA"/>
    <w:rsid w:val="0FCDCE1B"/>
    <w:rsid w:val="0FCDDB46"/>
    <w:rsid w:val="0FCE27EC"/>
    <w:rsid w:val="0FCEBA86"/>
    <w:rsid w:val="0FCF215D"/>
    <w:rsid w:val="0FCF9982"/>
    <w:rsid w:val="0FCFFBDD"/>
    <w:rsid w:val="0FD02A70"/>
    <w:rsid w:val="0FD0621D"/>
    <w:rsid w:val="0FD165BA"/>
    <w:rsid w:val="0FD1E8BD"/>
    <w:rsid w:val="0FD2BBA1"/>
    <w:rsid w:val="0FD31C3B"/>
    <w:rsid w:val="0FD39950"/>
    <w:rsid w:val="0FD39ED8"/>
    <w:rsid w:val="0FD3D7CE"/>
    <w:rsid w:val="0FD46DEE"/>
    <w:rsid w:val="0FD50714"/>
    <w:rsid w:val="0FD57A20"/>
    <w:rsid w:val="0FD5AD55"/>
    <w:rsid w:val="0FD5EEC5"/>
    <w:rsid w:val="0FD85744"/>
    <w:rsid w:val="0FDA2662"/>
    <w:rsid w:val="0FDAD6A2"/>
    <w:rsid w:val="0FDB1490"/>
    <w:rsid w:val="0FDBD703"/>
    <w:rsid w:val="0FDCA6C1"/>
    <w:rsid w:val="0FDCB91D"/>
    <w:rsid w:val="0FDCCD92"/>
    <w:rsid w:val="0FDD44F3"/>
    <w:rsid w:val="0FDD7633"/>
    <w:rsid w:val="0FDDCA34"/>
    <w:rsid w:val="0FDE55E9"/>
    <w:rsid w:val="0FDE999A"/>
    <w:rsid w:val="0FDF018B"/>
    <w:rsid w:val="0FE042EE"/>
    <w:rsid w:val="0FE0822D"/>
    <w:rsid w:val="0FE14B43"/>
    <w:rsid w:val="0FE427EE"/>
    <w:rsid w:val="0FE6A2A2"/>
    <w:rsid w:val="0FE7BC08"/>
    <w:rsid w:val="0FE8A651"/>
    <w:rsid w:val="0FE8AD06"/>
    <w:rsid w:val="0FE9CFA5"/>
    <w:rsid w:val="0FEA5B65"/>
    <w:rsid w:val="0FEBAC81"/>
    <w:rsid w:val="0FEC83C0"/>
    <w:rsid w:val="0FEDA43F"/>
    <w:rsid w:val="0FEE9537"/>
    <w:rsid w:val="0FEE9ED2"/>
    <w:rsid w:val="0FEF48B7"/>
    <w:rsid w:val="0FF0578C"/>
    <w:rsid w:val="0FF09D16"/>
    <w:rsid w:val="0FF09D5C"/>
    <w:rsid w:val="0FF3018F"/>
    <w:rsid w:val="0FF53C6B"/>
    <w:rsid w:val="0FF578E0"/>
    <w:rsid w:val="0FF70EE8"/>
    <w:rsid w:val="0FF75641"/>
    <w:rsid w:val="0FF7F21D"/>
    <w:rsid w:val="0FF8E720"/>
    <w:rsid w:val="0FF9F98E"/>
    <w:rsid w:val="0FFB56AA"/>
    <w:rsid w:val="0FFC164A"/>
    <w:rsid w:val="0FFC8B1D"/>
    <w:rsid w:val="0FFCB5C5"/>
    <w:rsid w:val="0FFD7E71"/>
    <w:rsid w:val="0FFE48E1"/>
    <w:rsid w:val="0FFED208"/>
    <w:rsid w:val="0FFEE49A"/>
    <w:rsid w:val="0FFF13BE"/>
    <w:rsid w:val="10003B3B"/>
    <w:rsid w:val="100140C8"/>
    <w:rsid w:val="10025E78"/>
    <w:rsid w:val="100260FF"/>
    <w:rsid w:val="1002FC0A"/>
    <w:rsid w:val="10030286"/>
    <w:rsid w:val="1003028F"/>
    <w:rsid w:val="100506AC"/>
    <w:rsid w:val="1005724B"/>
    <w:rsid w:val="1005E6FD"/>
    <w:rsid w:val="10064C49"/>
    <w:rsid w:val="100725DC"/>
    <w:rsid w:val="1007ABBF"/>
    <w:rsid w:val="100845E8"/>
    <w:rsid w:val="1008AEAE"/>
    <w:rsid w:val="1008B44B"/>
    <w:rsid w:val="10090631"/>
    <w:rsid w:val="100976BC"/>
    <w:rsid w:val="10097AB3"/>
    <w:rsid w:val="10099D26"/>
    <w:rsid w:val="1009DDEC"/>
    <w:rsid w:val="100B9533"/>
    <w:rsid w:val="100C8E9B"/>
    <w:rsid w:val="100CB5A9"/>
    <w:rsid w:val="100D2699"/>
    <w:rsid w:val="100D3DFA"/>
    <w:rsid w:val="100DA2B3"/>
    <w:rsid w:val="100E0FDC"/>
    <w:rsid w:val="100E54C5"/>
    <w:rsid w:val="100EE126"/>
    <w:rsid w:val="100F5407"/>
    <w:rsid w:val="100FEF75"/>
    <w:rsid w:val="10104E2F"/>
    <w:rsid w:val="1010E267"/>
    <w:rsid w:val="101228A9"/>
    <w:rsid w:val="10129C6F"/>
    <w:rsid w:val="1012E497"/>
    <w:rsid w:val="101335F7"/>
    <w:rsid w:val="101393D7"/>
    <w:rsid w:val="101408BF"/>
    <w:rsid w:val="1014D38C"/>
    <w:rsid w:val="1014F3AF"/>
    <w:rsid w:val="10152657"/>
    <w:rsid w:val="10159086"/>
    <w:rsid w:val="1015A469"/>
    <w:rsid w:val="1015C429"/>
    <w:rsid w:val="10164A1E"/>
    <w:rsid w:val="1016F4CB"/>
    <w:rsid w:val="101722CB"/>
    <w:rsid w:val="10176E3A"/>
    <w:rsid w:val="1017E3CE"/>
    <w:rsid w:val="101853B8"/>
    <w:rsid w:val="10188698"/>
    <w:rsid w:val="1018B400"/>
    <w:rsid w:val="1018C3DB"/>
    <w:rsid w:val="1018F5C1"/>
    <w:rsid w:val="10190832"/>
    <w:rsid w:val="1019175B"/>
    <w:rsid w:val="1019EA88"/>
    <w:rsid w:val="101A2867"/>
    <w:rsid w:val="101B99DF"/>
    <w:rsid w:val="101CFF0C"/>
    <w:rsid w:val="101D07B2"/>
    <w:rsid w:val="101D74BB"/>
    <w:rsid w:val="101E17CE"/>
    <w:rsid w:val="101E8003"/>
    <w:rsid w:val="101EB2DC"/>
    <w:rsid w:val="101F47D9"/>
    <w:rsid w:val="101FF112"/>
    <w:rsid w:val="10211216"/>
    <w:rsid w:val="102115AC"/>
    <w:rsid w:val="10215F73"/>
    <w:rsid w:val="10216A92"/>
    <w:rsid w:val="10229B9D"/>
    <w:rsid w:val="1022AFA1"/>
    <w:rsid w:val="1022E491"/>
    <w:rsid w:val="10237C94"/>
    <w:rsid w:val="10239760"/>
    <w:rsid w:val="1023D602"/>
    <w:rsid w:val="102529B4"/>
    <w:rsid w:val="10269938"/>
    <w:rsid w:val="10289655"/>
    <w:rsid w:val="1028EF0A"/>
    <w:rsid w:val="10291C86"/>
    <w:rsid w:val="10299C67"/>
    <w:rsid w:val="1029A569"/>
    <w:rsid w:val="102ADCCE"/>
    <w:rsid w:val="102AE0AD"/>
    <w:rsid w:val="102B00C7"/>
    <w:rsid w:val="102B5136"/>
    <w:rsid w:val="102B6A6C"/>
    <w:rsid w:val="102BA71F"/>
    <w:rsid w:val="102C1CE6"/>
    <w:rsid w:val="102C3151"/>
    <w:rsid w:val="102C4CCC"/>
    <w:rsid w:val="102CF7B9"/>
    <w:rsid w:val="102E89B2"/>
    <w:rsid w:val="102EA0D9"/>
    <w:rsid w:val="102F3AC0"/>
    <w:rsid w:val="102FF5B2"/>
    <w:rsid w:val="102FF71B"/>
    <w:rsid w:val="1030A9BE"/>
    <w:rsid w:val="1030B384"/>
    <w:rsid w:val="1031DF56"/>
    <w:rsid w:val="1032BDB0"/>
    <w:rsid w:val="1032CC15"/>
    <w:rsid w:val="1032E4B7"/>
    <w:rsid w:val="1033B544"/>
    <w:rsid w:val="103486FB"/>
    <w:rsid w:val="10362F17"/>
    <w:rsid w:val="1036B53A"/>
    <w:rsid w:val="10379713"/>
    <w:rsid w:val="1037C492"/>
    <w:rsid w:val="10380DE2"/>
    <w:rsid w:val="1038AC9D"/>
    <w:rsid w:val="103901E8"/>
    <w:rsid w:val="10393D79"/>
    <w:rsid w:val="10395BD0"/>
    <w:rsid w:val="1039DD6C"/>
    <w:rsid w:val="103A6A76"/>
    <w:rsid w:val="103AA4D3"/>
    <w:rsid w:val="103B0B10"/>
    <w:rsid w:val="103B463F"/>
    <w:rsid w:val="103B8F09"/>
    <w:rsid w:val="103CC8DB"/>
    <w:rsid w:val="103D458C"/>
    <w:rsid w:val="103DB90A"/>
    <w:rsid w:val="103EFB24"/>
    <w:rsid w:val="103F997A"/>
    <w:rsid w:val="104010EE"/>
    <w:rsid w:val="10410889"/>
    <w:rsid w:val="1041267C"/>
    <w:rsid w:val="1041456F"/>
    <w:rsid w:val="10426AF1"/>
    <w:rsid w:val="1042AE9B"/>
    <w:rsid w:val="104311AC"/>
    <w:rsid w:val="104545F8"/>
    <w:rsid w:val="1045F690"/>
    <w:rsid w:val="10468F4A"/>
    <w:rsid w:val="104700AD"/>
    <w:rsid w:val="1047F8B8"/>
    <w:rsid w:val="104885C0"/>
    <w:rsid w:val="104A230E"/>
    <w:rsid w:val="104A2867"/>
    <w:rsid w:val="104B6B46"/>
    <w:rsid w:val="104CDCEF"/>
    <w:rsid w:val="104D0996"/>
    <w:rsid w:val="104D0EBF"/>
    <w:rsid w:val="104EA284"/>
    <w:rsid w:val="1050BDB4"/>
    <w:rsid w:val="1050DDAB"/>
    <w:rsid w:val="1050F853"/>
    <w:rsid w:val="105183E9"/>
    <w:rsid w:val="1051B417"/>
    <w:rsid w:val="1052A240"/>
    <w:rsid w:val="1052B68C"/>
    <w:rsid w:val="10537FE3"/>
    <w:rsid w:val="1053BE2C"/>
    <w:rsid w:val="1053D747"/>
    <w:rsid w:val="10540AE8"/>
    <w:rsid w:val="10544544"/>
    <w:rsid w:val="105488C8"/>
    <w:rsid w:val="1054F7E8"/>
    <w:rsid w:val="1055073C"/>
    <w:rsid w:val="1055CD74"/>
    <w:rsid w:val="10560B96"/>
    <w:rsid w:val="10561DDA"/>
    <w:rsid w:val="10575168"/>
    <w:rsid w:val="1058D1FC"/>
    <w:rsid w:val="1059C7FB"/>
    <w:rsid w:val="105CBE25"/>
    <w:rsid w:val="105D5085"/>
    <w:rsid w:val="105E399F"/>
    <w:rsid w:val="105F66B8"/>
    <w:rsid w:val="10602FA8"/>
    <w:rsid w:val="10603E42"/>
    <w:rsid w:val="10603F8C"/>
    <w:rsid w:val="106303C7"/>
    <w:rsid w:val="1063170D"/>
    <w:rsid w:val="106357B9"/>
    <w:rsid w:val="10636D64"/>
    <w:rsid w:val="10658D3D"/>
    <w:rsid w:val="10666DD0"/>
    <w:rsid w:val="1066EC52"/>
    <w:rsid w:val="1066F166"/>
    <w:rsid w:val="10684A95"/>
    <w:rsid w:val="10685409"/>
    <w:rsid w:val="10689DF8"/>
    <w:rsid w:val="1068CAA9"/>
    <w:rsid w:val="1069045E"/>
    <w:rsid w:val="10691873"/>
    <w:rsid w:val="106CD191"/>
    <w:rsid w:val="106D5B16"/>
    <w:rsid w:val="106DFA38"/>
    <w:rsid w:val="106E669D"/>
    <w:rsid w:val="106EA794"/>
    <w:rsid w:val="106EA993"/>
    <w:rsid w:val="106EC796"/>
    <w:rsid w:val="106FAB0E"/>
    <w:rsid w:val="106FF98C"/>
    <w:rsid w:val="107170DA"/>
    <w:rsid w:val="1071A396"/>
    <w:rsid w:val="10728841"/>
    <w:rsid w:val="1073990A"/>
    <w:rsid w:val="1074DA96"/>
    <w:rsid w:val="10755420"/>
    <w:rsid w:val="107576AC"/>
    <w:rsid w:val="107659C8"/>
    <w:rsid w:val="107685F5"/>
    <w:rsid w:val="107722EC"/>
    <w:rsid w:val="107793DE"/>
    <w:rsid w:val="10781863"/>
    <w:rsid w:val="10787D6A"/>
    <w:rsid w:val="107881D4"/>
    <w:rsid w:val="10791E29"/>
    <w:rsid w:val="10798093"/>
    <w:rsid w:val="107994CF"/>
    <w:rsid w:val="1079B4FD"/>
    <w:rsid w:val="1079C4C7"/>
    <w:rsid w:val="107AA6C0"/>
    <w:rsid w:val="107B0061"/>
    <w:rsid w:val="107B354B"/>
    <w:rsid w:val="107B39A8"/>
    <w:rsid w:val="107BAFCD"/>
    <w:rsid w:val="107C6D88"/>
    <w:rsid w:val="107C8944"/>
    <w:rsid w:val="107CB32F"/>
    <w:rsid w:val="107D70C2"/>
    <w:rsid w:val="107D7441"/>
    <w:rsid w:val="107DA835"/>
    <w:rsid w:val="107EC591"/>
    <w:rsid w:val="107FFEB4"/>
    <w:rsid w:val="1080041B"/>
    <w:rsid w:val="10803E11"/>
    <w:rsid w:val="10831389"/>
    <w:rsid w:val="1083CA0F"/>
    <w:rsid w:val="10855072"/>
    <w:rsid w:val="10857BDE"/>
    <w:rsid w:val="10860D0B"/>
    <w:rsid w:val="10868A0B"/>
    <w:rsid w:val="1086E143"/>
    <w:rsid w:val="10877A47"/>
    <w:rsid w:val="1088F75D"/>
    <w:rsid w:val="10897DC8"/>
    <w:rsid w:val="1089F100"/>
    <w:rsid w:val="108A5952"/>
    <w:rsid w:val="108B524F"/>
    <w:rsid w:val="108B8239"/>
    <w:rsid w:val="108BCD24"/>
    <w:rsid w:val="108D3AC2"/>
    <w:rsid w:val="108DD7C6"/>
    <w:rsid w:val="108E8229"/>
    <w:rsid w:val="108F475A"/>
    <w:rsid w:val="108F9336"/>
    <w:rsid w:val="108FBB80"/>
    <w:rsid w:val="108FC4E0"/>
    <w:rsid w:val="108FE292"/>
    <w:rsid w:val="108FE8D6"/>
    <w:rsid w:val="1090063D"/>
    <w:rsid w:val="10907CD7"/>
    <w:rsid w:val="1090E01D"/>
    <w:rsid w:val="109143BE"/>
    <w:rsid w:val="1091B6A4"/>
    <w:rsid w:val="1092F870"/>
    <w:rsid w:val="10932695"/>
    <w:rsid w:val="1094DADD"/>
    <w:rsid w:val="10950C7F"/>
    <w:rsid w:val="10956238"/>
    <w:rsid w:val="10961C0D"/>
    <w:rsid w:val="109631D4"/>
    <w:rsid w:val="10965DB8"/>
    <w:rsid w:val="10986020"/>
    <w:rsid w:val="10990094"/>
    <w:rsid w:val="1099BA45"/>
    <w:rsid w:val="109A3325"/>
    <w:rsid w:val="109ABDBF"/>
    <w:rsid w:val="109C8529"/>
    <w:rsid w:val="109DA456"/>
    <w:rsid w:val="109DC4D9"/>
    <w:rsid w:val="109E8995"/>
    <w:rsid w:val="109EAD32"/>
    <w:rsid w:val="10A017E5"/>
    <w:rsid w:val="10A0AB2B"/>
    <w:rsid w:val="10A1C20A"/>
    <w:rsid w:val="10A2050C"/>
    <w:rsid w:val="10A318C5"/>
    <w:rsid w:val="10A36066"/>
    <w:rsid w:val="10A38D45"/>
    <w:rsid w:val="10A3AAB6"/>
    <w:rsid w:val="10A3C14C"/>
    <w:rsid w:val="10A442E8"/>
    <w:rsid w:val="10A47352"/>
    <w:rsid w:val="10A49469"/>
    <w:rsid w:val="10A5746D"/>
    <w:rsid w:val="10A5E48B"/>
    <w:rsid w:val="10A79F7C"/>
    <w:rsid w:val="10A7E4D9"/>
    <w:rsid w:val="10A7E84B"/>
    <w:rsid w:val="10A87394"/>
    <w:rsid w:val="10A9B667"/>
    <w:rsid w:val="10AA2425"/>
    <w:rsid w:val="10AA46D5"/>
    <w:rsid w:val="10AA4B3D"/>
    <w:rsid w:val="10AAE2EB"/>
    <w:rsid w:val="10AB25B5"/>
    <w:rsid w:val="10AB977F"/>
    <w:rsid w:val="10ABE14B"/>
    <w:rsid w:val="10ACEB65"/>
    <w:rsid w:val="10AD27B8"/>
    <w:rsid w:val="10AF4CF6"/>
    <w:rsid w:val="10AF52A2"/>
    <w:rsid w:val="10AFB030"/>
    <w:rsid w:val="10AFBCCC"/>
    <w:rsid w:val="10AFEE4B"/>
    <w:rsid w:val="10B20B30"/>
    <w:rsid w:val="10B2C7A1"/>
    <w:rsid w:val="10B2DCE7"/>
    <w:rsid w:val="10B3A9EF"/>
    <w:rsid w:val="10B55C93"/>
    <w:rsid w:val="10B5FA7F"/>
    <w:rsid w:val="10B69E62"/>
    <w:rsid w:val="10B78A04"/>
    <w:rsid w:val="10B839E9"/>
    <w:rsid w:val="10B99D4C"/>
    <w:rsid w:val="10B9E68D"/>
    <w:rsid w:val="10BADE00"/>
    <w:rsid w:val="10BB91F8"/>
    <w:rsid w:val="10BBF7EF"/>
    <w:rsid w:val="10BC21E4"/>
    <w:rsid w:val="10BC375A"/>
    <w:rsid w:val="10BCD543"/>
    <w:rsid w:val="10BD8859"/>
    <w:rsid w:val="10BDD57B"/>
    <w:rsid w:val="10BDE29E"/>
    <w:rsid w:val="10BE4DD9"/>
    <w:rsid w:val="10BE9261"/>
    <w:rsid w:val="10BF964B"/>
    <w:rsid w:val="10BFA81C"/>
    <w:rsid w:val="10C17ED4"/>
    <w:rsid w:val="10C19B8B"/>
    <w:rsid w:val="10C250A6"/>
    <w:rsid w:val="10C29507"/>
    <w:rsid w:val="10C4637B"/>
    <w:rsid w:val="10C4761A"/>
    <w:rsid w:val="10C47B17"/>
    <w:rsid w:val="10C564D4"/>
    <w:rsid w:val="10C57239"/>
    <w:rsid w:val="10C6D1DF"/>
    <w:rsid w:val="10C70116"/>
    <w:rsid w:val="10C7C2A6"/>
    <w:rsid w:val="10C8B790"/>
    <w:rsid w:val="10C8EB02"/>
    <w:rsid w:val="10C9D42A"/>
    <w:rsid w:val="10CB6CA7"/>
    <w:rsid w:val="10CBFAF7"/>
    <w:rsid w:val="10CCD5A4"/>
    <w:rsid w:val="10CDC424"/>
    <w:rsid w:val="10CE8075"/>
    <w:rsid w:val="10CF45E9"/>
    <w:rsid w:val="10D0C542"/>
    <w:rsid w:val="10D28383"/>
    <w:rsid w:val="10D2A26D"/>
    <w:rsid w:val="10D42C73"/>
    <w:rsid w:val="10D4388A"/>
    <w:rsid w:val="10D44F32"/>
    <w:rsid w:val="10D48DEC"/>
    <w:rsid w:val="10D4ED1B"/>
    <w:rsid w:val="10D4FF1F"/>
    <w:rsid w:val="10D69048"/>
    <w:rsid w:val="10D77E42"/>
    <w:rsid w:val="10D80588"/>
    <w:rsid w:val="10D81291"/>
    <w:rsid w:val="10D95D09"/>
    <w:rsid w:val="10D9635E"/>
    <w:rsid w:val="10D9A459"/>
    <w:rsid w:val="10DA69E3"/>
    <w:rsid w:val="10DA8948"/>
    <w:rsid w:val="10DB6821"/>
    <w:rsid w:val="10DBBEC1"/>
    <w:rsid w:val="10DD3F54"/>
    <w:rsid w:val="10DD7BED"/>
    <w:rsid w:val="10DF4E76"/>
    <w:rsid w:val="10E05DE4"/>
    <w:rsid w:val="10E0B107"/>
    <w:rsid w:val="10E0E5C9"/>
    <w:rsid w:val="10E1AAE3"/>
    <w:rsid w:val="10E247EC"/>
    <w:rsid w:val="10E24F94"/>
    <w:rsid w:val="10E350E2"/>
    <w:rsid w:val="10E35205"/>
    <w:rsid w:val="10E40D79"/>
    <w:rsid w:val="10E4AC3D"/>
    <w:rsid w:val="10E57189"/>
    <w:rsid w:val="10E5AF77"/>
    <w:rsid w:val="10E63F36"/>
    <w:rsid w:val="10E657F2"/>
    <w:rsid w:val="10E658DE"/>
    <w:rsid w:val="10E65A67"/>
    <w:rsid w:val="10E7148F"/>
    <w:rsid w:val="10E8B363"/>
    <w:rsid w:val="10E97E5D"/>
    <w:rsid w:val="10E9AA20"/>
    <w:rsid w:val="10EAAAC0"/>
    <w:rsid w:val="10EB62E5"/>
    <w:rsid w:val="10EDA75B"/>
    <w:rsid w:val="10EDF215"/>
    <w:rsid w:val="10EF73A3"/>
    <w:rsid w:val="10F0568A"/>
    <w:rsid w:val="10F0C739"/>
    <w:rsid w:val="10F0CB25"/>
    <w:rsid w:val="10F0F7F0"/>
    <w:rsid w:val="10F299F7"/>
    <w:rsid w:val="10F380E2"/>
    <w:rsid w:val="10F4B986"/>
    <w:rsid w:val="10F4D4CE"/>
    <w:rsid w:val="10F57931"/>
    <w:rsid w:val="10F59B56"/>
    <w:rsid w:val="10F61665"/>
    <w:rsid w:val="10F69C57"/>
    <w:rsid w:val="10F72B1D"/>
    <w:rsid w:val="10F731F4"/>
    <w:rsid w:val="10F7D1EB"/>
    <w:rsid w:val="10F838C4"/>
    <w:rsid w:val="10F8E618"/>
    <w:rsid w:val="10F90530"/>
    <w:rsid w:val="10F93A04"/>
    <w:rsid w:val="10F9AB3B"/>
    <w:rsid w:val="10F9E1C2"/>
    <w:rsid w:val="10FA10DC"/>
    <w:rsid w:val="10FA7DA9"/>
    <w:rsid w:val="10FA8174"/>
    <w:rsid w:val="10FA876B"/>
    <w:rsid w:val="10FB6A0F"/>
    <w:rsid w:val="10FC1E61"/>
    <w:rsid w:val="10FC407E"/>
    <w:rsid w:val="10FDD597"/>
    <w:rsid w:val="10FE1292"/>
    <w:rsid w:val="10FF8960"/>
    <w:rsid w:val="10FFA1DA"/>
    <w:rsid w:val="1100AAB8"/>
    <w:rsid w:val="1100C516"/>
    <w:rsid w:val="1100EC63"/>
    <w:rsid w:val="1100F827"/>
    <w:rsid w:val="1101B7E1"/>
    <w:rsid w:val="110215D8"/>
    <w:rsid w:val="11028719"/>
    <w:rsid w:val="110302CD"/>
    <w:rsid w:val="1103D1C4"/>
    <w:rsid w:val="1104143B"/>
    <w:rsid w:val="110480B1"/>
    <w:rsid w:val="11054712"/>
    <w:rsid w:val="1106187F"/>
    <w:rsid w:val="1106D4BD"/>
    <w:rsid w:val="110819EF"/>
    <w:rsid w:val="11089FE1"/>
    <w:rsid w:val="11092CEC"/>
    <w:rsid w:val="1109F48E"/>
    <w:rsid w:val="110AF0F2"/>
    <w:rsid w:val="110BDFA3"/>
    <w:rsid w:val="110C6C89"/>
    <w:rsid w:val="110D05CF"/>
    <w:rsid w:val="110D0A71"/>
    <w:rsid w:val="110D32E4"/>
    <w:rsid w:val="110E4E74"/>
    <w:rsid w:val="110E7609"/>
    <w:rsid w:val="110E8CFB"/>
    <w:rsid w:val="110EE8C8"/>
    <w:rsid w:val="110F671A"/>
    <w:rsid w:val="11108F81"/>
    <w:rsid w:val="1110DA5F"/>
    <w:rsid w:val="1111628A"/>
    <w:rsid w:val="111254F6"/>
    <w:rsid w:val="1114FAB3"/>
    <w:rsid w:val="111518AC"/>
    <w:rsid w:val="11163C62"/>
    <w:rsid w:val="1116E769"/>
    <w:rsid w:val="1117335F"/>
    <w:rsid w:val="1117538D"/>
    <w:rsid w:val="1119329C"/>
    <w:rsid w:val="11196A3B"/>
    <w:rsid w:val="111AE4B8"/>
    <w:rsid w:val="111AE60F"/>
    <w:rsid w:val="111C4886"/>
    <w:rsid w:val="111CD22E"/>
    <w:rsid w:val="111D08C6"/>
    <w:rsid w:val="111D7D3D"/>
    <w:rsid w:val="111DF52C"/>
    <w:rsid w:val="111E3B4F"/>
    <w:rsid w:val="111F5D68"/>
    <w:rsid w:val="111FDFD2"/>
    <w:rsid w:val="1120A782"/>
    <w:rsid w:val="11210A86"/>
    <w:rsid w:val="1121E258"/>
    <w:rsid w:val="1121FFF2"/>
    <w:rsid w:val="1123330A"/>
    <w:rsid w:val="11243B1C"/>
    <w:rsid w:val="112468C3"/>
    <w:rsid w:val="11247143"/>
    <w:rsid w:val="112472C8"/>
    <w:rsid w:val="11247FCD"/>
    <w:rsid w:val="11256255"/>
    <w:rsid w:val="112692C0"/>
    <w:rsid w:val="1126C995"/>
    <w:rsid w:val="1126E6C8"/>
    <w:rsid w:val="11272934"/>
    <w:rsid w:val="11280C53"/>
    <w:rsid w:val="11285013"/>
    <w:rsid w:val="1128705B"/>
    <w:rsid w:val="1128845A"/>
    <w:rsid w:val="11288D60"/>
    <w:rsid w:val="11295C36"/>
    <w:rsid w:val="1129823D"/>
    <w:rsid w:val="112B8054"/>
    <w:rsid w:val="112C15A5"/>
    <w:rsid w:val="112CC718"/>
    <w:rsid w:val="112D1B25"/>
    <w:rsid w:val="112E181B"/>
    <w:rsid w:val="112E3169"/>
    <w:rsid w:val="112E317C"/>
    <w:rsid w:val="112EDE44"/>
    <w:rsid w:val="112EECBE"/>
    <w:rsid w:val="11307961"/>
    <w:rsid w:val="11315A39"/>
    <w:rsid w:val="113164B1"/>
    <w:rsid w:val="11322D2B"/>
    <w:rsid w:val="113275F6"/>
    <w:rsid w:val="11334766"/>
    <w:rsid w:val="11346B1F"/>
    <w:rsid w:val="11348EFC"/>
    <w:rsid w:val="11349770"/>
    <w:rsid w:val="1135EC4E"/>
    <w:rsid w:val="113670B6"/>
    <w:rsid w:val="1138EDDF"/>
    <w:rsid w:val="113907F2"/>
    <w:rsid w:val="11392A48"/>
    <w:rsid w:val="11395F0F"/>
    <w:rsid w:val="1139BB51"/>
    <w:rsid w:val="113A3493"/>
    <w:rsid w:val="113A3D81"/>
    <w:rsid w:val="113A8C45"/>
    <w:rsid w:val="113B0762"/>
    <w:rsid w:val="113B3499"/>
    <w:rsid w:val="113BF859"/>
    <w:rsid w:val="113C4E8F"/>
    <w:rsid w:val="113CA814"/>
    <w:rsid w:val="113CE3CD"/>
    <w:rsid w:val="113F7D19"/>
    <w:rsid w:val="113FCCF1"/>
    <w:rsid w:val="113FE553"/>
    <w:rsid w:val="1141CB50"/>
    <w:rsid w:val="114276D7"/>
    <w:rsid w:val="11428203"/>
    <w:rsid w:val="1142D143"/>
    <w:rsid w:val="11432455"/>
    <w:rsid w:val="11432674"/>
    <w:rsid w:val="11432D9B"/>
    <w:rsid w:val="11435764"/>
    <w:rsid w:val="11436653"/>
    <w:rsid w:val="1143C704"/>
    <w:rsid w:val="11441DA7"/>
    <w:rsid w:val="1148DC88"/>
    <w:rsid w:val="11495371"/>
    <w:rsid w:val="1149CA7D"/>
    <w:rsid w:val="114AB1D5"/>
    <w:rsid w:val="114C14F9"/>
    <w:rsid w:val="114D3B7E"/>
    <w:rsid w:val="114D4E70"/>
    <w:rsid w:val="114E7524"/>
    <w:rsid w:val="114EB919"/>
    <w:rsid w:val="114EE7BB"/>
    <w:rsid w:val="114EFC10"/>
    <w:rsid w:val="114FB340"/>
    <w:rsid w:val="1150D583"/>
    <w:rsid w:val="1151139B"/>
    <w:rsid w:val="11517FDD"/>
    <w:rsid w:val="1151C613"/>
    <w:rsid w:val="1151F788"/>
    <w:rsid w:val="11527AFF"/>
    <w:rsid w:val="1153CBBB"/>
    <w:rsid w:val="1154CCE2"/>
    <w:rsid w:val="1154E1F3"/>
    <w:rsid w:val="11557BB8"/>
    <w:rsid w:val="115596FF"/>
    <w:rsid w:val="115655A3"/>
    <w:rsid w:val="1157ED0C"/>
    <w:rsid w:val="11586731"/>
    <w:rsid w:val="1158B8FC"/>
    <w:rsid w:val="115A01C9"/>
    <w:rsid w:val="115A521C"/>
    <w:rsid w:val="115B5856"/>
    <w:rsid w:val="115D0E99"/>
    <w:rsid w:val="115E91F9"/>
    <w:rsid w:val="115ED798"/>
    <w:rsid w:val="115F4006"/>
    <w:rsid w:val="11604C02"/>
    <w:rsid w:val="11606B9D"/>
    <w:rsid w:val="11619539"/>
    <w:rsid w:val="1161EC4E"/>
    <w:rsid w:val="11629EBF"/>
    <w:rsid w:val="1162C143"/>
    <w:rsid w:val="116399AA"/>
    <w:rsid w:val="1163A91E"/>
    <w:rsid w:val="11640EC7"/>
    <w:rsid w:val="11649C96"/>
    <w:rsid w:val="1164FE57"/>
    <w:rsid w:val="1165BA2A"/>
    <w:rsid w:val="1165CCA9"/>
    <w:rsid w:val="1165CE21"/>
    <w:rsid w:val="11662EEB"/>
    <w:rsid w:val="11666F57"/>
    <w:rsid w:val="116763DF"/>
    <w:rsid w:val="1167B33F"/>
    <w:rsid w:val="11682B7E"/>
    <w:rsid w:val="116949C4"/>
    <w:rsid w:val="116A00F5"/>
    <w:rsid w:val="116A424C"/>
    <w:rsid w:val="116B2362"/>
    <w:rsid w:val="116CB888"/>
    <w:rsid w:val="116CEC24"/>
    <w:rsid w:val="116D16E3"/>
    <w:rsid w:val="116D3822"/>
    <w:rsid w:val="116DAC1B"/>
    <w:rsid w:val="116DEC22"/>
    <w:rsid w:val="116E64C2"/>
    <w:rsid w:val="116EF571"/>
    <w:rsid w:val="116F3AE8"/>
    <w:rsid w:val="116F3DFF"/>
    <w:rsid w:val="116FF9B9"/>
    <w:rsid w:val="1170FFB9"/>
    <w:rsid w:val="1172E095"/>
    <w:rsid w:val="1172F226"/>
    <w:rsid w:val="11733AEA"/>
    <w:rsid w:val="1174538D"/>
    <w:rsid w:val="11746152"/>
    <w:rsid w:val="11749212"/>
    <w:rsid w:val="117499D0"/>
    <w:rsid w:val="1174E8FC"/>
    <w:rsid w:val="11755C1A"/>
    <w:rsid w:val="11759B88"/>
    <w:rsid w:val="117613E0"/>
    <w:rsid w:val="1176D76B"/>
    <w:rsid w:val="11770BB5"/>
    <w:rsid w:val="1177B085"/>
    <w:rsid w:val="1177DFBA"/>
    <w:rsid w:val="1178CE84"/>
    <w:rsid w:val="11791C3D"/>
    <w:rsid w:val="11799ABA"/>
    <w:rsid w:val="117A654D"/>
    <w:rsid w:val="117A7FF6"/>
    <w:rsid w:val="117A8B82"/>
    <w:rsid w:val="117AB613"/>
    <w:rsid w:val="117AC014"/>
    <w:rsid w:val="117BEACF"/>
    <w:rsid w:val="117C2664"/>
    <w:rsid w:val="117CA8ED"/>
    <w:rsid w:val="117E40F1"/>
    <w:rsid w:val="117EEDA8"/>
    <w:rsid w:val="1181D5FF"/>
    <w:rsid w:val="1181DB5C"/>
    <w:rsid w:val="1181E88C"/>
    <w:rsid w:val="11835D42"/>
    <w:rsid w:val="11844B1E"/>
    <w:rsid w:val="1184BB40"/>
    <w:rsid w:val="1184F2DE"/>
    <w:rsid w:val="1185AF71"/>
    <w:rsid w:val="1185C1AB"/>
    <w:rsid w:val="1185F22A"/>
    <w:rsid w:val="11872EEE"/>
    <w:rsid w:val="11889688"/>
    <w:rsid w:val="1188EF30"/>
    <w:rsid w:val="118A0C43"/>
    <w:rsid w:val="118A7221"/>
    <w:rsid w:val="118AA586"/>
    <w:rsid w:val="118AE1BC"/>
    <w:rsid w:val="118CD9DB"/>
    <w:rsid w:val="118D85E2"/>
    <w:rsid w:val="118DA1B5"/>
    <w:rsid w:val="118DF064"/>
    <w:rsid w:val="118E2390"/>
    <w:rsid w:val="118F9D63"/>
    <w:rsid w:val="118FA745"/>
    <w:rsid w:val="11904939"/>
    <w:rsid w:val="119070B1"/>
    <w:rsid w:val="1190B1AE"/>
    <w:rsid w:val="1190D85E"/>
    <w:rsid w:val="1192055A"/>
    <w:rsid w:val="11927E7B"/>
    <w:rsid w:val="1192CCE4"/>
    <w:rsid w:val="1192F13E"/>
    <w:rsid w:val="11931045"/>
    <w:rsid w:val="119324F5"/>
    <w:rsid w:val="1193B68E"/>
    <w:rsid w:val="119467BF"/>
    <w:rsid w:val="1194846E"/>
    <w:rsid w:val="1194DA4F"/>
    <w:rsid w:val="1195BFE2"/>
    <w:rsid w:val="11960F23"/>
    <w:rsid w:val="11966F3B"/>
    <w:rsid w:val="119771B1"/>
    <w:rsid w:val="1197C58D"/>
    <w:rsid w:val="1197E165"/>
    <w:rsid w:val="11986F65"/>
    <w:rsid w:val="119899B4"/>
    <w:rsid w:val="119937B7"/>
    <w:rsid w:val="1199D5D9"/>
    <w:rsid w:val="119AAE51"/>
    <w:rsid w:val="119AB0D2"/>
    <w:rsid w:val="119B7C34"/>
    <w:rsid w:val="119BC478"/>
    <w:rsid w:val="119C2DE8"/>
    <w:rsid w:val="119CF1F6"/>
    <w:rsid w:val="119D7CBF"/>
    <w:rsid w:val="119DCE1E"/>
    <w:rsid w:val="119DF748"/>
    <w:rsid w:val="119DFBFE"/>
    <w:rsid w:val="119ED4FD"/>
    <w:rsid w:val="119EED3F"/>
    <w:rsid w:val="11A097D8"/>
    <w:rsid w:val="11A15B7B"/>
    <w:rsid w:val="11A1CF00"/>
    <w:rsid w:val="11A2A442"/>
    <w:rsid w:val="11A43303"/>
    <w:rsid w:val="11A47858"/>
    <w:rsid w:val="11A49A33"/>
    <w:rsid w:val="11A549C0"/>
    <w:rsid w:val="11A69E2F"/>
    <w:rsid w:val="11A6A85C"/>
    <w:rsid w:val="11A704FE"/>
    <w:rsid w:val="11A95333"/>
    <w:rsid w:val="11AADC25"/>
    <w:rsid w:val="11AB7289"/>
    <w:rsid w:val="11AC5C1A"/>
    <w:rsid w:val="11AD32F5"/>
    <w:rsid w:val="11AD6B34"/>
    <w:rsid w:val="11AE081E"/>
    <w:rsid w:val="11AE78DE"/>
    <w:rsid w:val="11AF275E"/>
    <w:rsid w:val="11B02D38"/>
    <w:rsid w:val="11B11C35"/>
    <w:rsid w:val="11B34935"/>
    <w:rsid w:val="11B4E58F"/>
    <w:rsid w:val="11B5B1ED"/>
    <w:rsid w:val="11B74CE1"/>
    <w:rsid w:val="11B80D1C"/>
    <w:rsid w:val="11B98FD3"/>
    <w:rsid w:val="11B9C127"/>
    <w:rsid w:val="11BAC0FD"/>
    <w:rsid w:val="11BB190E"/>
    <w:rsid w:val="11BB3979"/>
    <w:rsid w:val="11BB7520"/>
    <w:rsid w:val="11BD44C0"/>
    <w:rsid w:val="11BD4AB4"/>
    <w:rsid w:val="11BE226A"/>
    <w:rsid w:val="11BEE205"/>
    <w:rsid w:val="11BEFDC4"/>
    <w:rsid w:val="11C071E2"/>
    <w:rsid w:val="11C092A9"/>
    <w:rsid w:val="11C0AB65"/>
    <w:rsid w:val="11C166D8"/>
    <w:rsid w:val="11C2FB38"/>
    <w:rsid w:val="11C34FAA"/>
    <w:rsid w:val="11C37AD8"/>
    <w:rsid w:val="11C3A4D8"/>
    <w:rsid w:val="11C474CB"/>
    <w:rsid w:val="11C5A113"/>
    <w:rsid w:val="11C5BEB3"/>
    <w:rsid w:val="11C6C878"/>
    <w:rsid w:val="11C70E7B"/>
    <w:rsid w:val="11C71248"/>
    <w:rsid w:val="11C857EF"/>
    <w:rsid w:val="11C924D2"/>
    <w:rsid w:val="11CA4230"/>
    <w:rsid w:val="11CAC20A"/>
    <w:rsid w:val="11CB29F8"/>
    <w:rsid w:val="11CBA70A"/>
    <w:rsid w:val="11CBC886"/>
    <w:rsid w:val="11CC644E"/>
    <w:rsid w:val="11CC7D9C"/>
    <w:rsid w:val="11CC8F95"/>
    <w:rsid w:val="11CCF0AC"/>
    <w:rsid w:val="11CDB918"/>
    <w:rsid w:val="11CE7EED"/>
    <w:rsid w:val="11D08A6E"/>
    <w:rsid w:val="11D14234"/>
    <w:rsid w:val="11D2F10B"/>
    <w:rsid w:val="11D33115"/>
    <w:rsid w:val="11D35293"/>
    <w:rsid w:val="11D3945E"/>
    <w:rsid w:val="11D429E3"/>
    <w:rsid w:val="11D49536"/>
    <w:rsid w:val="11D7BDD7"/>
    <w:rsid w:val="11D81DBC"/>
    <w:rsid w:val="11D8328F"/>
    <w:rsid w:val="11D8F3E6"/>
    <w:rsid w:val="11DAC26C"/>
    <w:rsid w:val="11DC03B7"/>
    <w:rsid w:val="11DC37EE"/>
    <w:rsid w:val="11DC5784"/>
    <w:rsid w:val="11DD82AA"/>
    <w:rsid w:val="11DDABCF"/>
    <w:rsid w:val="11DDB009"/>
    <w:rsid w:val="11DEDC1F"/>
    <w:rsid w:val="11DEE070"/>
    <w:rsid w:val="11DEF882"/>
    <w:rsid w:val="11DF1876"/>
    <w:rsid w:val="11DF2AF9"/>
    <w:rsid w:val="11DF347D"/>
    <w:rsid w:val="11DF5B77"/>
    <w:rsid w:val="11DF6717"/>
    <w:rsid w:val="11DF69F1"/>
    <w:rsid w:val="11E18A3F"/>
    <w:rsid w:val="11E1BFCF"/>
    <w:rsid w:val="11E26676"/>
    <w:rsid w:val="11E26CB7"/>
    <w:rsid w:val="11E2A268"/>
    <w:rsid w:val="11E2C6CB"/>
    <w:rsid w:val="11E2E8BB"/>
    <w:rsid w:val="11E50BE4"/>
    <w:rsid w:val="11E7D32B"/>
    <w:rsid w:val="11EA292B"/>
    <w:rsid w:val="11EA5373"/>
    <w:rsid w:val="11EABAFE"/>
    <w:rsid w:val="11EBD6B1"/>
    <w:rsid w:val="11EC1816"/>
    <w:rsid w:val="11EC7DB3"/>
    <w:rsid w:val="11ED7F2D"/>
    <w:rsid w:val="11ED7FB3"/>
    <w:rsid w:val="11EDA207"/>
    <w:rsid w:val="11EEC2C9"/>
    <w:rsid w:val="11EF455F"/>
    <w:rsid w:val="11EF4B76"/>
    <w:rsid w:val="11EF9C2A"/>
    <w:rsid w:val="11F0256C"/>
    <w:rsid w:val="11F055AA"/>
    <w:rsid w:val="11F2722A"/>
    <w:rsid w:val="11F364AC"/>
    <w:rsid w:val="11F38648"/>
    <w:rsid w:val="11F45A20"/>
    <w:rsid w:val="11F49439"/>
    <w:rsid w:val="11F50249"/>
    <w:rsid w:val="11F5B180"/>
    <w:rsid w:val="11F6FE46"/>
    <w:rsid w:val="11F9092E"/>
    <w:rsid w:val="11FB7A73"/>
    <w:rsid w:val="11FCC160"/>
    <w:rsid w:val="11FD15A3"/>
    <w:rsid w:val="11FD2ACB"/>
    <w:rsid w:val="11FE071E"/>
    <w:rsid w:val="11FE0BF0"/>
    <w:rsid w:val="11FE2AC6"/>
    <w:rsid w:val="11FEF931"/>
    <w:rsid w:val="11FF2A86"/>
    <w:rsid w:val="11FFAB22"/>
    <w:rsid w:val="12016084"/>
    <w:rsid w:val="12017E4F"/>
    <w:rsid w:val="120202F6"/>
    <w:rsid w:val="12025CB7"/>
    <w:rsid w:val="12034955"/>
    <w:rsid w:val="12036777"/>
    <w:rsid w:val="12037839"/>
    <w:rsid w:val="1203DEE2"/>
    <w:rsid w:val="12054F12"/>
    <w:rsid w:val="1205EBE4"/>
    <w:rsid w:val="12067758"/>
    <w:rsid w:val="12076152"/>
    <w:rsid w:val="12078428"/>
    <w:rsid w:val="1207C705"/>
    <w:rsid w:val="120853A8"/>
    <w:rsid w:val="1209454F"/>
    <w:rsid w:val="120A709C"/>
    <w:rsid w:val="120AEFE6"/>
    <w:rsid w:val="120B499D"/>
    <w:rsid w:val="120C98B1"/>
    <w:rsid w:val="120D12FC"/>
    <w:rsid w:val="120DDEC7"/>
    <w:rsid w:val="120E95D7"/>
    <w:rsid w:val="120F9E3A"/>
    <w:rsid w:val="12104183"/>
    <w:rsid w:val="1210C294"/>
    <w:rsid w:val="1211060E"/>
    <w:rsid w:val="121107BE"/>
    <w:rsid w:val="121121D5"/>
    <w:rsid w:val="121158C6"/>
    <w:rsid w:val="1212023B"/>
    <w:rsid w:val="12133748"/>
    <w:rsid w:val="12136967"/>
    <w:rsid w:val="1213B976"/>
    <w:rsid w:val="1214067B"/>
    <w:rsid w:val="1214D2FA"/>
    <w:rsid w:val="1215655B"/>
    <w:rsid w:val="121719AE"/>
    <w:rsid w:val="1217A81A"/>
    <w:rsid w:val="121950E9"/>
    <w:rsid w:val="12197052"/>
    <w:rsid w:val="121985BC"/>
    <w:rsid w:val="1219D4CA"/>
    <w:rsid w:val="121A7E7F"/>
    <w:rsid w:val="121AF383"/>
    <w:rsid w:val="121B0A93"/>
    <w:rsid w:val="121BE7AC"/>
    <w:rsid w:val="121BEFBD"/>
    <w:rsid w:val="121C1887"/>
    <w:rsid w:val="121CA5A0"/>
    <w:rsid w:val="121D0499"/>
    <w:rsid w:val="121E4028"/>
    <w:rsid w:val="121EE7F6"/>
    <w:rsid w:val="121F25AC"/>
    <w:rsid w:val="121F8FFA"/>
    <w:rsid w:val="12206DD8"/>
    <w:rsid w:val="1220EC2A"/>
    <w:rsid w:val="1220FEBC"/>
    <w:rsid w:val="1221F417"/>
    <w:rsid w:val="122269C2"/>
    <w:rsid w:val="12235547"/>
    <w:rsid w:val="1223AF15"/>
    <w:rsid w:val="1224B638"/>
    <w:rsid w:val="122577D7"/>
    <w:rsid w:val="1228421C"/>
    <w:rsid w:val="1228CC5C"/>
    <w:rsid w:val="1228D819"/>
    <w:rsid w:val="12292313"/>
    <w:rsid w:val="12299362"/>
    <w:rsid w:val="122A3556"/>
    <w:rsid w:val="122B5368"/>
    <w:rsid w:val="122BB8C3"/>
    <w:rsid w:val="122C36E8"/>
    <w:rsid w:val="122CF06F"/>
    <w:rsid w:val="122D976B"/>
    <w:rsid w:val="122D9F6B"/>
    <w:rsid w:val="122EFBFB"/>
    <w:rsid w:val="122EFD2A"/>
    <w:rsid w:val="122F9172"/>
    <w:rsid w:val="122FAB33"/>
    <w:rsid w:val="122FFD23"/>
    <w:rsid w:val="1230027D"/>
    <w:rsid w:val="123015E1"/>
    <w:rsid w:val="1230D834"/>
    <w:rsid w:val="12316878"/>
    <w:rsid w:val="12325804"/>
    <w:rsid w:val="12329739"/>
    <w:rsid w:val="12330494"/>
    <w:rsid w:val="123378C3"/>
    <w:rsid w:val="12351597"/>
    <w:rsid w:val="1235E1F2"/>
    <w:rsid w:val="12368AC8"/>
    <w:rsid w:val="12376017"/>
    <w:rsid w:val="1237E720"/>
    <w:rsid w:val="12388549"/>
    <w:rsid w:val="12394A0F"/>
    <w:rsid w:val="1239AF60"/>
    <w:rsid w:val="1239F4D8"/>
    <w:rsid w:val="123A030F"/>
    <w:rsid w:val="123A5C0C"/>
    <w:rsid w:val="123AE2F7"/>
    <w:rsid w:val="123AEBC4"/>
    <w:rsid w:val="123B2035"/>
    <w:rsid w:val="123B3458"/>
    <w:rsid w:val="123CF620"/>
    <w:rsid w:val="123D0EED"/>
    <w:rsid w:val="123D3888"/>
    <w:rsid w:val="123D9EA0"/>
    <w:rsid w:val="123E53AC"/>
    <w:rsid w:val="12401F36"/>
    <w:rsid w:val="12412950"/>
    <w:rsid w:val="124193D6"/>
    <w:rsid w:val="1242B94B"/>
    <w:rsid w:val="1242FF76"/>
    <w:rsid w:val="12443227"/>
    <w:rsid w:val="12447125"/>
    <w:rsid w:val="1244728D"/>
    <w:rsid w:val="1244804F"/>
    <w:rsid w:val="1244C468"/>
    <w:rsid w:val="1244C542"/>
    <w:rsid w:val="1244E972"/>
    <w:rsid w:val="1245922E"/>
    <w:rsid w:val="124689BC"/>
    <w:rsid w:val="12469A2D"/>
    <w:rsid w:val="12478ABE"/>
    <w:rsid w:val="1247B3E5"/>
    <w:rsid w:val="12482548"/>
    <w:rsid w:val="12486393"/>
    <w:rsid w:val="1248A8C0"/>
    <w:rsid w:val="12496D7A"/>
    <w:rsid w:val="12496DAF"/>
    <w:rsid w:val="124B9515"/>
    <w:rsid w:val="124BC6A8"/>
    <w:rsid w:val="124C5F13"/>
    <w:rsid w:val="124C9676"/>
    <w:rsid w:val="124CA696"/>
    <w:rsid w:val="124D12B9"/>
    <w:rsid w:val="124D2AF4"/>
    <w:rsid w:val="124D53FC"/>
    <w:rsid w:val="124ED205"/>
    <w:rsid w:val="124ED35C"/>
    <w:rsid w:val="124F6FDE"/>
    <w:rsid w:val="124FC43B"/>
    <w:rsid w:val="125074B0"/>
    <w:rsid w:val="1250D69D"/>
    <w:rsid w:val="1250ED12"/>
    <w:rsid w:val="125222FB"/>
    <w:rsid w:val="12533B90"/>
    <w:rsid w:val="12534091"/>
    <w:rsid w:val="125347A3"/>
    <w:rsid w:val="12548BB8"/>
    <w:rsid w:val="12550ED1"/>
    <w:rsid w:val="1255FF90"/>
    <w:rsid w:val="12561F08"/>
    <w:rsid w:val="1256561F"/>
    <w:rsid w:val="12566C47"/>
    <w:rsid w:val="1256AAAB"/>
    <w:rsid w:val="1257031F"/>
    <w:rsid w:val="12570A24"/>
    <w:rsid w:val="125838A2"/>
    <w:rsid w:val="12589EBB"/>
    <w:rsid w:val="1258BB2A"/>
    <w:rsid w:val="1259D0A3"/>
    <w:rsid w:val="125A567A"/>
    <w:rsid w:val="125AA558"/>
    <w:rsid w:val="125AD014"/>
    <w:rsid w:val="125ADE9F"/>
    <w:rsid w:val="125B7709"/>
    <w:rsid w:val="125BAEA7"/>
    <w:rsid w:val="125C4219"/>
    <w:rsid w:val="125C8BA2"/>
    <w:rsid w:val="125C991F"/>
    <w:rsid w:val="125CA395"/>
    <w:rsid w:val="125CEE24"/>
    <w:rsid w:val="125CEFB4"/>
    <w:rsid w:val="125D5DBF"/>
    <w:rsid w:val="125D893E"/>
    <w:rsid w:val="125DBA5C"/>
    <w:rsid w:val="125DEB49"/>
    <w:rsid w:val="125EBA84"/>
    <w:rsid w:val="1260A387"/>
    <w:rsid w:val="1260BA42"/>
    <w:rsid w:val="12619725"/>
    <w:rsid w:val="1261D354"/>
    <w:rsid w:val="1262D177"/>
    <w:rsid w:val="1264E502"/>
    <w:rsid w:val="1265F8D0"/>
    <w:rsid w:val="1266373D"/>
    <w:rsid w:val="1266AAA8"/>
    <w:rsid w:val="1267BAF3"/>
    <w:rsid w:val="1267BBFA"/>
    <w:rsid w:val="126915EF"/>
    <w:rsid w:val="126932AE"/>
    <w:rsid w:val="126ACB96"/>
    <w:rsid w:val="126B3AFD"/>
    <w:rsid w:val="126BA36C"/>
    <w:rsid w:val="126D9D36"/>
    <w:rsid w:val="126DBEEF"/>
    <w:rsid w:val="126FB1CA"/>
    <w:rsid w:val="1270319E"/>
    <w:rsid w:val="127092E1"/>
    <w:rsid w:val="12749812"/>
    <w:rsid w:val="1274C9FD"/>
    <w:rsid w:val="12778B70"/>
    <w:rsid w:val="1277EC23"/>
    <w:rsid w:val="1277FEE1"/>
    <w:rsid w:val="127831D2"/>
    <w:rsid w:val="12783E0D"/>
    <w:rsid w:val="1278D1BB"/>
    <w:rsid w:val="127AA05A"/>
    <w:rsid w:val="127B2B18"/>
    <w:rsid w:val="127BA4B4"/>
    <w:rsid w:val="127C3EA8"/>
    <w:rsid w:val="127D301F"/>
    <w:rsid w:val="127F9BE8"/>
    <w:rsid w:val="127FAE94"/>
    <w:rsid w:val="1280C401"/>
    <w:rsid w:val="12815C76"/>
    <w:rsid w:val="128161C2"/>
    <w:rsid w:val="12824E6A"/>
    <w:rsid w:val="1282BAF7"/>
    <w:rsid w:val="1282E52C"/>
    <w:rsid w:val="12835391"/>
    <w:rsid w:val="12837B2A"/>
    <w:rsid w:val="12838CD6"/>
    <w:rsid w:val="1284FD63"/>
    <w:rsid w:val="12854ABF"/>
    <w:rsid w:val="12862C0D"/>
    <w:rsid w:val="12867D86"/>
    <w:rsid w:val="12869AD3"/>
    <w:rsid w:val="1286DCCE"/>
    <w:rsid w:val="12872E5B"/>
    <w:rsid w:val="12876286"/>
    <w:rsid w:val="12882D58"/>
    <w:rsid w:val="128878A7"/>
    <w:rsid w:val="12890853"/>
    <w:rsid w:val="128AA85D"/>
    <w:rsid w:val="128B8E51"/>
    <w:rsid w:val="128BB263"/>
    <w:rsid w:val="128BF6F2"/>
    <w:rsid w:val="128D427C"/>
    <w:rsid w:val="128DA457"/>
    <w:rsid w:val="128DBDC2"/>
    <w:rsid w:val="128DE919"/>
    <w:rsid w:val="128DF35F"/>
    <w:rsid w:val="128E5492"/>
    <w:rsid w:val="12901D2B"/>
    <w:rsid w:val="1290E08E"/>
    <w:rsid w:val="1292194D"/>
    <w:rsid w:val="12924FB2"/>
    <w:rsid w:val="12926DE7"/>
    <w:rsid w:val="12929FF2"/>
    <w:rsid w:val="1292A747"/>
    <w:rsid w:val="1292FAED"/>
    <w:rsid w:val="1294DB4A"/>
    <w:rsid w:val="129521A0"/>
    <w:rsid w:val="1295D84C"/>
    <w:rsid w:val="1295ED3E"/>
    <w:rsid w:val="129725DF"/>
    <w:rsid w:val="12973767"/>
    <w:rsid w:val="12980E79"/>
    <w:rsid w:val="12986428"/>
    <w:rsid w:val="129866A4"/>
    <w:rsid w:val="1299FD2B"/>
    <w:rsid w:val="129A7430"/>
    <w:rsid w:val="129B0DF8"/>
    <w:rsid w:val="129BE145"/>
    <w:rsid w:val="129C12B1"/>
    <w:rsid w:val="129CA11D"/>
    <w:rsid w:val="129CF463"/>
    <w:rsid w:val="129D3897"/>
    <w:rsid w:val="129DBEFB"/>
    <w:rsid w:val="129E847A"/>
    <w:rsid w:val="129EA6C2"/>
    <w:rsid w:val="129F09F5"/>
    <w:rsid w:val="129F6289"/>
    <w:rsid w:val="129FC142"/>
    <w:rsid w:val="12A09D30"/>
    <w:rsid w:val="12A1044E"/>
    <w:rsid w:val="12A1E56B"/>
    <w:rsid w:val="12A2CD1D"/>
    <w:rsid w:val="12A362EE"/>
    <w:rsid w:val="12A4D404"/>
    <w:rsid w:val="12A4E576"/>
    <w:rsid w:val="12A4E812"/>
    <w:rsid w:val="12A63AA6"/>
    <w:rsid w:val="12A64990"/>
    <w:rsid w:val="12A66662"/>
    <w:rsid w:val="12A6AFCA"/>
    <w:rsid w:val="12A78F60"/>
    <w:rsid w:val="12A8A482"/>
    <w:rsid w:val="12A9B583"/>
    <w:rsid w:val="12A9EC10"/>
    <w:rsid w:val="12AADFCE"/>
    <w:rsid w:val="12AAFDF0"/>
    <w:rsid w:val="12AC5BBE"/>
    <w:rsid w:val="12AD24BE"/>
    <w:rsid w:val="12ADC42B"/>
    <w:rsid w:val="12AE3140"/>
    <w:rsid w:val="12AE7965"/>
    <w:rsid w:val="12AF9692"/>
    <w:rsid w:val="12B04014"/>
    <w:rsid w:val="12B09972"/>
    <w:rsid w:val="12B129F1"/>
    <w:rsid w:val="12B14AD0"/>
    <w:rsid w:val="12B1F1AE"/>
    <w:rsid w:val="12B28447"/>
    <w:rsid w:val="12B2E4B8"/>
    <w:rsid w:val="12B3307C"/>
    <w:rsid w:val="12B44B22"/>
    <w:rsid w:val="12B4BA46"/>
    <w:rsid w:val="12B5BA48"/>
    <w:rsid w:val="12B5C8B2"/>
    <w:rsid w:val="12B5F6D9"/>
    <w:rsid w:val="12B60672"/>
    <w:rsid w:val="12B683CF"/>
    <w:rsid w:val="12B71927"/>
    <w:rsid w:val="12B731CB"/>
    <w:rsid w:val="12B877EF"/>
    <w:rsid w:val="12B8E0B2"/>
    <w:rsid w:val="12B97EF3"/>
    <w:rsid w:val="12B98D0D"/>
    <w:rsid w:val="12BA27EF"/>
    <w:rsid w:val="12BAADF5"/>
    <w:rsid w:val="12BBA43D"/>
    <w:rsid w:val="12BC23B1"/>
    <w:rsid w:val="12BEA8BA"/>
    <w:rsid w:val="12BF17C7"/>
    <w:rsid w:val="12BF957F"/>
    <w:rsid w:val="12BF9943"/>
    <w:rsid w:val="12BFBDE4"/>
    <w:rsid w:val="12C02EDB"/>
    <w:rsid w:val="12C20A90"/>
    <w:rsid w:val="12C28D2B"/>
    <w:rsid w:val="12C2DA31"/>
    <w:rsid w:val="12C3F7F5"/>
    <w:rsid w:val="12C4651B"/>
    <w:rsid w:val="12C4C98C"/>
    <w:rsid w:val="12C54257"/>
    <w:rsid w:val="12C554F5"/>
    <w:rsid w:val="12C5C6F9"/>
    <w:rsid w:val="12C653E0"/>
    <w:rsid w:val="12C6AC77"/>
    <w:rsid w:val="12C6F6C0"/>
    <w:rsid w:val="12C74424"/>
    <w:rsid w:val="12C97143"/>
    <w:rsid w:val="12CA49CC"/>
    <w:rsid w:val="12CABE9B"/>
    <w:rsid w:val="12CB9F10"/>
    <w:rsid w:val="12CBB5FF"/>
    <w:rsid w:val="12CC33D6"/>
    <w:rsid w:val="12CC9F80"/>
    <w:rsid w:val="12CD26EE"/>
    <w:rsid w:val="12D0A632"/>
    <w:rsid w:val="12D18616"/>
    <w:rsid w:val="12D1980C"/>
    <w:rsid w:val="12D44BA5"/>
    <w:rsid w:val="12D4E2E8"/>
    <w:rsid w:val="12D55465"/>
    <w:rsid w:val="12D57F53"/>
    <w:rsid w:val="12D8EA2E"/>
    <w:rsid w:val="12D9CB93"/>
    <w:rsid w:val="12DAEC4E"/>
    <w:rsid w:val="12DB2931"/>
    <w:rsid w:val="12DB29AD"/>
    <w:rsid w:val="12DB4F7B"/>
    <w:rsid w:val="12DB547F"/>
    <w:rsid w:val="12DB61AA"/>
    <w:rsid w:val="12DB841A"/>
    <w:rsid w:val="12DC4B31"/>
    <w:rsid w:val="12DCE3B9"/>
    <w:rsid w:val="12DD0B7D"/>
    <w:rsid w:val="12DD6DCA"/>
    <w:rsid w:val="12DDA10B"/>
    <w:rsid w:val="12DDFF05"/>
    <w:rsid w:val="12DF2900"/>
    <w:rsid w:val="12E022B1"/>
    <w:rsid w:val="12E07DF9"/>
    <w:rsid w:val="12E08FA7"/>
    <w:rsid w:val="12E1107A"/>
    <w:rsid w:val="12E1A60C"/>
    <w:rsid w:val="12E20C01"/>
    <w:rsid w:val="12E25C5B"/>
    <w:rsid w:val="12E2AFBF"/>
    <w:rsid w:val="12E32C6E"/>
    <w:rsid w:val="12E34743"/>
    <w:rsid w:val="12E46C68"/>
    <w:rsid w:val="12E5DA41"/>
    <w:rsid w:val="12E7394C"/>
    <w:rsid w:val="12E8960C"/>
    <w:rsid w:val="12E91ED2"/>
    <w:rsid w:val="12EAE421"/>
    <w:rsid w:val="12EB643C"/>
    <w:rsid w:val="12EBFE3F"/>
    <w:rsid w:val="12EC3B1A"/>
    <w:rsid w:val="12ED47D0"/>
    <w:rsid w:val="12EDD51D"/>
    <w:rsid w:val="12EF2C75"/>
    <w:rsid w:val="12EF40A7"/>
    <w:rsid w:val="12EF7A08"/>
    <w:rsid w:val="12EF9C4D"/>
    <w:rsid w:val="12EFA02D"/>
    <w:rsid w:val="12F011C8"/>
    <w:rsid w:val="12F06413"/>
    <w:rsid w:val="12F099E5"/>
    <w:rsid w:val="12F12D6F"/>
    <w:rsid w:val="12F13F2F"/>
    <w:rsid w:val="12F1416B"/>
    <w:rsid w:val="12F149B1"/>
    <w:rsid w:val="12F1BC2B"/>
    <w:rsid w:val="12F248BE"/>
    <w:rsid w:val="12F2D502"/>
    <w:rsid w:val="12F3103C"/>
    <w:rsid w:val="12F39332"/>
    <w:rsid w:val="12F43D3E"/>
    <w:rsid w:val="12F46661"/>
    <w:rsid w:val="12F56BF8"/>
    <w:rsid w:val="12F61A95"/>
    <w:rsid w:val="12F686B3"/>
    <w:rsid w:val="12F700E8"/>
    <w:rsid w:val="12F7CA47"/>
    <w:rsid w:val="12F81560"/>
    <w:rsid w:val="12F996A3"/>
    <w:rsid w:val="12F9CE3F"/>
    <w:rsid w:val="12F9E77D"/>
    <w:rsid w:val="12FA90A5"/>
    <w:rsid w:val="12FA974E"/>
    <w:rsid w:val="12FC55D2"/>
    <w:rsid w:val="12FC7680"/>
    <w:rsid w:val="12FCB033"/>
    <w:rsid w:val="12FE1C31"/>
    <w:rsid w:val="12FE3817"/>
    <w:rsid w:val="12FED346"/>
    <w:rsid w:val="12FF0402"/>
    <w:rsid w:val="12FF27B4"/>
    <w:rsid w:val="12FF300C"/>
    <w:rsid w:val="12FF385E"/>
    <w:rsid w:val="1304297C"/>
    <w:rsid w:val="130430D7"/>
    <w:rsid w:val="13047D78"/>
    <w:rsid w:val="13048E43"/>
    <w:rsid w:val="1304BB79"/>
    <w:rsid w:val="130552E3"/>
    <w:rsid w:val="1305EA13"/>
    <w:rsid w:val="13061C1D"/>
    <w:rsid w:val="1307C302"/>
    <w:rsid w:val="130810BE"/>
    <w:rsid w:val="13083BC8"/>
    <w:rsid w:val="130981F9"/>
    <w:rsid w:val="1309A0C2"/>
    <w:rsid w:val="1309A2FA"/>
    <w:rsid w:val="130A0267"/>
    <w:rsid w:val="130B00E4"/>
    <w:rsid w:val="130B44C0"/>
    <w:rsid w:val="130BB847"/>
    <w:rsid w:val="130C7EE1"/>
    <w:rsid w:val="130CF154"/>
    <w:rsid w:val="130D2143"/>
    <w:rsid w:val="130EFD47"/>
    <w:rsid w:val="130F11CE"/>
    <w:rsid w:val="130FB9CB"/>
    <w:rsid w:val="13104B5B"/>
    <w:rsid w:val="1310A2A1"/>
    <w:rsid w:val="13118DF8"/>
    <w:rsid w:val="1311E73E"/>
    <w:rsid w:val="1311E8FD"/>
    <w:rsid w:val="1311F16D"/>
    <w:rsid w:val="131243A7"/>
    <w:rsid w:val="1312596F"/>
    <w:rsid w:val="131267C4"/>
    <w:rsid w:val="1312AF7F"/>
    <w:rsid w:val="1312BE9A"/>
    <w:rsid w:val="1312E973"/>
    <w:rsid w:val="1313D8AD"/>
    <w:rsid w:val="13143CBB"/>
    <w:rsid w:val="1315937C"/>
    <w:rsid w:val="13167BC3"/>
    <w:rsid w:val="13177450"/>
    <w:rsid w:val="13178B71"/>
    <w:rsid w:val="131A7E1C"/>
    <w:rsid w:val="131A898E"/>
    <w:rsid w:val="131A9497"/>
    <w:rsid w:val="131ADFBA"/>
    <w:rsid w:val="131B13FC"/>
    <w:rsid w:val="131B73E9"/>
    <w:rsid w:val="131B9904"/>
    <w:rsid w:val="131C3CB6"/>
    <w:rsid w:val="131C6289"/>
    <w:rsid w:val="131E704C"/>
    <w:rsid w:val="131E93DE"/>
    <w:rsid w:val="131F8CFC"/>
    <w:rsid w:val="131FE761"/>
    <w:rsid w:val="13200DA3"/>
    <w:rsid w:val="13205BCA"/>
    <w:rsid w:val="1320BBF3"/>
    <w:rsid w:val="1320D405"/>
    <w:rsid w:val="13211A0C"/>
    <w:rsid w:val="1322A6FD"/>
    <w:rsid w:val="13237AA5"/>
    <w:rsid w:val="1323DDD5"/>
    <w:rsid w:val="132463F0"/>
    <w:rsid w:val="1324783E"/>
    <w:rsid w:val="1326243E"/>
    <w:rsid w:val="132660CC"/>
    <w:rsid w:val="13269BB2"/>
    <w:rsid w:val="1326E631"/>
    <w:rsid w:val="1328876E"/>
    <w:rsid w:val="13295869"/>
    <w:rsid w:val="1329CBAD"/>
    <w:rsid w:val="132A05FA"/>
    <w:rsid w:val="132AAFC1"/>
    <w:rsid w:val="132AC4D1"/>
    <w:rsid w:val="132C5BE1"/>
    <w:rsid w:val="132C6EAA"/>
    <w:rsid w:val="132CDF3A"/>
    <w:rsid w:val="132D2D10"/>
    <w:rsid w:val="132E35A4"/>
    <w:rsid w:val="132FD74C"/>
    <w:rsid w:val="13301DD6"/>
    <w:rsid w:val="13305EB1"/>
    <w:rsid w:val="13306830"/>
    <w:rsid w:val="1331315F"/>
    <w:rsid w:val="1331F596"/>
    <w:rsid w:val="1331F7BA"/>
    <w:rsid w:val="1333647D"/>
    <w:rsid w:val="1333A9DE"/>
    <w:rsid w:val="133425F3"/>
    <w:rsid w:val="13355B23"/>
    <w:rsid w:val="1335AC07"/>
    <w:rsid w:val="1335CFA1"/>
    <w:rsid w:val="13364AC0"/>
    <w:rsid w:val="13369879"/>
    <w:rsid w:val="1336DF15"/>
    <w:rsid w:val="13376714"/>
    <w:rsid w:val="1338363E"/>
    <w:rsid w:val="13388563"/>
    <w:rsid w:val="133A53BA"/>
    <w:rsid w:val="133B5ED2"/>
    <w:rsid w:val="133B63CD"/>
    <w:rsid w:val="133BE2E6"/>
    <w:rsid w:val="133C3F55"/>
    <w:rsid w:val="133C7DF3"/>
    <w:rsid w:val="133CBE71"/>
    <w:rsid w:val="133D5E87"/>
    <w:rsid w:val="133E6252"/>
    <w:rsid w:val="133E9045"/>
    <w:rsid w:val="133EF6A8"/>
    <w:rsid w:val="13401C70"/>
    <w:rsid w:val="134093FA"/>
    <w:rsid w:val="1340E529"/>
    <w:rsid w:val="13410763"/>
    <w:rsid w:val="1343DE9C"/>
    <w:rsid w:val="1343ED4D"/>
    <w:rsid w:val="134459FE"/>
    <w:rsid w:val="1344CA12"/>
    <w:rsid w:val="13453F7B"/>
    <w:rsid w:val="13454B5E"/>
    <w:rsid w:val="1345B58B"/>
    <w:rsid w:val="1346DF31"/>
    <w:rsid w:val="13472C48"/>
    <w:rsid w:val="1347F817"/>
    <w:rsid w:val="13490972"/>
    <w:rsid w:val="13491E1C"/>
    <w:rsid w:val="134C02A7"/>
    <w:rsid w:val="134CA4D3"/>
    <w:rsid w:val="134D684F"/>
    <w:rsid w:val="134DAC23"/>
    <w:rsid w:val="134DEC77"/>
    <w:rsid w:val="134F5E8F"/>
    <w:rsid w:val="135157C7"/>
    <w:rsid w:val="1352B923"/>
    <w:rsid w:val="13538208"/>
    <w:rsid w:val="135536F3"/>
    <w:rsid w:val="135565FA"/>
    <w:rsid w:val="13562C66"/>
    <w:rsid w:val="13563E35"/>
    <w:rsid w:val="1356808C"/>
    <w:rsid w:val="1356E2D0"/>
    <w:rsid w:val="1357AF95"/>
    <w:rsid w:val="135855EF"/>
    <w:rsid w:val="13588065"/>
    <w:rsid w:val="1358D7D6"/>
    <w:rsid w:val="13590B85"/>
    <w:rsid w:val="13594D87"/>
    <w:rsid w:val="135A02F0"/>
    <w:rsid w:val="135A053F"/>
    <w:rsid w:val="135AF6D5"/>
    <w:rsid w:val="135B69FB"/>
    <w:rsid w:val="135C2BAF"/>
    <w:rsid w:val="135C9B1F"/>
    <w:rsid w:val="135D1A97"/>
    <w:rsid w:val="135D5AD2"/>
    <w:rsid w:val="135DD290"/>
    <w:rsid w:val="135E8C86"/>
    <w:rsid w:val="135EF804"/>
    <w:rsid w:val="135FA147"/>
    <w:rsid w:val="135FE217"/>
    <w:rsid w:val="135FF9CC"/>
    <w:rsid w:val="13605ECF"/>
    <w:rsid w:val="13612ACC"/>
    <w:rsid w:val="13624AA0"/>
    <w:rsid w:val="1362EAFA"/>
    <w:rsid w:val="13631B77"/>
    <w:rsid w:val="136327D7"/>
    <w:rsid w:val="13633741"/>
    <w:rsid w:val="13648AB5"/>
    <w:rsid w:val="13649106"/>
    <w:rsid w:val="13655C2F"/>
    <w:rsid w:val="13656415"/>
    <w:rsid w:val="1365E48F"/>
    <w:rsid w:val="136655B2"/>
    <w:rsid w:val="13670878"/>
    <w:rsid w:val="1367C71B"/>
    <w:rsid w:val="13684E9C"/>
    <w:rsid w:val="1368AB53"/>
    <w:rsid w:val="1368CD4A"/>
    <w:rsid w:val="13698762"/>
    <w:rsid w:val="1369D688"/>
    <w:rsid w:val="136A0A81"/>
    <w:rsid w:val="136A435C"/>
    <w:rsid w:val="136A6690"/>
    <w:rsid w:val="136AD38A"/>
    <w:rsid w:val="136AFBAF"/>
    <w:rsid w:val="136B43F1"/>
    <w:rsid w:val="136B9A63"/>
    <w:rsid w:val="136C4BA2"/>
    <w:rsid w:val="136CB1AE"/>
    <w:rsid w:val="136D199B"/>
    <w:rsid w:val="136D435D"/>
    <w:rsid w:val="136E9761"/>
    <w:rsid w:val="136EA80A"/>
    <w:rsid w:val="136FEAC1"/>
    <w:rsid w:val="137026C9"/>
    <w:rsid w:val="137059ED"/>
    <w:rsid w:val="13709542"/>
    <w:rsid w:val="13717793"/>
    <w:rsid w:val="13721672"/>
    <w:rsid w:val="137277E3"/>
    <w:rsid w:val="13738646"/>
    <w:rsid w:val="13744093"/>
    <w:rsid w:val="137503C8"/>
    <w:rsid w:val="13764BA3"/>
    <w:rsid w:val="1376530B"/>
    <w:rsid w:val="1376B72F"/>
    <w:rsid w:val="13772A53"/>
    <w:rsid w:val="1377CA3F"/>
    <w:rsid w:val="1378B61B"/>
    <w:rsid w:val="13792D59"/>
    <w:rsid w:val="1379B3DC"/>
    <w:rsid w:val="1379B703"/>
    <w:rsid w:val="137B6D0B"/>
    <w:rsid w:val="137BE912"/>
    <w:rsid w:val="137C0CB7"/>
    <w:rsid w:val="137C9E5C"/>
    <w:rsid w:val="137DBB06"/>
    <w:rsid w:val="137EC4A0"/>
    <w:rsid w:val="13812241"/>
    <w:rsid w:val="1384321F"/>
    <w:rsid w:val="13847278"/>
    <w:rsid w:val="13852267"/>
    <w:rsid w:val="1385A5EC"/>
    <w:rsid w:val="138653EC"/>
    <w:rsid w:val="13866F55"/>
    <w:rsid w:val="13869D5A"/>
    <w:rsid w:val="1386D3D5"/>
    <w:rsid w:val="1386E198"/>
    <w:rsid w:val="13881AEB"/>
    <w:rsid w:val="1388AA9B"/>
    <w:rsid w:val="1388D2B6"/>
    <w:rsid w:val="1388F603"/>
    <w:rsid w:val="138A0B4E"/>
    <w:rsid w:val="138B6453"/>
    <w:rsid w:val="138C16F1"/>
    <w:rsid w:val="138C170F"/>
    <w:rsid w:val="138C40BF"/>
    <w:rsid w:val="138C5905"/>
    <w:rsid w:val="138CE93B"/>
    <w:rsid w:val="138D867D"/>
    <w:rsid w:val="138F13AE"/>
    <w:rsid w:val="138FBA69"/>
    <w:rsid w:val="138FC84D"/>
    <w:rsid w:val="1390093E"/>
    <w:rsid w:val="139072AF"/>
    <w:rsid w:val="1392521C"/>
    <w:rsid w:val="13931BDD"/>
    <w:rsid w:val="1393F2DC"/>
    <w:rsid w:val="1394CF12"/>
    <w:rsid w:val="13955472"/>
    <w:rsid w:val="1395B436"/>
    <w:rsid w:val="13962125"/>
    <w:rsid w:val="1397F230"/>
    <w:rsid w:val="13994387"/>
    <w:rsid w:val="1399D748"/>
    <w:rsid w:val="139A2CB2"/>
    <w:rsid w:val="139A4917"/>
    <w:rsid w:val="139A56CD"/>
    <w:rsid w:val="139B645C"/>
    <w:rsid w:val="139D4B94"/>
    <w:rsid w:val="139E5105"/>
    <w:rsid w:val="139EB45A"/>
    <w:rsid w:val="139F2206"/>
    <w:rsid w:val="139F5A82"/>
    <w:rsid w:val="139FABB4"/>
    <w:rsid w:val="139FD5E7"/>
    <w:rsid w:val="13A00D85"/>
    <w:rsid w:val="13A0217B"/>
    <w:rsid w:val="13A0E663"/>
    <w:rsid w:val="13A207F8"/>
    <w:rsid w:val="13A3208F"/>
    <w:rsid w:val="13A3D203"/>
    <w:rsid w:val="13A4BF6E"/>
    <w:rsid w:val="13A5ADCC"/>
    <w:rsid w:val="13A7124B"/>
    <w:rsid w:val="13A72A1A"/>
    <w:rsid w:val="13A75946"/>
    <w:rsid w:val="13A77001"/>
    <w:rsid w:val="13A78E4E"/>
    <w:rsid w:val="13A8AD05"/>
    <w:rsid w:val="13A8D290"/>
    <w:rsid w:val="13A9B8D5"/>
    <w:rsid w:val="13AA29A7"/>
    <w:rsid w:val="13AB042B"/>
    <w:rsid w:val="13AB321A"/>
    <w:rsid w:val="13ACC7C9"/>
    <w:rsid w:val="13AD1936"/>
    <w:rsid w:val="13ADAB03"/>
    <w:rsid w:val="13AF1238"/>
    <w:rsid w:val="13B04E9C"/>
    <w:rsid w:val="13B09FD9"/>
    <w:rsid w:val="13B12663"/>
    <w:rsid w:val="13B178C1"/>
    <w:rsid w:val="13B17A48"/>
    <w:rsid w:val="13B28E12"/>
    <w:rsid w:val="13B2D77D"/>
    <w:rsid w:val="13B58892"/>
    <w:rsid w:val="13B5D1D6"/>
    <w:rsid w:val="13B68AE6"/>
    <w:rsid w:val="13B69C17"/>
    <w:rsid w:val="13B6B203"/>
    <w:rsid w:val="13B6E839"/>
    <w:rsid w:val="13B6EF1F"/>
    <w:rsid w:val="13B70FA6"/>
    <w:rsid w:val="13B770C9"/>
    <w:rsid w:val="13B7ACE3"/>
    <w:rsid w:val="13B7E7B6"/>
    <w:rsid w:val="13B7F497"/>
    <w:rsid w:val="13B94A86"/>
    <w:rsid w:val="13BA62CE"/>
    <w:rsid w:val="13BA73B4"/>
    <w:rsid w:val="13BB8001"/>
    <w:rsid w:val="13BD0687"/>
    <w:rsid w:val="13BD3836"/>
    <w:rsid w:val="13BD60BD"/>
    <w:rsid w:val="13BE2CEF"/>
    <w:rsid w:val="13BE839E"/>
    <w:rsid w:val="13BE932C"/>
    <w:rsid w:val="13BED54C"/>
    <w:rsid w:val="13C09103"/>
    <w:rsid w:val="13C0E9B0"/>
    <w:rsid w:val="13C1C311"/>
    <w:rsid w:val="13C29DBC"/>
    <w:rsid w:val="13C2E81D"/>
    <w:rsid w:val="13C39A6C"/>
    <w:rsid w:val="13C3B418"/>
    <w:rsid w:val="13C40858"/>
    <w:rsid w:val="13C4D38E"/>
    <w:rsid w:val="13C6405D"/>
    <w:rsid w:val="13C73867"/>
    <w:rsid w:val="13C7CE71"/>
    <w:rsid w:val="13C7D0DB"/>
    <w:rsid w:val="13C7FD40"/>
    <w:rsid w:val="13C89C62"/>
    <w:rsid w:val="13C93F95"/>
    <w:rsid w:val="13C997F9"/>
    <w:rsid w:val="13CAF24A"/>
    <w:rsid w:val="13CB78F5"/>
    <w:rsid w:val="13CD02FA"/>
    <w:rsid w:val="13CD9C73"/>
    <w:rsid w:val="13CDC13C"/>
    <w:rsid w:val="13CDD723"/>
    <w:rsid w:val="13CE4C04"/>
    <w:rsid w:val="13CF3E69"/>
    <w:rsid w:val="13D0CBFD"/>
    <w:rsid w:val="13D18B67"/>
    <w:rsid w:val="13D1FD7C"/>
    <w:rsid w:val="13D25410"/>
    <w:rsid w:val="13D2BE14"/>
    <w:rsid w:val="13D327BA"/>
    <w:rsid w:val="13D34CE8"/>
    <w:rsid w:val="13D36395"/>
    <w:rsid w:val="13D39AAB"/>
    <w:rsid w:val="13D3D828"/>
    <w:rsid w:val="13D4804C"/>
    <w:rsid w:val="13D4CBFA"/>
    <w:rsid w:val="13D4EF56"/>
    <w:rsid w:val="13D67D3D"/>
    <w:rsid w:val="13D721E8"/>
    <w:rsid w:val="13D7816F"/>
    <w:rsid w:val="13D798AF"/>
    <w:rsid w:val="13D871AB"/>
    <w:rsid w:val="13D8AF92"/>
    <w:rsid w:val="13D9B76E"/>
    <w:rsid w:val="13DA9767"/>
    <w:rsid w:val="13DAFB9D"/>
    <w:rsid w:val="13DBA18B"/>
    <w:rsid w:val="13DC1DC8"/>
    <w:rsid w:val="13DC2213"/>
    <w:rsid w:val="13DC261C"/>
    <w:rsid w:val="13DC3CFD"/>
    <w:rsid w:val="13DD218C"/>
    <w:rsid w:val="13DD7330"/>
    <w:rsid w:val="13DDC088"/>
    <w:rsid w:val="13DE0B59"/>
    <w:rsid w:val="13DEA3FC"/>
    <w:rsid w:val="13DF97D9"/>
    <w:rsid w:val="13E0421E"/>
    <w:rsid w:val="13E0DAC4"/>
    <w:rsid w:val="13E18523"/>
    <w:rsid w:val="13E1F79F"/>
    <w:rsid w:val="13E2C29B"/>
    <w:rsid w:val="13E2FC88"/>
    <w:rsid w:val="13E3A4EE"/>
    <w:rsid w:val="13E41C86"/>
    <w:rsid w:val="13E450FE"/>
    <w:rsid w:val="13E4C645"/>
    <w:rsid w:val="13E57112"/>
    <w:rsid w:val="13E5B3C5"/>
    <w:rsid w:val="13E5CC06"/>
    <w:rsid w:val="13E600D6"/>
    <w:rsid w:val="13E690C4"/>
    <w:rsid w:val="13E6B2FF"/>
    <w:rsid w:val="13E724F3"/>
    <w:rsid w:val="13E73BDD"/>
    <w:rsid w:val="13E73D42"/>
    <w:rsid w:val="13E7F5D8"/>
    <w:rsid w:val="13E83374"/>
    <w:rsid w:val="13E8792D"/>
    <w:rsid w:val="13E8C423"/>
    <w:rsid w:val="13E8FE92"/>
    <w:rsid w:val="13EA4FDD"/>
    <w:rsid w:val="13EB8030"/>
    <w:rsid w:val="13EC4DDC"/>
    <w:rsid w:val="13EC594E"/>
    <w:rsid w:val="13EDAB4D"/>
    <w:rsid w:val="13EED21F"/>
    <w:rsid w:val="13EF13E6"/>
    <w:rsid w:val="13EFD215"/>
    <w:rsid w:val="13EFF204"/>
    <w:rsid w:val="13F0671B"/>
    <w:rsid w:val="13F1EFE7"/>
    <w:rsid w:val="13F28AF7"/>
    <w:rsid w:val="13F29363"/>
    <w:rsid w:val="13F3299A"/>
    <w:rsid w:val="13F3FB0C"/>
    <w:rsid w:val="13F4CD89"/>
    <w:rsid w:val="13F50296"/>
    <w:rsid w:val="13F5128A"/>
    <w:rsid w:val="13F6228F"/>
    <w:rsid w:val="13F67FC2"/>
    <w:rsid w:val="13F94F29"/>
    <w:rsid w:val="13F993C2"/>
    <w:rsid w:val="13FA0DAF"/>
    <w:rsid w:val="13FAAAB1"/>
    <w:rsid w:val="13FAD326"/>
    <w:rsid w:val="13FAED44"/>
    <w:rsid w:val="13FC6248"/>
    <w:rsid w:val="13FC6AB1"/>
    <w:rsid w:val="13FCF426"/>
    <w:rsid w:val="13FCFB40"/>
    <w:rsid w:val="13FD2960"/>
    <w:rsid w:val="13FD64D1"/>
    <w:rsid w:val="13FE466F"/>
    <w:rsid w:val="14001C98"/>
    <w:rsid w:val="140036AF"/>
    <w:rsid w:val="14022118"/>
    <w:rsid w:val="14027CAB"/>
    <w:rsid w:val="14028B03"/>
    <w:rsid w:val="14031C25"/>
    <w:rsid w:val="14038B98"/>
    <w:rsid w:val="1403CFB6"/>
    <w:rsid w:val="140451E5"/>
    <w:rsid w:val="1404CD0F"/>
    <w:rsid w:val="140564F8"/>
    <w:rsid w:val="1405718E"/>
    <w:rsid w:val="1405721B"/>
    <w:rsid w:val="1406366A"/>
    <w:rsid w:val="1408D855"/>
    <w:rsid w:val="140AB0D1"/>
    <w:rsid w:val="140AE709"/>
    <w:rsid w:val="140C8862"/>
    <w:rsid w:val="140D4315"/>
    <w:rsid w:val="140D52B1"/>
    <w:rsid w:val="140DB9AF"/>
    <w:rsid w:val="140DDA39"/>
    <w:rsid w:val="140F3332"/>
    <w:rsid w:val="140F3FB2"/>
    <w:rsid w:val="140F462D"/>
    <w:rsid w:val="140F9E28"/>
    <w:rsid w:val="14104D49"/>
    <w:rsid w:val="14124BFA"/>
    <w:rsid w:val="141295F2"/>
    <w:rsid w:val="1412AACF"/>
    <w:rsid w:val="1412C459"/>
    <w:rsid w:val="1412E915"/>
    <w:rsid w:val="141325AF"/>
    <w:rsid w:val="14155851"/>
    <w:rsid w:val="1416D154"/>
    <w:rsid w:val="1416D90C"/>
    <w:rsid w:val="1416FA7A"/>
    <w:rsid w:val="14173EA3"/>
    <w:rsid w:val="141861FA"/>
    <w:rsid w:val="1418D757"/>
    <w:rsid w:val="1419DA10"/>
    <w:rsid w:val="141B6C49"/>
    <w:rsid w:val="141B7C90"/>
    <w:rsid w:val="141B9DF2"/>
    <w:rsid w:val="141C02E9"/>
    <w:rsid w:val="141C3D0E"/>
    <w:rsid w:val="141D10FB"/>
    <w:rsid w:val="141D7AB4"/>
    <w:rsid w:val="141EA1DE"/>
    <w:rsid w:val="141F0382"/>
    <w:rsid w:val="141FA77E"/>
    <w:rsid w:val="142045A2"/>
    <w:rsid w:val="1420D034"/>
    <w:rsid w:val="14219F26"/>
    <w:rsid w:val="1421DC11"/>
    <w:rsid w:val="14220D6D"/>
    <w:rsid w:val="142378F3"/>
    <w:rsid w:val="1425E722"/>
    <w:rsid w:val="1427F1FF"/>
    <w:rsid w:val="1428213B"/>
    <w:rsid w:val="14299B11"/>
    <w:rsid w:val="142AA8D5"/>
    <w:rsid w:val="142B001C"/>
    <w:rsid w:val="142B2F1E"/>
    <w:rsid w:val="142BF765"/>
    <w:rsid w:val="142C917E"/>
    <w:rsid w:val="142C9369"/>
    <w:rsid w:val="142CA0B1"/>
    <w:rsid w:val="142D2C35"/>
    <w:rsid w:val="142D479B"/>
    <w:rsid w:val="142E2013"/>
    <w:rsid w:val="142E4E37"/>
    <w:rsid w:val="142E6106"/>
    <w:rsid w:val="142EE462"/>
    <w:rsid w:val="142FE46A"/>
    <w:rsid w:val="142FF836"/>
    <w:rsid w:val="14303FDF"/>
    <w:rsid w:val="143141B3"/>
    <w:rsid w:val="1432C090"/>
    <w:rsid w:val="1432D351"/>
    <w:rsid w:val="1432F33A"/>
    <w:rsid w:val="143427FF"/>
    <w:rsid w:val="1434B1FC"/>
    <w:rsid w:val="1434EC8F"/>
    <w:rsid w:val="143599E4"/>
    <w:rsid w:val="1435AEF0"/>
    <w:rsid w:val="1435DFE2"/>
    <w:rsid w:val="143650F4"/>
    <w:rsid w:val="143663FF"/>
    <w:rsid w:val="1436FC23"/>
    <w:rsid w:val="1438B03E"/>
    <w:rsid w:val="1438C7E1"/>
    <w:rsid w:val="143954A0"/>
    <w:rsid w:val="143964F4"/>
    <w:rsid w:val="1439A605"/>
    <w:rsid w:val="143A2F16"/>
    <w:rsid w:val="143B18C3"/>
    <w:rsid w:val="143B9ACB"/>
    <w:rsid w:val="143C1979"/>
    <w:rsid w:val="143C668D"/>
    <w:rsid w:val="143D8E8D"/>
    <w:rsid w:val="143DE3D0"/>
    <w:rsid w:val="143DE7F1"/>
    <w:rsid w:val="143E1FBE"/>
    <w:rsid w:val="143E3C89"/>
    <w:rsid w:val="143F7970"/>
    <w:rsid w:val="143F8EA2"/>
    <w:rsid w:val="143F909F"/>
    <w:rsid w:val="1440EEDA"/>
    <w:rsid w:val="14416943"/>
    <w:rsid w:val="144171BC"/>
    <w:rsid w:val="1441B014"/>
    <w:rsid w:val="1441C5AF"/>
    <w:rsid w:val="1441CA66"/>
    <w:rsid w:val="14437613"/>
    <w:rsid w:val="1443A46E"/>
    <w:rsid w:val="1443BD86"/>
    <w:rsid w:val="14443DC2"/>
    <w:rsid w:val="14453F5B"/>
    <w:rsid w:val="144616CB"/>
    <w:rsid w:val="14468089"/>
    <w:rsid w:val="14474FCF"/>
    <w:rsid w:val="144843BE"/>
    <w:rsid w:val="1448789A"/>
    <w:rsid w:val="1449F36C"/>
    <w:rsid w:val="144A825C"/>
    <w:rsid w:val="144AC2F5"/>
    <w:rsid w:val="144CAA5B"/>
    <w:rsid w:val="144D1B31"/>
    <w:rsid w:val="144DF2CE"/>
    <w:rsid w:val="144E1A1B"/>
    <w:rsid w:val="144F61C3"/>
    <w:rsid w:val="144F670F"/>
    <w:rsid w:val="144F7B90"/>
    <w:rsid w:val="144F9935"/>
    <w:rsid w:val="14510A8A"/>
    <w:rsid w:val="1451B7A5"/>
    <w:rsid w:val="14524738"/>
    <w:rsid w:val="1453494D"/>
    <w:rsid w:val="1453F8FF"/>
    <w:rsid w:val="14541EFD"/>
    <w:rsid w:val="1454BBD7"/>
    <w:rsid w:val="14552863"/>
    <w:rsid w:val="1455955C"/>
    <w:rsid w:val="14563AB7"/>
    <w:rsid w:val="1456F3D3"/>
    <w:rsid w:val="14572601"/>
    <w:rsid w:val="14573F64"/>
    <w:rsid w:val="14575E06"/>
    <w:rsid w:val="1457A457"/>
    <w:rsid w:val="14584145"/>
    <w:rsid w:val="14599E7F"/>
    <w:rsid w:val="1459D35F"/>
    <w:rsid w:val="1459EAA1"/>
    <w:rsid w:val="145A7631"/>
    <w:rsid w:val="145AB97E"/>
    <w:rsid w:val="145B06BF"/>
    <w:rsid w:val="145B7107"/>
    <w:rsid w:val="145BF963"/>
    <w:rsid w:val="145C2AC9"/>
    <w:rsid w:val="145C324A"/>
    <w:rsid w:val="145CC0DC"/>
    <w:rsid w:val="145EB587"/>
    <w:rsid w:val="145F0823"/>
    <w:rsid w:val="145F1EBC"/>
    <w:rsid w:val="145F3954"/>
    <w:rsid w:val="145FE6CB"/>
    <w:rsid w:val="1460BBB7"/>
    <w:rsid w:val="146169A5"/>
    <w:rsid w:val="1462A674"/>
    <w:rsid w:val="1462C695"/>
    <w:rsid w:val="14646155"/>
    <w:rsid w:val="146528A2"/>
    <w:rsid w:val="14652A39"/>
    <w:rsid w:val="1465793C"/>
    <w:rsid w:val="1465B56F"/>
    <w:rsid w:val="14663D11"/>
    <w:rsid w:val="1466922D"/>
    <w:rsid w:val="146699F0"/>
    <w:rsid w:val="1466B6A4"/>
    <w:rsid w:val="146841F3"/>
    <w:rsid w:val="14688E33"/>
    <w:rsid w:val="14689605"/>
    <w:rsid w:val="14691632"/>
    <w:rsid w:val="1469613C"/>
    <w:rsid w:val="1469B12B"/>
    <w:rsid w:val="146B8B47"/>
    <w:rsid w:val="146C4D0D"/>
    <w:rsid w:val="146CBBB5"/>
    <w:rsid w:val="146D4924"/>
    <w:rsid w:val="146E996A"/>
    <w:rsid w:val="1471A99B"/>
    <w:rsid w:val="14720F14"/>
    <w:rsid w:val="1474995E"/>
    <w:rsid w:val="14750DF3"/>
    <w:rsid w:val="14756B71"/>
    <w:rsid w:val="1475BED0"/>
    <w:rsid w:val="14763969"/>
    <w:rsid w:val="1478F6E8"/>
    <w:rsid w:val="14796090"/>
    <w:rsid w:val="1479EE4E"/>
    <w:rsid w:val="147B7FA0"/>
    <w:rsid w:val="147BB0C7"/>
    <w:rsid w:val="147BE3E8"/>
    <w:rsid w:val="147C42ED"/>
    <w:rsid w:val="147C43B7"/>
    <w:rsid w:val="147C832E"/>
    <w:rsid w:val="147C8DC2"/>
    <w:rsid w:val="147CCB0F"/>
    <w:rsid w:val="147CD3C6"/>
    <w:rsid w:val="147D8939"/>
    <w:rsid w:val="147E13E4"/>
    <w:rsid w:val="147EDD5C"/>
    <w:rsid w:val="147F0F86"/>
    <w:rsid w:val="147F1BE8"/>
    <w:rsid w:val="147F3E58"/>
    <w:rsid w:val="147FDC62"/>
    <w:rsid w:val="1480056B"/>
    <w:rsid w:val="1481040F"/>
    <w:rsid w:val="148264D0"/>
    <w:rsid w:val="1482B395"/>
    <w:rsid w:val="1482F817"/>
    <w:rsid w:val="14837AD2"/>
    <w:rsid w:val="14838E8F"/>
    <w:rsid w:val="1484471E"/>
    <w:rsid w:val="14851C38"/>
    <w:rsid w:val="1485A025"/>
    <w:rsid w:val="14866B12"/>
    <w:rsid w:val="1486A53E"/>
    <w:rsid w:val="1486CC80"/>
    <w:rsid w:val="1486EA6D"/>
    <w:rsid w:val="148783F8"/>
    <w:rsid w:val="1487DCB8"/>
    <w:rsid w:val="1488A540"/>
    <w:rsid w:val="1488E10D"/>
    <w:rsid w:val="148962F2"/>
    <w:rsid w:val="1489684A"/>
    <w:rsid w:val="1489C8F4"/>
    <w:rsid w:val="148C343B"/>
    <w:rsid w:val="148CC245"/>
    <w:rsid w:val="148DC8D1"/>
    <w:rsid w:val="148E0E56"/>
    <w:rsid w:val="148E392F"/>
    <w:rsid w:val="1490C25C"/>
    <w:rsid w:val="1490C72C"/>
    <w:rsid w:val="14913E66"/>
    <w:rsid w:val="14916982"/>
    <w:rsid w:val="14918F81"/>
    <w:rsid w:val="1491C831"/>
    <w:rsid w:val="1492611F"/>
    <w:rsid w:val="1493C45C"/>
    <w:rsid w:val="14947FAD"/>
    <w:rsid w:val="14965A4C"/>
    <w:rsid w:val="1496A577"/>
    <w:rsid w:val="1496D44D"/>
    <w:rsid w:val="1497ACD9"/>
    <w:rsid w:val="14981CB1"/>
    <w:rsid w:val="14982FC3"/>
    <w:rsid w:val="149907BD"/>
    <w:rsid w:val="14992567"/>
    <w:rsid w:val="1499CFE6"/>
    <w:rsid w:val="149A270E"/>
    <w:rsid w:val="149AD85A"/>
    <w:rsid w:val="149AF409"/>
    <w:rsid w:val="149D4166"/>
    <w:rsid w:val="149DE2F6"/>
    <w:rsid w:val="14A0359B"/>
    <w:rsid w:val="14A108E3"/>
    <w:rsid w:val="14A1C996"/>
    <w:rsid w:val="14A28259"/>
    <w:rsid w:val="14A2D7E8"/>
    <w:rsid w:val="14A47458"/>
    <w:rsid w:val="14A55DA2"/>
    <w:rsid w:val="14A57B4E"/>
    <w:rsid w:val="14A69447"/>
    <w:rsid w:val="14A6EF02"/>
    <w:rsid w:val="14A6F651"/>
    <w:rsid w:val="14A7963D"/>
    <w:rsid w:val="14A83378"/>
    <w:rsid w:val="14A83CE7"/>
    <w:rsid w:val="14A846B7"/>
    <w:rsid w:val="14A914C3"/>
    <w:rsid w:val="14A92914"/>
    <w:rsid w:val="14A945DB"/>
    <w:rsid w:val="14A9CCCA"/>
    <w:rsid w:val="14AA0149"/>
    <w:rsid w:val="14ACB97A"/>
    <w:rsid w:val="14AD4520"/>
    <w:rsid w:val="14AE7221"/>
    <w:rsid w:val="14B02B82"/>
    <w:rsid w:val="14B0A5D6"/>
    <w:rsid w:val="14B0C076"/>
    <w:rsid w:val="14B0D305"/>
    <w:rsid w:val="14B19309"/>
    <w:rsid w:val="14B199D0"/>
    <w:rsid w:val="14B1C9C4"/>
    <w:rsid w:val="14B23248"/>
    <w:rsid w:val="14B26F96"/>
    <w:rsid w:val="14B290BB"/>
    <w:rsid w:val="14B2BE9D"/>
    <w:rsid w:val="14B3073D"/>
    <w:rsid w:val="14B349C5"/>
    <w:rsid w:val="14B360D7"/>
    <w:rsid w:val="14B39DCD"/>
    <w:rsid w:val="14B46867"/>
    <w:rsid w:val="14B4922C"/>
    <w:rsid w:val="14B5632A"/>
    <w:rsid w:val="14B5F669"/>
    <w:rsid w:val="14B66A59"/>
    <w:rsid w:val="14B66F82"/>
    <w:rsid w:val="14B78C19"/>
    <w:rsid w:val="14B8DD00"/>
    <w:rsid w:val="14BA1E2F"/>
    <w:rsid w:val="14BA3635"/>
    <w:rsid w:val="14BB5F17"/>
    <w:rsid w:val="14BC6C05"/>
    <w:rsid w:val="14BD3770"/>
    <w:rsid w:val="14BEAAE3"/>
    <w:rsid w:val="14BF54EF"/>
    <w:rsid w:val="14BF727B"/>
    <w:rsid w:val="14BF87A9"/>
    <w:rsid w:val="14BFACAF"/>
    <w:rsid w:val="14C09872"/>
    <w:rsid w:val="14C10C7F"/>
    <w:rsid w:val="14C117A4"/>
    <w:rsid w:val="14C13B1B"/>
    <w:rsid w:val="14C18818"/>
    <w:rsid w:val="14C1A957"/>
    <w:rsid w:val="14C1F1C8"/>
    <w:rsid w:val="14C27C46"/>
    <w:rsid w:val="14C3222F"/>
    <w:rsid w:val="14C3F660"/>
    <w:rsid w:val="14C4689A"/>
    <w:rsid w:val="14C488E7"/>
    <w:rsid w:val="14C4C790"/>
    <w:rsid w:val="14C50541"/>
    <w:rsid w:val="14C54505"/>
    <w:rsid w:val="14C59D4A"/>
    <w:rsid w:val="14C66E5C"/>
    <w:rsid w:val="14C6B122"/>
    <w:rsid w:val="14C6E63F"/>
    <w:rsid w:val="14C71620"/>
    <w:rsid w:val="14C74D43"/>
    <w:rsid w:val="14C76DB7"/>
    <w:rsid w:val="14C7CD50"/>
    <w:rsid w:val="14C84036"/>
    <w:rsid w:val="14C8D62E"/>
    <w:rsid w:val="14C8EA9C"/>
    <w:rsid w:val="14C94FC6"/>
    <w:rsid w:val="14C99688"/>
    <w:rsid w:val="14CB89AE"/>
    <w:rsid w:val="14CCAE5D"/>
    <w:rsid w:val="14CCFF7A"/>
    <w:rsid w:val="14CD6FCC"/>
    <w:rsid w:val="14CDC5F7"/>
    <w:rsid w:val="14CF1FA8"/>
    <w:rsid w:val="14CF44E2"/>
    <w:rsid w:val="14D03C19"/>
    <w:rsid w:val="14D07B51"/>
    <w:rsid w:val="14D0C9F3"/>
    <w:rsid w:val="14D1AB62"/>
    <w:rsid w:val="14D2059F"/>
    <w:rsid w:val="14D22133"/>
    <w:rsid w:val="14D2897F"/>
    <w:rsid w:val="14D30A4A"/>
    <w:rsid w:val="14D3ACB1"/>
    <w:rsid w:val="14D4150C"/>
    <w:rsid w:val="14D484E2"/>
    <w:rsid w:val="14D4D2FE"/>
    <w:rsid w:val="14D523A0"/>
    <w:rsid w:val="14D5AF13"/>
    <w:rsid w:val="14D895F7"/>
    <w:rsid w:val="14D9286C"/>
    <w:rsid w:val="14D9C681"/>
    <w:rsid w:val="14D9CDF6"/>
    <w:rsid w:val="14DA43B0"/>
    <w:rsid w:val="14DA4E16"/>
    <w:rsid w:val="14DD329F"/>
    <w:rsid w:val="14E03071"/>
    <w:rsid w:val="14E0F8E4"/>
    <w:rsid w:val="14E0FCC1"/>
    <w:rsid w:val="14E118D7"/>
    <w:rsid w:val="14E16493"/>
    <w:rsid w:val="14E2F072"/>
    <w:rsid w:val="14E385FA"/>
    <w:rsid w:val="14E3A7DC"/>
    <w:rsid w:val="14E3CB2D"/>
    <w:rsid w:val="14E40BC0"/>
    <w:rsid w:val="14E4370B"/>
    <w:rsid w:val="14E47ACB"/>
    <w:rsid w:val="14E6EB4E"/>
    <w:rsid w:val="14E7A359"/>
    <w:rsid w:val="14E7F42B"/>
    <w:rsid w:val="14E80A65"/>
    <w:rsid w:val="14E8443E"/>
    <w:rsid w:val="14E98B65"/>
    <w:rsid w:val="14E99617"/>
    <w:rsid w:val="14E9DB61"/>
    <w:rsid w:val="14EA19BA"/>
    <w:rsid w:val="14EA2609"/>
    <w:rsid w:val="14EA9EBB"/>
    <w:rsid w:val="14EBB050"/>
    <w:rsid w:val="14EC1540"/>
    <w:rsid w:val="14EC4287"/>
    <w:rsid w:val="14ECC148"/>
    <w:rsid w:val="14EDBC13"/>
    <w:rsid w:val="14EEB2D5"/>
    <w:rsid w:val="14EEC716"/>
    <w:rsid w:val="14EF367F"/>
    <w:rsid w:val="14F082C6"/>
    <w:rsid w:val="14F0D8E8"/>
    <w:rsid w:val="14F1AD80"/>
    <w:rsid w:val="14F1E2DF"/>
    <w:rsid w:val="14F247EC"/>
    <w:rsid w:val="14F2FC1B"/>
    <w:rsid w:val="14F32BBE"/>
    <w:rsid w:val="14F330FF"/>
    <w:rsid w:val="14F47A91"/>
    <w:rsid w:val="14F64654"/>
    <w:rsid w:val="14F651BC"/>
    <w:rsid w:val="14F6E63D"/>
    <w:rsid w:val="14F76170"/>
    <w:rsid w:val="14F94088"/>
    <w:rsid w:val="14F947FC"/>
    <w:rsid w:val="14F99459"/>
    <w:rsid w:val="14F9BD8D"/>
    <w:rsid w:val="14F9C3C6"/>
    <w:rsid w:val="14FAD82A"/>
    <w:rsid w:val="14FB822F"/>
    <w:rsid w:val="14FC8162"/>
    <w:rsid w:val="14FD1CA4"/>
    <w:rsid w:val="14FE5B24"/>
    <w:rsid w:val="14FF67F2"/>
    <w:rsid w:val="14FF83B1"/>
    <w:rsid w:val="15002D32"/>
    <w:rsid w:val="15018632"/>
    <w:rsid w:val="15028C4A"/>
    <w:rsid w:val="1502B706"/>
    <w:rsid w:val="1503B466"/>
    <w:rsid w:val="1504A3E0"/>
    <w:rsid w:val="15055E28"/>
    <w:rsid w:val="1505D5AF"/>
    <w:rsid w:val="1505E725"/>
    <w:rsid w:val="15069A64"/>
    <w:rsid w:val="1508D183"/>
    <w:rsid w:val="150AB627"/>
    <w:rsid w:val="150BA538"/>
    <w:rsid w:val="150CA38B"/>
    <w:rsid w:val="150CAB2C"/>
    <w:rsid w:val="150D0255"/>
    <w:rsid w:val="150D5A2B"/>
    <w:rsid w:val="150EA4B7"/>
    <w:rsid w:val="150F90C6"/>
    <w:rsid w:val="150FC40D"/>
    <w:rsid w:val="15106065"/>
    <w:rsid w:val="1510B8DB"/>
    <w:rsid w:val="15114B4E"/>
    <w:rsid w:val="151227E2"/>
    <w:rsid w:val="15138A91"/>
    <w:rsid w:val="15146F2D"/>
    <w:rsid w:val="15159D3A"/>
    <w:rsid w:val="1515C823"/>
    <w:rsid w:val="151641E4"/>
    <w:rsid w:val="15168040"/>
    <w:rsid w:val="151736D8"/>
    <w:rsid w:val="15175D1F"/>
    <w:rsid w:val="1517673B"/>
    <w:rsid w:val="15184E7B"/>
    <w:rsid w:val="1518E09D"/>
    <w:rsid w:val="15198790"/>
    <w:rsid w:val="151A028D"/>
    <w:rsid w:val="151B066F"/>
    <w:rsid w:val="151BA80A"/>
    <w:rsid w:val="151BEF5A"/>
    <w:rsid w:val="151C0E00"/>
    <w:rsid w:val="151C5953"/>
    <w:rsid w:val="151CFC9C"/>
    <w:rsid w:val="151D17B9"/>
    <w:rsid w:val="151F09E4"/>
    <w:rsid w:val="151FFBF8"/>
    <w:rsid w:val="1520270F"/>
    <w:rsid w:val="15206960"/>
    <w:rsid w:val="1520A4D8"/>
    <w:rsid w:val="1520D831"/>
    <w:rsid w:val="1521271F"/>
    <w:rsid w:val="15217A7A"/>
    <w:rsid w:val="1521DA01"/>
    <w:rsid w:val="15226981"/>
    <w:rsid w:val="15233135"/>
    <w:rsid w:val="1523EAC1"/>
    <w:rsid w:val="15241E75"/>
    <w:rsid w:val="15250039"/>
    <w:rsid w:val="1525C42F"/>
    <w:rsid w:val="1525E39A"/>
    <w:rsid w:val="1525F923"/>
    <w:rsid w:val="1526118E"/>
    <w:rsid w:val="1527BD21"/>
    <w:rsid w:val="15285A01"/>
    <w:rsid w:val="152AE63C"/>
    <w:rsid w:val="152B1109"/>
    <w:rsid w:val="152C990D"/>
    <w:rsid w:val="152D0B71"/>
    <w:rsid w:val="152D3A05"/>
    <w:rsid w:val="152DECF7"/>
    <w:rsid w:val="152E3871"/>
    <w:rsid w:val="152EFDBD"/>
    <w:rsid w:val="15305123"/>
    <w:rsid w:val="1530EBEE"/>
    <w:rsid w:val="153141D6"/>
    <w:rsid w:val="1531E4F6"/>
    <w:rsid w:val="15323813"/>
    <w:rsid w:val="15328651"/>
    <w:rsid w:val="15328FF8"/>
    <w:rsid w:val="1534A4E3"/>
    <w:rsid w:val="15382153"/>
    <w:rsid w:val="1538AE2E"/>
    <w:rsid w:val="153911EE"/>
    <w:rsid w:val="153918C8"/>
    <w:rsid w:val="153946D0"/>
    <w:rsid w:val="15397CE6"/>
    <w:rsid w:val="1539BD69"/>
    <w:rsid w:val="153BC610"/>
    <w:rsid w:val="153C5AAE"/>
    <w:rsid w:val="153C8A3E"/>
    <w:rsid w:val="153CEEE2"/>
    <w:rsid w:val="153D40BA"/>
    <w:rsid w:val="153DDD6D"/>
    <w:rsid w:val="153E431B"/>
    <w:rsid w:val="153EE9A9"/>
    <w:rsid w:val="1540607F"/>
    <w:rsid w:val="15418456"/>
    <w:rsid w:val="15426097"/>
    <w:rsid w:val="154310D7"/>
    <w:rsid w:val="154318C2"/>
    <w:rsid w:val="15432CCF"/>
    <w:rsid w:val="154449B4"/>
    <w:rsid w:val="154570B0"/>
    <w:rsid w:val="1545848B"/>
    <w:rsid w:val="154639BB"/>
    <w:rsid w:val="154791C0"/>
    <w:rsid w:val="1548168F"/>
    <w:rsid w:val="1548FAC8"/>
    <w:rsid w:val="15490DA5"/>
    <w:rsid w:val="15496CE6"/>
    <w:rsid w:val="1549DA0B"/>
    <w:rsid w:val="154A16D7"/>
    <w:rsid w:val="154A391E"/>
    <w:rsid w:val="154A9635"/>
    <w:rsid w:val="154A9EF3"/>
    <w:rsid w:val="154C81A7"/>
    <w:rsid w:val="154F5416"/>
    <w:rsid w:val="154F5465"/>
    <w:rsid w:val="154FB78A"/>
    <w:rsid w:val="154FC2C7"/>
    <w:rsid w:val="15503EEE"/>
    <w:rsid w:val="1552CD70"/>
    <w:rsid w:val="15534837"/>
    <w:rsid w:val="1553AFFF"/>
    <w:rsid w:val="15543077"/>
    <w:rsid w:val="15547B4D"/>
    <w:rsid w:val="15549503"/>
    <w:rsid w:val="15558E83"/>
    <w:rsid w:val="15560C6F"/>
    <w:rsid w:val="1557A468"/>
    <w:rsid w:val="155816EA"/>
    <w:rsid w:val="155A2097"/>
    <w:rsid w:val="155A6693"/>
    <w:rsid w:val="155B36AE"/>
    <w:rsid w:val="155B6E45"/>
    <w:rsid w:val="155BE838"/>
    <w:rsid w:val="155CAA81"/>
    <w:rsid w:val="155CC8A4"/>
    <w:rsid w:val="155D31FE"/>
    <w:rsid w:val="155D5A36"/>
    <w:rsid w:val="155DCFE9"/>
    <w:rsid w:val="155E3A20"/>
    <w:rsid w:val="155F135D"/>
    <w:rsid w:val="155F8B5E"/>
    <w:rsid w:val="155F9A86"/>
    <w:rsid w:val="155FDF5C"/>
    <w:rsid w:val="156114F6"/>
    <w:rsid w:val="156117CD"/>
    <w:rsid w:val="15613424"/>
    <w:rsid w:val="1561563F"/>
    <w:rsid w:val="156239BB"/>
    <w:rsid w:val="15625C1F"/>
    <w:rsid w:val="1562E204"/>
    <w:rsid w:val="15639F40"/>
    <w:rsid w:val="1563FE0A"/>
    <w:rsid w:val="1564B183"/>
    <w:rsid w:val="1564B67B"/>
    <w:rsid w:val="1564D4B0"/>
    <w:rsid w:val="156656D0"/>
    <w:rsid w:val="156664CD"/>
    <w:rsid w:val="1566B587"/>
    <w:rsid w:val="15676956"/>
    <w:rsid w:val="15687014"/>
    <w:rsid w:val="156973E0"/>
    <w:rsid w:val="1569BFB9"/>
    <w:rsid w:val="156A86BE"/>
    <w:rsid w:val="156A8E89"/>
    <w:rsid w:val="156B46B7"/>
    <w:rsid w:val="156B4708"/>
    <w:rsid w:val="156B9E13"/>
    <w:rsid w:val="156BA236"/>
    <w:rsid w:val="156BA656"/>
    <w:rsid w:val="156CE0D2"/>
    <w:rsid w:val="156CF265"/>
    <w:rsid w:val="156D050C"/>
    <w:rsid w:val="156D2636"/>
    <w:rsid w:val="156E8CEC"/>
    <w:rsid w:val="156EA187"/>
    <w:rsid w:val="1570634C"/>
    <w:rsid w:val="1570CE8F"/>
    <w:rsid w:val="1570F6A8"/>
    <w:rsid w:val="15721750"/>
    <w:rsid w:val="15723D70"/>
    <w:rsid w:val="15725634"/>
    <w:rsid w:val="1572E8E3"/>
    <w:rsid w:val="15735F6A"/>
    <w:rsid w:val="15736C54"/>
    <w:rsid w:val="15743966"/>
    <w:rsid w:val="1574435D"/>
    <w:rsid w:val="15746B0F"/>
    <w:rsid w:val="1574CB41"/>
    <w:rsid w:val="157573E0"/>
    <w:rsid w:val="1575FE6F"/>
    <w:rsid w:val="1576480C"/>
    <w:rsid w:val="15768AA0"/>
    <w:rsid w:val="15770B48"/>
    <w:rsid w:val="15777683"/>
    <w:rsid w:val="157790AB"/>
    <w:rsid w:val="15791F62"/>
    <w:rsid w:val="157AD5A5"/>
    <w:rsid w:val="157AE992"/>
    <w:rsid w:val="157B4BF0"/>
    <w:rsid w:val="157C996C"/>
    <w:rsid w:val="157EDAEB"/>
    <w:rsid w:val="157F611B"/>
    <w:rsid w:val="157FA28F"/>
    <w:rsid w:val="15807783"/>
    <w:rsid w:val="1580C0FB"/>
    <w:rsid w:val="1580F3AA"/>
    <w:rsid w:val="15825D2C"/>
    <w:rsid w:val="158298D9"/>
    <w:rsid w:val="1582D65A"/>
    <w:rsid w:val="15840CA6"/>
    <w:rsid w:val="158421DB"/>
    <w:rsid w:val="158482FF"/>
    <w:rsid w:val="1585CFD1"/>
    <w:rsid w:val="158612E7"/>
    <w:rsid w:val="1586DB97"/>
    <w:rsid w:val="1586F737"/>
    <w:rsid w:val="15870959"/>
    <w:rsid w:val="15871A54"/>
    <w:rsid w:val="1587460F"/>
    <w:rsid w:val="15880A2E"/>
    <w:rsid w:val="15889A0C"/>
    <w:rsid w:val="15895135"/>
    <w:rsid w:val="158B4A74"/>
    <w:rsid w:val="158BA236"/>
    <w:rsid w:val="158DD568"/>
    <w:rsid w:val="158E7CEA"/>
    <w:rsid w:val="15904E01"/>
    <w:rsid w:val="15907DF5"/>
    <w:rsid w:val="15910EAA"/>
    <w:rsid w:val="15915770"/>
    <w:rsid w:val="15920114"/>
    <w:rsid w:val="15920FF4"/>
    <w:rsid w:val="1593A375"/>
    <w:rsid w:val="159487A5"/>
    <w:rsid w:val="15965657"/>
    <w:rsid w:val="1597E9FD"/>
    <w:rsid w:val="15980C61"/>
    <w:rsid w:val="15985F2B"/>
    <w:rsid w:val="15995A11"/>
    <w:rsid w:val="159971FB"/>
    <w:rsid w:val="159995A2"/>
    <w:rsid w:val="159A17AD"/>
    <w:rsid w:val="159A43DB"/>
    <w:rsid w:val="159BC474"/>
    <w:rsid w:val="159C4D62"/>
    <w:rsid w:val="159CAFE3"/>
    <w:rsid w:val="159CE49E"/>
    <w:rsid w:val="159E2B09"/>
    <w:rsid w:val="159E3EBA"/>
    <w:rsid w:val="159E686A"/>
    <w:rsid w:val="159F5BC9"/>
    <w:rsid w:val="15A0A29D"/>
    <w:rsid w:val="15A181FB"/>
    <w:rsid w:val="15A268F2"/>
    <w:rsid w:val="15A38343"/>
    <w:rsid w:val="15A476B1"/>
    <w:rsid w:val="15A5193B"/>
    <w:rsid w:val="15A545EB"/>
    <w:rsid w:val="15A5DA29"/>
    <w:rsid w:val="15A5ECDE"/>
    <w:rsid w:val="15A61DD6"/>
    <w:rsid w:val="15A688AF"/>
    <w:rsid w:val="15A70BFF"/>
    <w:rsid w:val="15A7211F"/>
    <w:rsid w:val="15A832BE"/>
    <w:rsid w:val="15A85E72"/>
    <w:rsid w:val="15A928ED"/>
    <w:rsid w:val="15A9E030"/>
    <w:rsid w:val="15A9E75B"/>
    <w:rsid w:val="15A9E779"/>
    <w:rsid w:val="15AB7C41"/>
    <w:rsid w:val="15AB9DA9"/>
    <w:rsid w:val="15ABAA5D"/>
    <w:rsid w:val="15AC1D1B"/>
    <w:rsid w:val="15AC3F70"/>
    <w:rsid w:val="15ACEA59"/>
    <w:rsid w:val="15ACF379"/>
    <w:rsid w:val="15AD5BD8"/>
    <w:rsid w:val="15AD8743"/>
    <w:rsid w:val="15ADA578"/>
    <w:rsid w:val="15AEF610"/>
    <w:rsid w:val="15AF0D61"/>
    <w:rsid w:val="15AFF108"/>
    <w:rsid w:val="15B04299"/>
    <w:rsid w:val="15B0BF86"/>
    <w:rsid w:val="15B123DF"/>
    <w:rsid w:val="15B160B8"/>
    <w:rsid w:val="15B185DC"/>
    <w:rsid w:val="15B248A7"/>
    <w:rsid w:val="15B2ADFF"/>
    <w:rsid w:val="15B2CAB1"/>
    <w:rsid w:val="15B2D7F3"/>
    <w:rsid w:val="15B3B1AD"/>
    <w:rsid w:val="15B3D9EE"/>
    <w:rsid w:val="15B4DCDE"/>
    <w:rsid w:val="15B6638A"/>
    <w:rsid w:val="15B6C06A"/>
    <w:rsid w:val="15B6C1C3"/>
    <w:rsid w:val="15B7019F"/>
    <w:rsid w:val="15B7A5F7"/>
    <w:rsid w:val="15B7BF70"/>
    <w:rsid w:val="15B8BEF2"/>
    <w:rsid w:val="15B8F5CC"/>
    <w:rsid w:val="15B906D3"/>
    <w:rsid w:val="15B9B059"/>
    <w:rsid w:val="15B9E626"/>
    <w:rsid w:val="15BB4FF9"/>
    <w:rsid w:val="15BCA8AE"/>
    <w:rsid w:val="15BD183A"/>
    <w:rsid w:val="15BF1A56"/>
    <w:rsid w:val="15BF62FF"/>
    <w:rsid w:val="15BF8554"/>
    <w:rsid w:val="15C05650"/>
    <w:rsid w:val="15C0B9E8"/>
    <w:rsid w:val="15C0E8FB"/>
    <w:rsid w:val="15C13545"/>
    <w:rsid w:val="15C145E3"/>
    <w:rsid w:val="15C21460"/>
    <w:rsid w:val="15C27B4C"/>
    <w:rsid w:val="15C28A83"/>
    <w:rsid w:val="15C2CDEA"/>
    <w:rsid w:val="15C2D714"/>
    <w:rsid w:val="15C38A1C"/>
    <w:rsid w:val="15C3E685"/>
    <w:rsid w:val="15C4DF69"/>
    <w:rsid w:val="15C58900"/>
    <w:rsid w:val="15C5D68A"/>
    <w:rsid w:val="15C64114"/>
    <w:rsid w:val="15C70391"/>
    <w:rsid w:val="15C70AAA"/>
    <w:rsid w:val="15C76EFE"/>
    <w:rsid w:val="15C863CA"/>
    <w:rsid w:val="15C88583"/>
    <w:rsid w:val="15C94FCC"/>
    <w:rsid w:val="15C9D406"/>
    <w:rsid w:val="15CA582E"/>
    <w:rsid w:val="15CA96C1"/>
    <w:rsid w:val="15CB1890"/>
    <w:rsid w:val="15CB2280"/>
    <w:rsid w:val="15CB889A"/>
    <w:rsid w:val="15CB88D1"/>
    <w:rsid w:val="15CBB4A0"/>
    <w:rsid w:val="15CC1CB9"/>
    <w:rsid w:val="15CC30FD"/>
    <w:rsid w:val="15CC477D"/>
    <w:rsid w:val="15CD1E21"/>
    <w:rsid w:val="15CD99F6"/>
    <w:rsid w:val="15CDB62B"/>
    <w:rsid w:val="15CF6FD9"/>
    <w:rsid w:val="15D07074"/>
    <w:rsid w:val="15D0F592"/>
    <w:rsid w:val="15D27875"/>
    <w:rsid w:val="15D28520"/>
    <w:rsid w:val="15D2EEDA"/>
    <w:rsid w:val="15D38945"/>
    <w:rsid w:val="15D3DD3C"/>
    <w:rsid w:val="15D427FA"/>
    <w:rsid w:val="15D4B05B"/>
    <w:rsid w:val="15D4F2DD"/>
    <w:rsid w:val="15D71460"/>
    <w:rsid w:val="15D82F3A"/>
    <w:rsid w:val="15D883F6"/>
    <w:rsid w:val="15D8D0BE"/>
    <w:rsid w:val="15DA6685"/>
    <w:rsid w:val="15DACD22"/>
    <w:rsid w:val="15DB9682"/>
    <w:rsid w:val="15DBE84C"/>
    <w:rsid w:val="15DBFAD0"/>
    <w:rsid w:val="15DE42F8"/>
    <w:rsid w:val="15DE85A8"/>
    <w:rsid w:val="15DEB050"/>
    <w:rsid w:val="15DF09CB"/>
    <w:rsid w:val="15DF52E2"/>
    <w:rsid w:val="15DF64A9"/>
    <w:rsid w:val="15E04E37"/>
    <w:rsid w:val="15E09627"/>
    <w:rsid w:val="15E11E1F"/>
    <w:rsid w:val="15E17142"/>
    <w:rsid w:val="15E21460"/>
    <w:rsid w:val="15E2187F"/>
    <w:rsid w:val="15E2C991"/>
    <w:rsid w:val="15E2CA85"/>
    <w:rsid w:val="15E31F36"/>
    <w:rsid w:val="15E344EC"/>
    <w:rsid w:val="15E35767"/>
    <w:rsid w:val="15E46192"/>
    <w:rsid w:val="15E46917"/>
    <w:rsid w:val="15E524DC"/>
    <w:rsid w:val="15E57D40"/>
    <w:rsid w:val="15E5F6E2"/>
    <w:rsid w:val="15E64AF6"/>
    <w:rsid w:val="15E8424F"/>
    <w:rsid w:val="15E8CA31"/>
    <w:rsid w:val="15EA35F2"/>
    <w:rsid w:val="15EAACCC"/>
    <w:rsid w:val="15EB3772"/>
    <w:rsid w:val="15EB5906"/>
    <w:rsid w:val="15EBF406"/>
    <w:rsid w:val="15ECB4BE"/>
    <w:rsid w:val="15EE3447"/>
    <w:rsid w:val="15EF26BE"/>
    <w:rsid w:val="15F057B0"/>
    <w:rsid w:val="15F0814B"/>
    <w:rsid w:val="15F370F0"/>
    <w:rsid w:val="15F42C83"/>
    <w:rsid w:val="15F4B966"/>
    <w:rsid w:val="15F5702F"/>
    <w:rsid w:val="15F69398"/>
    <w:rsid w:val="15F75542"/>
    <w:rsid w:val="15F8CE8B"/>
    <w:rsid w:val="15F9A5F1"/>
    <w:rsid w:val="15F9E703"/>
    <w:rsid w:val="15F9F19D"/>
    <w:rsid w:val="15FA5688"/>
    <w:rsid w:val="15FA7825"/>
    <w:rsid w:val="15FB2909"/>
    <w:rsid w:val="15FB6B24"/>
    <w:rsid w:val="15FB9629"/>
    <w:rsid w:val="15FBB468"/>
    <w:rsid w:val="15FCD751"/>
    <w:rsid w:val="16008C97"/>
    <w:rsid w:val="1600CF8D"/>
    <w:rsid w:val="1600ED26"/>
    <w:rsid w:val="16012F52"/>
    <w:rsid w:val="16017F2D"/>
    <w:rsid w:val="16020C9C"/>
    <w:rsid w:val="16041AEA"/>
    <w:rsid w:val="16047700"/>
    <w:rsid w:val="1604B920"/>
    <w:rsid w:val="1604D147"/>
    <w:rsid w:val="1606AE36"/>
    <w:rsid w:val="16078964"/>
    <w:rsid w:val="1607FBAE"/>
    <w:rsid w:val="1608149B"/>
    <w:rsid w:val="1608A522"/>
    <w:rsid w:val="1608FCB1"/>
    <w:rsid w:val="160B18E2"/>
    <w:rsid w:val="160B3201"/>
    <w:rsid w:val="160B6C79"/>
    <w:rsid w:val="160B89CF"/>
    <w:rsid w:val="160B905A"/>
    <w:rsid w:val="160BFAE9"/>
    <w:rsid w:val="160D22E6"/>
    <w:rsid w:val="160D23F3"/>
    <w:rsid w:val="160F148B"/>
    <w:rsid w:val="1610869E"/>
    <w:rsid w:val="1610BF50"/>
    <w:rsid w:val="161103D8"/>
    <w:rsid w:val="1611AEF3"/>
    <w:rsid w:val="1611E529"/>
    <w:rsid w:val="161284BD"/>
    <w:rsid w:val="1612D3CC"/>
    <w:rsid w:val="1613837D"/>
    <w:rsid w:val="1613AC30"/>
    <w:rsid w:val="1615262D"/>
    <w:rsid w:val="1615EEEF"/>
    <w:rsid w:val="16160D12"/>
    <w:rsid w:val="1617493B"/>
    <w:rsid w:val="1617BA20"/>
    <w:rsid w:val="1618136F"/>
    <w:rsid w:val="16184347"/>
    <w:rsid w:val="161888B9"/>
    <w:rsid w:val="161ADAA6"/>
    <w:rsid w:val="161B8A82"/>
    <w:rsid w:val="161BDEE2"/>
    <w:rsid w:val="161C7DF7"/>
    <w:rsid w:val="161DEE83"/>
    <w:rsid w:val="161E532F"/>
    <w:rsid w:val="161EF8EA"/>
    <w:rsid w:val="161F533A"/>
    <w:rsid w:val="161FC1CC"/>
    <w:rsid w:val="16201260"/>
    <w:rsid w:val="16204776"/>
    <w:rsid w:val="16207E7E"/>
    <w:rsid w:val="16209EC3"/>
    <w:rsid w:val="16211B49"/>
    <w:rsid w:val="162147D7"/>
    <w:rsid w:val="16214F91"/>
    <w:rsid w:val="16219C16"/>
    <w:rsid w:val="16221214"/>
    <w:rsid w:val="162289C5"/>
    <w:rsid w:val="1622DC42"/>
    <w:rsid w:val="162351F8"/>
    <w:rsid w:val="16239D69"/>
    <w:rsid w:val="1623FE79"/>
    <w:rsid w:val="16242C58"/>
    <w:rsid w:val="16243E6E"/>
    <w:rsid w:val="1624916A"/>
    <w:rsid w:val="1625CAE0"/>
    <w:rsid w:val="1625D659"/>
    <w:rsid w:val="1627A039"/>
    <w:rsid w:val="1627AFF3"/>
    <w:rsid w:val="162827D7"/>
    <w:rsid w:val="162847CA"/>
    <w:rsid w:val="162B716C"/>
    <w:rsid w:val="162BAFA8"/>
    <w:rsid w:val="162BC279"/>
    <w:rsid w:val="162C46EF"/>
    <w:rsid w:val="162C664B"/>
    <w:rsid w:val="162D16A3"/>
    <w:rsid w:val="162D95F8"/>
    <w:rsid w:val="162D9A70"/>
    <w:rsid w:val="162E5DE6"/>
    <w:rsid w:val="162E9994"/>
    <w:rsid w:val="162F096A"/>
    <w:rsid w:val="162F29A9"/>
    <w:rsid w:val="162F6975"/>
    <w:rsid w:val="162F8B97"/>
    <w:rsid w:val="16310563"/>
    <w:rsid w:val="16310642"/>
    <w:rsid w:val="16327CCF"/>
    <w:rsid w:val="16329205"/>
    <w:rsid w:val="1633E5F3"/>
    <w:rsid w:val="16340C16"/>
    <w:rsid w:val="16347409"/>
    <w:rsid w:val="1634E26A"/>
    <w:rsid w:val="16354B8F"/>
    <w:rsid w:val="16356806"/>
    <w:rsid w:val="163615BE"/>
    <w:rsid w:val="1637A72E"/>
    <w:rsid w:val="1638CBAB"/>
    <w:rsid w:val="16396F52"/>
    <w:rsid w:val="1639B190"/>
    <w:rsid w:val="163A5C58"/>
    <w:rsid w:val="163C35C0"/>
    <w:rsid w:val="163E9BAC"/>
    <w:rsid w:val="163F1E27"/>
    <w:rsid w:val="163FC480"/>
    <w:rsid w:val="163FE0C2"/>
    <w:rsid w:val="16405E47"/>
    <w:rsid w:val="16407457"/>
    <w:rsid w:val="1640C173"/>
    <w:rsid w:val="1640DACE"/>
    <w:rsid w:val="1640DBBB"/>
    <w:rsid w:val="16413DF5"/>
    <w:rsid w:val="1641CEFF"/>
    <w:rsid w:val="1641F64A"/>
    <w:rsid w:val="16421FBA"/>
    <w:rsid w:val="1642A03E"/>
    <w:rsid w:val="164305CC"/>
    <w:rsid w:val="164321F2"/>
    <w:rsid w:val="164389DB"/>
    <w:rsid w:val="1643A6B3"/>
    <w:rsid w:val="164489DA"/>
    <w:rsid w:val="16449F35"/>
    <w:rsid w:val="1644F975"/>
    <w:rsid w:val="1645CA98"/>
    <w:rsid w:val="16464CC3"/>
    <w:rsid w:val="1646B78A"/>
    <w:rsid w:val="16472486"/>
    <w:rsid w:val="16474742"/>
    <w:rsid w:val="164771E5"/>
    <w:rsid w:val="1648F99B"/>
    <w:rsid w:val="164A70EE"/>
    <w:rsid w:val="164A7BBF"/>
    <w:rsid w:val="164B9F60"/>
    <w:rsid w:val="164CAB79"/>
    <w:rsid w:val="164D4CDA"/>
    <w:rsid w:val="164DC3BA"/>
    <w:rsid w:val="164DF4B3"/>
    <w:rsid w:val="164EA536"/>
    <w:rsid w:val="164F96AE"/>
    <w:rsid w:val="164FC426"/>
    <w:rsid w:val="16504A6D"/>
    <w:rsid w:val="16546BD4"/>
    <w:rsid w:val="165526BC"/>
    <w:rsid w:val="16554F9C"/>
    <w:rsid w:val="165582C0"/>
    <w:rsid w:val="16558D40"/>
    <w:rsid w:val="16559A78"/>
    <w:rsid w:val="1655B547"/>
    <w:rsid w:val="1655DB64"/>
    <w:rsid w:val="16560696"/>
    <w:rsid w:val="16568D52"/>
    <w:rsid w:val="1657571A"/>
    <w:rsid w:val="16579363"/>
    <w:rsid w:val="1657ADB4"/>
    <w:rsid w:val="1657E2E2"/>
    <w:rsid w:val="16582A7A"/>
    <w:rsid w:val="1658B241"/>
    <w:rsid w:val="1658E957"/>
    <w:rsid w:val="16599FE7"/>
    <w:rsid w:val="1659D0B0"/>
    <w:rsid w:val="165BC5D1"/>
    <w:rsid w:val="165C5A3D"/>
    <w:rsid w:val="165D0012"/>
    <w:rsid w:val="165D4C57"/>
    <w:rsid w:val="165DCED4"/>
    <w:rsid w:val="165E6259"/>
    <w:rsid w:val="165F2714"/>
    <w:rsid w:val="16605B90"/>
    <w:rsid w:val="1660CF27"/>
    <w:rsid w:val="1661602F"/>
    <w:rsid w:val="16618C13"/>
    <w:rsid w:val="1661ED48"/>
    <w:rsid w:val="16635537"/>
    <w:rsid w:val="1663E61D"/>
    <w:rsid w:val="16643FAB"/>
    <w:rsid w:val="1664B5D1"/>
    <w:rsid w:val="1665DA13"/>
    <w:rsid w:val="16661776"/>
    <w:rsid w:val="1666FF69"/>
    <w:rsid w:val="16670401"/>
    <w:rsid w:val="1667DE38"/>
    <w:rsid w:val="166804E0"/>
    <w:rsid w:val="1669017A"/>
    <w:rsid w:val="166960B2"/>
    <w:rsid w:val="166AB4F0"/>
    <w:rsid w:val="166AEE57"/>
    <w:rsid w:val="166BC462"/>
    <w:rsid w:val="166D95F0"/>
    <w:rsid w:val="166F551C"/>
    <w:rsid w:val="167085FA"/>
    <w:rsid w:val="16716722"/>
    <w:rsid w:val="16724229"/>
    <w:rsid w:val="16729A47"/>
    <w:rsid w:val="16729F13"/>
    <w:rsid w:val="16738D03"/>
    <w:rsid w:val="16744680"/>
    <w:rsid w:val="16753007"/>
    <w:rsid w:val="1675BA8A"/>
    <w:rsid w:val="1675ECB5"/>
    <w:rsid w:val="16764752"/>
    <w:rsid w:val="1676D87F"/>
    <w:rsid w:val="1677B6D0"/>
    <w:rsid w:val="1677CF3A"/>
    <w:rsid w:val="167A4B07"/>
    <w:rsid w:val="167B868F"/>
    <w:rsid w:val="167BDCBB"/>
    <w:rsid w:val="167CA08A"/>
    <w:rsid w:val="167CF105"/>
    <w:rsid w:val="167D564D"/>
    <w:rsid w:val="167E187A"/>
    <w:rsid w:val="167E93F6"/>
    <w:rsid w:val="167FB900"/>
    <w:rsid w:val="16805A9F"/>
    <w:rsid w:val="1680A9AA"/>
    <w:rsid w:val="1680BDE9"/>
    <w:rsid w:val="1680D3EF"/>
    <w:rsid w:val="1680EEEE"/>
    <w:rsid w:val="16816FCF"/>
    <w:rsid w:val="1681DAA3"/>
    <w:rsid w:val="1681F9D2"/>
    <w:rsid w:val="16823682"/>
    <w:rsid w:val="1682880A"/>
    <w:rsid w:val="16829DF3"/>
    <w:rsid w:val="168306D1"/>
    <w:rsid w:val="16839BED"/>
    <w:rsid w:val="16845219"/>
    <w:rsid w:val="1685663C"/>
    <w:rsid w:val="16877BD7"/>
    <w:rsid w:val="1688AC5B"/>
    <w:rsid w:val="168917DF"/>
    <w:rsid w:val="16891B37"/>
    <w:rsid w:val="16899E9C"/>
    <w:rsid w:val="1689BD60"/>
    <w:rsid w:val="168A3195"/>
    <w:rsid w:val="168AB70F"/>
    <w:rsid w:val="168BF7B3"/>
    <w:rsid w:val="168C04C5"/>
    <w:rsid w:val="168C5D69"/>
    <w:rsid w:val="168CBB57"/>
    <w:rsid w:val="168D196F"/>
    <w:rsid w:val="168DBA3B"/>
    <w:rsid w:val="168E3076"/>
    <w:rsid w:val="168F6526"/>
    <w:rsid w:val="1690232C"/>
    <w:rsid w:val="16906C7C"/>
    <w:rsid w:val="1690839D"/>
    <w:rsid w:val="1691D584"/>
    <w:rsid w:val="169242E8"/>
    <w:rsid w:val="1692A560"/>
    <w:rsid w:val="1692B91D"/>
    <w:rsid w:val="16936A6B"/>
    <w:rsid w:val="1693A62D"/>
    <w:rsid w:val="1693DB75"/>
    <w:rsid w:val="1694746E"/>
    <w:rsid w:val="1694CB89"/>
    <w:rsid w:val="16965892"/>
    <w:rsid w:val="1696B9EF"/>
    <w:rsid w:val="16973EEE"/>
    <w:rsid w:val="16983AFB"/>
    <w:rsid w:val="169885F5"/>
    <w:rsid w:val="1698DB1A"/>
    <w:rsid w:val="169BBDD5"/>
    <w:rsid w:val="169E6EB6"/>
    <w:rsid w:val="169EDECF"/>
    <w:rsid w:val="169EF713"/>
    <w:rsid w:val="169F0CA9"/>
    <w:rsid w:val="169F0EB8"/>
    <w:rsid w:val="16A03D32"/>
    <w:rsid w:val="16A15634"/>
    <w:rsid w:val="16A1DF83"/>
    <w:rsid w:val="16A2655B"/>
    <w:rsid w:val="16A278CB"/>
    <w:rsid w:val="16A2BB51"/>
    <w:rsid w:val="16A3FD93"/>
    <w:rsid w:val="16A772F3"/>
    <w:rsid w:val="16A79AFC"/>
    <w:rsid w:val="16AAD5D2"/>
    <w:rsid w:val="16AB2282"/>
    <w:rsid w:val="16AB39EC"/>
    <w:rsid w:val="16AC9844"/>
    <w:rsid w:val="16AD14DF"/>
    <w:rsid w:val="16AD711B"/>
    <w:rsid w:val="16ADC2C0"/>
    <w:rsid w:val="16AED073"/>
    <w:rsid w:val="16AEDAAF"/>
    <w:rsid w:val="16AF34A1"/>
    <w:rsid w:val="16B10010"/>
    <w:rsid w:val="16B118A8"/>
    <w:rsid w:val="16B1A2A2"/>
    <w:rsid w:val="16B1AED1"/>
    <w:rsid w:val="16B204A2"/>
    <w:rsid w:val="16B2F090"/>
    <w:rsid w:val="16B31519"/>
    <w:rsid w:val="16B3695B"/>
    <w:rsid w:val="16B37802"/>
    <w:rsid w:val="16B43243"/>
    <w:rsid w:val="16B5ECF2"/>
    <w:rsid w:val="16B7F73A"/>
    <w:rsid w:val="16B87232"/>
    <w:rsid w:val="16B93094"/>
    <w:rsid w:val="16B94536"/>
    <w:rsid w:val="16BA24AC"/>
    <w:rsid w:val="16BA4BA6"/>
    <w:rsid w:val="16BAADA2"/>
    <w:rsid w:val="16BAFB1A"/>
    <w:rsid w:val="16BB7427"/>
    <w:rsid w:val="16BBEF49"/>
    <w:rsid w:val="16BC007B"/>
    <w:rsid w:val="16BC11F0"/>
    <w:rsid w:val="16BD200C"/>
    <w:rsid w:val="16BE5A47"/>
    <w:rsid w:val="16BEFF0A"/>
    <w:rsid w:val="16BF18D8"/>
    <w:rsid w:val="16BFF72C"/>
    <w:rsid w:val="16C0B916"/>
    <w:rsid w:val="16C17962"/>
    <w:rsid w:val="16C1CAAB"/>
    <w:rsid w:val="16C1CDDE"/>
    <w:rsid w:val="16C28FF7"/>
    <w:rsid w:val="16C2D345"/>
    <w:rsid w:val="16C30A7C"/>
    <w:rsid w:val="16C3B8FC"/>
    <w:rsid w:val="16C422CE"/>
    <w:rsid w:val="16C42977"/>
    <w:rsid w:val="16C43BBD"/>
    <w:rsid w:val="16C53100"/>
    <w:rsid w:val="16C56825"/>
    <w:rsid w:val="16C578DB"/>
    <w:rsid w:val="16C69850"/>
    <w:rsid w:val="16C6A6B5"/>
    <w:rsid w:val="16C7271D"/>
    <w:rsid w:val="16C80437"/>
    <w:rsid w:val="16C86D44"/>
    <w:rsid w:val="16C8A686"/>
    <w:rsid w:val="16C8EA3B"/>
    <w:rsid w:val="16C99256"/>
    <w:rsid w:val="16C9E933"/>
    <w:rsid w:val="16C9EE6C"/>
    <w:rsid w:val="16CB097F"/>
    <w:rsid w:val="16CC9E0C"/>
    <w:rsid w:val="16CE1FD8"/>
    <w:rsid w:val="16CF83B4"/>
    <w:rsid w:val="16D01A98"/>
    <w:rsid w:val="16D0EDF5"/>
    <w:rsid w:val="16D19D64"/>
    <w:rsid w:val="16D1CCE2"/>
    <w:rsid w:val="16D25969"/>
    <w:rsid w:val="16D2C2A5"/>
    <w:rsid w:val="16D34BB0"/>
    <w:rsid w:val="16D3655B"/>
    <w:rsid w:val="16D3B325"/>
    <w:rsid w:val="16D538A5"/>
    <w:rsid w:val="16D55149"/>
    <w:rsid w:val="16D5EEC0"/>
    <w:rsid w:val="16D6E9E3"/>
    <w:rsid w:val="16D78162"/>
    <w:rsid w:val="16D83F11"/>
    <w:rsid w:val="16D8D0DE"/>
    <w:rsid w:val="16D955E5"/>
    <w:rsid w:val="16D963C7"/>
    <w:rsid w:val="16D9CB2A"/>
    <w:rsid w:val="16D9E18C"/>
    <w:rsid w:val="16D9EE99"/>
    <w:rsid w:val="16DA40D8"/>
    <w:rsid w:val="16DB5530"/>
    <w:rsid w:val="16DB8F54"/>
    <w:rsid w:val="16DBC486"/>
    <w:rsid w:val="16DC6B46"/>
    <w:rsid w:val="16DCE553"/>
    <w:rsid w:val="16DD676D"/>
    <w:rsid w:val="16DE1EDE"/>
    <w:rsid w:val="16DE2F99"/>
    <w:rsid w:val="16DE3E99"/>
    <w:rsid w:val="16DEBE06"/>
    <w:rsid w:val="16DF6252"/>
    <w:rsid w:val="16DF6792"/>
    <w:rsid w:val="16DF69AF"/>
    <w:rsid w:val="16DFFF33"/>
    <w:rsid w:val="16E05127"/>
    <w:rsid w:val="16E09264"/>
    <w:rsid w:val="16E0C289"/>
    <w:rsid w:val="16E16A5C"/>
    <w:rsid w:val="16E1C184"/>
    <w:rsid w:val="16E1E7FC"/>
    <w:rsid w:val="16E2A8BF"/>
    <w:rsid w:val="16E2B7B6"/>
    <w:rsid w:val="16E328B0"/>
    <w:rsid w:val="16E4F22E"/>
    <w:rsid w:val="16E51E82"/>
    <w:rsid w:val="16E58C52"/>
    <w:rsid w:val="16E5C573"/>
    <w:rsid w:val="16E5DF17"/>
    <w:rsid w:val="16E81506"/>
    <w:rsid w:val="16E8C85A"/>
    <w:rsid w:val="16E95957"/>
    <w:rsid w:val="16E98F52"/>
    <w:rsid w:val="16E9BC30"/>
    <w:rsid w:val="16E9D228"/>
    <w:rsid w:val="16E9F98B"/>
    <w:rsid w:val="16E9FF0C"/>
    <w:rsid w:val="16EA39EB"/>
    <w:rsid w:val="16EAC9AF"/>
    <w:rsid w:val="16EB81A3"/>
    <w:rsid w:val="16EB9C6F"/>
    <w:rsid w:val="16EB9D84"/>
    <w:rsid w:val="16EECCD7"/>
    <w:rsid w:val="16EEEF6B"/>
    <w:rsid w:val="16F000DA"/>
    <w:rsid w:val="16F159DD"/>
    <w:rsid w:val="16F23298"/>
    <w:rsid w:val="16F3FABF"/>
    <w:rsid w:val="16F4B037"/>
    <w:rsid w:val="16F51C50"/>
    <w:rsid w:val="16F5798E"/>
    <w:rsid w:val="16F58F1D"/>
    <w:rsid w:val="16F5C92A"/>
    <w:rsid w:val="16F630A9"/>
    <w:rsid w:val="16F65900"/>
    <w:rsid w:val="16F6DA86"/>
    <w:rsid w:val="16F8691E"/>
    <w:rsid w:val="16F8B27F"/>
    <w:rsid w:val="16F8F8F5"/>
    <w:rsid w:val="16F94645"/>
    <w:rsid w:val="16F96EFE"/>
    <w:rsid w:val="16F98FA0"/>
    <w:rsid w:val="16FACC10"/>
    <w:rsid w:val="16FB66B5"/>
    <w:rsid w:val="16FBFEC6"/>
    <w:rsid w:val="16FCA653"/>
    <w:rsid w:val="16FD574C"/>
    <w:rsid w:val="16FEC9B7"/>
    <w:rsid w:val="16FECA1D"/>
    <w:rsid w:val="16FF8BAA"/>
    <w:rsid w:val="17007D98"/>
    <w:rsid w:val="1700AC57"/>
    <w:rsid w:val="1701B9EA"/>
    <w:rsid w:val="17023066"/>
    <w:rsid w:val="17026C67"/>
    <w:rsid w:val="1702F68B"/>
    <w:rsid w:val="17048F0D"/>
    <w:rsid w:val="17052453"/>
    <w:rsid w:val="170535DA"/>
    <w:rsid w:val="1705CC73"/>
    <w:rsid w:val="1706FCE6"/>
    <w:rsid w:val="17070C3C"/>
    <w:rsid w:val="170788FA"/>
    <w:rsid w:val="170824BA"/>
    <w:rsid w:val="1708F697"/>
    <w:rsid w:val="17095D96"/>
    <w:rsid w:val="1709E1FB"/>
    <w:rsid w:val="170A7D01"/>
    <w:rsid w:val="170A8A24"/>
    <w:rsid w:val="170B81E3"/>
    <w:rsid w:val="170C33AD"/>
    <w:rsid w:val="170C8430"/>
    <w:rsid w:val="170CD7FD"/>
    <w:rsid w:val="170D2970"/>
    <w:rsid w:val="170D393D"/>
    <w:rsid w:val="170D7EFE"/>
    <w:rsid w:val="170D9E31"/>
    <w:rsid w:val="170DC444"/>
    <w:rsid w:val="170DD94B"/>
    <w:rsid w:val="170DEB2E"/>
    <w:rsid w:val="170E4C5F"/>
    <w:rsid w:val="170EA1D4"/>
    <w:rsid w:val="170EC6C7"/>
    <w:rsid w:val="170FA1A3"/>
    <w:rsid w:val="17108975"/>
    <w:rsid w:val="17110138"/>
    <w:rsid w:val="1711E958"/>
    <w:rsid w:val="1712FED0"/>
    <w:rsid w:val="171364D5"/>
    <w:rsid w:val="17139CE3"/>
    <w:rsid w:val="1713E904"/>
    <w:rsid w:val="1714CF31"/>
    <w:rsid w:val="17150B79"/>
    <w:rsid w:val="17152E4F"/>
    <w:rsid w:val="171575DA"/>
    <w:rsid w:val="17168432"/>
    <w:rsid w:val="1717662E"/>
    <w:rsid w:val="171767B9"/>
    <w:rsid w:val="1717B450"/>
    <w:rsid w:val="1717B759"/>
    <w:rsid w:val="17185D13"/>
    <w:rsid w:val="171905F0"/>
    <w:rsid w:val="171948ED"/>
    <w:rsid w:val="171B6636"/>
    <w:rsid w:val="171BC069"/>
    <w:rsid w:val="171C56E8"/>
    <w:rsid w:val="171C76C6"/>
    <w:rsid w:val="171D4704"/>
    <w:rsid w:val="171D771C"/>
    <w:rsid w:val="171DF6D2"/>
    <w:rsid w:val="171F6501"/>
    <w:rsid w:val="17204EB1"/>
    <w:rsid w:val="17207220"/>
    <w:rsid w:val="17209F54"/>
    <w:rsid w:val="1721106E"/>
    <w:rsid w:val="1721CB63"/>
    <w:rsid w:val="1721F310"/>
    <w:rsid w:val="172204D6"/>
    <w:rsid w:val="172349A2"/>
    <w:rsid w:val="172463ED"/>
    <w:rsid w:val="17251CE2"/>
    <w:rsid w:val="17252662"/>
    <w:rsid w:val="17257C60"/>
    <w:rsid w:val="17259696"/>
    <w:rsid w:val="17261CD5"/>
    <w:rsid w:val="1726FEF5"/>
    <w:rsid w:val="172701FF"/>
    <w:rsid w:val="17276321"/>
    <w:rsid w:val="1728AF41"/>
    <w:rsid w:val="17298E65"/>
    <w:rsid w:val="172A0054"/>
    <w:rsid w:val="172A0FBC"/>
    <w:rsid w:val="172A641C"/>
    <w:rsid w:val="172B058B"/>
    <w:rsid w:val="172BA617"/>
    <w:rsid w:val="172C35F5"/>
    <w:rsid w:val="172C856A"/>
    <w:rsid w:val="172DE665"/>
    <w:rsid w:val="172E1D4C"/>
    <w:rsid w:val="172F079D"/>
    <w:rsid w:val="17301948"/>
    <w:rsid w:val="17304ACE"/>
    <w:rsid w:val="1731849A"/>
    <w:rsid w:val="1731D9BE"/>
    <w:rsid w:val="17328437"/>
    <w:rsid w:val="173342A4"/>
    <w:rsid w:val="17339B9F"/>
    <w:rsid w:val="1733BBF2"/>
    <w:rsid w:val="1733F302"/>
    <w:rsid w:val="1734753D"/>
    <w:rsid w:val="17348CC3"/>
    <w:rsid w:val="173495F4"/>
    <w:rsid w:val="17352FE1"/>
    <w:rsid w:val="1735BF49"/>
    <w:rsid w:val="1735E35C"/>
    <w:rsid w:val="173606EC"/>
    <w:rsid w:val="17362139"/>
    <w:rsid w:val="1736D4D0"/>
    <w:rsid w:val="173704D1"/>
    <w:rsid w:val="17370AA0"/>
    <w:rsid w:val="17385293"/>
    <w:rsid w:val="17393B5A"/>
    <w:rsid w:val="173A04B0"/>
    <w:rsid w:val="173A817D"/>
    <w:rsid w:val="173B0E4F"/>
    <w:rsid w:val="173B9921"/>
    <w:rsid w:val="173BA330"/>
    <w:rsid w:val="173C585D"/>
    <w:rsid w:val="173E0669"/>
    <w:rsid w:val="173E52F0"/>
    <w:rsid w:val="173F333A"/>
    <w:rsid w:val="174021E1"/>
    <w:rsid w:val="17404D12"/>
    <w:rsid w:val="17411507"/>
    <w:rsid w:val="174124F3"/>
    <w:rsid w:val="1742089C"/>
    <w:rsid w:val="17425525"/>
    <w:rsid w:val="1743920D"/>
    <w:rsid w:val="1743EFDB"/>
    <w:rsid w:val="174462FA"/>
    <w:rsid w:val="17462DBE"/>
    <w:rsid w:val="17479AFB"/>
    <w:rsid w:val="17485100"/>
    <w:rsid w:val="17498A12"/>
    <w:rsid w:val="1749C3E0"/>
    <w:rsid w:val="174A9538"/>
    <w:rsid w:val="174ABBAA"/>
    <w:rsid w:val="174AC0AD"/>
    <w:rsid w:val="174BF7D0"/>
    <w:rsid w:val="174C1EE6"/>
    <w:rsid w:val="174C8FB9"/>
    <w:rsid w:val="174D3212"/>
    <w:rsid w:val="174E7815"/>
    <w:rsid w:val="174F2093"/>
    <w:rsid w:val="17517285"/>
    <w:rsid w:val="1751F6BC"/>
    <w:rsid w:val="17524665"/>
    <w:rsid w:val="17527728"/>
    <w:rsid w:val="1752F775"/>
    <w:rsid w:val="17532246"/>
    <w:rsid w:val="17542091"/>
    <w:rsid w:val="17547154"/>
    <w:rsid w:val="17554DA3"/>
    <w:rsid w:val="17557889"/>
    <w:rsid w:val="1755F482"/>
    <w:rsid w:val="1756C494"/>
    <w:rsid w:val="1756D621"/>
    <w:rsid w:val="1757C30B"/>
    <w:rsid w:val="1758467C"/>
    <w:rsid w:val="1759115F"/>
    <w:rsid w:val="1759AE2F"/>
    <w:rsid w:val="175A48D4"/>
    <w:rsid w:val="175A8815"/>
    <w:rsid w:val="175A89E5"/>
    <w:rsid w:val="175B37AB"/>
    <w:rsid w:val="175E29C2"/>
    <w:rsid w:val="175E76A0"/>
    <w:rsid w:val="175EE9BF"/>
    <w:rsid w:val="175EFA90"/>
    <w:rsid w:val="175FD125"/>
    <w:rsid w:val="17612646"/>
    <w:rsid w:val="1761C1D7"/>
    <w:rsid w:val="1762738E"/>
    <w:rsid w:val="1762E3D8"/>
    <w:rsid w:val="17644A91"/>
    <w:rsid w:val="1764D8F4"/>
    <w:rsid w:val="1764E2CA"/>
    <w:rsid w:val="176529E8"/>
    <w:rsid w:val="17660830"/>
    <w:rsid w:val="1767C6AC"/>
    <w:rsid w:val="17696FDA"/>
    <w:rsid w:val="176988B2"/>
    <w:rsid w:val="176AAA00"/>
    <w:rsid w:val="176AF48F"/>
    <w:rsid w:val="176C3FE7"/>
    <w:rsid w:val="176D9397"/>
    <w:rsid w:val="176E23A1"/>
    <w:rsid w:val="176E249E"/>
    <w:rsid w:val="176E5EB0"/>
    <w:rsid w:val="176EAAE1"/>
    <w:rsid w:val="176EB053"/>
    <w:rsid w:val="176EE99A"/>
    <w:rsid w:val="176F410F"/>
    <w:rsid w:val="176F5C7B"/>
    <w:rsid w:val="176F9525"/>
    <w:rsid w:val="1770B331"/>
    <w:rsid w:val="1772632B"/>
    <w:rsid w:val="17728E1E"/>
    <w:rsid w:val="1772B4B8"/>
    <w:rsid w:val="17744024"/>
    <w:rsid w:val="177488BE"/>
    <w:rsid w:val="177524F0"/>
    <w:rsid w:val="17753B6A"/>
    <w:rsid w:val="17779664"/>
    <w:rsid w:val="1777EDD4"/>
    <w:rsid w:val="1779486F"/>
    <w:rsid w:val="177A8384"/>
    <w:rsid w:val="177AA376"/>
    <w:rsid w:val="177AD63A"/>
    <w:rsid w:val="177B19B4"/>
    <w:rsid w:val="177C5F1C"/>
    <w:rsid w:val="177C925E"/>
    <w:rsid w:val="177CF366"/>
    <w:rsid w:val="177CFE8C"/>
    <w:rsid w:val="177D1004"/>
    <w:rsid w:val="177E00CA"/>
    <w:rsid w:val="177E861A"/>
    <w:rsid w:val="177F1D30"/>
    <w:rsid w:val="177FDD64"/>
    <w:rsid w:val="177FE3E4"/>
    <w:rsid w:val="17800B7A"/>
    <w:rsid w:val="17801B5A"/>
    <w:rsid w:val="17802422"/>
    <w:rsid w:val="17804DEF"/>
    <w:rsid w:val="17811ED9"/>
    <w:rsid w:val="17815B7A"/>
    <w:rsid w:val="1782372F"/>
    <w:rsid w:val="17826328"/>
    <w:rsid w:val="1782F312"/>
    <w:rsid w:val="17830090"/>
    <w:rsid w:val="1783495F"/>
    <w:rsid w:val="17839CFC"/>
    <w:rsid w:val="1783DDD3"/>
    <w:rsid w:val="1783EE9D"/>
    <w:rsid w:val="17848E66"/>
    <w:rsid w:val="1784ABD6"/>
    <w:rsid w:val="1784C0C2"/>
    <w:rsid w:val="1785BC80"/>
    <w:rsid w:val="17860FDC"/>
    <w:rsid w:val="178682A6"/>
    <w:rsid w:val="178765C4"/>
    <w:rsid w:val="1787E0E6"/>
    <w:rsid w:val="17883B85"/>
    <w:rsid w:val="17886C4E"/>
    <w:rsid w:val="17889022"/>
    <w:rsid w:val="1788AA30"/>
    <w:rsid w:val="17894B96"/>
    <w:rsid w:val="17897B02"/>
    <w:rsid w:val="1789B28A"/>
    <w:rsid w:val="1789C9C6"/>
    <w:rsid w:val="178A1F59"/>
    <w:rsid w:val="178A4A41"/>
    <w:rsid w:val="178A845A"/>
    <w:rsid w:val="178B7381"/>
    <w:rsid w:val="178C7238"/>
    <w:rsid w:val="178D84A0"/>
    <w:rsid w:val="178DCB44"/>
    <w:rsid w:val="178E56E3"/>
    <w:rsid w:val="178E5BF8"/>
    <w:rsid w:val="178EC628"/>
    <w:rsid w:val="178EED25"/>
    <w:rsid w:val="178F7C6D"/>
    <w:rsid w:val="179079FB"/>
    <w:rsid w:val="17913C05"/>
    <w:rsid w:val="17916DFD"/>
    <w:rsid w:val="17923CB6"/>
    <w:rsid w:val="1792408C"/>
    <w:rsid w:val="17928095"/>
    <w:rsid w:val="1792FA54"/>
    <w:rsid w:val="17949857"/>
    <w:rsid w:val="17952237"/>
    <w:rsid w:val="17955167"/>
    <w:rsid w:val="17972927"/>
    <w:rsid w:val="1797C50F"/>
    <w:rsid w:val="17990FB4"/>
    <w:rsid w:val="17991751"/>
    <w:rsid w:val="179A1D9A"/>
    <w:rsid w:val="179A709A"/>
    <w:rsid w:val="179AB3FD"/>
    <w:rsid w:val="179BA072"/>
    <w:rsid w:val="179BC43A"/>
    <w:rsid w:val="179E671E"/>
    <w:rsid w:val="179EE432"/>
    <w:rsid w:val="179F79A5"/>
    <w:rsid w:val="179FCFF4"/>
    <w:rsid w:val="179FD303"/>
    <w:rsid w:val="17A14148"/>
    <w:rsid w:val="17A22B2B"/>
    <w:rsid w:val="17A25D70"/>
    <w:rsid w:val="17A3ABF1"/>
    <w:rsid w:val="17A43300"/>
    <w:rsid w:val="17A4A11F"/>
    <w:rsid w:val="17A54B40"/>
    <w:rsid w:val="17A57AA3"/>
    <w:rsid w:val="17A5C27D"/>
    <w:rsid w:val="17A7D671"/>
    <w:rsid w:val="17A87A64"/>
    <w:rsid w:val="17A8A42D"/>
    <w:rsid w:val="17A8E983"/>
    <w:rsid w:val="17AA49A2"/>
    <w:rsid w:val="17AC5F28"/>
    <w:rsid w:val="17AC8A95"/>
    <w:rsid w:val="17AC93DC"/>
    <w:rsid w:val="17AE0B05"/>
    <w:rsid w:val="17AE3401"/>
    <w:rsid w:val="17AE3C6E"/>
    <w:rsid w:val="17AE6EFC"/>
    <w:rsid w:val="17AF2A32"/>
    <w:rsid w:val="17AF3DE6"/>
    <w:rsid w:val="17B082BD"/>
    <w:rsid w:val="17B0A61B"/>
    <w:rsid w:val="17B33592"/>
    <w:rsid w:val="17B393D4"/>
    <w:rsid w:val="17B40CB7"/>
    <w:rsid w:val="17B454A8"/>
    <w:rsid w:val="17B4CC5E"/>
    <w:rsid w:val="17B5E078"/>
    <w:rsid w:val="17B61220"/>
    <w:rsid w:val="17B8097D"/>
    <w:rsid w:val="17B8263B"/>
    <w:rsid w:val="17B910D2"/>
    <w:rsid w:val="17B9DADB"/>
    <w:rsid w:val="17BA684E"/>
    <w:rsid w:val="17BB85BD"/>
    <w:rsid w:val="17BB9F36"/>
    <w:rsid w:val="17BC8FF4"/>
    <w:rsid w:val="17BE064D"/>
    <w:rsid w:val="17BF137C"/>
    <w:rsid w:val="17BFD2CC"/>
    <w:rsid w:val="17C00EDC"/>
    <w:rsid w:val="17C0C93A"/>
    <w:rsid w:val="17C1351A"/>
    <w:rsid w:val="17C204A2"/>
    <w:rsid w:val="17C2C2CE"/>
    <w:rsid w:val="17C2DD4C"/>
    <w:rsid w:val="17C32D1A"/>
    <w:rsid w:val="17C34A7E"/>
    <w:rsid w:val="17C43CFA"/>
    <w:rsid w:val="17C4B397"/>
    <w:rsid w:val="17C532B8"/>
    <w:rsid w:val="17C65268"/>
    <w:rsid w:val="17C8105D"/>
    <w:rsid w:val="17C84295"/>
    <w:rsid w:val="17C8741B"/>
    <w:rsid w:val="17C950E3"/>
    <w:rsid w:val="17C978D1"/>
    <w:rsid w:val="17C9DFA8"/>
    <w:rsid w:val="17CAC996"/>
    <w:rsid w:val="17CB3DA7"/>
    <w:rsid w:val="17CB9ABA"/>
    <w:rsid w:val="17CBE1D0"/>
    <w:rsid w:val="17CE8770"/>
    <w:rsid w:val="17CF4657"/>
    <w:rsid w:val="17D0D861"/>
    <w:rsid w:val="17D2206F"/>
    <w:rsid w:val="17D2C1D7"/>
    <w:rsid w:val="17D350F4"/>
    <w:rsid w:val="17D3582E"/>
    <w:rsid w:val="17D4B4E5"/>
    <w:rsid w:val="17D533AE"/>
    <w:rsid w:val="17D6218C"/>
    <w:rsid w:val="17D710D8"/>
    <w:rsid w:val="17D71743"/>
    <w:rsid w:val="17D722DD"/>
    <w:rsid w:val="17D7834B"/>
    <w:rsid w:val="17D78EA5"/>
    <w:rsid w:val="17D856E9"/>
    <w:rsid w:val="17D86250"/>
    <w:rsid w:val="17D9061E"/>
    <w:rsid w:val="17D90EA2"/>
    <w:rsid w:val="17D956BD"/>
    <w:rsid w:val="17D95C97"/>
    <w:rsid w:val="17D97BF6"/>
    <w:rsid w:val="17D97E07"/>
    <w:rsid w:val="17D9BE6B"/>
    <w:rsid w:val="17D9C425"/>
    <w:rsid w:val="17DA90A5"/>
    <w:rsid w:val="17DB3BB9"/>
    <w:rsid w:val="17DC8F3F"/>
    <w:rsid w:val="17DD09AE"/>
    <w:rsid w:val="17DD16BB"/>
    <w:rsid w:val="17DD78FD"/>
    <w:rsid w:val="17DD8951"/>
    <w:rsid w:val="17DDBF68"/>
    <w:rsid w:val="17DDF811"/>
    <w:rsid w:val="17DE9713"/>
    <w:rsid w:val="17E017D3"/>
    <w:rsid w:val="17E17669"/>
    <w:rsid w:val="17E1B73A"/>
    <w:rsid w:val="17E30F57"/>
    <w:rsid w:val="17E3DEB2"/>
    <w:rsid w:val="17E3E066"/>
    <w:rsid w:val="17E407B5"/>
    <w:rsid w:val="17E512D7"/>
    <w:rsid w:val="17E59AF0"/>
    <w:rsid w:val="17E613DB"/>
    <w:rsid w:val="17E6AB74"/>
    <w:rsid w:val="17E89FAF"/>
    <w:rsid w:val="17E91F5A"/>
    <w:rsid w:val="17E92192"/>
    <w:rsid w:val="17E926F3"/>
    <w:rsid w:val="17E9C467"/>
    <w:rsid w:val="17EA3089"/>
    <w:rsid w:val="17EABC77"/>
    <w:rsid w:val="17EAFD6C"/>
    <w:rsid w:val="17EB04C7"/>
    <w:rsid w:val="17EB055B"/>
    <w:rsid w:val="17EB11FC"/>
    <w:rsid w:val="17EB82E6"/>
    <w:rsid w:val="17EB8FB8"/>
    <w:rsid w:val="17EB9E24"/>
    <w:rsid w:val="17ECAEDF"/>
    <w:rsid w:val="17ECD17F"/>
    <w:rsid w:val="17EDEC63"/>
    <w:rsid w:val="17EEF7BD"/>
    <w:rsid w:val="17EFC6A8"/>
    <w:rsid w:val="17F0094B"/>
    <w:rsid w:val="17F20E22"/>
    <w:rsid w:val="17F269B5"/>
    <w:rsid w:val="17F3B789"/>
    <w:rsid w:val="17F3E711"/>
    <w:rsid w:val="17F5F17E"/>
    <w:rsid w:val="17F6E10F"/>
    <w:rsid w:val="17F71ABE"/>
    <w:rsid w:val="17F9F392"/>
    <w:rsid w:val="17FA5A33"/>
    <w:rsid w:val="17FA9C5E"/>
    <w:rsid w:val="17FBA9D0"/>
    <w:rsid w:val="17FC73BA"/>
    <w:rsid w:val="17FCE387"/>
    <w:rsid w:val="17FDC624"/>
    <w:rsid w:val="17FDCA13"/>
    <w:rsid w:val="17FDCA65"/>
    <w:rsid w:val="17FE0000"/>
    <w:rsid w:val="17FFDA11"/>
    <w:rsid w:val="180143AF"/>
    <w:rsid w:val="18031298"/>
    <w:rsid w:val="1803B0BF"/>
    <w:rsid w:val="1806E27B"/>
    <w:rsid w:val="18075D91"/>
    <w:rsid w:val="18079EE4"/>
    <w:rsid w:val="1807A25D"/>
    <w:rsid w:val="1807DBDF"/>
    <w:rsid w:val="1808218A"/>
    <w:rsid w:val="1808B25A"/>
    <w:rsid w:val="1809F889"/>
    <w:rsid w:val="1809FE6E"/>
    <w:rsid w:val="180B7B03"/>
    <w:rsid w:val="180B9622"/>
    <w:rsid w:val="180BF0A9"/>
    <w:rsid w:val="180C545D"/>
    <w:rsid w:val="180CD151"/>
    <w:rsid w:val="180CD1DD"/>
    <w:rsid w:val="180DA7A7"/>
    <w:rsid w:val="180E02A6"/>
    <w:rsid w:val="180E72AE"/>
    <w:rsid w:val="180EDA19"/>
    <w:rsid w:val="180FD42A"/>
    <w:rsid w:val="181027B4"/>
    <w:rsid w:val="1810F877"/>
    <w:rsid w:val="1811D7D2"/>
    <w:rsid w:val="1812CD5E"/>
    <w:rsid w:val="1813147B"/>
    <w:rsid w:val="18134C69"/>
    <w:rsid w:val="1813DBA7"/>
    <w:rsid w:val="18142E5D"/>
    <w:rsid w:val="1814A3F2"/>
    <w:rsid w:val="1814A645"/>
    <w:rsid w:val="181598F0"/>
    <w:rsid w:val="1816EA70"/>
    <w:rsid w:val="18182E6C"/>
    <w:rsid w:val="18184653"/>
    <w:rsid w:val="1818980E"/>
    <w:rsid w:val="1818A07D"/>
    <w:rsid w:val="1818D024"/>
    <w:rsid w:val="1818F835"/>
    <w:rsid w:val="18190424"/>
    <w:rsid w:val="181A4DCC"/>
    <w:rsid w:val="181C2D10"/>
    <w:rsid w:val="181CD797"/>
    <w:rsid w:val="181D3F45"/>
    <w:rsid w:val="181DA9EB"/>
    <w:rsid w:val="181E1B46"/>
    <w:rsid w:val="181E3BB1"/>
    <w:rsid w:val="181E467F"/>
    <w:rsid w:val="181EB9A6"/>
    <w:rsid w:val="181EE2EC"/>
    <w:rsid w:val="181EE5CC"/>
    <w:rsid w:val="181F5F95"/>
    <w:rsid w:val="1820516B"/>
    <w:rsid w:val="18213F68"/>
    <w:rsid w:val="182172EC"/>
    <w:rsid w:val="18219637"/>
    <w:rsid w:val="1822CB99"/>
    <w:rsid w:val="1823B899"/>
    <w:rsid w:val="18248501"/>
    <w:rsid w:val="1824B79D"/>
    <w:rsid w:val="1824E021"/>
    <w:rsid w:val="1825B6A5"/>
    <w:rsid w:val="1825DC39"/>
    <w:rsid w:val="18273B4B"/>
    <w:rsid w:val="18277873"/>
    <w:rsid w:val="18282407"/>
    <w:rsid w:val="1828CEDB"/>
    <w:rsid w:val="1828FF81"/>
    <w:rsid w:val="182A1CE4"/>
    <w:rsid w:val="182A80B8"/>
    <w:rsid w:val="182AF169"/>
    <w:rsid w:val="182C2082"/>
    <w:rsid w:val="182C4AE0"/>
    <w:rsid w:val="182D2B7D"/>
    <w:rsid w:val="182D97E8"/>
    <w:rsid w:val="182ECFBD"/>
    <w:rsid w:val="182F148A"/>
    <w:rsid w:val="183045B5"/>
    <w:rsid w:val="18309B12"/>
    <w:rsid w:val="183133FF"/>
    <w:rsid w:val="18318466"/>
    <w:rsid w:val="18321BDE"/>
    <w:rsid w:val="18326988"/>
    <w:rsid w:val="1832C981"/>
    <w:rsid w:val="18330FB0"/>
    <w:rsid w:val="18331D88"/>
    <w:rsid w:val="1833CDAB"/>
    <w:rsid w:val="183403B5"/>
    <w:rsid w:val="1835BDC1"/>
    <w:rsid w:val="18367640"/>
    <w:rsid w:val="183830C4"/>
    <w:rsid w:val="1838F205"/>
    <w:rsid w:val="1839CBBB"/>
    <w:rsid w:val="183A1DDC"/>
    <w:rsid w:val="183A9C9A"/>
    <w:rsid w:val="183AB3C7"/>
    <w:rsid w:val="183AFA3A"/>
    <w:rsid w:val="183B75A7"/>
    <w:rsid w:val="183B7875"/>
    <w:rsid w:val="183BFC37"/>
    <w:rsid w:val="183C05BF"/>
    <w:rsid w:val="183C62E1"/>
    <w:rsid w:val="183C7D35"/>
    <w:rsid w:val="183D9CE7"/>
    <w:rsid w:val="183EC3F2"/>
    <w:rsid w:val="183ED750"/>
    <w:rsid w:val="183ED96D"/>
    <w:rsid w:val="183EEFD8"/>
    <w:rsid w:val="183F126A"/>
    <w:rsid w:val="183FCCEE"/>
    <w:rsid w:val="1840ABB6"/>
    <w:rsid w:val="1841639B"/>
    <w:rsid w:val="1841972E"/>
    <w:rsid w:val="184239A4"/>
    <w:rsid w:val="184277D2"/>
    <w:rsid w:val="1842FFA3"/>
    <w:rsid w:val="1843329E"/>
    <w:rsid w:val="1843838E"/>
    <w:rsid w:val="1843FC46"/>
    <w:rsid w:val="184536EB"/>
    <w:rsid w:val="18455659"/>
    <w:rsid w:val="1845651E"/>
    <w:rsid w:val="18458082"/>
    <w:rsid w:val="1846226D"/>
    <w:rsid w:val="1846C996"/>
    <w:rsid w:val="18471522"/>
    <w:rsid w:val="1847CC77"/>
    <w:rsid w:val="1847D65C"/>
    <w:rsid w:val="1848188B"/>
    <w:rsid w:val="1848756D"/>
    <w:rsid w:val="184946F4"/>
    <w:rsid w:val="18499771"/>
    <w:rsid w:val="184B6333"/>
    <w:rsid w:val="184EC4F3"/>
    <w:rsid w:val="184ECC0A"/>
    <w:rsid w:val="184FB5C6"/>
    <w:rsid w:val="1851E682"/>
    <w:rsid w:val="1855C691"/>
    <w:rsid w:val="1856EC39"/>
    <w:rsid w:val="185713E2"/>
    <w:rsid w:val="18583DBE"/>
    <w:rsid w:val="18583F63"/>
    <w:rsid w:val="1858EF19"/>
    <w:rsid w:val="18590598"/>
    <w:rsid w:val="1859206B"/>
    <w:rsid w:val="1859BBE3"/>
    <w:rsid w:val="1859C3BC"/>
    <w:rsid w:val="1859D62F"/>
    <w:rsid w:val="185AF859"/>
    <w:rsid w:val="185BD91A"/>
    <w:rsid w:val="185CEEAD"/>
    <w:rsid w:val="185D2D58"/>
    <w:rsid w:val="185D72E4"/>
    <w:rsid w:val="185EAA84"/>
    <w:rsid w:val="185F5DE3"/>
    <w:rsid w:val="18602CEF"/>
    <w:rsid w:val="186120A6"/>
    <w:rsid w:val="186126B0"/>
    <w:rsid w:val="18615D2A"/>
    <w:rsid w:val="186211B1"/>
    <w:rsid w:val="18624ED9"/>
    <w:rsid w:val="18626BE4"/>
    <w:rsid w:val="18628E69"/>
    <w:rsid w:val="1862BC2F"/>
    <w:rsid w:val="1863680C"/>
    <w:rsid w:val="1864C9DE"/>
    <w:rsid w:val="18659B5F"/>
    <w:rsid w:val="186663CA"/>
    <w:rsid w:val="1867132F"/>
    <w:rsid w:val="1867398D"/>
    <w:rsid w:val="186760EF"/>
    <w:rsid w:val="18686DDB"/>
    <w:rsid w:val="186B1753"/>
    <w:rsid w:val="186B51D8"/>
    <w:rsid w:val="186C597B"/>
    <w:rsid w:val="186C875E"/>
    <w:rsid w:val="186CBC9E"/>
    <w:rsid w:val="186D6392"/>
    <w:rsid w:val="186E1DDA"/>
    <w:rsid w:val="186E9386"/>
    <w:rsid w:val="186E9DB5"/>
    <w:rsid w:val="186F0E82"/>
    <w:rsid w:val="186FE1BC"/>
    <w:rsid w:val="1870C722"/>
    <w:rsid w:val="1871A664"/>
    <w:rsid w:val="18727D01"/>
    <w:rsid w:val="1872F4AF"/>
    <w:rsid w:val="18732B84"/>
    <w:rsid w:val="18747AC7"/>
    <w:rsid w:val="18754DC5"/>
    <w:rsid w:val="18762DC7"/>
    <w:rsid w:val="18767C5D"/>
    <w:rsid w:val="1876F501"/>
    <w:rsid w:val="18771334"/>
    <w:rsid w:val="18772FF2"/>
    <w:rsid w:val="1879532A"/>
    <w:rsid w:val="1879591E"/>
    <w:rsid w:val="18795E06"/>
    <w:rsid w:val="187986E2"/>
    <w:rsid w:val="187A353C"/>
    <w:rsid w:val="187A9973"/>
    <w:rsid w:val="187C4DAC"/>
    <w:rsid w:val="187CD9DA"/>
    <w:rsid w:val="187DCB58"/>
    <w:rsid w:val="187F40C7"/>
    <w:rsid w:val="18815ED6"/>
    <w:rsid w:val="1882799A"/>
    <w:rsid w:val="188308AF"/>
    <w:rsid w:val="18839676"/>
    <w:rsid w:val="1884811C"/>
    <w:rsid w:val="1885254A"/>
    <w:rsid w:val="1885A178"/>
    <w:rsid w:val="1886C114"/>
    <w:rsid w:val="1887FDCD"/>
    <w:rsid w:val="18880A3C"/>
    <w:rsid w:val="1888A72D"/>
    <w:rsid w:val="1888AF3D"/>
    <w:rsid w:val="1888B19D"/>
    <w:rsid w:val="1889ABB2"/>
    <w:rsid w:val="1889D9D7"/>
    <w:rsid w:val="188A6B7D"/>
    <w:rsid w:val="188AACD8"/>
    <w:rsid w:val="188B51B9"/>
    <w:rsid w:val="188B59A7"/>
    <w:rsid w:val="188B606B"/>
    <w:rsid w:val="188BA63B"/>
    <w:rsid w:val="188BF94C"/>
    <w:rsid w:val="188C3FF5"/>
    <w:rsid w:val="188C6823"/>
    <w:rsid w:val="188C6EE6"/>
    <w:rsid w:val="188D51B4"/>
    <w:rsid w:val="188F452A"/>
    <w:rsid w:val="188F8D64"/>
    <w:rsid w:val="1890706E"/>
    <w:rsid w:val="18918211"/>
    <w:rsid w:val="189305AC"/>
    <w:rsid w:val="1894F051"/>
    <w:rsid w:val="18959ABB"/>
    <w:rsid w:val="1895FFFB"/>
    <w:rsid w:val="1898E17A"/>
    <w:rsid w:val="18999FB5"/>
    <w:rsid w:val="1899F6CA"/>
    <w:rsid w:val="189A89A4"/>
    <w:rsid w:val="189ABBCE"/>
    <w:rsid w:val="189BDF5A"/>
    <w:rsid w:val="189C09FB"/>
    <w:rsid w:val="189C2413"/>
    <w:rsid w:val="189E51DD"/>
    <w:rsid w:val="189EA456"/>
    <w:rsid w:val="189ED2C4"/>
    <w:rsid w:val="189F14E6"/>
    <w:rsid w:val="189F2494"/>
    <w:rsid w:val="189F7457"/>
    <w:rsid w:val="189F9B52"/>
    <w:rsid w:val="189FFD0E"/>
    <w:rsid w:val="18A089DE"/>
    <w:rsid w:val="18A1633C"/>
    <w:rsid w:val="18A1D36E"/>
    <w:rsid w:val="18A295EC"/>
    <w:rsid w:val="18A3409A"/>
    <w:rsid w:val="18A4B43D"/>
    <w:rsid w:val="18A4CD65"/>
    <w:rsid w:val="18A53A8D"/>
    <w:rsid w:val="18A5483B"/>
    <w:rsid w:val="18A63314"/>
    <w:rsid w:val="18A7CE43"/>
    <w:rsid w:val="18A85DE4"/>
    <w:rsid w:val="18A8A9E4"/>
    <w:rsid w:val="18A8BE1E"/>
    <w:rsid w:val="18A8C2D3"/>
    <w:rsid w:val="18A9555C"/>
    <w:rsid w:val="18A95A7C"/>
    <w:rsid w:val="18AA06BA"/>
    <w:rsid w:val="18AA196E"/>
    <w:rsid w:val="18AA4212"/>
    <w:rsid w:val="18AA6A8C"/>
    <w:rsid w:val="18AB26CF"/>
    <w:rsid w:val="18ABFDDA"/>
    <w:rsid w:val="18ACB1F5"/>
    <w:rsid w:val="18ACB238"/>
    <w:rsid w:val="18ACFC6D"/>
    <w:rsid w:val="18ADC4C1"/>
    <w:rsid w:val="18AE4E2E"/>
    <w:rsid w:val="18AE63FE"/>
    <w:rsid w:val="18AF2AEE"/>
    <w:rsid w:val="18AFE70F"/>
    <w:rsid w:val="18AFFC16"/>
    <w:rsid w:val="18B03F93"/>
    <w:rsid w:val="18B1D06C"/>
    <w:rsid w:val="18B1D874"/>
    <w:rsid w:val="18B1E0F7"/>
    <w:rsid w:val="18B2EB01"/>
    <w:rsid w:val="18B39939"/>
    <w:rsid w:val="18B39944"/>
    <w:rsid w:val="18B43971"/>
    <w:rsid w:val="18B5A46D"/>
    <w:rsid w:val="18B6A021"/>
    <w:rsid w:val="18B7756A"/>
    <w:rsid w:val="18B961AD"/>
    <w:rsid w:val="18BA503F"/>
    <w:rsid w:val="18BAC64E"/>
    <w:rsid w:val="18BB437D"/>
    <w:rsid w:val="18BB5159"/>
    <w:rsid w:val="18BC461F"/>
    <w:rsid w:val="18BDC2BC"/>
    <w:rsid w:val="18BFA89C"/>
    <w:rsid w:val="18BFC178"/>
    <w:rsid w:val="18C031C5"/>
    <w:rsid w:val="18C06CEB"/>
    <w:rsid w:val="18C09F05"/>
    <w:rsid w:val="18C1F3FC"/>
    <w:rsid w:val="18C3531D"/>
    <w:rsid w:val="18C3A10A"/>
    <w:rsid w:val="18C3A473"/>
    <w:rsid w:val="18C3CAEC"/>
    <w:rsid w:val="18C3CB2E"/>
    <w:rsid w:val="18C44A7D"/>
    <w:rsid w:val="18C45BD5"/>
    <w:rsid w:val="18C49F7C"/>
    <w:rsid w:val="18C4B49D"/>
    <w:rsid w:val="18C59A71"/>
    <w:rsid w:val="18C61FE9"/>
    <w:rsid w:val="18C64328"/>
    <w:rsid w:val="18C7B68D"/>
    <w:rsid w:val="18C8BB93"/>
    <w:rsid w:val="18CA9BFA"/>
    <w:rsid w:val="18CBD2B0"/>
    <w:rsid w:val="18CBEADD"/>
    <w:rsid w:val="18CBF6A6"/>
    <w:rsid w:val="18CC5F9A"/>
    <w:rsid w:val="18CC8732"/>
    <w:rsid w:val="18CCACB0"/>
    <w:rsid w:val="18CCFBF9"/>
    <w:rsid w:val="18CE26F6"/>
    <w:rsid w:val="18D05557"/>
    <w:rsid w:val="18D0B0BA"/>
    <w:rsid w:val="18D0B9CF"/>
    <w:rsid w:val="18D0FD82"/>
    <w:rsid w:val="18D1BD92"/>
    <w:rsid w:val="18D1F04B"/>
    <w:rsid w:val="18D27A14"/>
    <w:rsid w:val="18D28CEF"/>
    <w:rsid w:val="18D2F826"/>
    <w:rsid w:val="18D350E4"/>
    <w:rsid w:val="18D39C80"/>
    <w:rsid w:val="18D3E878"/>
    <w:rsid w:val="18D4A50B"/>
    <w:rsid w:val="18D4F4C7"/>
    <w:rsid w:val="18D52B3A"/>
    <w:rsid w:val="18D53EC9"/>
    <w:rsid w:val="18D54A2D"/>
    <w:rsid w:val="18D582EC"/>
    <w:rsid w:val="18D5838E"/>
    <w:rsid w:val="18D5A3B2"/>
    <w:rsid w:val="18D5B50F"/>
    <w:rsid w:val="18D6C941"/>
    <w:rsid w:val="18D7B9FF"/>
    <w:rsid w:val="18D84A8F"/>
    <w:rsid w:val="18D978B6"/>
    <w:rsid w:val="18D98E8F"/>
    <w:rsid w:val="18D9F41D"/>
    <w:rsid w:val="18DAE3D1"/>
    <w:rsid w:val="18DB31D5"/>
    <w:rsid w:val="18DB4BB9"/>
    <w:rsid w:val="18DB540B"/>
    <w:rsid w:val="18DC5758"/>
    <w:rsid w:val="18DC8D5B"/>
    <w:rsid w:val="18DCCCB3"/>
    <w:rsid w:val="18DD3E9F"/>
    <w:rsid w:val="18DE0612"/>
    <w:rsid w:val="18DE523A"/>
    <w:rsid w:val="18DEF2E9"/>
    <w:rsid w:val="18DF8FCC"/>
    <w:rsid w:val="18E058E4"/>
    <w:rsid w:val="18E079AD"/>
    <w:rsid w:val="18E0F833"/>
    <w:rsid w:val="18E134CF"/>
    <w:rsid w:val="18E29739"/>
    <w:rsid w:val="18E563A8"/>
    <w:rsid w:val="18E5D3BC"/>
    <w:rsid w:val="18E606F1"/>
    <w:rsid w:val="18E6E8E7"/>
    <w:rsid w:val="18E80ADF"/>
    <w:rsid w:val="18E86184"/>
    <w:rsid w:val="18E86713"/>
    <w:rsid w:val="18E8D027"/>
    <w:rsid w:val="18E970A8"/>
    <w:rsid w:val="18E97DD3"/>
    <w:rsid w:val="18EB2B3B"/>
    <w:rsid w:val="18EBC2C4"/>
    <w:rsid w:val="18EC7B4D"/>
    <w:rsid w:val="18EDB79F"/>
    <w:rsid w:val="18EF662A"/>
    <w:rsid w:val="18F1E8E1"/>
    <w:rsid w:val="18F3A441"/>
    <w:rsid w:val="18F42799"/>
    <w:rsid w:val="18F53A7A"/>
    <w:rsid w:val="18F5557A"/>
    <w:rsid w:val="18F665EF"/>
    <w:rsid w:val="18F6E766"/>
    <w:rsid w:val="18F71ED8"/>
    <w:rsid w:val="18F833AC"/>
    <w:rsid w:val="18F8507C"/>
    <w:rsid w:val="18F967C8"/>
    <w:rsid w:val="18FA0692"/>
    <w:rsid w:val="18FB73DE"/>
    <w:rsid w:val="18FCC55D"/>
    <w:rsid w:val="18FCEB98"/>
    <w:rsid w:val="18FD3A22"/>
    <w:rsid w:val="18FD6AB7"/>
    <w:rsid w:val="18FEF921"/>
    <w:rsid w:val="18FF4E0F"/>
    <w:rsid w:val="18FF53EA"/>
    <w:rsid w:val="1901CFB1"/>
    <w:rsid w:val="1902195C"/>
    <w:rsid w:val="19022A83"/>
    <w:rsid w:val="19023C12"/>
    <w:rsid w:val="19024035"/>
    <w:rsid w:val="19027835"/>
    <w:rsid w:val="19027C04"/>
    <w:rsid w:val="19031EF4"/>
    <w:rsid w:val="190367ED"/>
    <w:rsid w:val="19040497"/>
    <w:rsid w:val="19044890"/>
    <w:rsid w:val="19049EB3"/>
    <w:rsid w:val="1905765C"/>
    <w:rsid w:val="19060F8B"/>
    <w:rsid w:val="1907B328"/>
    <w:rsid w:val="19083409"/>
    <w:rsid w:val="19083C5E"/>
    <w:rsid w:val="1908B378"/>
    <w:rsid w:val="1908C50E"/>
    <w:rsid w:val="1908FB2D"/>
    <w:rsid w:val="190A0E75"/>
    <w:rsid w:val="190A352F"/>
    <w:rsid w:val="190B6AB1"/>
    <w:rsid w:val="190BCA71"/>
    <w:rsid w:val="190C2DE3"/>
    <w:rsid w:val="190C4434"/>
    <w:rsid w:val="190C4CEA"/>
    <w:rsid w:val="190CA706"/>
    <w:rsid w:val="190EFBAD"/>
    <w:rsid w:val="190F6EEF"/>
    <w:rsid w:val="190F8515"/>
    <w:rsid w:val="1910182B"/>
    <w:rsid w:val="19101E12"/>
    <w:rsid w:val="19118128"/>
    <w:rsid w:val="19118F7D"/>
    <w:rsid w:val="19119D33"/>
    <w:rsid w:val="1912389E"/>
    <w:rsid w:val="19127075"/>
    <w:rsid w:val="19129319"/>
    <w:rsid w:val="191383D8"/>
    <w:rsid w:val="1913B02F"/>
    <w:rsid w:val="19140A67"/>
    <w:rsid w:val="19144A5E"/>
    <w:rsid w:val="1914CA6B"/>
    <w:rsid w:val="1914F990"/>
    <w:rsid w:val="191610FB"/>
    <w:rsid w:val="1916A990"/>
    <w:rsid w:val="1916D1D7"/>
    <w:rsid w:val="191710B9"/>
    <w:rsid w:val="19172964"/>
    <w:rsid w:val="1917838C"/>
    <w:rsid w:val="1917891C"/>
    <w:rsid w:val="191795FE"/>
    <w:rsid w:val="191B416E"/>
    <w:rsid w:val="191B5E3F"/>
    <w:rsid w:val="191B67FC"/>
    <w:rsid w:val="191B7D86"/>
    <w:rsid w:val="191BBFBD"/>
    <w:rsid w:val="191C3BEA"/>
    <w:rsid w:val="191DC2D6"/>
    <w:rsid w:val="191E4CC5"/>
    <w:rsid w:val="191E4F5F"/>
    <w:rsid w:val="191EB143"/>
    <w:rsid w:val="191F4B41"/>
    <w:rsid w:val="191FAA0A"/>
    <w:rsid w:val="191FD271"/>
    <w:rsid w:val="19206C14"/>
    <w:rsid w:val="19207926"/>
    <w:rsid w:val="19207C37"/>
    <w:rsid w:val="19208737"/>
    <w:rsid w:val="1920C6ED"/>
    <w:rsid w:val="1920E696"/>
    <w:rsid w:val="1921345D"/>
    <w:rsid w:val="1922062A"/>
    <w:rsid w:val="1922E94F"/>
    <w:rsid w:val="1923493D"/>
    <w:rsid w:val="19238FFB"/>
    <w:rsid w:val="1923BF6C"/>
    <w:rsid w:val="19242700"/>
    <w:rsid w:val="1924ACE1"/>
    <w:rsid w:val="1924DB49"/>
    <w:rsid w:val="1924E34E"/>
    <w:rsid w:val="1925C0A5"/>
    <w:rsid w:val="1926D9D0"/>
    <w:rsid w:val="1927D31A"/>
    <w:rsid w:val="1927E410"/>
    <w:rsid w:val="1928C8F1"/>
    <w:rsid w:val="192AEA13"/>
    <w:rsid w:val="192B7ABF"/>
    <w:rsid w:val="192CE722"/>
    <w:rsid w:val="192CF5DE"/>
    <w:rsid w:val="192D2D4E"/>
    <w:rsid w:val="192DF4EE"/>
    <w:rsid w:val="19303007"/>
    <w:rsid w:val="19307D13"/>
    <w:rsid w:val="19312347"/>
    <w:rsid w:val="193124B8"/>
    <w:rsid w:val="19315DCA"/>
    <w:rsid w:val="1931686E"/>
    <w:rsid w:val="1931CC9F"/>
    <w:rsid w:val="19324FCC"/>
    <w:rsid w:val="193314EA"/>
    <w:rsid w:val="19336FB4"/>
    <w:rsid w:val="193371E7"/>
    <w:rsid w:val="19358307"/>
    <w:rsid w:val="19358838"/>
    <w:rsid w:val="1936E56E"/>
    <w:rsid w:val="1936F570"/>
    <w:rsid w:val="1937DF1C"/>
    <w:rsid w:val="1937EFDE"/>
    <w:rsid w:val="1938A29B"/>
    <w:rsid w:val="193912CA"/>
    <w:rsid w:val="193A9F84"/>
    <w:rsid w:val="193AA869"/>
    <w:rsid w:val="193AAE5E"/>
    <w:rsid w:val="193B1A4B"/>
    <w:rsid w:val="193BFDEE"/>
    <w:rsid w:val="193C00D4"/>
    <w:rsid w:val="193C0338"/>
    <w:rsid w:val="193C3B21"/>
    <w:rsid w:val="193D8F9D"/>
    <w:rsid w:val="193DA547"/>
    <w:rsid w:val="193ECBD6"/>
    <w:rsid w:val="193F3BBE"/>
    <w:rsid w:val="1940414C"/>
    <w:rsid w:val="194171DF"/>
    <w:rsid w:val="19445766"/>
    <w:rsid w:val="1944E9DD"/>
    <w:rsid w:val="1949D571"/>
    <w:rsid w:val="194A3426"/>
    <w:rsid w:val="194B0688"/>
    <w:rsid w:val="194B3D87"/>
    <w:rsid w:val="194B4611"/>
    <w:rsid w:val="194DBF75"/>
    <w:rsid w:val="194E346A"/>
    <w:rsid w:val="194FFDF4"/>
    <w:rsid w:val="1951CDBE"/>
    <w:rsid w:val="195270B6"/>
    <w:rsid w:val="1952CB25"/>
    <w:rsid w:val="19531B4C"/>
    <w:rsid w:val="1953A590"/>
    <w:rsid w:val="195405A7"/>
    <w:rsid w:val="195429C1"/>
    <w:rsid w:val="1955061F"/>
    <w:rsid w:val="19551121"/>
    <w:rsid w:val="19551B19"/>
    <w:rsid w:val="1955AD2D"/>
    <w:rsid w:val="1956DE3C"/>
    <w:rsid w:val="19574C6E"/>
    <w:rsid w:val="19582370"/>
    <w:rsid w:val="19590BEA"/>
    <w:rsid w:val="1959863A"/>
    <w:rsid w:val="195B0F7B"/>
    <w:rsid w:val="195B90F9"/>
    <w:rsid w:val="195BD0CB"/>
    <w:rsid w:val="195BDB57"/>
    <w:rsid w:val="195C2871"/>
    <w:rsid w:val="195C9A01"/>
    <w:rsid w:val="195CDB53"/>
    <w:rsid w:val="195EC037"/>
    <w:rsid w:val="195F06DF"/>
    <w:rsid w:val="1960B3A5"/>
    <w:rsid w:val="19612CBB"/>
    <w:rsid w:val="19618E41"/>
    <w:rsid w:val="1961F837"/>
    <w:rsid w:val="1963B9B4"/>
    <w:rsid w:val="19647748"/>
    <w:rsid w:val="1964F3B1"/>
    <w:rsid w:val="19656399"/>
    <w:rsid w:val="19666C92"/>
    <w:rsid w:val="1967735B"/>
    <w:rsid w:val="1967994D"/>
    <w:rsid w:val="1967A8D1"/>
    <w:rsid w:val="1967BB56"/>
    <w:rsid w:val="1967CCF8"/>
    <w:rsid w:val="1968173E"/>
    <w:rsid w:val="196844E5"/>
    <w:rsid w:val="19685F49"/>
    <w:rsid w:val="196A2527"/>
    <w:rsid w:val="196AE39E"/>
    <w:rsid w:val="196BF4C5"/>
    <w:rsid w:val="196CD240"/>
    <w:rsid w:val="196D0C23"/>
    <w:rsid w:val="196D7C5D"/>
    <w:rsid w:val="196DBBA9"/>
    <w:rsid w:val="196DF88E"/>
    <w:rsid w:val="196E6212"/>
    <w:rsid w:val="196F45C0"/>
    <w:rsid w:val="196FA861"/>
    <w:rsid w:val="196FA8B2"/>
    <w:rsid w:val="19705E8F"/>
    <w:rsid w:val="1970FE32"/>
    <w:rsid w:val="197138E6"/>
    <w:rsid w:val="1971B78B"/>
    <w:rsid w:val="19729BC1"/>
    <w:rsid w:val="1972FEEB"/>
    <w:rsid w:val="197393B7"/>
    <w:rsid w:val="1973CC04"/>
    <w:rsid w:val="19747A68"/>
    <w:rsid w:val="1974A1C5"/>
    <w:rsid w:val="19753640"/>
    <w:rsid w:val="1975BB3C"/>
    <w:rsid w:val="19781526"/>
    <w:rsid w:val="197963D8"/>
    <w:rsid w:val="19799360"/>
    <w:rsid w:val="1979EBD9"/>
    <w:rsid w:val="1979F2DA"/>
    <w:rsid w:val="197A90F3"/>
    <w:rsid w:val="197ADC38"/>
    <w:rsid w:val="197B0DFA"/>
    <w:rsid w:val="197CA1B9"/>
    <w:rsid w:val="197D0AA3"/>
    <w:rsid w:val="197D498F"/>
    <w:rsid w:val="197DC9B3"/>
    <w:rsid w:val="197EBCF3"/>
    <w:rsid w:val="197EDA63"/>
    <w:rsid w:val="197FB9F3"/>
    <w:rsid w:val="197FDB80"/>
    <w:rsid w:val="19805775"/>
    <w:rsid w:val="1981788D"/>
    <w:rsid w:val="198306D1"/>
    <w:rsid w:val="1983D7D5"/>
    <w:rsid w:val="1983DCEB"/>
    <w:rsid w:val="19840378"/>
    <w:rsid w:val="19846C8C"/>
    <w:rsid w:val="1985AA84"/>
    <w:rsid w:val="1985C053"/>
    <w:rsid w:val="1985F6F3"/>
    <w:rsid w:val="19864318"/>
    <w:rsid w:val="19864CAC"/>
    <w:rsid w:val="198690B6"/>
    <w:rsid w:val="1987851D"/>
    <w:rsid w:val="1987B804"/>
    <w:rsid w:val="19888AA7"/>
    <w:rsid w:val="198A7A9F"/>
    <w:rsid w:val="198B13F4"/>
    <w:rsid w:val="198B4F6E"/>
    <w:rsid w:val="198CB8F6"/>
    <w:rsid w:val="198D0CC8"/>
    <w:rsid w:val="198D53C1"/>
    <w:rsid w:val="198D5B9E"/>
    <w:rsid w:val="198E9AB0"/>
    <w:rsid w:val="198F3606"/>
    <w:rsid w:val="199116EB"/>
    <w:rsid w:val="1991B625"/>
    <w:rsid w:val="1992038F"/>
    <w:rsid w:val="1994B3A1"/>
    <w:rsid w:val="1996C486"/>
    <w:rsid w:val="1996F1D3"/>
    <w:rsid w:val="1997866F"/>
    <w:rsid w:val="19988994"/>
    <w:rsid w:val="199912C7"/>
    <w:rsid w:val="199A64F8"/>
    <w:rsid w:val="199ADC94"/>
    <w:rsid w:val="199C8AF8"/>
    <w:rsid w:val="199D7151"/>
    <w:rsid w:val="199F0C84"/>
    <w:rsid w:val="199F68EB"/>
    <w:rsid w:val="19A0F363"/>
    <w:rsid w:val="19A18C66"/>
    <w:rsid w:val="19A20851"/>
    <w:rsid w:val="19A2C6D7"/>
    <w:rsid w:val="19A32B60"/>
    <w:rsid w:val="19A37547"/>
    <w:rsid w:val="19A3A35C"/>
    <w:rsid w:val="19A3F809"/>
    <w:rsid w:val="19A4BA67"/>
    <w:rsid w:val="19A6AD51"/>
    <w:rsid w:val="19A74B09"/>
    <w:rsid w:val="19A7C10A"/>
    <w:rsid w:val="19A8D3C8"/>
    <w:rsid w:val="19A8E9AA"/>
    <w:rsid w:val="19A98D09"/>
    <w:rsid w:val="19A9BBBF"/>
    <w:rsid w:val="19A9DC99"/>
    <w:rsid w:val="19AA6774"/>
    <w:rsid w:val="19AB53A5"/>
    <w:rsid w:val="19ABBB4A"/>
    <w:rsid w:val="19AC3766"/>
    <w:rsid w:val="19AC6178"/>
    <w:rsid w:val="19AC75EF"/>
    <w:rsid w:val="19AD67DD"/>
    <w:rsid w:val="19ADF534"/>
    <w:rsid w:val="19AE7856"/>
    <w:rsid w:val="19AF2682"/>
    <w:rsid w:val="19B0FBB6"/>
    <w:rsid w:val="19B2245F"/>
    <w:rsid w:val="19B25F77"/>
    <w:rsid w:val="19B33D0C"/>
    <w:rsid w:val="19B41573"/>
    <w:rsid w:val="19B4CBF9"/>
    <w:rsid w:val="19B4DBE1"/>
    <w:rsid w:val="19B5DBB4"/>
    <w:rsid w:val="19B7C28F"/>
    <w:rsid w:val="19B7D90A"/>
    <w:rsid w:val="19B987C7"/>
    <w:rsid w:val="19BB0E49"/>
    <w:rsid w:val="19BBF0FF"/>
    <w:rsid w:val="19BBFE19"/>
    <w:rsid w:val="19BC0382"/>
    <w:rsid w:val="19BC82F1"/>
    <w:rsid w:val="19BD21A2"/>
    <w:rsid w:val="19BE0CE9"/>
    <w:rsid w:val="19BF411E"/>
    <w:rsid w:val="19BFCF11"/>
    <w:rsid w:val="19BFE2ED"/>
    <w:rsid w:val="19C005C1"/>
    <w:rsid w:val="19C033BE"/>
    <w:rsid w:val="19C0435E"/>
    <w:rsid w:val="19C06494"/>
    <w:rsid w:val="19C0EC2A"/>
    <w:rsid w:val="19C0EF8C"/>
    <w:rsid w:val="19C1716C"/>
    <w:rsid w:val="19C2E20A"/>
    <w:rsid w:val="19C39F38"/>
    <w:rsid w:val="19C40139"/>
    <w:rsid w:val="19C5C769"/>
    <w:rsid w:val="19C5C855"/>
    <w:rsid w:val="19C751E0"/>
    <w:rsid w:val="19C7D1C3"/>
    <w:rsid w:val="19C8884C"/>
    <w:rsid w:val="19C8C3FB"/>
    <w:rsid w:val="19C8F92A"/>
    <w:rsid w:val="19C93578"/>
    <w:rsid w:val="19C9F07B"/>
    <w:rsid w:val="19CA8AA5"/>
    <w:rsid w:val="19CBD48B"/>
    <w:rsid w:val="19CBE7CF"/>
    <w:rsid w:val="19CC7110"/>
    <w:rsid w:val="19CCE32A"/>
    <w:rsid w:val="19CD0989"/>
    <w:rsid w:val="19CD8A12"/>
    <w:rsid w:val="19CE82AA"/>
    <w:rsid w:val="19CE9396"/>
    <w:rsid w:val="19CEFDC3"/>
    <w:rsid w:val="19CFB925"/>
    <w:rsid w:val="19D07EA5"/>
    <w:rsid w:val="19D21C2E"/>
    <w:rsid w:val="19D339CE"/>
    <w:rsid w:val="19D368D2"/>
    <w:rsid w:val="19D49900"/>
    <w:rsid w:val="19D4A44D"/>
    <w:rsid w:val="19D56186"/>
    <w:rsid w:val="19D57C76"/>
    <w:rsid w:val="19D57D27"/>
    <w:rsid w:val="19D59119"/>
    <w:rsid w:val="19D5DE82"/>
    <w:rsid w:val="19D67CE4"/>
    <w:rsid w:val="19D6C856"/>
    <w:rsid w:val="19D6CC0A"/>
    <w:rsid w:val="19D72C01"/>
    <w:rsid w:val="19D8F936"/>
    <w:rsid w:val="19DA2BF3"/>
    <w:rsid w:val="19DB4648"/>
    <w:rsid w:val="19DBA60D"/>
    <w:rsid w:val="19DBDE0C"/>
    <w:rsid w:val="19DD0FA4"/>
    <w:rsid w:val="19DD18EC"/>
    <w:rsid w:val="19DDDF9B"/>
    <w:rsid w:val="19DE6AD9"/>
    <w:rsid w:val="19DE7E54"/>
    <w:rsid w:val="19DF3636"/>
    <w:rsid w:val="19DFC4EB"/>
    <w:rsid w:val="19DFE8F9"/>
    <w:rsid w:val="19E00590"/>
    <w:rsid w:val="19E0609E"/>
    <w:rsid w:val="19E07C0A"/>
    <w:rsid w:val="19E10B36"/>
    <w:rsid w:val="19E156E9"/>
    <w:rsid w:val="19E27A14"/>
    <w:rsid w:val="19E27ABF"/>
    <w:rsid w:val="19E345F4"/>
    <w:rsid w:val="19E3BA97"/>
    <w:rsid w:val="19E3EE5E"/>
    <w:rsid w:val="19E416CF"/>
    <w:rsid w:val="19E45359"/>
    <w:rsid w:val="19E4DD3C"/>
    <w:rsid w:val="19E6823E"/>
    <w:rsid w:val="19E6898B"/>
    <w:rsid w:val="19E727A0"/>
    <w:rsid w:val="19E75734"/>
    <w:rsid w:val="19E7958A"/>
    <w:rsid w:val="19E81296"/>
    <w:rsid w:val="19E83FFF"/>
    <w:rsid w:val="19E84E0E"/>
    <w:rsid w:val="19E85D1F"/>
    <w:rsid w:val="19E915F6"/>
    <w:rsid w:val="19EA32C1"/>
    <w:rsid w:val="19EA35F5"/>
    <w:rsid w:val="19EA936C"/>
    <w:rsid w:val="19EAED8A"/>
    <w:rsid w:val="19EBA992"/>
    <w:rsid w:val="19EBAA80"/>
    <w:rsid w:val="19EC4648"/>
    <w:rsid w:val="19EC9237"/>
    <w:rsid w:val="19ED2C53"/>
    <w:rsid w:val="19ED7A32"/>
    <w:rsid w:val="19EDA38C"/>
    <w:rsid w:val="19EDFC08"/>
    <w:rsid w:val="19EE5B01"/>
    <w:rsid w:val="19EE7F9C"/>
    <w:rsid w:val="19EE9FBD"/>
    <w:rsid w:val="19EF84A8"/>
    <w:rsid w:val="19EF9EDE"/>
    <w:rsid w:val="19EFABB5"/>
    <w:rsid w:val="19EFAF82"/>
    <w:rsid w:val="19F00872"/>
    <w:rsid w:val="19F17D29"/>
    <w:rsid w:val="19F25AF2"/>
    <w:rsid w:val="19F28DD6"/>
    <w:rsid w:val="19F2D490"/>
    <w:rsid w:val="19F337D4"/>
    <w:rsid w:val="19F3EBB2"/>
    <w:rsid w:val="19F47CED"/>
    <w:rsid w:val="19F5637E"/>
    <w:rsid w:val="19F5DD66"/>
    <w:rsid w:val="19F64FE6"/>
    <w:rsid w:val="19F6A641"/>
    <w:rsid w:val="19F81B6C"/>
    <w:rsid w:val="19F88CFF"/>
    <w:rsid w:val="19F89C9C"/>
    <w:rsid w:val="19F91645"/>
    <w:rsid w:val="19F99F3B"/>
    <w:rsid w:val="19FBD5BC"/>
    <w:rsid w:val="19FC80DE"/>
    <w:rsid w:val="19FDBE6D"/>
    <w:rsid w:val="19FEAF4D"/>
    <w:rsid w:val="1A029BCB"/>
    <w:rsid w:val="1A02B798"/>
    <w:rsid w:val="1A02BCD3"/>
    <w:rsid w:val="1A042AEC"/>
    <w:rsid w:val="1A0498D3"/>
    <w:rsid w:val="1A04A901"/>
    <w:rsid w:val="1A056D43"/>
    <w:rsid w:val="1A05C62E"/>
    <w:rsid w:val="1A082148"/>
    <w:rsid w:val="1A091BDD"/>
    <w:rsid w:val="1A0922F5"/>
    <w:rsid w:val="1A0A58F8"/>
    <w:rsid w:val="1A0A6890"/>
    <w:rsid w:val="1A0B083D"/>
    <w:rsid w:val="1A0C487C"/>
    <w:rsid w:val="1A0C6A05"/>
    <w:rsid w:val="1A0D4A02"/>
    <w:rsid w:val="1A0D6580"/>
    <w:rsid w:val="1A0EA33F"/>
    <w:rsid w:val="1A0ECBD7"/>
    <w:rsid w:val="1A0EEC18"/>
    <w:rsid w:val="1A0F63EA"/>
    <w:rsid w:val="1A102FAC"/>
    <w:rsid w:val="1A107ED1"/>
    <w:rsid w:val="1A114C49"/>
    <w:rsid w:val="1A121D6E"/>
    <w:rsid w:val="1A12CDF9"/>
    <w:rsid w:val="1A1343DC"/>
    <w:rsid w:val="1A13F687"/>
    <w:rsid w:val="1A147AC5"/>
    <w:rsid w:val="1A14955C"/>
    <w:rsid w:val="1A14BE14"/>
    <w:rsid w:val="1A14C680"/>
    <w:rsid w:val="1A14F1DC"/>
    <w:rsid w:val="1A1575F8"/>
    <w:rsid w:val="1A16BB9C"/>
    <w:rsid w:val="1A17A05A"/>
    <w:rsid w:val="1A17B15E"/>
    <w:rsid w:val="1A17C78C"/>
    <w:rsid w:val="1A17DC0A"/>
    <w:rsid w:val="1A1981BF"/>
    <w:rsid w:val="1A19888A"/>
    <w:rsid w:val="1A19E676"/>
    <w:rsid w:val="1A1B015E"/>
    <w:rsid w:val="1A1B04BA"/>
    <w:rsid w:val="1A1CD14D"/>
    <w:rsid w:val="1A1D89AA"/>
    <w:rsid w:val="1A20B604"/>
    <w:rsid w:val="1A20D2C6"/>
    <w:rsid w:val="1A20D9BE"/>
    <w:rsid w:val="1A20DD02"/>
    <w:rsid w:val="1A21104A"/>
    <w:rsid w:val="1A213D0F"/>
    <w:rsid w:val="1A219926"/>
    <w:rsid w:val="1A21A7E7"/>
    <w:rsid w:val="1A21EF47"/>
    <w:rsid w:val="1A221BA2"/>
    <w:rsid w:val="1A2226EE"/>
    <w:rsid w:val="1A24042C"/>
    <w:rsid w:val="1A24225B"/>
    <w:rsid w:val="1A2451D1"/>
    <w:rsid w:val="1A2473B9"/>
    <w:rsid w:val="1A24F0BA"/>
    <w:rsid w:val="1A252AB4"/>
    <w:rsid w:val="1A277F4E"/>
    <w:rsid w:val="1A2866B0"/>
    <w:rsid w:val="1A2895FF"/>
    <w:rsid w:val="1A2A11E1"/>
    <w:rsid w:val="1A2B20FC"/>
    <w:rsid w:val="1A2B3F43"/>
    <w:rsid w:val="1A2B75DC"/>
    <w:rsid w:val="1A2DB949"/>
    <w:rsid w:val="1A2DC93B"/>
    <w:rsid w:val="1A3020BD"/>
    <w:rsid w:val="1A30C048"/>
    <w:rsid w:val="1A327F0D"/>
    <w:rsid w:val="1A332CDD"/>
    <w:rsid w:val="1A35B466"/>
    <w:rsid w:val="1A35DEE5"/>
    <w:rsid w:val="1A361AAB"/>
    <w:rsid w:val="1A3630BA"/>
    <w:rsid w:val="1A36F317"/>
    <w:rsid w:val="1A370D4A"/>
    <w:rsid w:val="1A37985F"/>
    <w:rsid w:val="1A379DEC"/>
    <w:rsid w:val="1A383BC9"/>
    <w:rsid w:val="1A3872DA"/>
    <w:rsid w:val="1A3927F7"/>
    <w:rsid w:val="1A39A4ED"/>
    <w:rsid w:val="1A3A3B39"/>
    <w:rsid w:val="1A3A5A0C"/>
    <w:rsid w:val="1A3B0DD4"/>
    <w:rsid w:val="1A3B5D73"/>
    <w:rsid w:val="1A3C08D6"/>
    <w:rsid w:val="1A3C3A96"/>
    <w:rsid w:val="1A3D161F"/>
    <w:rsid w:val="1A3D2A84"/>
    <w:rsid w:val="1A3E60D0"/>
    <w:rsid w:val="1A3E6CAF"/>
    <w:rsid w:val="1A3FD2CD"/>
    <w:rsid w:val="1A402405"/>
    <w:rsid w:val="1A413D03"/>
    <w:rsid w:val="1A427836"/>
    <w:rsid w:val="1A42DA76"/>
    <w:rsid w:val="1A43DE2B"/>
    <w:rsid w:val="1A453EF3"/>
    <w:rsid w:val="1A45734E"/>
    <w:rsid w:val="1A461B65"/>
    <w:rsid w:val="1A462269"/>
    <w:rsid w:val="1A46C578"/>
    <w:rsid w:val="1A470D17"/>
    <w:rsid w:val="1A471F3C"/>
    <w:rsid w:val="1A4741AB"/>
    <w:rsid w:val="1A47E7C9"/>
    <w:rsid w:val="1A483B1A"/>
    <w:rsid w:val="1A48E001"/>
    <w:rsid w:val="1A4904E3"/>
    <w:rsid w:val="1A493B2C"/>
    <w:rsid w:val="1A4944A5"/>
    <w:rsid w:val="1A496FD3"/>
    <w:rsid w:val="1A49B58E"/>
    <w:rsid w:val="1A4A56D1"/>
    <w:rsid w:val="1A4A96F0"/>
    <w:rsid w:val="1A4B9BAA"/>
    <w:rsid w:val="1A4BC714"/>
    <w:rsid w:val="1A4C35E0"/>
    <w:rsid w:val="1A4C9D0F"/>
    <w:rsid w:val="1A4D6C43"/>
    <w:rsid w:val="1A4D9999"/>
    <w:rsid w:val="1A4DA32D"/>
    <w:rsid w:val="1A4E021E"/>
    <w:rsid w:val="1A5010E0"/>
    <w:rsid w:val="1A5013E2"/>
    <w:rsid w:val="1A5091AD"/>
    <w:rsid w:val="1A50C9E4"/>
    <w:rsid w:val="1A516F51"/>
    <w:rsid w:val="1A523E8E"/>
    <w:rsid w:val="1A527816"/>
    <w:rsid w:val="1A52988B"/>
    <w:rsid w:val="1A52A9DF"/>
    <w:rsid w:val="1A539756"/>
    <w:rsid w:val="1A5443A8"/>
    <w:rsid w:val="1A54B2CD"/>
    <w:rsid w:val="1A54BF6D"/>
    <w:rsid w:val="1A54CA8E"/>
    <w:rsid w:val="1A5603DC"/>
    <w:rsid w:val="1A56C3C6"/>
    <w:rsid w:val="1A57811D"/>
    <w:rsid w:val="1A57CC07"/>
    <w:rsid w:val="1A57CE4A"/>
    <w:rsid w:val="1A57E898"/>
    <w:rsid w:val="1A58163A"/>
    <w:rsid w:val="1A587195"/>
    <w:rsid w:val="1A5945D2"/>
    <w:rsid w:val="1A595D55"/>
    <w:rsid w:val="1A597F0A"/>
    <w:rsid w:val="1A5A127E"/>
    <w:rsid w:val="1A5A1B6B"/>
    <w:rsid w:val="1A5A8762"/>
    <w:rsid w:val="1A5B78EB"/>
    <w:rsid w:val="1A5BE1C2"/>
    <w:rsid w:val="1A5C00A0"/>
    <w:rsid w:val="1A5CB8AC"/>
    <w:rsid w:val="1A5D02F0"/>
    <w:rsid w:val="1A5D8C80"/>
    <w:rsid w:val="1A5E2A1E"/>
    <w:rsid w:val="1A5E741C"/>
    <w:rsid w:val="1A5EBA28"/>
    <w:rsid w:val="1A5F4BE4"/>
    <w:rsid w:val="1A5FE555"/>
    <w:rsid w:val="1A60DD40"/>
    <w:rsid w:val="1A60F8A3"/>
    <w:rsid w:val="1A61E5DF"/>
    <w:rsid w:val="1A62C2A8"/>
    <w:rsid w:val="1A63AAEC"/>
    <w:rsid w:val="1A63EE14"/>
    <w:rsid w:val="1A64EF64"/>
    <w:rsid w:val="1A65AE63"/>
    <w:rsid w:val="1A65B6BE"/>
    <w:rsid w:val="1A65DEB5"/>
    <w:rsid w:val="1A66245B"/>
    <w:rsid w:val="1A667759"/>
    <w:rsid w:val="1A66EE43"/>
    <w:rsid w:val="1A672CBE"/>
    <w:rsid w:val="1A67FA11"/>
    <w:rsid w:val="1A681F14"/>
    <w:rsid w:val="1A6A2F09"/>
    <w:rsid w:val="1A6B4050"/>
    <w:rsid w:val="1A6B4648"/>
    <w:rsid w:val="1A6B6516"/>
    <w:rsid w:val="1A6D97D7"/>
    <w:rsid w:val="1A6DF9F7"/>
    <w:rsid w:val="1A6F5EA9"/>
    <w:rsid w:val="1A702A75"/>
    <w:rsid w:val="1A709B88"/>
    <w:rsid w:val="1A7181EC"/>
    <w:rsid w:val="1A72631E"/>
    <w:rsid w:val="1A7273A6"/>
    <w:rsid w:val="1A729C49"/>
    <w:rsid w:val="1A729C92"/>
    <w:rsid w:val="1A7324CE"/>
    <w:rsid w:val="1A733D90"/>
    <w:rsid w:val="1A73E72F"/>
    <w:rsid w:val="1A74D1F9"/>
    <w:rsid w:val="1A74F5CD"/>
    <w:rsid w:val="1A75B33A"/>
    <w:rsid w:val="1A760397"/>
    <w:rsid w:val="1A76423F"/>
    <w:rsid w:val="1A76B819"/>
    <w:rsid w:val="1A77D9C0"/>
    <w:rsid w:val="1A77EC6A"/>
    <w:rsid w:val="1A789D35"/>
    <w:rsid w:val="1A78B38B"/>
    <w:rsid w:val="1A78FD5B"/>
    <w:rsid w:val="1A790383"/>
    <w:rsid w:val="1A793C41"/>
    <w:rsid w:val="1A7957E6"/>
    <w:rsid w:val="1A7990A7"/>
    <w:rsid w:val="1A7A76C9"/>
    <w:rsid w:val="1A7A7AD6"/>
    <w:rsid w:val="1A7B9A38"/>
    <w:rsid w:val="1A7C28CB"/>
    <w:rsid w:val="1A7D0860"/>
    <w:rsid w:val="1A7D30F7"/>
    <w:rsid w:val="1A7D33E4"/>
    <w:rsid w:val="1A7D5982"/>
    <w:rsid w:val="1A7DB52F"/>
    <w:rsid w:val="1A7DEA06"/>
    <w:rsid w:val="1A7E438D"/>
    <w:rsid w:val="1A7E524B"/>
    <w:rsid w:val="1A7E5711"/>
    <w:rsid w:val="1A7E7A32"/>
    <w:rsid w:val="1A7E7F0B"/>
    <w:rsid w:val="1A7EAF2A"/>
    <w:rsid w:val="1A7F05DB"/>
    <w:rsid w:val="1A7F9CC1"/>
    <w:rsid w:val="1A7FCAEE"/>
    <w:rsid w:val="1A802D3F"/>
    <w:rsid w:val="1A80F3FB"/>
    <w:rsid w:val="1A828BD7"/>
    <w:rsid w:val="1A82D6DA"/>
    <w:rsid w:val="1A82F0A4"/>
    <w:rsid w:val="1A830BA0"/>
    <w:rsid w:val="1A8350C9"/>
    <w:rsid w:val="1A836B24"/>
    <w:rsid w:val="1A8479DE"/>
    <w:rsid w:val="1A85016A"/>
    <w:rsid w:val="1A853E46"/>
    <w:rsid w:val="1A85C6B2"/>
    <w:rsid w:val="1A864769"/>
    <w:rsid w:val="1A882DA1"/>
    <w:rsid w:val="1A883838"/>
    <w:rsid w:val="1A899CFC"/>
    <w:rsid w:val="1A8A3328"/>
    <w:rsid w:val="1A8B53B9"/>
    <w:rsid w:val="1A8C5072"/>
    <w:rsid w:val="1A8C6AA5"/>
    <w:rsid w:val="1A8C767D"/>
    <w:rsid w:val="1A8C77F6"/>
    <w:rsid w:val="1A8C81C2"/>
    <w:rsid w:val="1A8DAEC9"/>
    <w:rsid w:val="1A8E452C"/>
    <w:rsid w:val="1A8E5F8E"/>
    <w:rsid w:val="1A8E873C"/>
    <w:rsid w:val="1A8E8BAC"/>
    <w:rsid w:val="1A9017FD"/>
    <w:rsid w:val="1A90CA14"/>
    <w:rsid w:val="1A9125DB"/>
    <w:rsid w:val="1A9159A2"/>
    <w:rsid w:val="1A9193D2"/>
    <w:rsid w:val="1A91FC07"/>
    <w:rsid w:val="1A922CAE"/>
    <w:rsid w:val="1A9509B0"/>
    <w:rsid w:val="1A951475"/>
    <w:rsid w:val="1A95943D"/>
    <w:rsid w:val="1A9594B4"/>
    <w:rsid w:val="1A96BAF0"/>
    <w:rsid w:val="1A972053"/>
    <w:rsid w:val="1A97A871"/>
    <w:rsid w:val="1A992A94"/>
    <w:rsid w:val="1A9AAC11"/>
    <w:rsid w:val="1A9ABC5B"/>
    <w:rsid w:val="1A9AF115"/>
    <w:rsid w:val="1A9B1DAB"/>
    <w:rsid w:val="1A9CC106"/>
    <w:rsid w:val="1A9D1E6E"/>
    <w:rsid w:val="1A9D5FDB"/>
    <w:rsid w:val="1A9DEC10"/>
    <w:rsid w:val="1A9E4867"/>
    <w:rsid w:val="1A9E7DD8"/>
    <w:rsid w:val="1A9EC293"/>
    <w:rsid w:val="1A9F6892"/>
    <w:rsid w:val="1AA11F2F"/>
    <w:rsid w:val="1AA12043"/>
    <w:rsid w:val="1AA2DCA2"/>
    <w:rsid w:val="1AA3322B"/>
    <w:rsid w:val="1AA354F9"/>
    <w:rsid w:val="1AA47B4B"/>
    <w:rsid w:val="1AA53D52"/>
    <w:rsid w:val="1AA63DA7"/>
    <w:rsid w:val="1AA64FC7"/>
    <w:rsid w:val="1AA76A6A"/>
    <w:rsid w:val="1AA7AF4A"/>
    <w:rsid w:val="1AA8BA02"/>
    <w:rsid w:val="1AA8C63A"/>
    <w:rsid w:val="1AA959D0"/>
    <w:rsid w:val="1AA9623B"/>
    <w:rsid w:val="1AABBE09"/>
    <w:rsid w:val="1AAC62BD"/>
    <w:rsid w:val="1AACDE1A"/>
    <w:rsid w:val="1AADCEED"/>
    <w:rsid w:val="1AADECF8"/>
    <w:rsid w:val="1AAE243C"/>
    <w:rsid w:val="1AAE5E48"/>
    <w:rsid w:val="1AAF3B32"/>
    <w:rsid w:val="1AAF5194"/>
    <w:rsid w:val="1AB199E7"/>
    <w:rsid w:val="1AB3146A"/>
    <w:rsid w:val="1AB380B9"/>
    <w:rsid w:val="1AB3BFE9"/>
    <w:rsid w:val="1AB3DD14"/>
    <w:rsid w:val="1AB42F85"/>
    <w:rsid w:val="1AB43424"/>
    <w:rsid w:val="1AB444A1"/>
    <w:rsid w:val="1AB489A8"/>
    <w:rsid w:val="1AB4DBF9"/>
    <w:rsid w:val="1AB4DCB2"/>
    <w:rsid w:val="1AB5F640"/>
    <w:rsid w:val="1AB65988"/>
    <w:rsid w:val="1AB6BA32"/>
    <w:rsid w:val="1AB6CCAD"/>
    <w:rsid w:val="1AB7F237"/>
    <w:rsid w:val="1AB895FF"/>
    <w:rsid w:val="1AB9C3FB"/>
    <w:rsid w:val="1ABA133B"/>
    <w:rsid w:val="1ABA5C52"/>
    <w:rsid w:val="1ABC57C5"/>
    <w:rsid w:val="1ABD41F6"/>
    <w:rsid w:val="1ABD4B46"/>
    <w:rsid w:val="1ABE5B1A"/>
    <w:rsid w:val="1ABE8BAD"/>
    <w:rsid w:val="1ABEB776"/>
    <w:rsid w:val="1ABEE013"/>
    <w:rsid w:val="1ABEE325"/>
    <w:rsid w:val="1ABF1D3B"/>
    <w:rsid w:val="1AC01171"/>
    <w:rsid w:val="1AC14E1C"/>
    <w:rsid w:val="1AC1EE08"/>
    <w:rsid w:val="1AC21353"/>
    <w:rsid w:val="1AC2733F"/>
    <w:rsid w:val="1AC31970"/>
    <w:rsid w:val="1AC42DE9"/>
    <w:rsid w:val="1AC46521"/>
    <w:rsid w:val="1AC4CEE6"/>
    <w:rsid w:val="1AC51E21"/>
    <w:rsid w:val="1AC5459D"/>
    <w:rsid w:val="1AC6AE31"/>
    <w:rsid w:val="1AC77B16"/>
    <w:rsid w:val="1AC9136F"/>
    <w:rsid w:val="1AC91827"/>
    <w:rsid w:val="1AC93FAA"/>
    <w:rsid w:val="1AC9AD97"/>
    <w:rsid w:val="1ACA452D"/>
    <w:rsid w:val="1ACA50D0"/>
    <w:rsid w:val="1ACA90C2"/>
    <w:rsid w:val="1ACAC7A2"/>
    <w:rsid w:val="1ACC0C52"/>
    <w:rsid w:val="1ACCE048"/>
    <w:rsid w:val="1ACEA3CB"/>
    <w:rsid w:val="1ACFA85A"/>
    <w:rsid w:val="1ACFBEF8"/>
    <w:rsid w:val="1ACFC6B8"/>
    <w:rsid w:val="1AD05722"/>
    <w:rsid w:val="1AD0CF3A"/>
    <w:rsid w:val="1AD3271F"/>
    <w:rsid w:val="1AD3EBB3"/>
    <w:rsid w:val="1AD42ABD"/>
    <w:rsid w:val="1AD5008F"/>
    <w:rsid w:val="1AD60549"/>
    <w:rsid w:val="1AD6A247"/>
    <w:rsid w:val="1AD7ECFA"/>
    <w:rsid w:val="1ADBC9C5"/>
    <w:rsid w:val="1ADC41AC"/>
    <w:rsid w:val="1ADC5F93"/>
    <w:rsid w:val="1ADCB95F"/>
    <w:rsid w:val="1ADD1CF6"/>
    <w:rsid w:val="1ADD288B"/>
    <w:rsid w:val="1ADDB656"/>
    <w:rsid w:val="1AE11CC8"/>
    <w:rsid w:val="1AE15DF9"/>
    <w:rsid w:val="1AE1E3E2"/>
    <w:rsid w:val="1AE32E15"/>
    <w:rsid w:val="1AE35424"/>
    <w:rsid w:val="1AE5062B"/>
    <w:rsid w:val="1AE58F01"/>
    <w:rsid w:val="1AE66C62"/>
    <w:rsid w:val="1AE767E8"/>
    <w:rsid w:val="1AE7DCDF"/>
    <w:rsid w:val="1AE7F5AB"/>
    <w:rsid w:val="1AE807FA"/>
    <w:rsid w:val="1AE82212"/>
    <w:rsid w:val="1AE8A659"/>
    <w:rsid w:val="1AE9A2C1"/>
    <w:rsid w:val="1AEACA54"/>
    <w:rsid w:val="1AEBA060"/>
    <w:rsid w:val="1AEDAB56"/>
    <w:rsid w:val="1AEDDBA3"/>
    <w:rsid w:val="1AEE7CBB"/>
    <w:rsid w:val="1AEE885D"/>
    <w:rsid w:val="1AEE9EF0"/>
    <w:rsid w:val="1AF02A37"/>
    <w:rsid w:val="1AF036EE"/>
    <w:rsid w:val="1AF0E362"/>
    <w:rsid w:val="1AF14FA2"/>
    <w:rsid w:val="1AF22F27"/>
    <w:rsid w:val="1AF2AB92"/>
    <w:rsid w:val="1AF2CC70"/>
    <w:rsid w:val="1AF32F63"/>
    <w:rsid w:val="1AF33FF8"/>
    <w:rsid w:val="1AF3B899"/>
    <w:rsid w:val="1AF50679"/>
    <w:rsid w:val="1AF60CBF"/>
    <w:rsid w:val="1AF62249"/>
    <w:rsid w:val="1AF62BF1"/>
    <w:rsid w:val="1AF63EF2"/>
    <w:rsid w:val="1AF669F9"/>
    <w:rsid w:val="1AF83FB5"/>
    <w:rsid w:val="1AF8C5A8"/>
    <w:rsid w:val="1AF97284"/>
    <w:rsid w:val="1AFA158A"/>
    <w:rsid w:val="1AFA4DAB"/>
    <w:rsid w:val="1AFB72E6"/>
    <w:rsid w:val="1AFB7AE9"/>
    <w:rsid w:val="1AFC8606"/>
    <w:rsid w:val="1AFD6542"/>
    <w:rsid w:val="1AFE5AC3"/>
    <w:rsid w:val="1AFFEABF"/>
    <w:rsid w:val="1B006AA0"/>
    <w:rsid w:val="1B00B0FC"/>
    <w:rsid w:val="1B02B9FA"/>
    <w:rsid w:val="1B03BF74"/>
    <w:rsid w:val="1B041546"/>
    <w:rsid w:val="1B04A22D"/>
    <w:rsid w:val="1B04DEC9"/>
    <w:rsid w:val="1B058658"/>
    <w:rsid w:val="1B072EF8"/>
    <w:rsid w:val="1B073C46"/>
    <w:rsid w:val="1B08A613"/>
    <w:rsid w:val="1B08B646"/>
    <w:rsid w:val="1B09913A"/>
    <w:rsid w:val="1B0AB9D3"/>
    <w:rsid w:val="1B0AD964"/>
    <w:rsid w:val="1B0B6012"/>
    <w:rsid w:val="1B0C281D"/>
    <w:rsid w:val="1B0CE2A4"/>
    <w:rsid w:val="1B0CFD8B"/>
    <w:rsid w:val="1B0E0C63"/>
    <w:rsid w:val="1B0F7B78"/>
    <w:rsid w:val="1B0F8C49"/>
    <w:rsid w:val="1B0F91C8"/>
    <w:rsid w:val="1B104F5C"/>
    <w:rsid w:val="1B106AB3"/>
    <w:rsid w:val="1B109512"/>
    <w:rsid w:val="1B10AFA1"/>
    <w:rsid w:val="1B121832"/>
    <w:rsid w:val="1B127885"/>
    <w:rsid w:val="1B131F8D"/>
    <w:rsid w:val="1B13BC52"/>
    <w:rsid w:val="1B144A80"/>
    <w:rsid w:val="1B149EAB"/>
    <w:rsid w:val="1B14C498"/>
    <w:rsid w:val="1B15D427"/>
    <w:rsid w:val="1B1628DB"/>
    <w:rsid w:val="1B17B92B"/>
    <w:rsid w:val="1B18DCED"/>
    <w:rsid w:val="1B1A0E07"/>
    <w:rsid w:val="1B1A5249"/>
    <w:rsid w:val="1B1B4C56"/>
    <w:rsid w:val="1B1B566C"/>
    <w:rsid w:val="1B1D22EE"/>
    <w:rsid w:val="1B1DE650"/>
    <w:rsid w:val="1B1E4569"/>
    <w:rsid w:val="1B1E538F"/>
    <w:rsid w:val="1B1E5D96"/>
    <w:rsid w:val="1B1E8872"/>
    <w:rsid w:val="1B1EAD6B"/>
    <w:rsid w:val="1B20EB73"/>
    <w:rsid w:val="1B20EC37"/>
    <w:rsid w:val="1B20FC73"/>
    <w:rsid w:val="1B215411"/>
    <w:rsid w:val="1B21FA70"/>
    <w:rsid w:val="1B223FCD"/>
    <w:rsid w:val="1B22B882"/>
    <w:rsid w:val="1B23BFB2"/>
    <w:rsid w:val="1B23D456"/>
    <w:rsid w:val="1B2433D4"/>
    <w:rsid w:val="1B24E301"/>
    <w:rsid w:val="1B25A544"/>
    <w:rsid w:val="1B25A87F"/>
    <w:rsid w:val="1B2609C3"/>
    <w:rsid w:val="1B260D46"/>
    <w:rsid w:val="1B26700F"/>
    <w:rsid w:val="1B268C93"/>
    <w:rsid w:val="1B2708B0"/>
    <w:rsid w:val="1B274FE2"/>
    <w:rsid w:val="1B29F602"/>
    <w:rsid w:val="1B2A27AF"/>
    <w:rsid w:val="1B2A45B6"/>
    <w:rsid w:val="1B2A6D0B"/>
    <w:rsid w:val="1B2BB81B"/>
    <w:rsid w:val="1B2BFAAD"/>
    <w:rsid w:val="1B2C8BFB"/>
    <w:rsid w:val="1B2D6894"/>
    <w:rsid w:val="1B2D7309"/>
    <w:rsid w:val="1B2D7729"/>
    <w:rsid w:val="1B2EA373"/>
    <w:rsid w:val="1B2F6C76"/>
    <w:rsid w:val="1B2F8635"/>
    <w:rsid w:val="1B2FC7DA"/>
    <w:rsid w:val="1B302266"/>
    <w:rsid w:val="1B313E58"/>
    <w:rsid w:val="1B314C92"/>
    <w:rsid w:val="1B316C74"/>
    <w:rsid w:val="1B3336A8"/>
    <w:rsid w:val="1B3370CB"/>
    <w:rsid w:val="1B33C049"/>
    <w:rsid w:val="1B3585FB"/>
    <w:rsid w:val="1B366A3E"/>
    <w:rsid w:val="1B3910FC"/>
    <w:rsid w:val="1B3999FB"/>
    <w:rsid w:val="1B39AAD9"/>
    <w:rsid w:val="1B39B07C"/>
    <w:rsid w:val="1B3A4326"/>
    <w:rsid w:val="1B3A5DE2"/>
    <w:rsid w:val="1B3AA082"/>
    <w:rsid w:val="1B3B42F9"/>
    <w:rsid w:val="1B3B8A88"/>
    <w:rsid w:val="1B3C22C3"/>
    <w:rsid w:val="1B3CF088"/>
    <w:rsid w:val="1B3D25BC"/>
    <w:rsid w:val="1B3DF36C"/>
    <w:rsid w:val="1B3F606F"/>
    <w:rsid w:val="1B3FF1C9"/>
    <w:rsid w:val="1B40296A"/>
    <w:rsid w:val="1B40C2D8"/>
    <w:rsid w:val="1B40F54A"/>
    <w:rsid w:val="1B42B3DE"/>
    <w:rsid w:val="1B42DA3A"/>
    <w:rsid w:val="1B434954"/>
    <w:rsid w:val="1B439B37"/>
    <w:rsid w:val="1B43D001"/>
    <w:rsid w:val="1B44DCE1"/>
    <w:rsid w:val="1B454395"/>
    <w:rsid w:val="1B468478"/>
    <w:rsid w:val="1B46D9A0"/>
    <w:rsid w:val="1B47236A"/>
    <w:rsid w:val="1B47CC48"/>
    <w:rsid w:val="1B47F260"/>
    <w:rsid w:val="1B486DDE"/>
    <w:rsid w:val="1B49B2AF"/>
    <w:rsid w:val="1B4A1091"/>
    <w:rsid w:val="1B4A8CA1"/>
    <w:rsid w:val="1B4BD54D"/>
    <w:rsid w:val="1B4D5963"/>
    <w:rsid w:val="1B4DA077"/>
    <w:rsid w:val="1B4E09CF"/>
    <w:rsid w:val="1B4F193D"/>
    <w:rsid w:val="1B4F3DD0"/>
    <w:rsid w:val="1B4FD68C"/>
    <w:rsid w:val="1B503A99"/>
    <w:rsid w:val="1B510173"/>
    <w:rsid w:val="1B522F3D"/>
    <w:rsid w:val="1B52993E"/>
    <w:rsid w:val="1B52D6E0"/>
    <w:rsid w:val="1B52E2EC"/>
    <w:rsid w:val="1B536370"/>
    <w:rsid w:val="1B54B826"/>
    <w:rsid w:val="1B54C72C"/>
    <w:rsid w:val="1B551443"/>
    <w:rsid w:val="1B555C8C"/>
    <w:rsid w:val="1B5806D7"/>
    <w:rsid w:val="1B58C838"/>
    <w:rsid w:val="1B5933F9"/>
    <w:rsid w:val="1B5B117F"/>
    <w:rsid w:val="1B5BF4EF"/>
    <w:rsid w:val="1B5BFBC5"/>
    <w:rsid w:val="1B5C32B4"/>
    <w:rsid w:val="1B5EEA41"/>
    <w:rsid w:val="1B5FE75A"/>
    <w:rsid w:val="1B61800B"/>
    <w:rsid w:val="1B61AB9F"/>
    <w:rsid w:val="1B626A22"/>
    <w:rsid w:val="1B62B6E6"/>
    <w:rsid w:val="1B63944F"/>
    <w:rsid w:val="1B63EA25"/>
    <w:rsid w:val="1B651107"/>
    <w:rsid w:val="1B656DEE"/>
    <w:rsid w:val="1B669B3D"/>
    <w:rsid w:val="1B670DD0"/>
    <w:rsid w:val="1B671004"/>
    <w:rsid w:val="1B675547"/>
    <w:rsid w:val="1B67E13D"/>
    <w:rsid w:val="1B6866ED"/>
    <w:rsid w:val="1B69A7CB"/>
    <w:rsid w:val="1B6BB440"/>
    <w:rsid w:val="1B6BD047"/>
    <w:rsid w:val="1B6C16BA"/>
    <w:rsid w:val="1B6C393C"/>
    <w:rsid w:val="1B6C4A8B"/>
    <w:rsid w:val="1B6D241E"/>
    <w:rsid w:val="1B6DA351"/>
    <w:rsid w:val="1B6E7549"/>
    <w:rsid w:val="1B6ED9C3"/>
    <w:rsid w:val="1B6F7C97"/>
    <w:rsid w:val="1B6FD186"/>
    <w:rsid w:val="1B700EB6"/>
    <w:rsid w:val="1B7077BB"/>
    <w:rsid w:val="1B707F13"/>
    <w:rsid w:val="1B70A465"/>
    <w:rsid w:val="1B70F6D7"/>
    <w:rsid w:val="1B70F704"/>
    <w:rsid w:val="1B71572E"/>
    <w:rsid w:val="1B71BD71"/>
    <w:rsid w:val="1B7219F5"/>
    <w:rsid w:val="1B73683F"/>
    <w:rsid w:val="1B739B59"/>
    <w:rsid w:val="1B74A7D6"/>
    <w:rsid w:val="1B759305"/>
    <w:rsid w:val="1B768FC0"/>
    <w:rsid w:val="1B770CAE"/>
    <w:rsid w:val="1B787213"/>
    <w:rsid w:val="1B788FCA"/>
    <w:rsid w:val="1B78C00D"/>
    <w:rsid w:val="1B78DD2F"/>
    <w:rsid w:val="1B78DE2A"/>
    <w:rsid w:val="1B79024C"/>
    <w:rsid w:val="1B7927AA"/>
    <w:rsid w:val="1B7AB167"/>
    <w:rsid w:val="1B7AD1F3"/>
    <w:rsid w:val="1B7C265A"/>
    <w:rsid w:val="1B7C5964"/>
    <w:rsid w:val="1B7C69B5"/>
    <w:rsid w:val="1B7CE751"/>
    <w:rsid w:val="1B7D402D"/>
    <w:rsid w:val="1B7DDD1B"/>
    <w:rsid w:val="1B7F04CE"/>
    <w:rsid w:val="1B7FFB50"/>
    <w:rsid w:val="1B80FF4B"/>
    <w:rsid w:val="1B811614"/>
    <w:rsid w:val="1B81740A"/>
    <w:rsid w:val="1B82247C"/>
    <w:rsid w:val="1B82BDBA"/>
    <w:rsid w:val="1B82C283"/>
    <w:rsid w:val="1B8301D7"/>
    <w:rsid w:val="1B847514"/>
    <w:rsid w:val="1B852893"/>
    <w:rsid w:val="1B8621F6"/>
    <w:rsid w:val="1B873646"/>
    <w:rsid w:val="1B87E66F"/>
    <w:rsid w:val="1B88A698"/>
    <w:rsid w:val="1B89595D"/>
    <w:rsid w:val="1B896171"/>
    <w:rsid w:val="1B8AD2F2"/>
    <w:rsid w:val="1B8AF74E"/>
    <w:rsid w:val="1B8B4F84"/>
    <w:rsid w:val="1B8B5780"/>
    <w:rsid w:val="1B8BB236"/>
    <w:rsid w:val="1B8BB5BD"/>
    <w:rsid w:val="1B8C297F"/>
    <w:rsid w:val="1B8DC796"/>
    <w:rsid w:val="1B8DF789"/>
    <w:rsid w:val="1B90A3AD"/>
    <w:rsid w:val="1B91655D"/>
    <w:rsid w:val="1B916653"/>
    <w:rsid w:val="1B91D04C"/>
    <w:rsid w:val="1B9207FE"/>
    <w:rsid w:val="1B92963D"/>
    <w:rsid w:val="1B93F61A"/>
    <w:rsid w:val="1B94526D"/>
    <w:rsid w:val="1B949F73"/>
    <w:rsid w:val="1B94BD17"/>
    <w:rsid w:val="1B95AD01"/>
    <w:rsid w:val="1B9618A3"/>
    <w:rsid w:val="1B973E03"/>
    <w:rsid w:val="1B976A55"/>
    <w:rsid w:val="1B97D7EC"/>
    <w:rsid w:val="1B97F866"/>
    <w:rsid w:val="1B9984DC"/>
    <w:rsid w:val="1B9A3E8C"/>
    <w:rsid w:val="1B9A5209"/>
    <w:rsid w:val="1B9A57C5"/>
    <w:rsid w:val="1B9B7F75"/>
    <w:rsid w:val="1B9BEE77"/>
    <w:rsid w:val="1B9C38F8"/>
    <w:rsid w:val="1B9CBD07"/>
    <w:rsid w:val="1B9D757C"/>
    <w:rsid w:val="1B9DB313"/>
    <w:rsid w:val="1B9E3202"/>
    <w:rsid w:val="1B9E4424"/>
    <w:rsid w:val="1B9EF12C"/>
    <w:rsid w:val="1B9F5EC1"/>
    <w:rsid w:val="1BA151F4"/>
    <w:rsid w:val="1BA2361B"/>
    <w:rsid w:val="1BA2B17C"/>
    <w:rsid w:val="1BA32BD1"/>
    <w:rsid w:val="1BA32C23"/>
    <w:rsid w:val="1BA399F4"/>
    <w:rsid w:val="1BA3AE17"/>
    <w:rsid w:val="1BA3E6A6"/>
    <w:rsid w:val="1BA3EE2C"/>
    <w:rsid w:val="1BA3F1A9"/>
    <w:rsid w:val="1BA40D7C"/>
    <w:rsid w:val="1BA4A79F"/>
    <w:rsid w:val="1BA4E4AE"/>
    <w:rsid w:val="1BA5DC3B"/>
    <w:rsid w:val="1BA6099D"/>
    <w:rsid w:val="1BA62BBC"/>
    <w:rsid w:val="1BA62C97"/>
    <w:rsid w:val="1BA6EF63"/>
    <w:rsid w:val="1BA7A5F4"/>
    <w:rsid w:val="1BAA173E"/>
    <w:rsid w:val="1BAAC50F"/>
    <w:rsid w:val="1BAB0886"/>
    <w:rsid w:val="1BAB3523"/>
    <w:rsid w:val="1BAC3C4F"/>
    <w:rsid w:val="1BAD1F61"/>
    <w:rsid w:val="1BAD5014"/>
    <w:rsid w:val="1BAFBC8A"/>
    <w:rsid w:val="1BAFDE1F"/>
    <w:rsid w:val="1BB0FC53"/>
    <w:rsid w:val="1BB11B3E"/>
    <w:rsid w:val="1BB14350"/>
    <w:rsid w:val="1BB18DA7"/>
    <w:rsid w:val="1BB1CA2D"/>
    <w:rsid w:val="1BB1F601"/>
    <w:rsid w:val="1BB324FB"/>
    <w:rsid w:val="1BB33F00"/>
    <w:rsid w:val="1BB47259"/>
    <w:rsid w:val="1BB4F302"/>
    <w:rsid w:val="1BB6C10D"/>
    <w:rsid w:val="1BB6CF4C"/>
    <w:rsid w:val="1BB6D20E"/>
    <w:rsid w:val="1BB711FD"/>
    <w:rsid w:val="1BB79DDF"/>
    <w:rsid w:val="1BB7B5EA"/>
    <w:rsid w:val="1BB7CF2B"/>
    <w:rsid w:val="1BB7D555"/>
    <w:rsid w:val="1BB81DC9"/>
    <w:rsid w:val="1BB85EDE"/>
    <w:rsid w:val="1BB8BD7A"/>
    <w:rsid w:val="1BBA850B"/>
    <w:rsid w:val="1BBAAEFD"/>
    <w:rsid w:val="1BBB0ADD"/>
    <w:rsid w:val="1BBB9848"/>
    <w:rsid w:val="1BBBB2AA"/>
    <w:rsid w:val="1BBC083E"/>
    <w:rsid w:val="1BBD2301"/>
    <w:rsid w:val="1BBD669D"/>
    <w:rsid w:val="1BBE3176"/>
    <w:rsid w:val="1BBEBC82"/>
    <w:rsid w:val="1BBF18F0"/>
    <w:rsid w:val="1BBF6E36"/>
    <w:rsid w:val="1BC02759"/>
    <w:rsid w:val="1BC03EA1"/>
    <w:rsid w:val="1BC1B6E0"/>
    <w:rsid w:val="1BC1EB29"/>
    <w:rsid w:val="1BC3C449"/>
    <w:rsid w:val="1BC52569"/>
    <w:rsid w:val="1BC64893"/>
    <w:rsid w:val="1BC69D8F"/>
    <w:rsid w:val="1BC73071"/>
    <w:rsid w:val="1BC775BB"/>
    <w:rsid w:val="1BC7B723"/>
    <w:rsid w:val="1BC7C775"/>
    <w:rsid w:val="1BC7EB56"/>
    <w:rsid w:val="1BC875A7"/>
    <w:rsid w:val="1BCA0AB4"/>
    <w:rsid w:val="1BCA1A10"/>
    <w:rsid w:val="1BCA4CE1"/>
    <w:rsid w:val="1BCA73F5"/>
    <w:rsid w:val="1BCACC00"/>
    <w:rsid w:val="1BCAD1E6"/>
    <w:rsid w:val="1BCB88E2"/>
    <w:rsid w:val="1BCBFBDF"/>
    <w:rsid w:val="1BCC280F"/>
    <w:rsid w:val="1BCC65A0"/>
    <w:rsid w:val="1BCC7380"/>
    <w:rsid w:val="1BCCD5EF"/>
    <w:rsid w:val="1BCDA968"/>
    <w:rsid w:val="1BCEC39D"/>
    <w:rsid w:val="1BCFBAAF"/>
    <w:rsid w:val="1BCFF56F"/>
    <w:rsid w:val="1BD10262"/>
    <w:rsid w:val="1BD10C97"/>
    <w:rsid w:val="1BD11DAA"/>
    <w:rsid w:val="1BD1BDBC"/>
    <w:rsid w:val="1BD2B983"/>
    <w:rsid w:val="1BD31AB7"/>
    <w:rsid w:val="1BD37191"/>
    <w:rsid w:val="1BD4477A"/>
    <w:rsid w:val="1BD4871D"/>
    <w:rsid w:val="1BD48756"/>
    <w:rsid w:val="1BD4A0AF"/>
    <w:rsid w:val="1BD4C074"/>
    <w:rsid w:val="1BD4EC3B"/>
    <w:rsid w:val="1BD50EA8"/>
    <w:rsid w:val="1BD5AFE1"/>
    <w:rsid w:val="1BD67F3F"/>
    <w:rsid w:val="1BD76A5B"/>
    <w:rsid w:val="1BD7BD2E"/>
    <w:rsid w:val="1BD7EFD3"/>
    <w:rsid w:val="1BD8868E"/>
    <w:rsid w:val="1BD9AEDC"/>
    <w:rsid w:val="1BDB23BB"/>
    <w:rsid w:val="1BDB3DB1"/>
    <w:rsid w:val="1BDBA17A"/>
    <w:rsid w:val="1BDC1793"/>
    <w:rsid w:val="1BDC3144"/>
    <w:rsid w:val="1BDE2CA1"/>
    <w:rsid w:val="1BDE515D"/>
    <w:rsid w:val="1BDEB4DE"/>
    <w:rsid w:val="1BDF1DA9"/>
    <w:rsid w:val="1BDF7D4C"/>
    <w:rsid w:val="1BDF98EB"/>
    <w:rsid w:val="1BDFA06D"/>
    <w:rsid w:val="1BDFA257"/>
    <w:rsid w:val="1BE1BF70"/>
    <w:rsid w:val="1BE3AB82"/>
    <w:rsid w:val="1BE42D1E"/>
    <w:rsid w:val="1BE5EE24"/>
    <w:rsid w:val="1BE6309C"/>
    <w:rsid w:val="1BE728A2"/>
    <w:rsid w:val="1BE72AF1"/>
    <w:rsid w:val="1BE74B2B"/>
    <w:rsid w:val="1BE7583C"/>
    <w:rsid w:val="1BE78540"/>
    <w:rsid w:val="1BE91812"/>
    <w:rsid w:val="1BE9B106"/>
    <w:rsid w:val="1BEA63A3"/>
    <w:rsid w:val="1BEAE65D"/>
    <w:rsid w:val="1BEAF0DE"/>
    <w:rsid w:val="1BED6ACF"/>
    <w:rsid w:val="1BEE1AFD"/>
    <w:rsid w:val="1BEEF57F"/>
    <w:rsid w:val="1BEF91E7"/>
    <w:rsid w:val="1BEFB37E"/>
    <w:rsid w:val="1BF08E25"/>
    <w:rsid w:val="1BF0E0F4"/>
    <w:rsid w:val="1BF0ED8F"/>
    <w:rsid w:val="1BF112BB"/>
    <w:rsid w:val="1BF249C7"/>
    <w:rsid w:val="1BF3655D"/>
    <w:rsid w:val="1BF591A9"/>
    <w:rsid w:val="1BF635C7"/>
    <w:rsid w:val="1BF6430E"/>
    <w:rsid w:val="1BF6B183"/>
    <w:rsid w:val="1BF6BB95"/>
    <w:rsid w:val="1BF783A8"/>
    <w:rsid w:val="1BF7E965"/>
    <w:rsid w:val="1BF83C0A"/>
    <w:rsid w:val="1BF8B636"/>
    <w:rsid w:val="1BFA5501"/>
    <w:rsid w:val="1BFB8662"/>
    <w:rsid w:val="1BFC3AE3"/>
    <w:rsid w:val="1BFD85BE"/>
    <w:rsid w:val="1BFDB1ED"/>
    <w:rsid w:val="1BFE9DAA"/>
    <w:rsid w:val="1BFF063E"/>
    <w:rsid w:val="1BFF7511"/>
    <w:rsid w:val="1C00AFBB"/>
    <w:rsid w:val="1C01567A"/>
    <w:rsid w:val="1C01F16B"/>
    <w:rsid w:val="1C025141"/>
    <w:rsid w:val="1C037B4F"/>
    <w:rsid w:val="1C038A87"/>
    <w:rsid w:val="1C0395D3"/>
    <w:rsid w:val="1C03B3D3"/>
    <w:rsid w:val="1C03EBAF"/>
    <w:rsid w:val="1C0437F5"/>
    <w:rsid w:val="1C04530F"/>
    <w:rsid w:val="1C04BB1E"/>
    <w:rsid w:val="1C04E2DF"/>
    <w:rsid w:val="1C05D43E"/>
    <w:rsid w:val="1C05E7C0"/>
    <w:rsid w:val="1C05EBC3"/>
    <w:rsid w:val="1C071DAD"/>
    <w:rsid w:val="1C08CD18"/>
    <w:rsid w:val="1C0915CA"/>
    <w:rsid w:val="1C0973DC"/>
    <w:rsid w:val="1C0983EC"/>
    <w:rsid w:val="1C09A007"/>
    <w:rsid w:val="1C0A610C"/>
    <w:rsid w:val="1C0A9C9B"/>
    <w:rsid w:val="1C0AD491"/>
    <w:rsid w:val="1C0B7553"/>
    <w:rsid w:val="1C0B8143"/>
    <w:rsid w:val="1C0DA7D3"/>
    <w:rsid w:val="1C0DA89C"/>
    <w:rsid w:val="1C0E4423"/>
    <w:rsid w:val="1C0E5BE8"/>
    <w:rsid w:val="1C0E6210"/>
    <w:rsid w:val="1C0F622B"/>
    <w:rsid w:val="1C0FA6F1"/>
    <w:rsid w:val="1C0FD951"/>
    <w:rsid w:val="1C10153B"/>
    <w:rsid w:val="1C10DC9B"/>
    <w:rsid w:val="1C1134D9"/>
    <w:rsid w:val="1C114990"/>
    <w:rsid w:val="1C11AC85"/>
    <w:rsid w:val="1C11E7F5"/>
    <w:rsid w:val="1C12CDEE"/>
    <w:rsid w:val="1C135B77"/>
    <w:rsid w:val="1C137087"/>
    <w:rsid w:val="1C13C27E"/>
    <w:rsid w:val="1C13F460"/>
    <w:rsid w:val="1C1472DB"/>
    <w:rsid w:val="1C15DB01"/>
    <w:rsid w:val="1C15DCD6"/>
    <w:rsid w:val="1C172F14"/>
    <w:rsid w:val="1C1789DC"/>
    <w:rsid w:val="1C17ABAC"/>
    <w:rsid w:val="1C17BDA6"/>
    <w:rsid w:val="1C17DA0E"/>
    <w:rsid w:val="1C182F7A"/>
    <w:rsid w:val="1C1A9D88"/>
    <w:rsid w:val="1C1B13D9"/>
    <w:rsid w:val="1C1B95FB"/>
    <w:rsid w:val="1C1BA264"/>
    <w:rsid w:val="1C1C0DF3"/>
    <w:rsid w:val="1C1C3198"/>
    <w:rsid w:val="1C1C6354"/>
    <w:rsid w:val="1C1DA965"/>
    <w:rsid w:val="1C1DB82C"/>
    <w:rsid w:val="1C1EA59D"/>
    <w:rsid w:val="1C1F69EA"/>
    <w:rsid w:val="1C20EB9D"/>
    <w:rsid w:val="1C215C4F"/>
    <w:rsid w:val="1C21EEDA"/>
    <w:rsid w:val="1C227C2D"/>
    <w:rsid w:val="1C22E83A"/>
    <w:rsid w:val="1C234054"/>
    <w:rsid w:val="1C234C88"/>
    <w:rsid w:val="1C23748E"/>
    <w:rsid w:val="1C238140"/>
    <w:rsid w:val="1C24092D"/>
    <w:rsid w:val="1C242D43"/>
    <w:rsid w:val="1C247ED0"/>
    <w:rsid w:val="1C2485D4"/>
    <w:rsid w:val="1C252725"/>
    <w:rsid w:val="1C253E24"/>
    <w:rsid w:val="1C2613A9"/>
    <w:rsid w:val="1C264492"/>
    <w:rsid w:val="1C283D69"/>
    <w:rsid w:val="1C284CFA"/>
    <w:rsid w:val="1C290A84"/>
    <w:rsid w:val="1C29A350"/>
    <w:rsid w:val="1C2A2898"/>
    <w:rsid w:val="1C2A620D"/>
    <w:rsid w:val="1C2AB999"/>
    <w:rsid w:val="1C2B17E3"/>
    <w:rsid w:val="1C2CAEAB"/>
    <w:rsid w:val="1C2D7A3F"/>
    <w:rsid w:val="1C2E3973"/>
    <w:rsid w:val="1C2F0D00"/>
    <w:rsid w:val="1C2F1B6D"/>
    <w:rsid w:val="1C2FDCEA"/>
    <w:rsid w:val="1C3010A1"/>
    <w:rsid w:val="1C30A749"/>
    <w:rsid w:val="1C30D794"/>
    <w:rsid w:val="1C3125B9"/>
    <w:rsid w:val="1C315F14"/>
    <w:rsid w:val="1C31A0F9"/>
    <w:rsid w:val="1C31A462"/>
    <w:rsid w:val="1C31CFF2"/>
    <w:rsid w:val="1C3299FF"/>
    <w:rsid w:val="1C32D443"/>
    <w:rsid w:val="1C33DCF0"/>
    <w:rsid w:val="1C34C204"/>
    <w:rsid w:val="1C35B6A1"/>
    <w:rsid w:val="1C35F47A"/>
    <w:rsid w:val="1C3630A0"/>
    <w:rsid w:val="1C37851A"/>
    <w:rsid w:val="1C37BF27"/>
    <w:rsid w:val="1C37D90A"/>
    <w:rsid w:val="1C384D14"/>
    <w:rsid w:val="1C3874DB"/>
    <w:rsid w:val="1C3883F5"/>
    <w:rsid w:val="1C389D6C"/>
    <w:rsid w:val="1C39328C"/>
    <w:rsid w:val="1C39D0B8"/>
    <w:rsid w:val="1C3B406B"/>
    <w:rsid w:val="1C3B72DD"/>
    <w:rsid w:val="1C3BFC7C"/>
    <w:rsid w:val="1C3CD55E"/>
    <w:rsid w:val="1C3D1EC9"/>
    <w:rsid w:val="1C3E4900"/>
    <w:rsid w:val="1C3F8AB4"/>
    <w:rsid w:val="1C40978A"/>
    <w:rsid w:val="1C40CA26"/>
    <w:rsid w:val="1C410689"/>
    <w:rsid w:val="1C420E45"/>
    <w:rsid w:val="1C42B993"/>
    <w:rsid w:val="1C42D3EE"/>
    <w:rsid w:val="1C437B14"/>
    <w:rsid w:val="1C43BE2F"/>
    <w:rsid w:val="1C4426AC"/>
    <w:rsid w:val="1C44750E"/>
    <w:rsid w:val="1C449758"/>
    <w:rsid w:val="1C449A21"/>
    <w:rsid w:val="1C4547EE"/>
    <w:rsid w:val="1C4698EC"/>
    <w:rsid w:val="1C47988B"/>
    <w:rsid w:val="1C47A84E"/>
    <w:rsid w:val="1C47FF90"/>
    <w:rsid w:val="1C48E736"/>
    <w:rsid w:val="1C490EEB"/>
    <w:rsid w:val="1C491189"/>
    <w:rsid w:val="1C4A01C3"/>
    <w:rsid w:val="1C4A4C16"/>
    <w:rsid w:val="1C4ADE4B"/>
    <w:rsid w:val="1C4B952F"/>
    <w:rsid w:val="1C4C158E"/>
    <w:rsid w:val="1C4C496B"/>
    <w:rsid w:val="1C4EE7B4"/>
    <w:rsid w:val="1C5034D2"/>
    <w:rsid w:val="1C50418C"/>
    <w:rsid w:val="1C50CCB0"/>
    <w:rsid w:val="1C5183B6"/>
    <w:rsid w:val="1C51BC6A"/>
    <w:rsid w:val="1C51C360"/>
    <w:rsid w:val="1C52B91F"/>
    <w:rsid w:val="1C52CCC2"/>
    <w:rsid w:val="1C536468"/>
    <w:rsid w:val="1C539F2F"/>
    <w:rsid w:val="1C54326A"/>
    <w:rsid w:val="1C5443EF"/>
    <w:rsid w:val="1C54459D"/>
    <w:rsid w:val="1C546660"/>
    <w:rsid w:val="1C54B7D4"/>
    <w:rsid w:val="1C550254"/>
    <w:rsid w:val="1C55810F"/>
    <w:rsid w:val="1C5904D6"/>
    <w:rsid w:val="1C5A89A4"/>
    <w:rsid w:val="1C5AAD09"/>
    <w:rsid w:val="1C5C33FA"/>
    <w:rsid w:val="1C5CF6C3"/>
    <w:rsid w:val="1C5DB519"/>
    <w:rsid w:val="1C5F5E98"/>
    <w:rsid w:val="1C5F8082"/>
    <w:rsid w:val="1C5F92DC"/>
    <w:rsid w:val="1C5FB0E1"/>
    <w:rsid w:val="1C5FC271"/>
    <w:rsid w:val="1C601F3C"/>
    <w:rsid w:val="1C6033C3"/>
    <w:rsid w:val="1C61270D"/>
    <w:rsid w:val="1C6258D1"/>
    <w:rsid w:val="1C629129"/>
    <w:rsid w:val="1C64894D"/>
    <w:rsid w:val="1C64CF86"/>
    <w:rsid w:val="1C66021F"/>
    <w:rsid w:val="1C6675EC"/>
    <w:rsid w:val="1C670F95"/>
    <w:rsid w:val="1C6A5755"/>
    <w:rsid w:val="1C6A9B6A"/>
    <w:rsid w:val="1C6B7696"/>
    <w:rsid w:val="1C6C1C3C"/>
    <w:rsid w:val="1C6C2A53"/>
    <w:rsid w:val="1C6D5149"/>
    <w:rsid w:val="1C6D98F7"/>
    <w:rsid w:val="1C6DB698"/>
    <w:rsid w:val="1C6EC744"/>
    <w:rsid w:val="1C6EC92B"/>
    <w:rsid w:val="1C6EF553"/>
    <w:rsid w:val="1C6FC2F2"/>
    <w:rsid w:val="1C7005F6"/>
    <w:rsid w:val="1C702B7F"/>
    <w:rsid w:val="1C7247AB"/>
    <w:rsid w:val="1C736A39"/>
    <w:rsid w:val="1C73732B"/>
    <w:rsid w:val="1C759FDB"/>
    <w:rsid w:val="1C75E5A9"/>
    <w:rsid w:val="1C76C245"/>
    <w:rsid w:val="1C76F313"/>
    <w:rsid w:val="1C770DD0"/>
    <w:rsid w:val="1C775022"/>
    <w:rsid w:val="1C77BA69"/>
    <w:rsid w:val="1C780648"/>
    <w:rsid w:val="1C787645"/>
    <w:rsid w:val="1C789304"/>
    <w:rsid w:val="1C790E6E"/>
    <w:rsid w:val="1C7A2C25"/>
    <w:rsid w:val="1C7A4B4E"/>
    <w:rsid w:val="1C7ADB8A"/>
    <w:rsid w:val="1C7B489A"/>
    <w:rsid w:val="1C7CB77A"/>
    <w:rsid w:val="1C7D0B7C"/>
    <w:rsid w:val="1C7D6017"/>
    <w:rsid w:val="1C7DB611"/>
    <w:rsid w:val="1C7E3D6C"/>
    <w:rsid w:val="1C7E49C8"/>
    <w:rsid w:val="1C7E65B1"/>
    <w:rsid w:val="1C802FAE"/>
    <w:rsid w:val="1C805AC3"/>
    <w:rsid w:val="1C8120F3"/>
    <w:rsid w:val="1C818DD4"/>
    <w:rsid w:val="1C82D14A"/>
    <w:rsid w:val="1C82D91D"/>
    <w:rsid w:val="1C832126"/>
    <w:rsid w:val="1C836472"/>
    <w:rsid w:val="1C83E84C"/>
    <w:rsid w:val="1C840BB3"/>
    <w:rsid w:val="1C85DA1C"/>
    <w:rsid w:val="1C864758"/>
    <w:rsid w:val="1C868676"/>
    <w:rsid w:val="1C89415F"/>
    <w:rsid w:val="1C89F57D"/>
    <w:rsid w:val="1C8A3459"/>
    <w:rsid w:val="1C8A4357"/>
    <w:rsid w:val="1C8AB1E8"/>
    <w:rsid w:val="1C8ABE57"/>
    <w:rsid w:val="1C8B4E06"/>
    <w:rsid w:val="1C8CA9D3"/>
    <w:rsid w:val="1C8E32FC"/>
    <w:rsid w:val="1C8E438B"/>
    <w:rsid w:val="1C8F2ED8"/>
    <w:rsid w:val="1C8F7B3B"/>
    <w:rsid w:val="1C8F8697"/>
    <w:rsid w:val="1C8FA6B3"/>
    <w:rsid w:val="1C903875"/>
    <w:rsid w:val="1C9094AD"/>
    <w:rsid w:val="1C925B68"/>
    <w:rsid w:val="1C925BA6"/>
    <w:rsid w:val="1C9262AB"/>
    <w:rsid w:val="1C950386"/>
    <w:rsid w:val="1C95D9BE"/>
    <w:rsid w:val="1C95F1B5"/>
    <w:rsid w:val="1C967159"/>
    <w:rsid w:val="1C969992"/>
    <w:rsid w:val="1C9806B5"/>
    <w:rsid w:val="1C9B4EC1"/>
    <w:rsid w:val="1C9D21FA"/>
    <w:rsid w:val="1C9D67A0"/>
    <w:rsid w:val="1C9D86C0"/>
    <w:rsid w:val="1C9F5B9D"/>
    <w:rsid w:val="1C9F5F93"/>
    <w:rsid w:val="1C9F711B"/>
    <w:rsid w:val="1CA107FB"/>
    <w:rsid w:val="1CA23CAF"/>
    <w:rsid w:val="1CA26B18"/>
    <w:rsid w:val="1CA29CBD"/>
    <w:rsid w:val="1CA2F610"/>
    <w:rsid w:val="1CA3C836"/>
    <w:rsid w:val="1CA453E5"/>
    <w:rsid w:val="1CA4C1C9"/>
    <w:rsid w:val="1CA4C591"/>
    <w:rsid w:val="1CA5AD41"/>
    <w:rsid w:val="1CA5D9FE"/>
    <w:rsid w:val="1CA660CC"/>
    <w:rsid w:val="1CA736C5"/>
    <w:rsid w:val="1CA888AC"/>
    <w:rsid w:val="1CA8BC50"/>
    <w:rsid w:val="1CA8CF65"/>
    <w:rsid w:val="1CA934E8"/>
    <w:rsid w:val="1CA9773E"/>
    <w:rsid w:val="1CAA140B"/>
    <w:rsid w:val="1CABE1D7"/>
    <w:rsid w:val="1CAC1FBD"/>
    <w:rsid w:val="1CAC2DCC"/>
    <w:rsid w:val="1CAC3128"/>
    <w:rsid w:val="1CAC71AE"/>
    <w:rsid w:val="1CAC7532"/>
    <w:rsid w:val="1CB014AC"/>
    <w:rsid w:val="1CB0224B"/>
    <w:rsid w:val="1CB05BE3"/>
    <w:rsid w:val="1CB07B8D"/>
    <w:rsid w:val="1CB184E8"/>
    <w:rsid w:val="1CB2528B"/>
    <w:rsid w:val="1CB2D35E"/>
    <w:rsid w:val="1CB334B0"/>
    <w:rsid w:val="1CB4D6ED"/>
    <w:rsid w:val="1CB568E0"/>
    <w:rsid w:val="1CB5BD47"/>
    <w:rsid w:val="1CB5D7CA"/>
    <w:rsid w:val="1CB5F925"/>
    <w:rsid w:val="1CB6064C"/>
    <w:rsid w:val="1CB64002"/>
    <w:rsid w:val="1CB7D0CC"/>
    <w:rsid w:val="1CB8527B"/>
    <w:rsid w:val="1CB8A3FF"/>
    <w:rsid w:val="1CB94D71"/>
    <w:rsid w:val="1CBAB7AE"/>
    <w:rsid w:val="1CBACF36"/>
    <w:rsid w:val="1CBB3098"/>
    <w:rsid w:val="1CBC2574"/>
    <w:rsid w:val="1CBC5FAF"/>
    <w:rsid w:val="1CBC8C5D"/>
    <w:rsid w:val="1CBD89BE"/>
    <w:rsid w:val="1CBDAC07"/>
    <w:rsid w:val="1CBF57CA"/>
    <w:rsid w:val="1CBFF10B"/>
    <w:rsid w:val="1CC00220"/>
    <w:rsid w:val="1CC07D02"/>
    <w:rsid w:val="1CC0F61D"/>
    <w:rsid w:val="1CC14375"/>
    <w:rsid w:val="1CC2B3FD"/>
    <w:rsid w:val="1CC3486D"/>
    <w:rsid w:val="1CC38F72"/>
    <w:rsid w:val="1CC40001"/>
    <w:rsid w:val="1CC48D0F"/>
    <w:rsid w:val="1CC5D096"/>
    <w:rsid w:val="1CC6195A"/>
    <w:rsid w:val="1CC6A554"/>
    <w:rsid w:val="1CC6A7C8"/>
    <w:rsid w:val="1CC6F1C4"/>
    <w:rsid w:val="1CC71368"/>
    <w:rsid w:val="1CC74015"/>
    <w:rsid w:val="1CC794BA"/>
    <w:rsid w:val="1CC8422A"/>
    <w:rsid w:val="1CC8CFD2"/>
    <w:rsid w:val="1CCA44D5"/>
    <w:rsid w:val="1CCA98A0"/>
    <w:rsid w:val="1CCBFB8A"/>
    <w:rsid w:val="1CCC21D4"/>
    <w:rsid w:val="1CCC5D35"/>
    <w:rsid w:val="1CCC76FA"/>
    <w:rsid w:val="1CCE35A8"/>
    <w:rsid w:val="1CCE5C4E"/>
    <w:rsid w:val="1CCF12A0"/>
    <w:rsid w:val="1CCFBCA4"/>
    <w:rsid w:val="1CD0D032"/>
    <w:rsid w:val="1CD18A80"/>
    <w:rsid w:val="1CD1A2AF"/>
    <w:rsid w:val="1CD2C0B1"/>
    <w:rsid w:val="1CD2DC20"/>
    <w:rsid w:val="1CD36045"/>
    <w:rsid w:val="1CD56F2E"/>
    <w:rsid w:val="1CD65A9A"/>
    <w:rsid w:val="1CD79640"/>
    <w:rsid w:val="1CD79F6F"/>
    <w:rsid w:val="1CD83703"/>
    <w:rsid w:val="1CD84337"/>
    <w:rsid w:val="1CD88F91"/>
    <w:rsid w:val="1CD8FAEA"/>
    <w:rsid w:val="1CDAA0B7"/>
    <w:rsid w:val="1CDBB7A2"/>
    <w:rsid w:val="1CDCED77"/>
    <w:rsid w:val="1CDD8B8A"/>
    <w:rsid w:val="1CDDAB52"/>
    <w:rsid w:val="1CDE80BE"/>
    <w:rsid w:val="1CDF444F"/>
    <w:rsid w:val="1CDF51DF"/>
    <w:rsid w:val="1CE040E9"/>
    <w:rsid w:val="1CE155A2"/>
    <w:rsid w:val="1CE38444"/>
    <w:rsid w:val="1CE3FD05"/>
    <w:rsid w:val="1CE46C22"/>
    <w:rsid w:val="1CE58789"/>
    <w:rsid w:val="1CE59F35"/>
    <w:rsid w:val="1CE5BAAC"/>
    <w:rsid w:val="1CE5CAE0"/>
    <w:rsid w:val="1CE634C6"/>
    <w:rsid w:val="1CE642A0"/>
    <w:rsid w:val="1CE656B9"/>
    <w:rsid w:val="1CE7AC31"/>
    <w:rsid w:val="1CE7FF4B"/>
    <w:rsid w:val="1CE87AFA"/>
    <w:rsid w:val="1CE8B1A0"/>
    <w:rsid w:val="1CEA4369"/>
    <w:rsid w:val="1CEA5E8A"/>
    <w:rsid w:val="1CEA9DB1"/>
    <w:rsid w:val="1CEBA720"/>
    <w:rsid w:val="1CEBADF1"/>
    <w:rsid w:val="1CEC36DA"/>
    <w:rsid w:val="1CED1FB2"/>
    <w:rsid w:val="1CEDEABD"/>
    <w:rsid w:val="1CEE4D8E"/>
    <w:rsid w:val="1CEEEEA9"/>
    <w:rsid w:val="1CEF1450"/>
    <w:rsid w:val="1CEF2269"/>
    <w:rsid w:val="1CEF561B"/>
    <w:rsid w:val="1CEFB5A3"/>
    <w:rsid w:val="1CEFFB14"/>
    <w:rsid w:val="1CF1AB35"/>
    <w:rsid w:val="1CF1D65A"/>
    <w:rsid w:val="1CF255FC"/>
    <w:rsid w:val="1CF358D9"/>
    <w:rsid w:val="1CF3D861"/>
    <w:rsid w:val="1CF42142"/>
    <w:rsid w:val="1CF470D0"/>
    <w:rsid w:val="1CF513E8"/>
    <w:rsid w:val="1CF54E58"/>
    <w:rsid w:val="1CF5BF70"/>
    <w:rsid w:val="1CF6AF85"/>
    <w:rsid w:val="1CF857BE"/>
    <w:rsid w:val="1CF8A6AF"/>
    <w:rsid w:val="1CF9B0C2"/>
    <w:rsid w:val="1CFA510F"/>
    <w:rsid w:val="1CFB615A"/>
    <w:rsid w:val="1CFB7A61"/>
    <w:rsid w:val="1CFD73DE"/>
    <w:rsid w:val="1CFDEE0B"/>
    <w:rsid w:val="1CFE085A"/>
    <w:rsid w:val="1CFE37EE"/>
    <w:rsid w:val="1CFF1D46"/>
    <w:rsid w:val="1CFF3E19"/>
    <w:rsid w:val="1CFFB7B2"/>
    <w:rsid w:val="1D003297"/>
    <w:rsid w:val="1D006A9E"/>
    <w:rsid w:val="1D011B8F"/>
    <w:rsid w:val="1D0177FF"/>
    <w:rsid w:val="1D01BBE0"/>
    <w:rsid w:val="1D024B1E"/>
    <w:rsid w:val="1D0285DE"/>
    <w:rsid w:val="1D02A0D9"/>
    <w:rsid w:val="1D030BC4"/>
    <w:rsid w:val="1D03625F"/>
    <w:rsid w:val="1D03742E"/>
    <w:rsid w:val="1D0420B3"/>
    <w:rsid w:val="1D049C5F"/>
    <w:rsid w:val="1D04E696"/>
    <w:rsid w:val="1D05917B"/>
    <w:rsid w:val="1D05A6A5"/>
    <w:rsid w:val="1D05C2C5"/>
    <w:rsid w:val="1D06C174"/>
    <w:rsid w:val="1D0707AB"/>
    <w:rsid w:val="1D080595"/>
    <w:rsid w:val="1D080C8D"/>
    <w:rsid w:val="1D094FB1"/>
    <w:rsid w:val="1D095E55"/>
    <w:rsid w:val="1D0BC43A"/>
    <w:rsid w:val="1D0BF5A5"/>
    <w:rsid w:val="1D0CBBF3"/>
    <w:rsid w:val="1D0E8A57"/>
    <w:rsid w:val="1D0E8EE7"/>
    <w:rsid w:val="1D0FFDB0"/>
    <w:rsid w:val="1D11584F"/>
    <w:rsid w:val="1D129EF2"/>
    <w:rsid w:val="1D12EAF4"/>
    <w:rsid w:val="1D13FA4C"/>
    <w:rsid w:val="1D1525A5"/>
    <w:rsid w:val="1D15740B"/>
    <w:rsid w:val="1D1639C0"/>
    <w:rsid w:val="1D163C23"/>
    <w:rsid w:val="1D16765F"/>
    <w:rsid w:val="1D16E942"/>
    <w:rsid w:val="1D172B06"/>
    <w:rsid w:val="1D17ED10"/>
    <w:rsid w:val="1D181DFA"/>
    <w:rsid w:val="1D18BF26"/>
    <w:rsid w:val="1D18C29B"/>
    <w:rsid w:val="1D1A09D7"/>
    <w:rsid w:val="1D1A1625"/>
    <w:rsid w:val="1D1A5075"/>
    <w:rsid w:val="1D1A59F9"/>
    <w:rsid w:val="1D1C1D9F"/>
    <w:rsid w:val="1D1C2883"/>
    <w:rsid w:val="1D1C7971"/>
    <w:rsid w:val="1D1C8819"/>
    <w:rsid w:val="1D1C8E61"/>
    <w:rsid w:val="1D1F6162"/>
    <w:rsid w:val="1D1F6BC8"/>
    <w:rsid w:val="1D20A377"/>
    <w:rsid w:val="1D20BBE9"/>
    <w:rsid w:val="1D21D1F4"/>
    <w:rsid w:val="1D226C83"/>
    <w:rsid w:val="1D227B35"/>
    <w:rsid w:val="1D227C6E"/>
    <w:rsid w:val="1D2284A9"/>
    <w:rsid w:val="1D22BE4E"/>
    <w:rsid w:val="1D2328F7"/>
    <w:rsid w:val="1D23F980"/>
    <w:rsid w:val="1D240092"/>
    <w:rsid w:val="1D242572"/>
    <w:rsid w:val="1D24955B"/>
    <w:rsid w:val="1D24A384"/>
    <w:rsid w:val="1D250E5D"/>
    <w:rsid w:val="1D25B256"/>
    <w:rsid w:val="1D26A6A7"/>
    <w:rsid w:val="1D26AB2C"/>
    <w:rsid w:val="1D26E668"/>
    <w:rsid w:val="1D26FF63"/>
    <w:rsid w:val="1D276E9B"/>
    <w:rsid w:val="1D27F833"/>
    <w:rsid w:val="1D28375D"/>
    <w:rsid w:val="1D28D709"/>
    <w:rsid w:val="1D28E99E"/>
    <w:rsid w:val="1D29BDE5"/>
    <w:rsid w:val="1D29FF3D"/>
    <w:rsid w:val="1D2A0054"/>
    <w:rsid w:val="1D2A0FF8"/>
    <w:rsid w:val="1D2A46F1"/>
    <w:rsid w:val="1D2CB937"/>
    <w:rsid w:val="1D2D3E92"/>
    <w:rsid w:val="1D2D71EF"/>
    <w:rsid w:val="1D2D7D11"/>
    <w:rsid w:val="1D2E1201"/>
    <w:rsid w:val="1D2E6178"/>
    <w:rsid w:val="1D2ED27A"/>
    <w:rsid w:val="1D2F6405"/>
    <w:rsid w:val="1D2F9AAD"/>
    <w:rsid w:val="1D30881D"/>
    <w:rsid w:val="1D30E910"/>
    <w:rsid w:val="1D30EC54"/>
    <w:rsid w:val="1D312872"/>
    <w:rsid w:val="1D318B76"/>
    <w:rsid w:val="1D32C562"/>
    <w:rsid w:val="1D32ECB6"/>
    <w:rsid w:val="1D32F2B3"/>
    <w:rsid w:val="1D33F77B"/>
    <w:rsid w:val="1D352D23"/>
    <w:rsid w:val="1D361727"/>
    <w:rsid w:val="1D364BAA"/>
    <w:rsid w:val="1D369E8A"/>
    <w:rsid w:val="1D377E2F"/>
    <w:rsid w:val="1D37D6B5"/>
    <w:rsid w:val="1D38F234"/>
    <w:rsid w:val="1D392B39"/>
    <w:rsid w:val="1D393AB1"/>
    <w:rsid w:val="1D3A5E2B"/>
    <w:rsid w:val="1D3CD029"/>
    <w:rsid w:val="1D3D0BA9"/>
    <w:rsid w:val="1D3D1554"/>
    <w:rsid w:val="1D3E72D4"/>
    <w:rsid w:val="1D3E7936"/>
    <w:rsid w:val="1D424426"/>
    <w:rsid w:val="1D42DA2F"/>
    <w:rsid w:val="1D43C8ED"/>
    <w:rsid w:val="1D43F460"/>
    <w:rsid w:val="1D44B443"/>
    <w:rsid w:val="1D45A472"/>
    <w:rsid w:val="1D45F072"/>
    <w:rsid w:val="1D466477"/>
    <w:rsid w:val="1D49EFE7"/>
    <w:rsid w:val="1D4A6DC9"/>
    <w:rsid w:val="1D4B44BB"/>
    <w:rsid w:val="1D4BFB3D"/>
    <w:rsid w:val="1D4CA814"/>
    <w:rsid w:val="1D4E3A98"/>
    <w:rsid w:val="1D4EB754"/>
    <w:rsid w:val="1D50F367"/>
    <w:rsid w:val="1D51981C"/>
    <w:rsid w:val="1D521F7B"/>
    <w:rsid w:val="1D53D166"/>
    <w:rsid w:val="1D53E996"/>
    <w:rsid w:val="1D5451D7"/>
    <w:rsid w:val="1D547F75"/>
    <w:rsid w:val="1D554398"/>
    <w:rsid w:val="1D575DCB"/>
    <w:rsid w:val="1D579A61"/>
    <w:rsid w:val="1D582BDA"/>
    <w:rsid w:val="1D589888"/>
    <w:rsid w:val="1D58AAC4"/>
    <w:rsid w:val="1D5905E8"/>
    <w:rsid w:val="1D5B2C1F"/>
    <w:rsid w:val="1D5C4DEF"/>
    <w:rsid w:val="1D5C6ED0"/>
    <w:rsid w:val="1D5D0EE2"/>
    <w:rsid w:val="1D5D74BD"/>
    <w:rsid w:val="1D5E617D"/>
    <w:rsid w:val="1D5E9A04"/>
    <w:rsid w:val="1D5EC790"/>
    <w:rsid w:val="1D5EE3C0"/>
    <w:rsid w:val="1D5F2843"/>
    <w:rsid w:val="1D5F43D1"/>
    <w:rsid w:val="1D5FACE5"/>
    <w:rsid w:val="1D607447"/>
    <w:rsid w:val="1D60DC22"/>
    <w:rsid w:val="1D626543"/>
    <w:rsid w:val="1D62A035"/>
    <w:rsid w:val="1D62ABDC"/>
    <w:rsid w:val="1D63A650"/>
    <w:rsid w:val="1D6686ED"/>
    <w:rsid w:val="1D66CEAA"/>
    <w:rsid w:val="1D696082"/>
    <w:rsid w:val="1D6ABE76"/>
    <w:rsid w:val="1D6B026F"/>
    <w:rsid w:val="1D6BF9E8"/>
    <w:rsid w:val="1D6CBF5F"/>
    <w:rsid w:val="1D6CE679"/>
    <w:rsid w:val="1D6D03EC"/>
    <w:rsid w:val="1D6DF290"/>
    <w:rsid w:val="1D6E288E"/>
    <w:rsid w:val="1D6EFF03"/>
    <w:rsid w:val="1D705C11"/>
    <w:rsid w:val="1D708482"/>
    <w:rsid w:val="1D7089C5"/>
    <w:rsid w:val="1D70B9F0"/>
    <w:rsid w:val="1D70D0DB"/>
    <w:rsid w:val="1D7146D3"/>
    <w:rsid w:val="1D72B4CD"/>
    <w:rsid w:val="1D731F84"/>
    <w:rsid w:val="1D73D192"/>
    <w:rsid w:val="1D73F4B2"/>
    <w:rsid w:val="1D74222E"/>
    <w:rsid w:val="1D763490"/>
    <w:rsid w:val="1D768553"/>
    <w:rsid w:val="1D772663"/>
    <w:rsid w:val="1D777F57"/>
    <w:rsid w:val="1D784873"/>
    <w:rsid w:val="1D7856D7"/>
    <w:rsid w:val="1D7886FF"/>
    <w:rsid w:val="1D7A0454"/>
    <w:rsid w:val="1D7B0FE9"/>
    <w:rsid w:val="1D7B95F2"/>
    <w:rsid w:val="1D7B9E16"/>
    <w:rsid w:val="1D7BA910"/>
    <w:rsid w:val="1D7C11C1"/>
    <w:rsid w:val="1D7D1286"/>
    <w:rsid w:val="1D7D181C"/>
    <w:rsid w:val="1D7D6CDC"/>
    <w:rsid w:val="1D7E350C"/>
    <w:rsid w:val="1D812098"/>
    <w:rsid w:val="1D822D49"/>
    <w:rsid w:val="1D82E2C3"/>
    <w:rsid w:val="1D835414"/>
    <w:rsid w:val="1D83E4DE"/>
    <w:rsid w:val="1D83F775"/>
    <w:rsid w:val="1D840F26"/>
    <w:rsid w:val="1D84C873"/>
    <w:rsid w:val="1D855550"/>
    <w:rsid w:val="1D859E60"/>
    <w:rsid w:val="1D85D872"/>
    <w:rsid w:val="1D86BF40"/>
    <w:rsid w:val="1D872FFB"/>
    <w:rsid w:val="1D874309"/>
    <w:rsid w:val="1D87648C"/>
    <w:rsid w:val="1D87E6C1"/>
    <w:rsid w:val="1D8858D0"/>
    <w:rsid w:val="1D898AAA"/>
    <w:rsid w:val="1D89AE99"/>
    <w:rsid w:val="1D8A465A"/>
    <w:rsid w:val="1D8B6405"/>
    <w:rsid w:val="1D8B69DF"/>
    <w:rsid w:val="1D8B77F4"/>
    <w:rsid w:val="1D8BF479"/>
    <w:rsid w:val="1D8C0222"/>
    <w:rsid w:val="1D8CD29D"/>
    <w:rsid w:val="1D8CD702"/>
    <w:rsid w:val="1D8D7A22"/>
    <w:rsid w:val="1D8E2A8E"/>
    <w:rsid w:val="1D8E9638"/>
    <w:rsid w:val="1D8F8ED6"/>
    <w:rsid w:val="1D908730"/>
    <w:rsid w:val="1D90F849"/>
    <w:rsid w:val="1D9135A5"/>
    <w:rsid w:val="1D93B9C6"/>
    <w:rsid w:val="1D95019D"/>
    <w:rsid w:val="1D964079"/>
    <w:rsid w:val="1D9735D8"/>
    <w:rsid w:val="1D9748DB"/>
    <w:rsid w:val="1D9832F2"/>
    <w:rsid w:val="1D987CC5"/>
    <w:rsid w:val="1D989DA2"/>
    <w:rsid w:val="1D99DD64"/>
    <w:rsid w:val="1D9C11A8"/>
    <w:rsid w:val="1D9C433E"/>
    <w:rsid w:val="1D9DCDEC"/>
    <w:rsid w:val="1D9E614E"/>
    <w:rsid w:val="1D9EF2F9"/>
    <w:rsid w:val="1D9FC78E"/>
    <w:rsid w:val="1DA01E7D"/>
    <w:rsid w:val="1DA03F6F"/>
    <w:rsid w:val="1DA0AD91"/>
    <w:rsid w:val="1DA0B3C7"/>
    <w:rsid w:val="1DA0ED7D"/>
    <w:rsid w:val="1DA11B42"/>
    <w:rsid w:val="1DA17121"/>
    <w:rsid w:val="1DA17371"/>
    <w:rsid w:val="1DA180BB"/>
    <w:rsid w:val="1DA1A14D"/>
    <w:rsid w:val="1DA2D455"/>
    <w:rsid w:val="1DA30CB0"/>
    <w:rsid w:val="1DA38FBB"/>
    <w:rsid w:val="1DA4461D"/>
    <w:rsid w:val="1DA4639E"/>
    <w:rsid w:val="1DA47D20"/>
    <w:rsid w:val="1DA69208"/>
    <w:rsid w:val="1DA6C881"/>
    <w:rsid w:val="1DA78001"/>
    <w:rsid w:val="1DA87D56"/>
    <w:rsid w:val="1DA8B08C"/>
    <w:rsid w:val="1DA8CCAE"/>
    <w:rsid w:val="1DA8FD1B"/>
    <w:rsid w:val="1DA9906F"/>
    <w:rsid w:val="1DAA6FA0"/>
    <w:rsid w:val="1DAB030B"/>
    <w:rsid w:val="1DAC5FF7"/>
    <w:rsid w:val="1DAC7880"/>
    <w:rsid w:val="1DAD2A52"/>
    <w:rsid w:val="1DAF05D8"/>
    <w:rsid w:val="1DAF715E"/>
    <w:rsid w:val="1DB0544D"/>
    <w:rsid w:val="1DB1BB64"/>
    <w:rsid w:val="1DB295CA"/>
    <w:rsid w:val="1DB43119"/>
    <w:rsid w:val="1DB43328"/>
    <w:rsid w:val="1DB45AF0"/>
    <w:rsid w:val="1DB47632"/>
    <w:rsid w:val="1DB4A168"/>
    <w:rsid w:val="1DB4CB41"/>
    <w:rsid w:val="1DB51D21"/>
    <w:rsid w:val="1DB52E6F"/>
    <w:rsid w:val="1DB621F8"/>
    <w:rsid w:val="1DB70CC6"/>
    <w:rsid w:val="1DB77ABA"/>
    <w:rsid w:val="1DB7CD15"/>
    <w:rsid w:val="1DB7FB56"/>
    <w:rsid w:val="1DB885CB"/>
    <w:rsid w:val="1DB8B776"/>
    <w:rsid w:val="1DB9A66A"/>
    <w:rsid w:val="1DB9E1AA"/>
    <w:rsid w:val="1DBA4075"/>
    <w:rsid w:val="1DBA8252"/>
    <w:rsid w:val="1DBC1DC3"/>
    <w:rsid w:val="1DBD1C33"/>
    <w:rsid w:val="1DBD411B"/>
    <w:rsid w:val="1DBDC992"/>
    <w:rsid w:val="1DC06547"/>
    <w:rsid w:val="1DC0D40C"/>
    <w:rsid w:val="1DC0E911"/>
    <w:rsid w:val="1DC19199"/>
    <w:rsid w:val="1DC41449"/>
    <w:rsid w:val="1DC515F9"/>
    <w:rsid w:val="1DC55F12"/>
    <w:rsid w:val="1DC614A6"/>
    <w:rsid w:val="1DC63D36"/>
    <w:rsid w:val="1DC66F1F"/>
    <w:rsid w:val="1DC7EA05"/>
    <w:rsid w:val="1DC8D980"/>
    <w:rsid w:val="1DC9879B"/>
    <w:rsid w:val="1DC98C11"/>
    <w:rsid w:val="1DCA7F57"/>
    <w:rsid w:val="1DCB2AAA"/>
    <w:rsid w:val="1DCB3739"/>
    <w:rsid w:val="1DCC1AB3"/>
    <w:rsid w:val="1DCC3465"/>
    <w:rsid w:val="1DCC5D11"/>
    <w:rsid w:val="1DCC8E36"/>
    <w:rsid w:val="1DCD50D9"/>
    <w:rsid w:val="1DCDBB84"/>
    <w:rsid w:val="1DCDE600"/>
    <w:rsid w:val="1DCFC61C"/>
    <w:rsid w:val="1DD0A9E2"/>
    <w:rsid w:val="1DD0D7DE"/>
    <w:rsid w:val="1DD246BF"/>
    <w:rsid w:val="1DD2FCF0"/>
    <w:rsid w:val="1DD3715E"/>
    <w:rsid w:val="1DD38007"/>
    <w:rsid w:val="1DD386D7"/>
    <w:rsid w:val="1DD50678"/>
    <w:rsid w:val="1DD6BAD5"/>
    <w:rsid w:val="1DD6C489"/>
    <w:rsid w:val="1DD7B797"/>
    <w:rsid w:val="1DD80F9E"/>
    <w:rsid w:val="1DD82B19"/>
    <w:rsid w:val="1DD8EF2A"/>
    <w:rsid w:val="1DD91901"/>
    <w:rsid w:val="1DD92C0D"/>
    <w:rsid w:val="1DD99AAD"/>
    <w:rsid w:val="1DD9E65A"/>
    <w:rsid w:val="1DDA16B7"/>
    <w:rsid w:val="1DDA17B3"/>
    <w:rsid w:val="1DDA2E7D"/>
    <w:rsid w:val="1DDADD9F"/>
    <w:rsid w:val="1DDAEF8F"/>
    <w:rsid w:val="1DDB14FC"/>
    <w:rsid w:val="1DDB2F9F"/>
    <w:rsid w:val="1DDBF480"/>
    <w:rsid w:val="1DDC6BC5"/>
    <w:rsid w:val="1DDCFFD4"/>
    <w:rsid w:val="1DDD212F"/>
    <w:rsid w:val="1DDD9A48"/>
    <w:rsid w:val="1DDE3D08"/>
    <w:rsid w:val="1DDEE809"/>
    <w:rsid w:val="1DDF2F57"/>
    <w:rsid w:val="1DE0203C"/>
    <w:rsid w:val="1DE0237A"/>
    <w:rsid w:val="1DE0C927"/>
    <w:rsid w:val="1DE0DF18"/>
    <w:rsid w:val="1DE11061"/>
    <w:rsid w:val="1DE1C523"/>
    <w:rsid w:val="1DE21E21"/>
    <w:rsid w:val="1DE2F860"/>
    <w:rsid w:val="1DE3657F"/>
    <w:rsid w:val="1DE462FE"/>
    <w:rsid w:val="1DE5296D"/>
    <w:rsid w:val="1DE57468"/>
    <w:rsid w:val="1DE61C2A"/>
    <w:rsid w:val="1DE6BEE7"/>
    <w:rsid w:val="1DE79A19"/>
    <w:rsid w:val="1DE7F9BD"/>
    <w:rsid w:val="1DE85F33"/>
    <w:rsid w:val="1DE8CE32"/>
    <w:rsid w:val="1DE90B60"/>
    <w:rsid w:val="1DE97C4B"/>
    <w:rsid w:val="1DEA2625"/>
    <w:rsid w:val="1DEAB346"/>
    <w:rsid w:val="1DEAFE72"/>
    <w:rsid w:val="1DEBD44C"/>
    <w:rsid w:val="1DEC0354"/>
    <w:rsid w:val="1DEC2FA3"/>
    <w:rsid w:val="1DEE7340"/>
    <w:rsid w:val="1DEF0466"/>
    <w:rsid w:val="1DEF3D99"/>
    <w:rsid w:val="1DEF6D2D"/>
    <w:rsid w:val="1DEF90A0"/>
    <w:rsid w:val="1DF03783"/>
    <w:rsid w:val="1DF16E74"/>
    <w:rsid w:val="1DF1F970"/>
    <w:rsid w:val="1DF3C032"/>
    <w:rsid w:val="1DF48324"/>
    <w:rsid w:val="1DF588E4"/>
    <w:rsid w:val="1DF5D102"/>
    <w:rsid w:val="1DF64C0F"/>
    <w:rsid w:val="1DF77B73"/>
    <w:rsid w:val="1DF7F019"/>
    <w:rsid w:val="1DF8335C"/>
    <w:rsid w:val="1DF84597"/>
    <w:rsid w:val="1DF8C579"/>
    <w:rsid w:val="1DF9C754"/>
    <w:rsid w:val="1DF9CB23"/>
    <w:rsid w:val="1DF9CC0A"/>
    <w:rsid w:val="1DF9FD97"/>
    <w:rsid w:val="1DFAA500"/>
    <w:rsid w:val="1DFB7BE3"/>
    <w:rsid w:val="1DFC2B52"/>
    <w:rsid w:val="1DFCC308"/>
    <w:rsid w:val="1DFF2FEE"/>
    <w:rsid w:val="1DFFD326"/>
    <w:rsid w:val="1DFFED8F"/>
    <w:rsid w:val="1E008EFE"/>
    <w:rsid w:val="1E010C96"/>
    <w:rsid w:val="1E0163C3"/>
    <w:rsid w:val="1E0226C5"/>
    <w:rsid w:val="1E0253B9"/>
    <w:rsid w:val="1E02A70D"/>
    <w:rsid w:val="1E03B463"/>
    <w:rsid w:val="1E03D941"/>
    <w:rsid w:val="1E042946"/>
    <w:rsid w:val="1E047418"/>
    <w:rsid w:val="1E0486B7"/>
    <w:rsid w:val="1E06E46B"/>
    <w:rsid w:val="1E087174"/>
    <w:rsid w:val="1E087748"/>
    <w:rsid w:val="1E08E376"/>
    <w:rsid w:val="1E09721B"/>
    <w:rsid w:val="1E0A08DC"/>
    <w:rsid w:val="1E0AB209"/>
    <w:rsid w:val="1E0AF9B9"/>
    <w:rsid w:val="1E0C9CCB"/>
    <w:rsid w:val="1E0D1547"/>
    <w:rsid w:val="1E0D3633"/>
    <w:rsid w:val="1E0D4D0F"/>
    <w:rsid w:val="1E0D74D3"/>
    <w:rsid w:val="1E0EB805"/>
    <w:rsid w:val="1E0FE783"/>
    <w:rsid w:val="1E106F6C"/>
    <w:rsid w:val="1E107DD6"/>
    <w:rsid w:val="1E110829"/>
    <w:rsid w:val="1E1170E6"/>
    <w:rsid w:val="1E1237B3"/>
    <w:rsid w:val="1E12755E"/>
    <w:rsid w:val="1E128B66"/>
    <w:rsid w:val="1E12A91B"/>
    <w:rsid w:val="1E12D5E6"/>
    <w:rsid w:val="1E1350F0"/>
    <w:rsid w:val="1E1385CF"/>
    <w:rsid w:val="1E13FB9C"/>
    <w:rsid w:val="1E14F3A6"/>
    <w:rsid w:val="1E165406"/>
    <w:rsid w:val="1E16678D"/>
    <w:rsid w:val="1E16CFA1"/>
    <w:rsid w:val="1E17076B"/>
    <w:rsid w:val="1E17F1E0"/>
    <w:rsid w:val="1E180C5E"/>
    <w:rsid w:val="1E18CDB3"/>
    <w:rsid w:val="1E193780"/>
    <w:rsid w:val="1E1B3DE6"/>
    <w:rsid w:val="1E1B75A1"/>
    <w:rsid w:val="1E1C396D"/>
    <w:rsid w:val="1E1DA1A3"/>
    <w:rsid w:val="1E1DF410"/>
    <w:rsid w:val="1E1E2408"/>
    <w:rsid w:val="1E1EC8BE"/>
    <w:rsid w:val="1E1ECD18"/>
    <w:rsid w:val="1E20267B"/>
    <w:rsid w:val="1E20E730"/>
    <w:rsid w:val="1E2108FE"/>
    <w:rsid w:val="1E215292"/>
    <w:rsid w:val="1E21AAED"/>
    <w:rsid w:val="1E22FA31"/>
    <w:rsid w:val="1E239D98"/>
    <w:rsid w:val="1E23B585"/>
    <w:rsid w:val="1E23D8B5"/>
    <w:rsid w:val="1E24F64D"/>
    <w:rsid w:val="1E252AB5"/>
    <w:rsid w:val="1E25EF60"/>
    <w:rsid w:val="1E2716B3"/>
    <w:rsid w:val="1E27F151"/>
    <w:rsid w:val="1E29847D"/>
    <w:rsid w:val="1E2A4A94"/>
    <w:rsid w:val="1E2B05B9"/>
    <w:rsid w:val="1E2B83E8"/>
    <w:rsid w:val="1E2BB838"/>
    <w:rsid w:val="1E2BFFB7"/>
    <w:rsid w:val="1E2C7C21"/>
    <w:rsid w:val="1E2C8232"/>
    <w:rsid w:val="1E2DCF5F"/>
    <w:rsid w:val="1E2DFF3C"/>
    <w:rsid w:val="1E2EB586"/>
    <w:rsid w:val="1E2ECF42"/>
    <w:rsid w:val="1E2F3FDB"/>
    <w:rsid w:val="1E2FF7C8"/>
    <w:rsid w:val="1E30072D"/>
    <w:rsid w:val="1E301B3D"/>
    <w:rsid w:val="1E30BC7D"/>
    <w:rsid w:val="1E30C6FC"/>
    <w:rsid w:val="1E323558"/>
    <w:rsid w:val="1E324592"/>
    <w:rsid w:val="1E325D23"/>
    <w:rsid w:val="1E3262A7"/>
    <w:rsid w:val="1E3286BC"/>
    <w:rsid w:val="1E333880"/>
    <w:rsid w:val="1E33CBAE"/>
    <w:rsid w:val="1E349462"/>
    <w:rsid w:val="1E351EEF"/>
    <w:rsid w:val="1E361417"/>
    <w:rsid w:val="1E363146"/>
    <w:rsid w:val="1E36739F"/>
    <w:rsid w:val="1E370D92"/>
    <w:rsid w:val="1E37613D"/>
    <w:rsid w:val="1E37DD66"/>
    <w:rsid w:val="1E37F2B5"/>
    <w:rsid w:val="1E38099E"/>
    <w:rsid w:val="1E380A10"/>
    <w:rsid w:val="1E38E8CD"/>
    <w:rsid w:val="1E393D5B"/>
    <w:rsid w:val="1E399F8A"/>
    <w:rsid w:val="1E3CBA20"/>
    <w:rsid w:val="1E3D0677"/>
    <w:rsid w:val="1E3D1AC9"/>
    <w:rsid w:val="1E3D22C2"/>
    <w:rsid w:val="1E3ECABE"/>
    <w:rsid w:val="1E3EFBFA"/>
    <w:rsid w:val="1E3F11C7"/>
    <w:rsid w:val="1E3F6594"/>
    <w:rsid w:val="1E3F9D84"/>
    <w:rsid w:val="1E415A11"/>
    <w:rsid w:val="1E44115A"/>
    <w:rsid w:val="1E442E26"/>
    <w:rsid w:val="1E44FEC6"/>
    <w:rsid w:val="1E455968"/>
    <w:rsid w:val="1E466655"/>
    <w:rsid w:val="1E472607"/>
    <w:rsid w:val="1E4799C4"/>
    <w:rsid w:val="1E47D97F"/>
    <w:rsid w:val="1E47FCC8"/>
    <w:rsid w:val="1E4ADE8E"/>
    <w:rsid w:val="1E4BEB84"/>
    <w:rsid w:val="1E4C92A3"/>
    <w:rsid w:val="1E4CBE5F"/>
    <w:rsid w:val="1E4F454C"/>
    <w:rsid w:val="1E4F9D3C"/>
    <w:rsid w:val="1E51AC9D"/>
    <w:rsid w:val="1E521F05"/>
    <w:rsid w:val="1E529000"/>
    <w:rsid w:val="1E52B19D"/>
    <w:rsid w:val="1E52CDDD"/>
    <w:rsid w:val="1E52EEEF"/>
    <w:rsid w:val="1E52EF23"/>
    <w:rsid w:val="1E52F82F"/>
    <w:rsid w:val="1E539355"/>
    <w:rsid w:val="1E53CAF0"/>
    <w:rsid w:val="1E54CD67"/>
    <w:rsid w:val="1E551DE9"/>
    <w:rsid w:val="1E55B9DB"/>
    <w:rsid w:val="1E563E9A"/>
    <w:rsid w:val="1E567226"/>
    <w:rsid w:val="1E56C113"/>
    <w:rsid w:val="1E5730E4"/>
    <w:rsid w:val="1E57EA91"/>
    <w:rsid w:val="1E57F0C6"/>
    <w:rsid w:val="1E58C37D"/>
    <w:rsid w:val="1E5981B3"/>
    <w:rsid w:val="1E599DAC"/>
    <w:rsid w:val="1E5A4120"/>
    <w:rsid w:val="1E5C1B31"/>
    <w:rsid w:val="1E5CFEFD"/>
    <w:rsid w:val="1E5D2D2C"/>
    <w:rsid w:val="1E5F4504"/>
    <w:rsid w:val="1E5FCF30"/>
    <w:rsid w:val="1E5FFA74"/>
    <w:rsid w:val="1E600983"/>
    <w:rsid w:val="1E606282"/>
    <w:rsid w:val="1E609493"/>
    <w:rsid w:val="1E6192E8"/>
    <w:rsid w:val="1E6224B6"/>
    <w:rsid w:val="1E635D57"/>
    <w:rsid w:val="1E63C828"/>
    <w:rsid w:val="1E63D3CE"/>
    <w:rsid w:val="1E657918"/>
    <w:rsid w:val="1E6658AA"/>
    <w:rsid w:val="1E6801EC"/>
    <w:rsid w:val="1E680B4A"/>
    <w:rsid w:val="1E6823BE"/>
    <w:rsid w:val="1E68A61D"/>
    <w:rsid w:val="1E696739"/>
    <w:rsid w:val="1E69D7E1"/>
    <w:rsid w:val="1E69FD11"/>
    <w:rsid w:val="1E6ABF42"/>
    <w:rsid w:val="1E6B3840"/>
    <w:rsid w:val="1E6BD17C"/>
    <w:rsid w:val="1E6C301E"/>
    <w:rsid w:val="1E6CDC18"/>
    <w:rsid w:val="1E6DBDE9"/>
    <w:rsid w:val="1E6E56B9"/>
    <w:rsid w:val="1E6E5A25"/>
    <w:rsid w:val="1E6FF959"/>
    <w:rsid w:val="1E705F24"/>
    <w:rsid w:val="1E706CC6"/>
    <w:rsid w:val="1E70C213"/>
    <w:rsid w:val="1E71438E"/>
    <w:rsid w:val="1E71EE46"/>
    <w:rsid w:val="1E721D8A"/>
    <w:rsid w:val="1E725181"/>
    <w:rsid w:val="1E73AB45"/>
    <w:rsid w:val="1E7447D6"/>
    <w:rsid w:val="1E7530FE"/>
    <w:rsid w:val="1E76A6A7"/>
    <w:rsid w:val="1E772359"/>
    <w:rsid w:val="1E785404"/>
    <w:rsid w:val="1E787CF5"/>
    <w:rsid w:val="1E79E561"/>
    <w:rsid w:val="1E7AD6B8"/>
    <w:rsid w:val="1E7BB645"/>
    <w:rsid w:val="1E7BD6BC"/>
    <w:rsid w:val="1E7CB572"/>
    <w:rsid w:val="1E7D593A"/>
    <w:rsid w:val="1E7E96DA"/>
    <w:rsid w:val="1E812C88"/>
    <w:rsid w:val="1E817384"/>
    <w:rsid w:val="1E817D84"/>
    <w:rsid w:val="1E81F9FB"/>
    <w:rsid w:val="1E823075"/>
    <w:rsid w:val="1E82D086"/>
    <w:rsid w:val="1E8387A9"/>
    <w:rsid w:val="1E84E162"/>
    <w:rsid w:val="1E855A8F"/>
    <w:rsid w:val="1E85DC9B"/>
    <w:rsid w:val="1E862F02"/>
    <w:rsid w:val="1E870A23"/>
    <w:rsid w:val="1E877969"/>
    <w:rsid w:val="1E878B8A"/>
    <w:rsid w:val="1E8875B3"/>
    <w:rsid w:val="1E892CC3"/>
    <w:rsid w:val="1E893AE8"/>
    <w:rsid w:val="1E893DBD"/>
    <w:rsid w:val="1E8A1E8E"/>
    <w:rsid w:val="1E8A1EC8"/>
    <w:rsid w:val="1E8B621D"/>
    <w:rsid w:val="1E8CAB1C"/>
    <w:rsid w:val="1E8CEC6D"/>
    <w:rsid w:val="1E8DC0B5"/>
    <w:rsid w:val="1E8E1248"/>
    <w:rsid w:val="1E8EC423"/>
    <w:rsid w:val="1E8ECB27"/>
    <w:rsid w:val="1E8F0D3D"/>
    <w:rsid w:val="1E903AD8"/>
    <w:rsid w:val="1E90737E"/>
    <w:rsid w:val="1E90F6DD"/>
    <w:rsid w:val="1E91FB7D"/>
    <w:rsid w:val="1E920311"/>
    <w:rsid w:val="1E922C01"/>
    <w:rsid w:val="1E922D7F"/>
    <w:rsid w:val="1E926571"/>
    <w:rsid w:val="1E926ABF"/>
    <w:rsid w:val="1E931B21"/>
    <w:rsid w:val="1E932471"/>
    <w:rsid w:val="1E936A0F"/>
    <w:rsid w:val="1E942294"/>
    <w:rsid w:val="1E94D49A"/>
    <w:rsid w:val="1E94DF46"/>
    <w:rsid w:val="1E96DADF"/>
    <w:rsid w:val="1E9772A0"/>
    <w:rsid w:val="1E97BC82"/>
    <w:rsid w:val="1E97F409"/>
    <w:rsid w:val="1E98CB38"/>
    <w:rsid w:val="1E9999C4"/>
    <w:rsid w:val="1E9B6AD2"/>
    <w:rsid w:val="1E9CFE9D"/>
    <w:rsid w:val="1E9E4070"/>
    <w:rsid w:val="1E9E432A"/>
    <w:rsid w:val="1E9EBBBC"/>
    <w:rsid w:val="1E9EFDFF"/>
    <w:rsid w:val="1E9F472D"/>
    <w:rsid w:val="1E9F5E2A"/>
    <w:rsid w:val="1E9F74A7"/>
    <w:rsid w:val="1E9F9583"/>
    <w:rsid w:val="1E9FF8EA"/>
    <w:rsid w:val="1EA00C69"/>
    <w:rsid w:val="1EA2924A"/>
    <w:rsid w:val="1EA2E743"/>
    <w:rsid w:val="1EA2FF2D"/>
    <w:rsid w:val="1EA3A796"/>
    <w:rsid w:val="1EA3BD72"/>
    <w:rsid w:val="1EA41753"/>
    <w:rsid w:val="1EA43787"/>
    <w:rsid w:val="1EA4C964"/>
    <w:rsid w:val="1EA70BE5"/>
    <w:rsid w:val="1EA82A9F"/>
    <w:rsid w:val="1EA83474"/>
    <w:rsid w:val="1EA8912E"/>
    <w:rsid w:val="1EA8D162"/>
    <w:rsid w:val="1EA9729E"/>
    <w:rsid w:val="1EA981AA"/>
    <w:rsid w:val="1EA9B12F"/>
    <w:rsid w:val="1EA9D19D"/>
    <w:rsid w:val="1EAA322E"/>
    <w:rsid w:val="1EAB82D9"/>
    <w:rsid w:val="1EAC0CFB"/>
    <w:rsid w:val="1EACB37F"/>
    <w:rsid w:val="1EAD0CD3"/>
    <w:rsid w:val="1EADC445"/>
    <w:rsid w:val="1EADD141"/>
    <w:rsid w:val="1EAED6BE"/>
    <w:rsid w:val="1EAF7A19"/>
    <w:rsid w:val="1EAFD24D"/>
    <w:rsid w:val="1EB00D95"/>
    <w:rsid w:val="1EB0C1C5"/>
    <w:rsid w:val="1EB116C6"/>
    <w:rsid w:val="1EB2D919"/>
    <w:rsid w:val="1EB354AA"/>
    <w:rsid w:val="1EB3E49B"/>
    <w:rsid w:val="1EB41102"/>
    <w:rsid w:val="1EB4887E"/>
    <w:rsid w:val="1EB5744F"/>
    <w:rsid w:val="1EB5825A"/>
    <w:rsid w:val="1EB6E892"/>
    <w:rsid w:val="1EB73AFF"/>
    <w:rsid w:val="1EB80E6C"/>
    <w:rsid w:val="1EB84D27"/>
    <w:rsid w:val="1EBA1E41"/>
    <w:rsid w:val="1EBBDB28"/>
    <w:rsid w:val="1EBCAE9D"/>
    <w:rsid w:val="1EBCC579"/>
    <w:rsid w:val="1EBD70B4"/>
    <w:rsid w:val="1EBD9391"/>
    <w:rsid w:val="1EBDACAA"/>
    <w:rsid w:val="1EBDCB0F"/>
    <w:rsid w:val="1EBEA77D"/>
    <w:rsid w:val="1EBFF5E0"/>
    <w:rsid w:val="1EC06993"/>
    <w:rsid w:val="1EC08069"/>
    <w:rsid w:val="1EC0EF19"/>
    <w:rsid w:val="1EC12463"/>
    <w:rsid w:val="1EC29E4F"/>
    <w:rsid w:val="1EC2C87F"/>
    <w:rsid w:val="1EC2DFC2"/>
    <w:rsid w:val="1EC46A26"/>
    <w:rsid w:val="1EC506E6"/>
    <w:rsid w:val="1EC58E2E"/>
    <w:rsid w:val="1EC59813"/>
    <w:rsid w:val="1EC6DA02"/>
    <w:rsid w:val="1EC6DC0A"/>
    <w:rsid w:val="1EC6FF59"/>
    <w:rsid w:val="1EC8137C"/>
    <w:rsid w:val="1ECAADF0"/>
    <w:rsid w:val="1ECAED90"/>
    <w:rsid w:val="1ECB0046"/>
    <w:rsid w:val="1ECB4425"/>
    <w:rsid w:val="1ECBE09C"/>
    <w:rsid w:val="1ECC0F55"/>
    <w:rsid w:val="1ECC6D47"/>
    <w:rsid w:val="1ECD46C8"/>
    <w:rsid w:val="1ECD6035"/>
    <w:rsid w:val="1ECD64B5"/>
    <w:rsid w:val="1ECDE2A2"/>
    <w:rsid w:val="1ECDFAB7"/>
    <w:rsid w:val="1ECE3342"/>
    <w:rsid w:val="1ECE5442"/>
    <w:rsid w:val="1ECE6B7E"/>
    <w:rsid w:val="1ECED324"/>
    <w:rsid w:val="1ECF0542"/>
    <w:rsid w:val="1ED33CA1"/>
    <w:rsid w:val="1ED340DF"/>
    <w:rsid w:val="1ED42888"/>
    <w:rsid w:val="1ED441ED"/>
    <w:rsid w:val="1ED66CD8"/>
    <w:rsid w:val="1ED6CED2"/>
    <w:rsid w:val="1ED6DC81"/>
    <w:rsid w:val="1ED7813E"/>
    <w:rsid w:val="1ED83718"/>
    <w:rsid w:val="1ED93FE1"/>
    <w:rsid w:val="1ED9550C"/>
    <w:rsid w:val="1ED9F82C"/>
    <w:rsid w:val="1ED9FA81"/>
    <w:rsid w:val="1EDA29A0"/>
    <w:rsid w:val="1EDAD90E"/>
    <w:rsid w:val="1EDB3038"/>
    <w:rsid w:val="1EDBB7E7"/>
    <w:rsid w:val="1EDBD123"/>
    <w:rsid w:val="1EDBD948"/>
    <w:rsid w:val="1EDC16B4"/>
    <w:rsid w:val="1EDC7F8F"/>
    <w:rsid w:val="1EDC821F"/>
    <w:rsid w:val="1EDC8B15"/>
    <w:rsid w:val="1EDD5449"/>
    <w:rsid w:val="1EDDB4B7"/>
    <w:rsid w:val="1EDE1B68"/>
    <w:rsid w:val="1EDF62E7"/>
    <w:rsid w:val="1EDFCDBA"/>
    <w:rsid w:val="1EE06AA9"/>
    <w:rsid w:val="1EE0B400"/>
    <w:rsid w:val="1EE19548"/>
    <w:rsid w:val="1EE2677D"/>
    <w:rsid w:val="1EE28B9F"/>
    <w:rsid w:val="1EE2D5E5"/>
    <w:rsid w:val="1EE31B42"/>
    <w:rsid w:val="1EE37680"/>
    <w:rsid w:val="1EE3EC3D"/>
    <w:rsid w:val="1EE70035"/>
    <w:rsid w:val="1EE707FF"/>
    <w:rsid w:val="1EE73B63"/>
    <w:rsid w:val="1EE8BC00"/>
    <w:rsid w:val="1EE94450"/>
    <w:rsid w:val="1EEA521D"/>
    <w:rsid w:val="1EEAE33B"/>
    <w:rsid w:val="1EEB26F2"/>
    <w:rsid w:val="1EEC24BB"/>
    <w:rsid w:val="1EEC3517"/>
    <w:rsid w:val="1EED557F"/>
    <w:rsid w:val="1EED6CA9"/>
    <w:rsid w:val="1EEE35C4"/>
    <w:rsid w:val="1EEEDA97"/>
    <w:rsid w:val="1EEF8DC4"/>
    <w:rsid w:val="1EEF9B8D"/>
    <w:rsid w:val="1EF038CA"/>
    <w:rsid w:val="1EF0C5C5"/>
    <w:rsid w:val="1EF2C801"/>
    <w:rsid w:val="1EF371DE"/>
    <w:rsid w:val="1EF3C328"/>
    <w:rsid w:val="1EF3D4BB"/>
    <w:rsid w:val="1EF4B9C2"/>
    <w:rsid w:val="1EF4E26B"/>
    <w:rsid w:val="1EF4E5AF"/>
    <w:rsid w:val="1EF55364"/>
    <w:rsid w:val="1EF57EFC"/>
    <w:rsid w:val="1EF67920"/>
    <w:rsid w:val="1EF6A8AF"/>
    <w:rsid w:val="1EF6AD49"/>
    <w:rsid w:val="1EF6EE1C"/>
    <w:rsid w:val="1EF94A10"/>
    <w:rsid w:val="1EF94CD4"/>
    <w:rsid w:val="1EF94E91"/>
    <w:rsid w:val="1EF9B336"/>
    <w:rsid w:val="1EFAC431"/>
    <w:rsid w:val="1EFB2167"/>
    <w:rsid w:val="1EFC028B"/>
    <w:rsid w:val="1EFC65A0"/>
    <w:rsid w:val="1EFC7F6D"/>
    <w:rsid w:val="1EFC84F8"/>
    <w:rsid w:val="1EFCB790"/>
    <w:rsid w:val="1EFD30FE"/>
    <w:rsid w:val="1EFD7451"/>
    <w:rsid w:val="1EFEE54D"/>
    <w:rsid w:val="1EFF0BB3"/>
    <w:rsid w:val="1EFFACEA"/>
    <w:rsid w:val="1F003D96"/>
    <w:rsid w:val="1F02A991"/>
    <w:rsid w:val="1F040D26"/>
    <w:rsid w:val="1F0431D5"/>
    <w:rsid w:val="1F04C46A"/>
    <w:rsid w:val="1F0508A8"/>
    <w:rsid w:val="1F051B03"/>
    <w:rsid w:val="1F0555A7"/>
    <w:rsid w:val="1F067C88"/>
    <w:rsid w:val="1F077E89"/>
    <w:rsid w:val="1F07B02C"/>
    <w:rsid w:val="1F0887DD"/>
    <w:rsid w:val="1F08A076"/>
    <w:rsid w:val="1F097946"/>
    <w:rsid w:val="1F098F7E"/>
    <w:rsid w:val="1F099B55"/>
    <w:rsid w:val="1F09C7F2"/>
    <w:rsid w:val="1F0A6110"/>
    <w:rsid w:val="1F0B77D4"/>
    <w:rsid w:val="1F0BAF21"/>
    <w:rsid w:val="1F0C2A0C"/>
    <w:rsid w:val="1F0C6816"/>
    <w:rsid w:val="1F0DADE8"/>
    <w:rsid w:val="1F0DDB00"/>
    <w:rsid w:val="1F0F7006"/>
    <w:rsid w:val="1F101D9C"/>
    <w:rsid w:val="1F11A3D8"/>
    <w:rsid w:val="1F135ECE"/>
    <w:rsid w:val="1F13B476"/>
    <w:rsid w:val="1F14A388"/>
    <w:rsid w:val="1F14D045"/>
    <w:rsid w:val="1F150602"/>
    <w:rsid w:val="1F173A21"/>
    <w:rsid w:val="1F17D5F2"/>
    <w:rsid w:val="1F18A5D2"/>
    <w:rsid w:val="1F19D877"/>
    <w:rsid w:val="1F19EEC3"/>
    <w:rsid w:val="1F1A74FA"/>
    <w:rsid w:val="1F1AA248"/>
    <w:rsid w:val="1F1B1BCE"/>
    <w:rsid w:val="1F1B3882"/>
    <w:rsid w:val="1F1B679A"/>
    <w:rsid w:val="1F1BC58F"/>
    <w:rsid w:val="1F1BF9D0"/>
    <w:rsid w:val="1F1C3306"/>
    <w:rsid w:val="1F1C331E"/>
    <w:rsid w:val="1F1D5A32"/>
    <w:rsid w:val="1F1DD25A"/>
    <w:rsid w:val="1F1DD965"/>
    <w:rsid w:val="1F1E9A1F"/>
    <w:rsid w:val="1F1F5928"/>
    <w:rsid w:val="1F2034FD"/>
    <w:rsid w:val="1F20D18A"/>
    <w:rsid w:val="1F217E18"/>
    <w:rsid w:val="1F21C5F7"/>
    <w:rsid w:val="1F22946F"/>
    <w:rsid w:val="1F230C7A"/>
    <w:rsid w:val="1F23FE47"/>
    <w:rsid w:val="1F2445FB"/>
    <w:rsid w:val="1F251016"/>
    <w:rsid w:val="1F2549C4"/>
    <w:rsid w:val="1F2573E2"/>
    <w:rsid w:val="1F266572"/>
    <w:rsid w:val="1F26E2A7"/>
    <w:rsid w:val="1F28174C"/>
    <w:rsid w:val="1F28E037"/>
    <w:rsid w:val="1F294928"/>
    <w:rsid w:val="1F295F4B"/>
    <w:rsid w:val="1F2B3A0C"/>
    <w:rsid w:val="1F2C443F"/>
    <w:rsid w:val="1F2C7706"/>
    <w:rsid w:val="1F2CB104"/>
    <w:rsid w:val="1F2D7031"/>
    <w:rsid w:val="1F2D9348"/>
    <w:rsid w:val="1F2E73EB"/>
    <w:rsid w:val="1F2ED788"/>
    <w:rsid w:val="1F2F0D9A"/>
    <w:rsid w:val="1F2F4094"/>
    <w:rsid w:val="1F2F9F57"/>
    <w:rsid w:val="1F2FB4AA"/>
    <w:rsid w:val="1F3003BD"/>
    <w:rsid w:val="1F303160"/>
    <w:rsid w:val="1F3037B6"/>
    <w:rsid w:val="1F30C6C9"/>
    <w:rsid w:val="1F312B3D"/>
    <w:rsid w:val="1F31AB02"/>
    <w:rsid w:val="1F320EBA"/>
    <w:rsid w:val="1F3260E6"/>
    <w:rsid w:val="1F335DA2"/>
    <w:rsid w:val="1F346120"/>
    <w:rsid w:val="1F353EDF"/>
    <w:rsid w:val="1F354754"/>
    <w:rsid w:val="1F355614"/>
    <w:rsid w:val="1F35E925"/>
    <w:rsid w:val="1F363DC5"/>
    <w:rsid w:val="1F36EF3D"/>
    <w:rsid w:val="1F371886"/>
    <w:rsid w:val="1F372FA7"/>
    <w:rsid w:val="1F373BC1"/>
    <w:rsid w:val="1F385348"/>
    <w:rsid w:val="1F386F3F"/>
    <w:rsid w:val="1F389721"/>
    <w:rsid w:val="1F3983C9"/>
    <w:rsid w:val="1F39B2B9"/>
    <w:rsid w:val="1F3A1711"/>
    <w:rsid w:val="1F3A563F"/>
    <w:rsid w:val="1F3BC166"/>
    <w:rsid w:val="1F3BD744"/>
    <w:rsid w:val="1F3BDFE3"/>
    <w:rsid w:val="1F3CDAB6"/>
    <w:rsid w:val="1F3D37C0"/>
    <w:rsid w:val="1F3D79F4"/>
    <w:rsid w:val="1F3EA013"/>
    <w:rsid w:val="1F3F00FA"/>
    <w:rsid w:val="1F3F95F3"/>
    <w:rsid w:val="1F3FBC2D"/>
    <w:rsid w:val="1F4048CD"/>
    <w:rsid w:val="1F407879"/>
    <w:rsid w:val="1F4175EB"/>
    <w:rsid w:val="1F418FF1"/>
    <w:rsid w:val="1F41E7F0"/>
    <w:rsid w:val="1F420336"/>
    <w:rsid w:val="1F421FCD"/>
    <w:rsid w:val="1F425B97"/>
    <w:rsid w:val="1F42D8D3"/>
    <w:rsid w:val="1F431615"/>
    <w:rsid w:val="1F446BC2"/>
    <w:rsid w:val="1F4516B1"/>
    <w:rsid w:val="1F45376C"/>
    <w:rsid w:val="1F455A61"/>
    <w:rsid w:val="1F45F5F4"/>
    <w:rsid w:val="1F460D6C"/>
    <w:rsid w:val="1F46EECF"/>
    <w:rsid w:val="1F47861D"/>
    <w:rsid w:val="1F47BF05"/>
    <w:rsid w:val="1F483CC5"/>
    <w:rsid w:val="1F4926EF"/>
    <w:rsid w:val="1F496ED6"/>
    <w:rsid w:val="1F49FE86"/>
    <w:rsid w:val="1F4AC7AD"/>
    <w:rsid w:val="1F4B6340"/>
    <w:rsid w:val="1F4CA049"/>
    <w:rsid w:val="1F4CBA3E"/>
    <w:rsid w:val="1F4D32C3"/>
    <w:rsid w:val="1F4D39F8"/>
    <w:rsid w:val="1F4D5AC3"/>
    <w:rsid w:val="1F4F3478"/>
    <w:rsid w:val="1F4F4EEF"/>
    <w:rsid w:val="1F4F51AE"/>
    <w:rsid w:val="1F4F882A"/>
    <w:rsid w:val="1F4F8D02"/>
    <w:rsid w:val="1F50935C"/>
    <w:rsid w:val="1F5131EC"/>
    <w:rsid w:val="1F5165B4"/>
    <w:rsid w:val="1F5187DB"/>
    <w:rsid w:val="1F544EBA"/>
    <w:rsid w:val="1F545331"/>
    <w:rsid w:val="1F547A3C"/>
    <w:rsid w:val="1F54A58F"/>
    <w:rsid w:val="1F5565BB"/>
    <w:rsid w:val="1F567103"/>
    <w:rsid w:val="1F56BE00"/>
    <w:rsid w:val="1F57FBE9"/>
    <w:rsid w:val="1F5817FB"/>
    <w:rsid w:val="1F5A2B74"/>
    <w:rsid w:val="1F5A7373"/>
    <w:rsid w:val="1F5A9980"/>
    <w:rsid w:val="1F5B4EDD"/>
    <w:rsid w:val="1F5BAC8E"/>
    <w:rsid w:val="1F5BB455"/>
    <w:rsid w:val="1F5C1B6A"/>
    <w:rsid w:val="1F5C7E9C"/>
    <w:rsid w:val="1F5CA47D"/>
    <w:rsid w:val="1F5D15B9"/>
    <w:rsid w:val="1F5D558D"/>
    <w:rsid w:val="1F5EEB2C"/>
    <w:rsid w:val="1F5F845C"/>
    <w:rsid w:val="1F5FA3FF"/>
    <w:rsid w:val="1F5FE919"/>
    <w:rsid w:val="1F5FF23E"/>
    <w:rsid w:val="1F60B7AC"/>
    <w:rsid w:val="1F613BEB"/>
    <w:rsid w:val="1F6223D9"/>
    <w:rsid w:val="1F636792"/>
    <w:rsid w:val="1F678A5F"/>
    <w:rsid w:val="1F67ABEF"/>
    <w:rsid w:val="1F67D104"/>
    <w:rsid w:val="1F687FED"/>
    <w:rsid w:val="1F68AC84"/>
    <w:rsid w:val="1F68F054"/>
    <w:rsid w:val="1F69A957"/>
    <w:rsid w:val="1F6B589D"/>
    <w:rsid w:val="1F6C9569"/>
    <w:rsid w:val="1F6CACC5"/>
    <w:rsid w:val="1F6CE34D"/>
    <w:rsid w:val="1F6D28EF"/>
    <w:rsid w:val="1F6F1701"/>
    <w:rsid w:val="1F6F6E29"/>
    <w:rsid w:val="1F6FD13C"/>
    <w:rsid w:val="1F703CA2"/>
    <w:rsid w:val="1F705B4C"/>
    <w:rsid w:val="1F70CEF2"/>
    <w:rsid w:val="1F717633"/>
    <w:rsid w:val="1F722F37"/>
    <w:rsid w:val="1F72EDEF"/>
    <w:rsid w:val="1F730A53"/>
    <w:rsid w:val="1F73487C"/>
    <w:rsid w:val="1F738E1E"/>
    <w:rsid w:val="1F73ACE4"/>
    <w:rsid w:val="1F74D95E"/>
    <w:rsid w:val="1F74FAB8"/>
    <w:rsid w:val="1F752EF5"/>
    <w:rsid w:val="1F760E78"/>
    <w:rsid w:val="1F764BE5"/>
    <w:rsid w:val="1F76F350"/>
    <w:rsid w:val="1F773D06"/>
    <w:rsid w:val="1F777C6C"/>
    <w:rsid w:val="1F78401A"/>
    <w:rsid w:val="1F78FBD8"/>
    <w:rsid w:val="1F790EBD"/>
    <w:rsid w:val="1F795F95"/>
    <w:rsid w:val="1F799540"/>
    <w:rsid w:val="1F7A227B"/>
    <w:rsid w:val="1F7AFA4D"/>
    <w:rsid w:val="1F7B658F"/>
    <w:rsid w:val="1F7BC6A6"/>
    <w:rsid w:val="1F7C1AEB"/>
    <w:rsid w:val="1F7D29E5"/>
    <w:rsid w:val="1F7D896F"/>
    <w:rsid w:val="1F7D929C"/>
    <w:rsid w:val="1F7DB9D5"/>
    <w:rsid w:val="1F7EC291"/>
    <w:rsid w:val="1F7FD58C"/>
    <w:rsid w:val="1F802323"/>
    <w:rsid w:val="1F814859"/>
    <w:rsid w:val="1F818844"/>
    <w:rsid w:val="1F82EB85"/>
    <w:rsid w:val="1F83AC6F"/>
    <w:rsid w:val="1F843094"/>
    <w:rsid w:val="1F84944B"/>
    <w:rsid w:val="1F84E5C3"/>
    <w:rsid w:val="1F855ECD"/>
    <w:rsid w:val="1F86029E"/>
    <w:rsid w:val="1F86DB6A"/>
    <w:rsid w:val="1F873C46"/>
    <w:rsid w:val="1F875CD2"/>
    <w:rsid w:val="1F87EA23"/>
    <w:rsid w:val="1F884AF4"/>
    <w:rsid w:val="1F8876F3"/>
    <w:rsid w:val="1F891E7D"/>
    <w:rsid w:val="1F89290F"/>
    <w:rsid w:val="1F894683"/>
    <w:rsid w:val="1F8A31CC"/>
    <w:rsid w:val="1F8A4355"/>
    <w:rsid w:val="1F8A9FA4"/>
    <w:rsid w:val="1F8BC03B"/>
    <w:rsid w:val="1F8BEA28"/>
    <w:rsid w:val="1F8C4020"/>
    <w:rsid w:val="1F8D737C"/>
    <w:rsid w:val="1F8D84BE"/>
    <w:rsid w:val="1F8E210C"/>
    <w:rsid w:val="1F8EB912"/>
    <w:rsid w:val="1F8FD6DB"/>
    <w:rsid w:val="1F90A400"/>
    <w:rsid w:val="1F90DBFD"/>
    <w:rsid w:val="1F915459"/>
    <w:rsid w:val="1F91815A"/>
    <w:rsid w:val="1F91C79A"/>
    <w:rsid w:val="1F925EF4"/>
    <w:rsid w:val="1F92978D"/>
    <w:rsid w:val="1F9336F2"/>
    <w:rsid w:val="1F9389AA"/>
    <w:rsid w:val="1F94076F"/>
    <w:rsid w:val="1F943231"/>
    <w:rsid w:val="1F948708"/>
    <w:rsid w:val="1F95040B"/>
    <w:rsid w:val="1F9580E7"/>
    <w:rsid w:val="1F96FB00"/>
    <w:rsid w:val="1F98D665"/>
    <w:rsid w:val="1F99154F"/>
    <w:rsid w:val="1F991899"/>
    <w:rsid w:val="1F9AA866"/>
    <w:rsid w:val="1F9B49EF"/>
    <w:rsid w:val="1F9B681A"/>
    <w:rsid w:val="1F9C28AE"/>
    <w:rsid w:val="1F9D4694"/>
    <w:rsid w:val="1F9DC2D9"/>
    <w:rsid w:val="1F9FA3E0"/>
    <w:rsid w:val="1F9FCFD2"/>
    <w:rsid w:val="1FA1107D"/>
    <w:rsid w:val="1FA14425"/>
    <w:rsid w:val="1FA15F94"/>
    <w:rsid w:val="1FA17268"/>
    <w:rsid w:val="1FA18A99"/>
    <w:rsid w:val="1FA2074A"/>
    <w:rsid w:val="1FA266C0"/>
    <w:rsid w:val="1FA2A3F6"/>
    <w:rsid w:val="1FA2FD94"/>
    <w:rsid w:val="1FA3B23D"/>
    <w:rsid w:val="1FA41854"/>
    <w:rsid w:val="1FA435A6"/>
    <w:rsid w:val="1FA56901"/>
    <w:rsid w:val="1FA5A0AD"/>
    <w:rsid w:val="1FA6B4B3"/>
    <w:rsid w:val="1FA80B5E"/>
    <w:rsid w:val="1FA829C3"/>
    <w:rsid w:val="1FA9A42C"/>
    <w:rsid w:val="1FAA13A2"/>
    <w:rsid w:val="1FAB4D86"/>
    <w:rsid w:val="1FAB9A82"/>
    <w:rsid w:val="1FABD657"/>
    <w:rsid w:val="1FAD6457"/>
    <w:rsid w:val="1FAE280F"/>
    <w:rsid w:val="1FAE636E"/>
    <w:rsid w:val="1FAE69DD"/>
    <w:rsid w:val="1FAE797C"/>
    <w:rsid w:val="1FAE9988"/>
    <w:rsid w:val="1FAF4775"/>
    <w:rsid w:val="1FAF9C82"/>
    <w:rsid w:val="1FAFC364"/>
    <w:rsid w:val="1FB36A50"/>
    <w:rsid w:val="1FB3A366"/>
    <w:rsid w:val="1FB57366"/>
    <w:rsid w:val="1FB6D603"/>
    <w:rsid w:val="1FB7056E"/>
    <w:rsid w:val="1FB74BA0"/>
    <w:rsid w:val="1FB84920"/>
    <w:rsid w:val="1FB9C40E"/>
    <w:rsid w:val="1FBB563F"/>
    <w:rsid w:val="1FBBECF0"/>
    <w:rsid w:val="1FBE40B6"/>
    <w:rsid w:val="1FBF00D1"/>
    <w:rsid w:val="1FBF634D"/>
    <w:rsid w:val="1FBFBB0D"/>
    <w:rsid w:val="1FBFD1C2"/>
    <w:rsid w:val="1FBFEF86"/>
    <w:rsid w:val="1FBFFC40"/>
    <w:rsid w:val="1FC014F6"/>
    <w:rsid w:val="1FC03E06"/>
    <w:rsid w:val="1FC09FEC"/>
    <w:rsid w:val="1FC0D84B"/>
    <w:rsid w:val="1FC1DA66"/>
    <w:rsid w:val="1FC30EAD"/>
    <w:rsid w:val="1FC36AB3"/>
    <w:rsid w:val="1FC403A5"/>
    <w:rsid w:val="1FC42F51"/>
    <w:rsid w:val="1FC478B3"/>
    <w:rsid w:val="1FC4F0AB"/>
    <w:rsid w:val="1FC54056"/>
    <w:rsid w:val="1FC63FF9"/>
    <w:rsid w:val="1FC69859"/>
    <w:rsid w:val="1FC6BE8D"/>
    <w:rsid w:val="1FC81C2D"/>
    <w:rsid w:val="1FC8358E"/>
    <w:rsid w:val="1FC8A64E"/>
    <w:rsid w:val="1FC9295C"/>
    <w:rsid w:val="1FC99F41"/>
    <w:rsid w:val="1FC9A38C"/>
    <w:rsid w:val="1FC9AAEA"/>
    <w:rsid w:val="1FC9D380"/>
    <w:rsid w:val="1FCA2838"/>
    <w:rsid w:val="1FCA7AFF"/>
    <w:rsid w:val="1FCBC05D"/>
    <w:rsid w:val="1FCBC11D"/>
    <w:rsid w:val="1FCBF7C8"/>
    <w:rsid w:val="1FCCDA62"/>
    <w:rsid w:val="1FCCDCDA"/>
    <w:rsid w:val="1FCD2B18"/>
    <w:rsid w:val="1FCD9C90"/>
    <w:rsid w:val="1FCE2699"/>
    <w:rsid w:val="1FCE646B"/>
    <w:rsid w:val="1FD031EE"/>
    <w:rsid w:val="1FD18A3E"/>
    <w:rsid w:val="1FD19A9A"/>
    <w:rsid w:val="1FD1ADAD"/>
    <w:rsid w:val="1FD1FA3D"/>
    <w:rsid w:val="1FD20FC1"/>
    <w:rsid w:val="1FD2842E"/>
    <w:rsid w:val="1FD32CB4"/>
    <w:rsid w:val="1FD3CA51"/>
    <w:rsid w:val="1FD4202B"/>
    <w:rsid w:val="1FD4DD96"/>
    <w:rsid w:val="1FD5E6DC"/>
    <w:rsid w:val="1FD67680"/>
    <w:rsid w:val="1FD70968"/>
    <w:rsid w:val="1FD754BD"/>
    <w:rsid w:val="1FD855C1"/>
    <w:rsid w:val="1FD857D8"/>
    <w:rsid w:val="1FD8DD25"/>
    <w:rsid w:val="1FD95DAC"/>
    <w:rsid w:val="1FDA6414"/>
    <w:rsid w:val="1FDA7AF5"/>
    <w:rsid w:val="1FDAE555"/>
    <w:rsid w:val="1FDBB417"/>
    <w:rsid w:val="1FDC5E98"/>
    <w:rsid w:val="1FDC9E7D"/>
    <w:rsid w:val="1FDCFB84"/>
    <w:rsid w:val="1FDD0487"/>
    <w:rsid w:val="1FDDB556"/>
    <w:rsid w:val="1FDDC928"/>
    <w:rsid w:val="1FDDD558"/>
    <w:rsid w:val="1FDE5EEE"/>
    <w:rsid w:val="1FDEDCA1"/>
    <w:rsid w:val="1FDFCE42"/>
    <w:rsid w:val="1FE10F53"/>
    <w:rsid w:val="1FE195AE"/>
    <w:rsid w:val="1FE1FCF8"/>
    <w:rsid w:val="1FE30A06"/>
    <w:rsid w:val="1FE3E129"/>
    <w:rsid w:val="1FE46642"/>
    <w:rsid w:val="1FE4B0B0"/>
    <w:rsid w:val="1FE61887"/>
    <w:rsid w:val="1FE6ED77"/>
    <w:rsid w:val="1FE89A08"/>
    <w:rsid w:val="1FE8E7ED"/>
    <w:rsid w:val="1FE93E66"/>
    <w:rsid w:val="1FEA250A"/>
    <w:rsid w:val="1FEA25E2"/>
    <w:rsid w:val="1FEC392A"/>
    <w:rsid w:val="1FEDAEA4"/>
    <w:rsid w:val="1FEE0238"/>
    <w:rsid w:val="1FEE16E7"/>
    <w:rsid w:val="1FEEE311"/>
    <w:rsid w:val="1FEF0A49"/>
    <w:rsid w:val="1FEF78EB"/>
    <w:rsid w:val="1FEFDEF6"/>
    <w:rsid w:val="1FF070B6"/>
    <w:rsid w:val="1FF159D9"/>
    <w:rsid w:val="1FF205AB"/>
    <w:rsid w:val="1FF2129A"/>
    <w:rsid w:val="1FF2C6E1"/>
    <w:rsid w:val="1FF3F150"/>
    <w:rsid w:val="1FF4121B"/>
    <w:rsid w:val="1FF415E1"/>
    <w:rsid w:val="1FF462BE"/>
    <w:rsid w:val="1FF5873E"/>
    <w:rsid w:val="1FF5FBC1"/>
    <w:rsid w:val="1FF64352"/>
    <w:rsid w:val="1FF697A4"/>
    <w:rsid w:val="1FF7D9BA"/>
    <w:rsid w:val="1FF855F5"/>
    <w:rsid w:val="1FF94134"/>
    <w:rsid w:val="1FF990FE"/>
    <w:rsid w:val="1FFA3AA5"/>
    <w:rsid w:val="1FFADECB"/>
    <w:rsid w:val="1FFB2299"/>
    <w:rsid w:val="1FFDE3CB"/>
    <w:rsid w:val="1FFF2489"/>
    <w:rsid w:val="1FFFB50C"/>
    <w:rsid w:val="1FFFD12F"/>
    <w:rsid w:val="20007BC4"/>
    <w:rsid w:val="2000AEF7"/>
    <w:rsid w:val="20015558"/>
    <w:rsid w:val="20018E25"/>
    <w:rsid w:val="2001D1DD"/>
    <w:rsid w:val="20027B1A"/>
    <w:rsid w:val="20029174"/>
    <w:rsid w:val="2002B384"/>
    <w:rsid w:val="2003411D"/>
    <w:rsid w:val="2003D587"/>
    <w:rsid w:val="2004883B"/>
    <w:rsid w:val="2004A4A4"/>
    <w:rsid w:val="2004BDEA"/>
    <w:rsid w:val="2004D0AB"/>
    <w:rsid w:val="20054282"/>
    <w:rsid w:val="2005AA92"/>
    <w:rsid w:val="2005AE66"/>
    <w:rsid w:val="200616A1"/>
    <w:rsid w:val="200649A2"/>
    <w:rsid w:val="2006D8E6"/>
    <w:rsid w:val="2007AAAC"/>
    <w:rsid w:val="2007EBDF"/>
    <w:rsid w:val="20085273"/>
    <w:rsid w:val="2008B061"/>
    <w:rsid w:val="20092807"/>
    <w:rsid w:val="200996A4"/>
    <w:rsid w:val="200A4E1D"/>
    <w:rsid w:val="200AF5EB"/>
    <w:rsid w:val="200BA202"/>
    <w:rsid w:val="200BA3AF"/>
    <w:rsid w:val="200C30CB"/>
    <w:rsid w:val="200C4AC9"/>
    <w:rsid w:val="200CE378"/>
    <w:rsid w:val="200D4200"/>
    <w:rsid w:val="200DD7EF"/>
    <w:rsid w:val="200E499C"/>
    <w:rsid w:val="200E59B5"/>
    <w:rsid w:val="200EF4A4"/>
    <w:rsid w:val="200F0775"/>
    <w:rsid w:val="200FD866"/>
    <w:rsid w:val="2010D45C"/>
    <w:rsid w:val="2011B450"/>
    <w:rsid w:val="2012A7E7"/>
    <w:rsid w:val="2013ADF9"/>
    <w:rsid w:val="2014502B"/>
    <w:rsid w:val="20152617"/>
    <w:rsid w:val="20154F0F"/>
    <w:rsid w:val="2015991A"/>
    <w:rsid w:val="2015D3B4"/>
    <w:rsid w:val="2016AE2E"/>
    <w:rsid w:val="20172236"/>
    <w:rsid w:val="20173AB2"/>
    <w:rsid w:val="201756C9"/>
    <w:rsid w:val="20175F41"/>
    <w:rsid w:val="20178DF5"/>
    <w:rsid w:val="201828D7"/>
    <w:rsid w:val="20190867"/>
    <w:rsid w:val="201928DA"/>
    <w:rsid w:val="20195ACB"/>
    <w:rsid w:val="2019AA8A"/>
    <w:rsid w:val="201A79EE"/>
    <w:rsid w:val="201A99FD"/>
    <w:rsid w:val="201B4523"/>
    <w:rsid w:val="201BB728"/>
    <w:rsid w:val="201C041A"/>
    <w:rsid w:val="201C3C40"/>
    <w:rsid w:val="201C697F"/>
    <w:rsid w:val="201CAD61"/>
    <w:rsid w:val="201CE5F2"/>
    <w:rsid w:val="201D447D"/>
    <w:rsid w:val="201D5375"/>
    <w:rsid w:val="201D54A7"/>
    <w:rsid w:val="201D93DB"/>
    <w:rsid w:val="201EF418"/>
    <w:rsid w:val="201F15C0"/>
    <w:rsid w:val="201FC499"/>
    <w:rsid w:val="20209242"/>
    <w:rsid w:val="2020D5D5"/>
    <w:rsid w:val="2021C847"/>
    <w:rsid w:val="2022F55E"/>
    <w:rsid w:val="202396D7"/>
    <w:rsid w:val="2023C24E"/>
    <w:rsid w:val="2023DBE3"/>
    <w:rsid w:val="202427A2"/>
    <w:rsid w:val="20245CC1"/>
    <w:rsid w:val="20252790"/>
    <w:rsid w:val="20262F74"/>
    <w:rsid w:val="2026C3D0"/>
    <w:rsid w:val="2026D71D"/>
    <w:rsid w:val="2027ED4B"/>
    <w:rsid w:val="202808BF"/>
    <w:rsid w:val="202847F6"/>
    <w:rsid w:val="20286B87"/>
    <w:rsid w:val="202A4565"/>
    <w:rsid w:val="202B8843"/>
    <w:rsid w:val="202C20CC"/>
    <w:rsid w:val="202CCF94"/>
    <w:rsid w:val="202D9B5F"/>
    <w:rsid w:val="202DC107"/>
    <w:rsid w:val="202EA370"/>
    <w:rsid w:val="202F360B"/>
    <w:rsid w:val="20306382"/>
    <w:rsid w:val="2031535D"/>
    <w:rsid w:val="2031D3C1"/>
    <w:rsid w:val="203293FA"/>
    <w:rsid w:val="2032BF11"/>
    <w:rsid w:val="2033A2E1"/>
    <w:rsid w:val="2033E4A4"/>
    <w:rsid w:val="2033F3D0"/>
    <w:rsid w:val="203407B0"/>
    <w:rsid w:val="2034ECA0"/>
    <w:rsid w:val="20357E76"/>
    <w:rsid w:val="20358747"/>
    <w:rsid w:val="203653A1"/>
    <w:rsid w:val="20370397"/>
    <w:rsid w:val="203985E5"/>
    <w:rsid w:val="20399528"/>
    <w:rsid w:val="203BC626"/>
    <w:rsid w:val="203C11DA"/>
    <w:rsid w:val="203C610E"/>
    <w:rsid w:val="203CC6A2"/>
    <w:rsid w:val="203D73BC"/>
    <w:rsid w:val="203D8A20"/>
    <w:rsid w:val="203E3684"/>
    <w:rsid w:val="203FA58F"/>
    <w:rsid w:val="204171F3"/>
    <w:rsid w:val="204372D4"/>
    <w:rsid w:val="20439A2B"/>
    <w:rsid w:val="20442714"/>
    <w:rsid w:val="204491C8"/>
    <w:rsid w:val="204494DB"/>
    <w:rsid w:val="2045EA62"/>
    <w:rsid w:val="2046931F"/>
    <w:rsid w:val="2046D1D5"/>
    <w:rsid w:val="2046F799"/>
    <w:rsid w:val="20474BA8"/>
    <w:rsid w:val="20489D8B"/>
    <w:rsid w:val="20490223"/>
    <w:rsid w:val="204AD201"/>
    <w:rsid w:val="204BE4CE"/>
    <w:rsid w:val="204BFF21"/>
    <w:rsid w:val="204D1A12"/>
    <w:rsid w:val="204DD7B3"/>
    <w:rsid w:val="204E13E4"/>
    <w:rsid w:val="204E4996"/>
    <w:rsid w:val="204EC14B"/>
    <w:rsid w:val="204F174C"/>
    <w:rsid w:val="204FCDBF"/>
    <w:rsid w:val="204FDA2D"/>
    <w:rsid w:val="2050DB0A"/>
    <w:rsid w:val="20514EFD"/>
    <w:rsid w:val="2051E017"/>
    <w:rsid w:val="2051EF2A"/>
    <w:rsid w:val="2051F22A"/>
    <w:rsid w:val="20520709"/>
    <w:rsid w:val="20528A08"/>
    <w:rsid w:val="2052A813"/>
    <w:rsid w:val="2053A1B7"/>
    <w:rsid w:val="2053F000"/>
    <w:rsid w:val="2054313C"/>
    <w:rsid w:val="2055C680"/>
    <w:rsid w:val="20570068"/>
    <w:rsid w:val="205772A6"/>
    <w:rsid w:val="2057E637"/>
    <w:rsid w:val="20589160"/>
    <w:rsid w:val="2058DA5F"/>
    <w:rsid w:val="20594DAA"/>
    <w:rsid w:val="2059C417"/>
    <w:rsid w:val="205A18F1"/>
    <w:rsid w:val="205B59F5"/>
    <w:rsid w:val="205D69F0"/>
    <w:rsid w:val="205D7429"/>
    <w:rsid w:val="205D9D5C"/>
    <w:rsid w:val="205EB3C5"/>
    <w:rsid w:val="205EE7A7"/>
    <w:rsid w:val="20608B2E"/>
    <w:rsid w:val="2062085A"/>
    <w:rsid w:val="2062778C"/>
    <w:rsid w:val="20632C52"/>
    <w:rsid w:val="2063485D"/>
    <w:rsid w:val="20639710"/>
    <w:rsid w:val="20642E7E"/>
    <w:rsid w:val="2064D969"/>
    <w:rsid w:val="2065694E"/>
    <w:rsid w:val="20658D56"/>
    <w:rsid w:val="2065D338"/>
    <w:rsid w:val="20660B68"/>
    <w:rsid w:val="20669F0A"/>
    <w:rsid w:val="206822C2"/>
    <w:rsid w:val="2069B985"/>
    <w:rsid w:val="2069EA86"/>
    <w:rsid w:val="206B5F76"/>
    <w:rsid w:val="206BECFB"/>
    <w:rsid w:val="206C02E1"/>
    <w:rsid w:val="206C6BA2"/>
    <w:rsid w:val="206D4E40"/>
    <w:rsid w:val="206E76E2"/>
    <w:rsid w:val="206EAC21"/>
    <w:rsid w:val="206FBEF3"/>
    <w:rsid w:val="206FF2E8"/>
    <w:rsid w:val="2070CFEB"/>
    <w:rsid w:val="2070F361"/>
    <w:rsid w:val="20710286"/>
    <w:rsid w:val="20714751"/>
    <w:rsid w:val="2071B7EB"/>
    <w:rsid w:val="207209D3"/>
    <w:rsid w:val="2072319E"/>
    <w:rsid w:val="207346E6"/>
    <w:rsid w:val="20737A7F"/>
    <w:rsid w:val="207507C8"/>
    <w:rsid w:val="20758308"/>
    <w:rsid w:val="2075FA34"/>
    <w:rsid w:val="2076148C"/>
    <w:rsid w:val="20761EA1"/>
    <w:rsid w:val="2076366A"/>
    <w:rsid w:val="20768EDA"/>
    <w:rsid w:val="20770F94"/>
    <w:rsid w:val="2077AF60"/>
    <w:rsid w:val="2077F7FF"/>
    <w:rsid w:val="20784664"/>
    <w:rsid w:val="2079CA16"/>
    <w:rsid w:val="207A455C"/>
    <w:rsid w:val="207AC509"/>
    <w:rsid w:val="207B4012"/>
    <w:rsid w:val="207C9378"/>
    <w:rsid w:val="207CB337"/>
    <w:rsid w:val="207CE54C"/>
    <w:rsid w:val="207D96F1"/>
    <w:rsid w:val="207E63F5"/>
    <w:rsid w:val="207E70F2"/>
    <w:rsid w:val="207EA730"/>
    <w:rsid w:val="207F7CDE"/>
    <w:rsid w:val="207FB5BF"/>
    <w:rsid w:val="207FC7CD"/>
    <w:rsid w:val="208079D5"/>
    <w:rsid w:val="2080F7F6"/>
    <w:rsid w:val="208102AF"/>
    <w:rsid w:val="2081F8ED"/>
    <w:rsid w:val="20827F85"/>
    <w:rsid w:val="208288C9"/>
    <w:rsid w:val="20832968"/>
    <w:rsid w:val="20835A1D"/>
    <w:rsid w:val="208413E8"/>
    <w:rsid w:val="2084A183"/>
    <w:rsid w:val="2084EF8C"/>
    <w:rsid w:val="208564A3"/>
    <w:rsid w:val="20859470"/>
    <w:rsid w:val="20863FD4"/>
    <w:rsid w:val="20866181"/>
    <w:rsid w:val="208731B8"/>
    <w:rsid w:val="2087585E"/>
    <w:rsid w:val="20895C14"/>
    <w:rsid w:val="208A3414"/>
    <w:rsid w:val="208A78C4"/>
    <w:rsid w:val="208B4662"/>
    <w:rsid w:val="208C0328"/>
    <w:rsid w:val="208CBA80"/>
    <w:rsid w:val="208D0539"/>
    <w:rsid w:val="208D943D"/>
    <w:rsid w:val="208D9763"/>
    <w:rsid w:val="208DEDE3"/>
    <w:rsid w:val="208FB1AF"/>
    <w:rsid w:val="2090B43C"/>
    <w:rsid w:val="20912094"/>
    <w:rsid w:val="20917D07"/>
    <w:rsid w:val="2091BB7C"/>
    <w:rsid w:val="20924308"/>
    <w:rsid w:val="20928017"/>
    <w:rsid w:val="2092850B"/>
    <w:rsid w:val="20928521"/>
    <w:rsid w:val="2092BC45"/>
    <w:rsid w:val="2092E011"/>
    <w:rsid w:val="20933676"/>
    <w:rsid w:val="2093B18B"/>
    <w:rsid w:val="2093EEB1"/>
    <w:rsid w:val="20947831"/>
    <w:rsid w:val="20949317"/>
    <w:rsid w:val="20958B0E"/>
    <w:rsid w:val="2095B58C"/>
    <w:rsid w:val="20963AC6"/>
    <w:rsid w:val="20974DD2"/>
    <w:rsid w:val="20975281"/>
    <w:rsid w:val="20976D90"/>
    <w:rsid w:val="2097F7A1"/>
    <w:rsid w:val="20985CA1"/>
    <w:rsid w:val="2098D4D9"/>
    <w:rsid w:val="20993054"/>
    <w:rsid w:val="209940DC"/>
    <w:rsid w:val="20994A7A"/>
    <w:rsid w:val="209954E8"/>
    <w:rsid w:val="2099BC35"/>
    <w:rsid w:val="2099D820"/>
    <w:rsid w:val="209A4982"/>
    <w:rsid w:val="209B4670"/>
    <w:rsid w:val="209BDB7C"/>
    <w:rsid w:val="209DA0C9"/>
    <w:rsid w:val="209DD65E"/>
    <w:rsid w:val="209DF0B6"/>
    <w:rsid w:val="20A003CF"/>
    <w:rsid w:val="20A1D8C5"/>
    <w:rsid w:val="20A255D8"/>
    <w:rsid w:val="20A2D6DF"/>
    <w:rsid w:val="20A36C82"/>
    <w:rsid w:val="20A45A35"/>
    <w:rsid w:val="20A55F02"/>
    <w:rsid w:val="20A5C02F"/>
    <w:rsid w:val="20A5DBE6"/>
    <w:rsid w:val="20A64EBD"/>
    <w:rsid w:val="20A6C3FE"/>
    <w:rsid w:val="20A6E45E"/>
    <w:rsid w:val="20A72CB8"/>
    <w:rsid w:val="20A73542"/>
    <w:rsid w:val="20A767A1"/>
    <w:rsid w:val="20A8594C"/>
    <w:rsid w:val="20A8646D"/>
    <w:rsid w:val="20A889A9"/>
    <w:rsid w:val="20A8E153"/>
    <w:rsid w:val="20A9B98F"/>
    <w:rsid w:val="20A9F5C8"/>
    <w:rsid w:val="20AA2BDE"/>
    <w:rsid w:val="20AB5C32"/>
    <w:rsid w:val="20AE5984"/>
    <w:rsid w:val="20AF8BF9"/>
    <w:rsid w:val="20AFE355"/>
    <w:rsid w:val="20B062DF"/>
    <w:rsid w:val="20B06F81"/>
    <w:rsid w:val="20B0D7A8"/>
    <w:rsid w:val="20B153B3"/>
    <w:rsid w:val="20B2BA76"/>
    <w:rsid w:val="20B2E541"/>
    <w:rsid w:val="20B3744E"/>
    <w:rsid w:val="20B3AB3A"/>
    <w:rsid w:val="20B4490B"/>
    <w:rsid w:val="20B6067D"/>
    <w:rsid w:val="20B71C74"/>
    <w:rsid w:val="20B78008"/>
    <w:rsid w:val="20B7C3A9"/>
    <w:rsid w:val="20B7E734"/>
    <w:rsid w:val="20B7F244"/>
    <w:rsid w:val="20B89549"/>
    <w:rsid w:val="20B8ACA4"/>
    <w:rsid w:val="20B8CB28"/>
    <w:rsid w:val="20B97A2C"/>
    <w:rsid w:val="20BB0D7A"/>
    <w:rsid w:val="20BB2764"/>
    <w:rsid w:val="20BB4C6F"/>
    <w:rsid w:val="20BB930B"/>
    <w:rsid w:val="20BC189B"/>
    <w:rsid w:val="20BD84C1"/>
    <w:rsid w:val="20BE5882"/>
    <w:rsid w:val="20BF30D8"/>
    <w:rsid w:val="20C05085"/>
    <w:rsid w:val="20C06654"/>
    <w:rsid w:val="20C0893D"/>
    <w:rsid w:val="20C0CBA8"/>
    <w:rsid w:val="20C1F05D"/>
    <w:rsid w:val="20C2C3AF"/>
    <w:rsid w:val="20C3B409"/>
    <w:rsid w:val="20C494F4"/>
    <w:rsid w:val="20C4E1AE"/>
    <w:rsid w:val="20C4E6D3"/>
    <w:rsid w:val="20C62686"/>
    <w:rsid w:val="20C6F47B"/>
    <w:rsid w:val="20C6F974"/>
    <w:rsid w:val="20C78BE3"/>
    <w:rsid w:val="20C85460"/>
    <w:rsid w:val="20C8F670"/>
    <w:rsid w:val="20C9D9AE"/>
    <w:rsid w:val="20C9FACE"/>
    <w:rsid w:val="20CA332F"/>
    <w:rsid w:val="20CA5F44"/>
    <w:rsid w:val="20CABA8A"/>
    <w:rsid w:val="20CB695E"/>
    <w:rsid w:val="20CBD922"/>
    <w:rsid w:val="20CD31F6"/>
    <w:rsid w:val="20CD8138"/>
    <w:rsid w:val="20CD8326"/>
    <w:rsid w:val="20CDFDAC"/>
    <w:rsid w:val="20CE16D0"/>
    <w:rsid w:val="20CE1E23"/>
    <w:rsid w:val="20CE26DB"/>
    <w:rsid w:val="20CE3566"/>
    <w:rsid w:val="20CEB580"/>
    <w:rsid w:val="20CEC9B3"/>
    <w:rsid w:val="20CFF4A7"/>
    <w:rsid w:val="20D034D9"/>
    <w:rsid w:val="20D146DB"/>
    <w:rsid w:val="20D1928C"/>
    <w:rsid w:val="20D1E1C0"/>
    <w:rsid w:val="20D1FC3B"/>
    <w:rsid w:val="20D29C43"/>
    <w:rsid w:val="20D36A34"/>
    <w:rsid w:val="20D42FE6"/>
    <w:rsid w:val="20D55FFB"/>
    <w:rsid w:val="20D59181"/>
    <w:rsid w:val="20D59981"/>
    <w:rsid w:val="20D5E30B"/>
    <w:rsid w:val="20D6053A"/>
    <w:rsid w:val="20D691D5"/>
    <w:rsid w:val="20D7A091"/>
    <w:rsid w:val="20D952BE"/>
    <w:rsid w:val="20D97174"/>
    <w:rsid w:val="20D9955B"/>
    <w:rsid w:val="20DAF787"/>
    <w:rsid w:val="20DAF997"/>
    <w:rsid w:val="20DBA3AA"/>
    <w:rsid w:val="20DC4376"/>
    <w:rsid w:val="20DC4650"/>
    <w:rsid w:val="20DCB118"/>
    <w:rsid w:val="20DCFB16"/>
    <w:rsid w:val="20DDA1CE"/>
    <w:rsid w:val="20DDD419"/>
    <w:rsid w:val="20DE3F09"/>
    <w:rsid w:val="20DEED41"/>
    <w:rsid w:val="20E0844C"/>
    <w:rsid w:val="20E10C51"/>
    <w:rsid w:val="20E22106"/>
    <w:rsid w:val="20E2EC51"/>
    <w:rsid w:val="20E2F4D3"/>
    <w:rsid w:val="20E480B1"/>
    <w:rsid w:val="20E7A719"/>
    <w:rsid w:val="20E97F91"/>
    <w:rsid w:val="20E989E8"/>
    <w:rsid w:val="20E98CB5"/>
    <w:rsid w:val="20EA6F0C"/>
    <w:rsid w:val="20EAD66D"/>
    <w:rsid w:val="20EC5D80"/>
    <w:rsid w:val="20ECB5BC"/>
    <w:rsid w:val="20ECBD36"/>
    <w:rsid w:val="20ED5D79"/>
    <w:rsid w:val="20ED66E8"/>
    <w:rsid w:val="20ED7DF7"/>
    <w:rsid w:val="20EF071C"/>
    <w:rsid w:val="20EFC69F"/>
    <w:rsid w:val="20F02B77"/>
    <w:rsid w:val="20F08789"/>
    <w:rsid w:val="20F0CF29"/>
    <w:rsid w:val="20F0D599"/>
    <w:rsid w:val="20F11ACA"/>
    <w:rsid w:val="20F1CD4D"/>
    <w:rsid w:val="20F20DE7"/>
    <w:rsid w:val="20F357E5"/>
    <w:rsid w:val="20F4761A"/>
    <w:rsid w:val="20F4C2C3"/>
    <w:rsid w:val="20F4C2ED"/>
    <w:rsid w:val="20F53E5B"/>
    <w:rsid w:val="20F5BC16"/>
    <w:rsid w:val="20F5FC88"/>
    <w:rsid w:val="20F60BC6"/>
    <w:rsid w:val="20F676C0"/>
    <w:rsid w:val="20F67703"/>
    <w:rsid w:val="20F76940"/>
    <w:rsid w:val="20F77221"/>
    <w:rsid w:val="20F89A16"/>
    <w:rsid w:val="20F91749"/>
    <w:rsid w:val="20F9B0C1"/>
    <w:rsid w:val="20FA5E63"/>
    <w:rsid w:val="20FAA6D9"/>
    <w:rsid w:val="20FAE32F"/>
    <w:rsid w:val="20FBA2AF"/>
    <w:rsid w:val="20FBAA41"/>
    <w:rsid w:val="20FBCFBA"/>
    <w:rsid w:val="20FDA964"/>
    <w:rsid w:val="20FDC651"/>
    <w:rsid w:val="20FDCE14"/>
    <w:rsid w:val="20FDD265"/>
    <w:rsid w:val="20FDF4BC"/>
    <w:rsid w:val="20FE0B46"/>
    <w:rsid w:val="20FE2D69"/>
    <w:rsid w:val="20FE601A"/>
    <w:rsid w:val="20FEFC97"/>
    <w:rsid w:val="21003BD5"/>
    <w:rsid w:val="2100A5CE"/>
    <w:rsid w:val="21010783"/>
    <w:rsid w:val="2101186A"/>
    <w:rsid w:val="2102AA3D"/>
    <w:rsid w:val="2103D4BC"/>
    <w:rsid w:val="2104AF82"/>
    <w:rsid w:val="2104F07B"/>
    <w:rsid w:val="2105577E"/>
    <w:rsid w:val="2106066D"/>
    <w:rsid w:val="21062CB8"/>
    <w:rsid w:val="21092D9E"/>
    <w:rsid w:val="21099430"/>
    <w:rsid w:val="210A6880"/>
    <w:rsid w:val="210AACEC"/>
    <w:rsid w:val="210AD482"/>
    <w:rsid w:val="210AEAD1"/>
    <w:rsid w:val="210AFB7C"/>
    <w:rsid w:val="210B4BA3"/>
    <w:rsid w:val="210B8D37"/>
    <w:rsid w:val="210C752D"/>
    <w:rsid w:val="210D1F2B"/>
    <w:rsid w:val="210EFF34"/>
    <w:rsid w:val="210F6232"/>
    <w:rsid w:val="21108FEC"/>
    <w:rsid w:val="2110BC83"/>
    <w:rsid w:val="2111BA50"/>
    <w:rsid w:val="211293D4"/>
    <w:rsid w:val="21130325"/>
    <w:rsid w:val="2113BBE7"/>
    <w:rsid w:val="2115704F"/>
    <w:rsid w:val="2116C403"/>
    <w:rsid w:val="2116EABB"/>
    <w:rsid w:val="2117224C"/>
    <w:rsid w:val="21180AF1"/>
    <w:rsid w:val="21188F0F"/>
    <w:rsid w:val="21189E92"/>
    <w:rsid w:val="2118A117"/>
    <w:rsid w:val="2118D017"/>
    <w:rsid w:val="2119130F"/>
    <w:rsid w:val="21192063"/>
    <w:rsid w:val="21197896"/>
    <w:rsid w:val="211A40C7"/>
    <w:rsid w:val="211A4135"/>
    <w:rsid w:val="211A50F1"/>
    <w:rsid w:val="211B2932"/>
    <w:rsid w:val="211BD901"/>
    <w:rsid w:val="211C79A5"/>
    <w:rsid w:val="211C9BB2"/>
    <w:rsid w:val="211C9DE7"/>
    <w:rsid w:val="211D2E7C"/>
    <w:rsid w:val="211D5D2C"/>
    <w:rsid w:val="211E6DAB"/>
    <w:rsid w:val="211EA672"/>
    <w:rsid w:val="211EC6D6"/>
    <w:rsid w:val="211F3F19"/>
    <w:rsid w:val="211FC26B"/>
    <w:rsid w:val="211FE3DB"/>
    <w:rsid w:val="2120443A"/>
    <w:rsid w:val="21215043"/>
    <w:rsid w:val="2122CC17"/>
    <w:rsid w:val="2122E6C0"/>
    <w:rsid w:val="2123F26C"/>
    <w:rsid w:val="21243AC2"/>
    <w:rsid w:val="212656D1"/>
    <w:rsid w:val="2126CA5D"/>
    <w:rsid w:val="2126EEAB"/>
    <w:rsid w:val="21279C78"/>
    <w:rsid w:val="2128528B"/>
    <w:rsid w:val="2128905A"/>
    <w:rsid w:val="212959C3"/>
    <w:rsid w:val="212A08F7"/>
    <w:rsid w:val="212A5E1A"/>
    <w:rsid w:val="212A807D"/>
    <w:rsid w:val="212AE1AD"/>
    <w:rsid w:val="212B7E0C"/>
    <w:rsid w:val="212C1FFB"/>
    <w:rsid w:val="212CC998"/>
    <w:rsid w:val="212D0475"/>
    <w:rsid w:val="212E2EE2"/>
    <w:rsid w:val="21305769"/>
    <w:rsid w:val="21310C50"/>
    <w:rsid w:val="2131326C"/>
    <w:rsid w:val="2131B460"/>
    <w:rsid w:val="21325707"/>
    <w:rsid w:val="2133841E"/>
    <w:rsid w:val="213403F2"/>
    <w:rsid w:val="213459E6"/>
    <w:rsid w:val="2134793A"/>
    <w:rsid w:val="213486FB"/>
    <w:rsid w:val="21357E9F"/>
    <w:rsid w:val="213586E9"/>
    <w:rsid w:val="21358DEB"/>
    <w:rsid w:val="2136058A"/>
    <w:rsid w:val="2136252C"/>
    <w:rsid w:val="213642F3"/>
    <w:rsid w:val="2136C4D5"/>
    <w:rsid w:val="21371C68"/>
    <w:rsid w:val="21374F4B"/>
    <w:rsid w:val="2137E36A"/>
    <w:rsid w:val="21385454"/>
    <w:rsid w:val="21396F66"/>
    <w:rsid w:val="213AA31C"/>
    <w:rsid w:val="213ABEDD"/>
    <w:rsid w:val="213B49F2"/>
    <w:rsid w:val="213C11B8"/>
    <w:rsid w:val="213C352D"/>
    <w:rsid w:val="213D50B9"/>
    <w:rsid w:val="213DB1C8"/>
    <w:rsid w:val="213E6C7E"/>
    <w:rsid w:val="213EDE80"/>
    <w:rsid w:val="21419E8B"/>
    <w:rsid w:val="21425A55"/>
    <w:rsid w:val="2142795E"/>
    <w:rsid w:val="21429E85"/>
    <w:rsid w:val="2142D65E"/>
    <w:rsid w:val="214337C1"/>
    <w:rsid w:val="214398F8"/>
    <w:rsid w:val="21439BE9"/>
    <w:rsid w:val="2143FF82"/>
    <w:rsid w:val="2144FC4C"/>
    <w:rsid w:val="21464A5C"/>
    <w:rsid w:val="21469CA2"/>
    <w:rsid w:val="214780A7"/>
    <w:rsid w:val="2147955D"/>
    <w:rsid w:val="21481F33"/>
    <w:rsid w:val="2149389F"/>
    <w:rsid w:val="214A8356"/>
    <w:rsid w:val="214A8E20"/>
    <w:rsid w:val="214A9FA8"/>
    <w:rsid w:val="214B61AD"/>
    <w:rsid w:val="214C25FE"/>
    <w:rsid w:val="214DCC45"/>
    <w:rsid w:val="214DD79B"/>
    <w:rsid w:val="214DD8B0"/>
    <w:rsid w:val="214E72DC"/>
    <w:rsid w:val="214EA0C6"/>
    <w:rsid w:val="214EF5F3"/>
    <w:rsid w:val="214F69C3"/>
    <w:rsid w:val="214F75A1"/>
    <w:rsid w:val="214FCCCF"/>
    <w:rsid w:val="214FFE62"/>
    <w:rsid w:val="2150EDFD"/>
    <w:rsid w:val="2151406D"/>
    <w:rsid w:val="21516590"/>
    <w:rsid w:val="2151D038"/>
    <w:rsid w:val="2155713C"/>
    <w:rsid w:val="2155EC56"/>
    <w:rsid w:val="215624FB"/>
    <w:rsid w:val="21562757"/>
    <w:rsid w:val="2156444F"/>
    <w:rsid w:val="215658EF"/>
    <w:rsid w:val="21569297"/>
    <w:rsid w:val="2156FFB5"/>
    <w:rsid w:val="21576808"/>
    <w:rsid w:val="2158692E"/>
    <w:rsid w:val="2158B363"/>
    <w:rsid w:val="2159A844"/>
    <w:rsid w:val="215A3250"/>
    <w:rsid w:val="215AC165"/>
    <w:rsid w:val="215B021F"/>
    <w:rsid w:val="215B905A"/>
    <w:rsid w:val="215E0ED1"/>
    <w:rsid w:val="215E2EE0"/>
    <w:rsid w:val="215E487A"/>
    <w:rsid w:val="215E6762"/>
    <w:rsid w:val="215EBA48"/>
    <w:rsid w:val="215EE679"/>
    <w:rsid w:val="21601EA8"/>
    <w:rsid w:val="2160C1B4"/>
    <w:rsid w:val="2161A354"/>
    <w:rsid w:val="21622BA1"/>
    <w:rsid w:val="2162EFCB"/>
    <w:rsid w:val="2164285D"/>
    <w:rsid w:val="21642F41"/>
    <w:rsid w:val="21646359"/>
    <w:rsid w:val="2164B2AD"/>
    <w:rsid w:val="2164BF87"/>
    <w:rsid w:val="2165B90D"/>
    <w:rsid w:val="21662918"/>
    <w:rsid w:val="2166642E"/>
    <w:rsid w:val="21666623"/>
    <w:rsid w:val="2166791F"/>
    <w:rsid w:val="2166D7DD"/>
    <w:rsid w:val="2166F107"/>
    <w:rsid w:val="2166FC82"/>
    <w:rsid w:val="2167F0A2"/>
    <w:rsid w:val="21681A84"/>
    <w:rsid w:val="216846F1"/>
    <w:rsid w:val="21687039"/>
    <w:rsid w:val="2168C59A"/>
    <w:rsid w:val="2168E080"/>
    <w:rsid w:val="2169BAAF"/>
    <w:rsid w:val="216A3A8C"/>
    <w:rsid w:val="216B235C"/>
    <w:rsid w:val="216B6477"/>
    <w:rsid w:val="216BCF2C"/>
    <w:rsid w:val="216BD7BA"/>
    <w:rsid w:val="216C6EBB"/>
    <w:rsid w:val="216ED5E9"/>
    <w:rsid w:val="217020CE"/>
    <w:rsid w:val="2171B624"/>
    <w:rsid w:val="2171E1B6"/>
    <w:rsid w:val="21735E97"/>
    <w:rsid w:val="21749EDA"/>
    <w:rsid w:val="2174C9C0"/>
    <w:rsid w:val="2175D11E"/>
    <w:rsid w:val="2175DC20"/>
    <w:rsid w:val="21762025"/>
    <w:rsid w:val="2178974E"/>
    <w:rsid w:val="2178A550"/>
    <w:rsid w:val="217AE97C"/>
    <w:rsid w:val="217C266E"/>
    <w:rsid w:val="217D13CE"/>
    <w:rsid w:val="217D524D"/>
    <w:rsid w:val="217EB3A9"/>
    <w:rsid w:val="217EC767"/>
    <w:rsid w:val="21803330"/>
    <w:rsid w:val="21804C9E"/>
    <w:rsid w:val="2180715A"/>
    <w:rsid w:val="218109A9"/>
    <w:rsid w:val="218174B2"/>
    <w:rsid w:val="21825B0A"/>
    <w:rsid w:val="2182DF77"/>
    <w:rsid w:val="2182E754"/>
    <w:rsid w:val="21830812"/>
    <w:rsid w:val="21836528"/>
    <w:rsid w:val="218374A9"/>
    <w:rsid w:val="2183C49F"/>
    <w:rsid w:val="2183C805"/>
    <w:rsid w:val="21843DE4"/>
    <w:rsid w:val="2184422B"/>
    <w:rsid w:val="21852973"/>
    <w:rsid w:val="21854062"/>
    <w:rsid w:val="21856AE2"/>
    <w:rsid w:val="21859E5B"/>
    <w:rsid w:val="2185A35A"/>
    <w:rsid w:val="21876D1B"/>
    <w:rsid w:val="21880909"/>
    <w:rsid w:val="2188C4E8"/>
    <w:rsid w:val="2188CD29"/>
    <w:rsid w:val="21898D18"/>
    <w:rsid w:val="2189E9F8"/>
    <w:rsid w:val="218A15FB"/>
    <w:rsid w:val="218A2279"/>
    <w:rsid w:val="218A6D25"/>
    <w:rsid w:val="218AD4FF"/>
    <w:rsid w:val="218B88FD"/>
    <w:rsid w:val="218B971A"/>
    <w:rsid w:val="218BA327"/>
    <w:rsid w:val="218BCE16"/>
    <w:rsid w:val="218C4CE8"/>
    <w:rsid w:val="218CB4E3"/>
    <w:rsid w:val="218CE6C0"/>
    <w:rsid w:val="218D2038"/>
    <w:rsid w:val="218DC05E"/>
    <w:rsid w:val="218DD899"/>
    <w:rsid w:val="218DF000"/>
    <w:rsid w:val="218EB408"/>
    <w:rsid w:val="218F33CD"/>
    <w:rsid w:val="218F81E5"/>
    <w:rsid w:val="2190F95F"/>
    <w:rsid w:val="219152CC"/>
    <w:rsid w:val="2191CE18"/>
    <w:rsid w:val="2191E06C"/>
    <w:rsid w:val="2191F5C8"/>
    <w:rsid w:val="21923BD3"/>
    <w:rsid w:val="21954650"/>
    <w:rsid w:val="2195AABF"/>
    <w:rsid w:val="2195F8FE"/>
    <w:rsid w:val="21962A00"/>
    <w:rsid w:val="219647E2"/>
    <w:rsid w:val="2197CD2B"/>
    <w:rsid w:val="21981CDC"/>
    <w:rsid w:val="21992979"/>
    <w:rsid w:val="2199B57C"/>
    <w:rsid w:val="219AF8D7"/>
    <w:rsid w:val="219B96E8"/>
    <w:rsid w:val="219BC1D4"/>
    <w:rsid w:val="219C2383"/>
    <w:rsid w:val="219C2C6F"/>
    <w:rsid w:val="219CC806"/>
    <w:rsid w:val="219CF2B1"/>
    <w:rsid w:val="219D18B7"/>
    <w:rsid w:val="219D9629"/>
    <w:rsid w:val="219DF090"/>
    <w:rsid w:val="219E6592"/>
    <w:rsid w:val="219EE730"/>
    <w:rsid w:val="21A1A9ED"/>
    <w:rsid w:val="21A247F6"/>
    <w:rsid w:val="21A39BD0"/>
    <w:rsid w:val="21A47A37"/>
    <w:rsid w:val="21A4D009"/>
    <w:rsid w:val="21A64878"/>
    <w:rsid w:val="21A67EDA"/>
    <w:rsid w:val="21A6ADCE"/>
    <w:rsid w:val="21A6F896"/>
    <w:rsid w:val="21A7780A"/>
    <w:rsid w:val="21A91D50"/>
    <w:rsid w:val="21AA7D90"/>
    <w:rsid w:val="21AB3956"/>
    <w:rsid w:val="21AB5D17"/>
    <w:rsid w:val="21AD9260"/>
    <w:rsid w:val="21ADE67C"/>
    <w:rsid w:val="21AEBCEC"/>
    <w:rsid w:val="21AFE92E"/>
    <w:rsid w:val="21B28799"/>
    <w:rsid w:val="21B2AEC5"/>
    <w:rsid w:val="21B3CB08"/>
    <w:rsid w:val="21B52D58"/>
    <w:rsid w:val="21B6CDD6"/>
    <w:rsid w:val="21B83B3C"/>
    <w:rsid w:val="21B89D6F"/>
    <w:rsid w:val="21B8B65C"/>
    <w:rsid w:val="21B9DF4A"/>
    <w:rsid w:val="21B9ED3D"/>
    <w:rsid w:val="21BA326D"/>
    <w:rsid w:val="21BAA996"/>
    <w:rsid w:val="21BAB50F"/>
    <w:rsid w:val="21BB2B23"/>
    <w:rsid w:val="21BB6AC0"/>
    <w:rsid w:val="21BBA75B"/>
    <w:rsid w:val="21BBB190"/>
    <w:rsid w:val="21BCEEAE"/>
    <w:rsid w:val="21BE834B"/>
    <w:rsid w:val="21BF48D3"/>
    <w:rsid w:val="21C170C1"/>
    <w:rsid w:val="21C233D4"/>
    <w:rsid w:val="21C2F01C"/>
    <w:rsid w:val="21C43512"/>
    <w:rsid w:val="21C455C7"/>
    <w:rsid w:val="21C551FC"/>
    <w:rsid w:val="21C5F620"/>
    <w:rsid w:val="21C5FBD9"/>
    <w:rsid w:val="21C61229"/>
    <w:rsid w:val="21C8B420"/>
    <w:rsid w:val="21C92413"/>
    <w:rsid w:val="21CA097C"/>
    <w:rsid w:val="21CA6F15"/>
    <w:rsid w:val="21CC04C8"/>
    <w:rsid w:val="21CC0D24"/>
    <w:rsid w:val="21CC59B2"/>
    <w:rsid w:val="21CC615E"/>
    <w:rsid w:val="21CE6B3D"/>
    <w:rsid w:val="21CEAF1F"/>
    <w:rsid w:val="21CF7C12"/>
    <w:rsid w:val="21CFD57E"/>
    <w:rsid w:val="21CFFA44"/>
    <w:rsid w:val="21D031FD"/>
    <w:rsid w:val="21D06F76"/>
    <w:rsid w:val="21D1E303"/>
    <w:rsid w:val="21D242D1"/>
    <w:rsid w:val="21D2C266"/>
    <w:rsid w:val="21D3AA14"/>
    <w:rsid w:val="21D4871B"/>
    <w:rsid w:val="21D5CFD7"/>
    <w:rsid w:val="21D5EF39"/>
    <w:rsid w:val="21D6AEA8"/>
    <w:rsid w:val="21D7CEF5"/>
    <w:rsid w:val="21D7E338"/>
    <w:rsid w:val="21D88B21"/>
    <w:rsid w:val="21D9079C"/>
    <w:rsid w:val="21D9DA92"/>
    <w:rsid w:val="21DA39D9"/>
    <w:rsid w:val="21DA48CF"/>
    <w:rsid w:val="21DA8C1D"/>
    <w:rsid w:val="21DBA4A0"/>
    <w:rsid w:val="21DBE330"/>
    <w:rsid w:val="21DCA417"/>
    <w:rsid w:val="21DDD437"/>
    <w:rsid w:val="21DE7A59"/>
    <w:rsid w:val="21DFD98D"/>
    <w:rsid w:val="21DFECFE"/>
    <w:rsid w:val="21E045C0"/>
    <w:rsid w:val="21E0526B"/>
    <w:rsid w:val="21E0621B"/>
    <w:rsid w:val="21E07862"/>
    <w:rsid w:val="21E12EDC"/>
    <w:rsid w:val="21E25817"/>
    <w:rsid w:val="21E2F436"/>
    <w:rsid w:val="21E37F24"/>
    <w:rsid w:val="21E49747"/>
    <w:rsid w:val="21E54AEF"/>
    <w:rsid w:val="21E62AFE"/>
    <w:rsid w:val="21E717E3"/>
    <w:rsid w:val="21E799AE"/>
    <w:rsid w:val="21E8F2C3"/>
    <w:rsid w:val="21E95585"/>
    <w:rsid w:val="21E9E2FC"/>
    <w:rsid w:val="21EA04F4"/>
    <w:rsid w:val="21EA7428"/>
    <w:rsid w:val="21EBEF6B"/>
    <w:rsid w:val="21EDC793"/>
    <w:rsid w:val="21EDC7EC"/>
    <w:rsid w:val="21EE2156"/>
    <w:rsid w:val="21EFCD47"/>
    <w:rsid w:val="21F00693"/>
    <w:rsid w:val="21F03B0D"/>
    <w:rsid w:val="21F071CD"/>
    <w:rsid w:val="21F0B60C"/>
    <w:rsid w:val="21F11E39"/>
    <w:rsid w:val="21F16C1A"/>
    <w:rsid w:val="21F1D990"/>
    <w:rsid w:val="21F1E715"/>
    <w:rsid w:val="21F2661C"/>
    <w:rsid w:val="21F2C4B7"/>
    <w:rsid w:val="21F2F874"/>
    <w:rsid w:val="21F36A4B"/>
    <w:rsid w:val="21F7ACD5"/>
    <w:rsid w:val="21F96EF5"/>
    <w:rsid w:val="21FA7C19"/>
    <w:rsid w:val="21FD27D8"/>
    <w:rsid w:val="22011384"/>
    <w:rsid w:val="22012599"/>
    <w:rsid w:val="22018B00"/>
    <w:rsid w:val="22018E2A"/>
    <w:rsid w:val="2201C610"/>
    <w:rsid w:val="2201D317"/>
    <w:rsid w:val="2201E5B2"/>
    <w:rsid w:val="2202647B"/>
    <w:rsid w:val="2202D8B1"/>
    <w:rsid w:val="2203E3B7"/>
    <w:rsid w:val="220618F5"/>
    <w:rsid w:val="2206C6E8"/>
    <w:rsid w:val="22072116"/>
    <w:rsid w:val="2207485F"/>
    <w:rsid w:val="22079C80"/>
    <w:rsid w:val="22089059"/>
    <w:rsid w:val="2208C7FC"/>
    <w:rsid w:val="2209300D"/>
    <w:rsid w:val="22095F90"/>
    <w:rsid w:val="220AC4D7"/>
    <w:rsid w:val="220ACE58"/>
    <w:rsid w:val="220ADA5B"/>
    <w:rsid w:val="220D4CF1"/>
    <w:rsid w:val="220D7386"/>
    <w:rsid w:val="220D86EF"/>
    <w:rsid w:val="220E22CF"/>
    <w:rsid w:val="220E8AC3"/>
    <w:rsid w:val="220F80A5"/>
    <w:rsid w:val="220F96AF"/>
    <w:rsid w:val="220F9ED8"/>
    <w:rsid w:val="220FB262"/>
    <w:rsid w:val="2211EBDC"/>
    <w:rsid w:val="221224DA"/>
    <w:rsid w:val="22129893"/>
    <w:rsid w:val="2212B0FD"/>
    <w:rsid w:val="2213490F"/>
    <w:rsid w:val="22135D27"/>
    <w:rsid w:val="22142D07"/>
    <w:rsid w:val="22145FF3"/>
    <w:rsid w:val="22146213"/>
    <w:rsid w:val="22147922"/>
    <w:rsid w:val="2214BE4C"/>
    <w:rsid w:val="2214DE2C"/>
    <w:rsid w:val="2215D871"/>
    <w:rsid w:val="22165262"/>
    <w:rsid w:val="221661E0"/>
    <w:rsid w:val="2216A6C9"/>
    <w:rsid w:val="2217AE98"/>
    <w:rsid w:val="22183BD8"/>
    <w:rsid w:val="2218A39B"/>
    <w:rsid w:val="2218D37B"/>
    <w:rsid w:val="22198165"/>
    <w:rsid w:val="2219EC69"/>
    <w:rsid w:val="221A5339"/>
    <w:rsid w:val="221A73B0"/>
    <w:rsid w:val="221B8C50"/>
    <w:rsid w:val="221C482B"/>
    <w:rsid w:val="221D3CC2"/>
    <w:rsid w:val="221D6E9D"/>
    <w:rsid w:val="221DCCB7"/>
    <w:rsid w:val="221DCF95"/>
    <w:rsid w:val="221DD78B"/>
    <w:rsid w:val="221EEA4A"/>
    <w:rsid w:val="221F06CE"/>
    <w:rsid w:val="221F0BC0"/>
    <w:rsid w:val="22202465"/>
    <w:rsid w:val="222103B6"/>
    <w:rsid w:val="2221076B"/>
    <w:rsid w:val="2221E31C"/>
    <w:rsid w:val="2221F39F"/>
    <w:rsid w:val="22222C46"/>
    <w:rsid w:val="2224BEEB"/>
    <w:rsid w:val="22271B29"/>
    <w:rsid w:val="22271CD4"/>
    <w:rsid w:val="22276A69"/>
    <w:rsid w:val="2227DFD0"/>
    <w:rsid w:val="2228F59C"/>
    <w:rsid w:val="222925E9"/>
    <w:rsid w:val="22292A14"/>
    <w:rsid w:val="2229CEFB"/>
    <w:rsid w:val="2229F7E2"/>
    <w:rsid w:val="222B947B"/>
    <w:rsid w:val="222BEEE7"/>
    <w:rsid w:val="222C2562"/>
    <w:rsid w:val="222D6EA4"/>
    <w:rsid w:val="222DD3B3"/>
    <w:rsid w:val="222ED869"/>
    <w:rsid w:val="222F46A7"/>
    <w:rsid w:val="222F606C"/>
    <w:rsid w:val="222F8E9F"/>
    <w:rsid w:val="222F9996"/>
    <w:rsid w:val="222FBF12"/>
    <w:rsid w:val="2230ABC7"/>
    <w:rsid w:val="223112FC"/>
    <w:rsid w:val="22312508"/>
    <w:rsid w:val="22315A11"/>
    <w:rsid w:val="2231DE56"/>
    <w:rsid w:val="2232DCA0"/>
    <w:rsid w:val="223309B9"/>
    <w:rsid w:val="22331A34"/>
    <w:rsid w:val="2233B17A"/>
    <w:rsid w:val="22341326"/>
    <w:rsid w:val="223462DB"/>
    <w:rsid w:val="22347186"/>
    <w:rsid w:val="2234E55D"/>
    <w:rsid w:val="22357B74"/>
    <w:rsid w:val="223798DD"/>
    <w:rsid w:val="223832DC"/>
    <w:rsid w:val="22386AC1"/>
    <w:rsid w:val="223A4139"/>
    <w:rsid w:val="223A5F77"/>
    <w:rsid w:val="223BA256"/>
    <w:rsid w:val="223BC3F5"/>
    <w:rsid w:val="223C25B7"/>
    <w:rsid w:val="223E319F"/>
    <w:rsid w:val="223E33CB"/>
    <w:rsid w:val="223F714A"/>
    <w:rsid w:val="223FB72C"/>
    <w:rsid w:val="223FE74A"/>
    <w:rsid w:val="2240885A"/>
    <w:rsid w:val="2240E699"/>
    <w:rsid w:val="22415EE7"/>
    <w:rsid w:val="2241AA48"/>
    <w:rsid w:val="22420F65"/>
    <w:rsid w:val="22423B53"/>
    <w:rsid w:val="2242F213"/>
    <w:rsid w:val="2243095E"/>
    <w:rsid w:val="22432121"/>
    <w:rsid w:val="2243B410"/>
    <w:rsid w:val="22440F1F"/>
    <w:rsid w:val="2244C66A"/>
    <w:rsid w:val="22450090"/>
    <w:rsid w:val="2245426F"/>
    <w:rsid w:val="2245B07B"/>
    <w:rsid w:val="22466D49"/>
    <w:rsid w:val="22468F81"/>
    <w:rsid w:val="22477A06"/>
    <w:rsid w:val="2247D4A7"/>
    <w:rsid w:val="22489E2D"/>
    <w:rsid w:val="2248C478"/>
    <w:rsid w:val="2248E2F9"/>
    <w:rsid w:val="2249CD1D"/>
    <w:rsid w:val="2249D4A6"/>
    <w:rsid w:val="2249E3FB"/>
    <w:rsid w:val="2249E865"/>
    <w:rsid w:val="2249FD0F"/>
    <w:rsid w:val="224B2E76"/>
    <w:rsid w:val="224BCED6"/>
    <w:rsid w:val="224C862A"/>
    <w:rsid w:val="224D299E"/>
    <w:rsid w:val="224DA8B5"/>
    <w:rsid w:val="224E3EA8"/>
    <w:rsid w:val="224E63E5"/>
    <w:rsid w:val="224EE9E4"/>
    <w:rsid w:val="224F381C"/>
    <w:rsid w:val="2250487E"/>
    <w:rsid w:val="22506572"/>
    <w:rsid w:val="22510966"/>
    <w:rsid w:val="2252E0C1"/>
    <w:rsid w:val="2252E2A9"/>
    <w:rsid w:val="225479BE"/>
    <w:rsid w:val="22550D32"/>
    <w:rsid w:val="2255D6AE"/>
    <w:rsid w:val="22568F8C"/>
    <w:rsid w:val="225695B9"/>
    <w:rsid w:val="2257636C"/>
    <w:rsid w:val="225764A5"/>
    <w:rsid w:val="22576CD0"/>
    <w:rsid w:val="22579A8C"/>
    <w:rsid w:val="2257B96D"/>
    <w:rsid w:val="22590DCB"/>
    <w:rsid w:val="225A1848"/>
    <w:rsid w:val="225B73F3"/>
    <w:rsid w:val="225B9BEC"/>
    <w:rsid w:val="225C663B"/>
    <w:rsid w:val="225C6736"/>
    <w:rsid w:val="225C8B15"/>
    <w:rsid w:val="225C8FAF"/>
    <w:rsid w:val="225CE33A"/>
    <w:rsid w:val="225CF5F8"/>
    <w:rsid w:val="225DCE98"/>
    <w:rsid w:val="225E7C99"/>
    <w:rsid w:val="225E7D74"/>
    <w:rsid w:val="225F2F37"/>
    <w:rsid w:val="225F69BC"/>
    <w:rsid w:val="225FD3C7"/>
    <w:rsid w:val="2260470E"/>
    <w:rsid w:val="22613489"/>
    <w:rsid w:val="22615A8E"/>
    <w:rsid w:val="2262BEF0"/>
    <w:rsid w:val="2262D269"/>
    <w:rsid w:val="22632060"/>
    <w:rsid w:val="22633C6E"/>
    <w:rsid w:val="22647AB6"/>
    <w:rsid w:val="2264BDFB"/>
    <w:rsid w:val="2265C946"/>
    <w:rsid w:val="226607C3"/>
    <w:rsid w:val="22663AD6"/>
    <w:rsid w:val="226692B5"/>
    <w:rsid w:val="2266AADB"/>
    <w:rsid w:val="22689639"/>
    <w:rsid w:val="2268B4E6"/>
    <w:rsid w:val="2269373A"/>
    <w:rsid w:val="226A76E1"/>
    <w:rsid w:val="226AEA84"/>
    <w:rsid w:val="226AFA8C"/>
    <w:rsid w:val="226B2153"/>
    <w:rsid w:val="226B4C69"/>
    <w:rsid w:val="226B637F"/>
    <w:rsid w:val="226BCEBB"/>
    <w:rsid w:val="226D0F37"/>
    <w:rsid w:val="226D80E9"/>
    <w:rsid w:val="226EA9F7"/>
    <w:rsid w:val="22701536"/>
    <w:rsid w:val="2271B611"/>
    <w:rsid w:val="22722D76"/>
    <w:rsid w:val="2275273A"/>
    <w:rsid w:val="22760C7C"/>
    <w:rsid w:val="2276ECDB"/>
    <w:rsid w:val="227761D6"/>
    <w:rsid w:val="22779BA9"/>
    <w:rsid w:val="2277B0F3"/>
    <w:rsid w:val="2277CEE3"/>
    <w:rsid w:val="22789659"/>
    <w:rsid w:val="2279126F"/>
    <w:rsid w:val="22792234"/>
    <w:rsid w:val="22792A04"/>
    <w:rsid w:val="22794DDB"/>
    <w:rsid w:val="22797523"/>
    <w:rsid w:val="2279C09D"/>
    <w:rsid w:val="227B8F5D"/>
    <w:rsid w:val="227C51DF"/>
    <w:rsid w:val="227DAC78"/>
    <w:rsid w:val="227E2B2F"/>
    <w:rsid w:val="227E82B1"/>
    <w:rsid w:val="227F627F"/>
    <w:rsid w:val="227F7992"/>
    <w:rsid w:val="227FAB9B"/>
    <w:rsid w:val="227FBB65"/>
    <w:rsid w:val="22805B06"/>
    <w:rsid w:val="2280A845"/>
    <w:rsid w:val="228136E4"/>
    <w:rsid w:val="2281E2D9"/>
    <w:rsid w:val="2281EA72"/>
    <w:rsid w:val="2282ED5F"/>
    <w:rsid w:val="22844371"/>
    <w:rsid w:val="2284E5C3"/>
    <w:rsid w:val="2285CADF"/>
    <w:rsid w:val="2285F240"/>
    <w:rsid w:val="22866F4F"/>
    <w:rsid w:val="228971AC"/>
    <w:rsid w:val="228A0042"/>
    <w:rsid w:val="228A45D1"/>
    <w:rsid w:val="228A6A4C"/>
    <w:rsid w:val="228B4934"/>
    <w:rsid w:val="228C70A4"/>
    <w:rsid w:val="228C8855"/>
    <w:rsid w:val="228CB621"/>
    <w:rsid w:val="228D324A"/>
    <w:rsid w:val="228DD7CD"/>
    <w:rsid w:val="228F0D49"/>
    <w:rsid w:val="228F9F2C"/>
    <w:rsid w:val="2291B49E"/>
    <w:rsid w:val="229250CA"/>
    <w:rsid w:val="2293BE15"/>
    <w:rsid w:val="2294839D"/>
    <w:rsid w:val="229570DE"/>
    <w:rsid w:val="2295A5F1"/>
    <w:rsid w:val="22961DE9"/>
    <w:rsid w:val="2296B474"/>
    <w:rsid w:val="229753CC"/>
    <w:rsid w:val="22979480"/>
    <w:rsid w:val="22989A41"/>
    <w:rsid w:val="2299C19F"/>
    <w:rsid w:val="229A7B86"/>
    <w:rsid w:val="229AB6FE"/>
    <w:rsid w:val="229CB74C"/>
    <w:rsid w:val="229E33F2"/>
    <w:rsid w:val="229E5191"/>
    <w:rsid w:val="229E9554"/>
    <w:rsid w:val="22A041A5"/>
    <w:rsid w:val="22A0BF46"/>
    <w:rsid w:val="22A1071A"/>
    <w:rsid w:val="22A10998"/>
    <w:rsid w:val="22A113DB"/>
    <w:rsid w:val="22A13616"/>
    <w:rsid w:val="22A1574E"/>
    <w:rsid w:val="22A3B384"/>
    <w:rsid w:val="22A45A66"/>
    <w:rsid w:val="22A47A91"/>
    <w:rsid w:val="22A4A02C"/>
    <w:rsid w:val="22A4A7F6"/>
    <w:rsid w:val="22A4DA63"/>
    <w:rsid w:val="22A55474"/>
    <w:rsid w:val="22A55E66"/>
    <w:rsid w:val="22A5DB82"/>
    <w:rsid w:val="22A658A5"/>
    <w:rsid w:val="22A7BDB5"/>
    <w:rsid w:val="22A83D91"/>
    <w:rsid w:val="22A94D1C"/>
    <w:rsid w:val="22ABAE61"/>
    <w:rsid w:val="22ABB70B"/>
    <w:rsid w:val="22ABC311"/>
    <w:rsid w:val="22AC3C4D"/>
    <w:rsid w:val="22ADD9B3"/>
    <w:rsid w:val="22AE61FB"/>
    <w:rsid w:val="22B0F98A"/>
    <w:rsid w:val="22B1598D"/>
    <w:rsid w:val="22B1D9FA"/>
    <w:rsid w:val="22B1FB66"/>
    <w:rsid w:val="22B2202F"/>
    <w:rsid w:val="22B2821B"/>
    <w:rsid w:val="22B2B97C"/>
    <w:rsid w:val="22B2CA98"/>
    <w:rsid w:val="22B2E56B"/>
    <w:rsid w:val="22B351BF"/>
    <w:rsid w:val="22B4F9DB"/>
    <w:rsid w:val="22B5029C"/>
    <w:rsid w:val="22B51F89"/>
    <w:rsid w:val="22B533B4"/>
    <w:rsid w:val="22B56767"/>
    <w:rsid w:val="22B632D4"/>
    <w:rsid w:val="22B632DC"/>
    <w:rsid w:val="22B72918"/>
    <w:rsid w:val="22B77CE1"/>
    <w:rsid w:val="22B7A962"/>
    <w:rsid w:val="22B7CDB7"/>
    <w:rsid w:val="22B7FB1A"/>
    <w:rsid w:val="22B83E4F"/>
    <w:rsid w:val="22B95C40"/>
    <w:rsid w:val="22BA54D8"/>
    <w:rsid w:val="22BA57AC"/>
    <w:rsid w:val="22BC5583"/>
    <w:rsid w:val="22BC65D2"/>
    <w:rsid w:val="22BC77E8"/>
    <w:rsid w:val="22BC84E3"/>
    <w:rsid w:val="22BCA915"/>
    <w:rsid w:val="22BCC681"/>
    <w:rsid w:val="22BD5100"/>
    <w:rsid w:val="22BD67D9"/>
    <w:rsid w:val="22BDCE9E"/>
    <w:rsid w:val="22BDE5CF"/>
    <w:rsid w:val="22BE5857"/>
    <w:rsid w:val="22BFFFFB"/>
    <w:rsid w:val="22C12AA0"/>
    <w:rsid w:val="22C1C161"/>
    <w:rsid w:val="22C24A89"/>
    <w:rsid w:val="22C29A41"/>
    <w:rsid w:val="22C3D2B1"/>
    <w:rsid w:val="22C41F4F"/>
    <w:rsid w:val="22C4D2F6"/>
    <w:rsid w:val="22C54E91"/>
    <w:rsid w:val="22C5C963"/>
    <w:rsid w:val="22C68CDC"/>
    <w:rsid w:val="22C6EEF7"/>
    <w:rsid w:val="22C74CA2"/>
    <w:rsid w:val="22C80D55"/>
    <w:rsid w:val="22C80E50"/>
    <w:rsid w:val="22C8DC78"/>
    <w:rsid w:val="22C90FA4"/>
    <w:rsid w:val="22C987AB"/>
    <w:rsid w:val="22CA9992"/>
    <w:rsid w:val="22CAEE2C"/>
    <w:rsid w:val="22CC51BC"/>
    <w:rsid w:val="22CD0CE6"/>
    <w:rsid w:val="22CE8C96"/>
    <w:rsid w:val="22CF791C"/>
    <w:rsid w:val="22D082C7"/>
    <w:rsid w:val="22D0F985"/>
    <w:rsid w:val="22D10F9B"/>
    <w:rsid w:val="22D1BDF3"/>
    <w:rsid w:val="22D1CEBD"/>
    <w:rsid w:val="22D21051"/>
    <w:rsid w:val="22D25348"/>
    <w:rsid w:val="22D343EC"/>
    <w:rsid w:val="22D42071"/>
    <w:rsid w:val="22D442FC"/>
    <w:rsid w:val="22D44883"/>
    <w:rsid w:val="22D4A700"/>
    <w:rsid w:val="22D522ED"/>
    <w:rsid w:val="22D56312"/>
    <w:rsid w:val="22D57242"/>
    <w:rsid w:val="22D587D9"/>
    <w:rsid w:val="22D61DAE"/>
    <w:rsid w:val="22D6328B"/>
    <w:rsid w:val="22D6B375"/>
    <w:rsid w:val="22D87810"/>
    <w:rsid w:val="22D889BA"/>
    <w:rsid w:val="22D9ADAC"/>
    <w:rsid w:val="22D9E244"/>
    <w:rsid w:val="22DAD732"/>
    <w:rsid w:val="22DADB88"/>
    <w:rsid w:val="22DB5CAE"/>
    <w:rsid w:val="22DBE955"/>
    <w:rsid w:val="22DBEE31"/>
    <w:rsid w:val="22DD0629"/>
    <w:rsid w:val="22DE011D"/>
    <w:rsid w:val="22DE8C1E"/>
    <w:rsid w:val="22DF63CE"/>
    <w:rsid w:val="22E09C6F"/>
    <w:rsid w:val="22E0AC70"/>
    <w:rsid w:val="22E24B22"/>
    <w:rsid w:val="22E2BCD2"/>
    <w:rsid w:val="22E2D766"/>
    <w:rsid w:val="22E2F664"/>
    <w:rsid w:val="22E339CE"/>
    <w:rsid w:val="22E33B75"/>
    <w:rsid w:val="22E45C4E"/>
    <w:rsid w:val="22E4C775"/>
    <w:rsid w:val="22E4FE28"/>
    <w:rsid w:val="22E5B459"/>
    <w:rsid w:val="22E5C85D"/>
    <w:rsid w:val="22E6923E"/>
    <w:rsid w:val="22E70639"/>
    <w:rsid w:val="22E73157"/>
    <w:rsid w:val="22E73BF7"/>
    <w:rsid w:val="22E7480C"/>
    <w:rsid w:val="22E748B7"/>
    <w:rsid w:val="22E7C688"/>
    <w:rsid w:val="22E7F466"/>
    <w:rsid w:val="22E856DF"/>
    <w:rsid w:val="22E8A2FC"/>
    <w:rsid w:val="22E99CBF"/>
    <w:rsid w:val="22E9B61E"/>
    <w:rsid w:val="22EA4939"/>
    <w:rsid w:val="22EA4CE4"/>
    <w:rsid w:val="22EB7CAB"/>
    <w:rsid w:val="22EBC6C6"/>
    <w:rsid w:val="22ED0F85"/>
    <w:rsid w:val="22ED9E4B"/>
    <w:rsid w:val="22EDF275"/>
    <w:rsid w:val="22EDFA8A"/>
    <w:rsid w:val="22EE2995"/>
    <w:rsid w:val="22EE5531"/>
    <w:rsid w:val="22EF5C18"/>
    <w:rsid w:val="22F01BE5"/>
    <w:rsid w:val="22F05C22"/>
    <w:rsid w:val="22F0F859"/>
    <w:rsid w:val="22F18CC1"/>
    <w:rsid w:val="22F1E268"/>
    <w:rsid w:val="22F39BDA"/>
    <w:rsid w:val="22F3FC3B"/>
    <w:rsid w:val="22F4A6C6"/>
    <w:rsid w:val="22F583FB"/>
    <w:rsid w:val="22F59C5E"/>
    <w:rsid w:val="22F5A907"/>
    <w:rsid w:val="22F5BFE9"/>
    <w:rsid w:val="22F5E77E"/>
    <w:rsid w:val="22F637BA"/>
    <w:rsid w:val="22F65AB9"/>
    <w:rsid w:val="22F67208"/>
    <w:rsid w:val="22F6A78F"/>
    <w:rsid w:val="22F6D813"/>
    <w:rsid w:val="22F73C11"/>
    <w:rsid w:val="22F7DD7C"/>
    <w:rsid w:val="22F8073F"/>
    <w:rsid w:val="22F83862"/>
    <w:rsid w:val="22F8AF7C"/>
    <w:rsid w:val="22F8B6DF"/>
    <w:rsid w:val="22F8E5DE"/>
    <w:rsid w:val="22F92CE4"/>
    <w:rsid w:val="22F97B28"/>
    <w:rsid w:val="22F9C8EE"/>
    <w:rsid w:val="22FA3E9E"/>
    <w:rsid w:val="22FB3D17"/>
    <w:rsid w:val="22FBC136"/>
    <w:rsid w:val="22FDD71B"/>
    <w:rsid w:val="22FEE413"/>
    <w:rsid w:val="22FF2AD1"/>
    <w:rsid w:val="22FF8A6A"/>
    <w:rsid w:val="22FFBCB8"/>
    <w:rsid w:val="23000E0E"/>
    <w:rsid w:val="230112BC"/>
    <w:rsid w:val="2301B26E"/>
    <w:rsid w:val="2302D930"/>
    <w:rsid w:val="2302F7A4"/>
    <w:rsid w:val="2303418C"/>
    <w:rsid w:val="2303BC39"/>
    <w:rsid w:val="2304ADE2"/>
    <w:rsid w:val="2304B065"/>
    <w:rsid w:val="23052E6E"/>
    <w:rsid w:val="23059152"/>
    <w:rsid w:val="230605BD"/>
    <w:rsid w:val="23067275"/>
    <w:rsid w:val="2307E095"/>
    <w:rsid w:val="2308D0CC"/>
    <w:rsid w:val="230A0B2E"/>
    <w:rsid w:val="230A5851"/>
    <w:rsid w:val="230AAE73"/>
    <w:rsid w:val="230B9306"/>
    <w:rsid w:val="230C33D9"/>
    <w:rsid w:val="230C36AB"/>
    <w:rsid w:val="230C3BD3"/>
    <w:rsid w:val="230C7FF7"/>
    <w:rsid w:val="230CEAC6"/>
    <w:rsid w:val="230D5789"/>
    <w:rsid w:val="230F509B"/>
    <w:rsid w:val="230FF23C"/>
    <w:rsid w:val="23111B9B"/>
    <w:rsid w:val="23114C29"/>
    <w:rsid w:val="2311550A"/>
    <w:rsid w:val="231176DA"/>
    <w:rsid w:val="2311808B"/>
    <w:rsid w:val="23126ADC"/>
    <w:rsid w:val="23129AAC"/>
    <w:rsid w:val="2312AFD6"/>
    <w:rsid w:val="23137E82"/>
    <w:rsid w:val="23137ECA"/>
    <w:rsid w:val="2313CDF9"/>
    <w:rsid w:val="23151DAF"/>
    <w:rsid w:val="2318529C"/>
    <w:rsid w:val="231942D1"/>
    <w:rsid w:val="23194BDC"/>
    <w:rsid w:val="2319C1FB"/>
    <w:rsid w:val="2319CB69"/>
    <w:rsid w:val="231A5E8E"/>
    <w:rsid w:val="231B93F2"/>
    <w:rsid w:val="231BA1A0"/>
    <w:rsid w:val="231C1886"/>
    <w:rsid w:val="231CA590"/>
    <w:rsid w:val="231CA87B"/>
    <w:rsid w:val="231CB52C"/>
    <w:rsid w:val="231D2B23"/>
    <w:rsid w:val="231D5496"/>
    <w:rsid w:val="231DEE98"/>
    <w:rsid w:val="231EA40A"/>
    <w:rsid w:val="231F3589"/>
    <w:rsid w:val="231FDA6E"/>
    <w:rsid w:val="2320F560"/>
    <w:rsid w:val="2321319B"/>
    <w:rsid w:val="232174F5"/>
    <w:rsid w:val="2321AF08"/>
    <w:rsid w:val="23227190"/>
    <w:rsid w:val="2323D1DA"/>
    <w:rsid w:val="2324AB83"/>
    <w:rsid w:val="232504D8"/>
    <w:rsid w:val="2325964D"/>
    <w:rsid w:val="2325E27F"/>
    <w:rsid w:val="23264AC8"/>
    <w:rsid w:val="2326DD6A"/>
    <w:rsid w:val="23276327"/>
    <w:rsid w:val="2327F9A6"/>
    <w:rsid w:val="23284B7F"/>
    <w:rsid w:val="232940B7"/>
    <w:rsid w:val="2329630B"/>
    <w:rsid w:val="23296B43"/>
    <w:rsid w:val="2329AD98"/>
    <w:rsid w:val="232A3730"/>
    <w:rsid w:val="232B2AC2"/>
    <w:rsid w:val="232BD287"/>
    <w:rsid w:val="232BD2C7"/>
    <w:rsid w:val="232E1F63"/>
    <w:rsid w:val="232E2099"/>
    <w:rsid w:val="232E3E5E"/>
    <w:rsid w:val="232EA042"/>
    <w:rsid w:val="232EC370"/>
    <w:rsid w:val="2331DD0B"/>
    <w:rsid w:val="23320144"/>
    <w:rsid w:val="2332B4D6"/>
    <w:rsid w:val="23332A8B"/>
    <w:rsid w:val="233341F6"/>
    <w:rsid w:val="2333E780"/>
    <w:rsid w:val="23340913"/>
    <w:rsid w:val="23345DDB"/>
    <w:rsid w:val="2335DD06"/>
    <w:rsid w:val="2335E452"/>
    <w:rsid w:val="2335E756"/>
    <w:rsid w:val="2336C0F5"/>
    <w:rsid w:val="2337637E"/>
    <w:rsid w:val="2337C4C0"/>
    <w:rsid w:val="23380FB4"/>
    <w:rsid w:val="23390FCD"/>
    <w:rsid w:val="2339EA98"/>
    <w:rsid w:val="233A885A"/>
    <w:rsid w:val="233AD157"/>
    <w:rsid w:val="233AD61F"/>
    <w:rsid w:val="233B448B"/>
    <w:rsid w:val="233BC5BC"/>
    <w:rsid w:val="233C1952"/>
    <w:rsid w:val="233C6364"/>
    <w:rsid w:val="233D99F7"/>
    <w:rsid w:val="233F7A76"/>
    <w:rsid w:val="234097C3"/>
    <w:rsid w:val="234332A1"/>
    <w:rsid w:val="23434BDD"/>
    <w:rsid w:val="234714AB"/>
    <w:rsid w:val="2348C6A1"/>
    <w:rsid w:val="23490EE1"/>
    <w:rsid w:val="23496672"/>
    <w:rsid w:val="2349CAB2"/>
    <w:rsid w:val="2349CC7E"/>
    <w:rsid w:val="234A00A2"/>
    <w:rsid w:val="234A2E60"/>
    <w:rsid w:val="234B541B"/>
    <w:rsid w:val="234B997C"/>
    <w:rsid w:val="234D5ED4"/>
    <w:rsid w:val="234E436A"/>
    <w:rsid w:val="234EBCE5"/>
    <w:rsid w:val="234F08D4"/>
    <w:rsid w:val="234FFF10"/>
    <w:rsid w:val="235058F9"/>
    <w:rsid w:val="2350C956"/>
    <w:rsid w:val="2352056B"/>
    <w:rsid w:val="23526D69"/>
    <w:rsid w:val="23539E6E"/>
    <w:rsid w:val="23548259"/>
    <w:rsid w:val="2354C9B3"/>
    <w:rsid w:val="2355F741"/>
    <w:rsid w:val="23565E14"/>
    <w:rsid w:val="2356AC53"/>
    <w:rsid w:val="235809F9"/>
    <w:rsid w:val="235835EB"/>
    <w:rsid w:val="23583606"/>
    <w:rsid w:val="2358C057"/>
    <w:rsid w:val="2358CFEC"/>
    <w:rsid w:val="23598C16"/>
    <w:rsid w:val="235B1FCC"/>
    <w:rsid w:val="235B34BA"/>
    <w:rsid w:val="235BE909"/>
    <w:rsid w:val="235CB4CC"/>
    <w:rsid w:val="235CB6CC"/>
    <w:rsid w:val="235D3212"/>
    <w:rsid w:val="235D91CF"/>
    <w:rsid w:val="235D938B"/>
    <w:rsid w:val="235EB08D"/>
    <w:rsid w:val="235EC3BF"/>
    <w:rsid w:val="235F22C2"/>
    <w:rsid w:val="235FB50D"/>
    <w:rsid w:val="23600271"/>
    <w:rsid w:val="236037CB"/>
    <w:rsid w:val="2360AD49"/>
    <w:rsid w:val="2361425C"/>
    <w:rsid w:val="23615FE4"/>
    <w:rsid w:val="23620E4B"/>
    <w:rsid w:val="2362B0F8"/>
    <w:rsid w:val="2362B2E1"/>
    <w:rsid w:val="23637156"/>
    <w:rsid w:val="23643929"/>
    <w:rsid w:val="236454E0"/>
    <w:rsid w:val="236561E3"/>
    <w:rsid w:val="2366849D"/>
    <w:rsid w:val="2366CB32"/>
    <w:rsid w:val="236730C3"/>
    <w:rsid w:val="2367B6D1"/>
    <w:rsid w:val="2368F7A3"/>
    <w:rsid w:val="2369FC89"/>
    <w:rsid w:val="236A9DD4"/>
    <w:rsid w:val="236C8C38"/>
    <w:rsid w:val="236C93CC"/>
    <w:rsid w:val="236D3F25"/>
    <w:rsid w:val="236D5417"/>
    <w:rsid w:val="236DBEB3"/>
    <w:rsid w:val="236E3B27"/>
    <w:rsid w:val="236E9D3F"/>
    <w:rsid w:val="236EC2B4"/>
    <w:rsid w:val="2370759C"/>
    <w:rsid w:val="23707977"/>
    <w:rsid w:val="23707C9B"/>
    <w:rsid w:val="23718261"/>
    <w:rsid w:val="2371CAFB"/>
    <w:rsid w:val="23723AF5"/>
    <w:rsid w:val="23729287"/>
    <w:rsid w:val="2373ABBD"/>
    <w:rsid w:val="2373AE4A"/>
    <w:rsid w:val="2374BE74"/>
    <w:rsid w:val="237520C6"/>
    <w:rsid w:val="2377D4D1"/>
    <w:rsid w:val="2377DFE1"/>
    <w:rsid w:val="2377FE06"/>
    <w:rsid w:val="237A4BB0"/>
    <w:rsid w:val="237C5669"/>
    <w:rsid w:val="237C7FAD"/>
    <w:rsid w:val="237D237B"/>
    <w:rsid w:val="237D560E"/>
    <w:rsid w:val="237E2D34"/>
    <w:rsid w:val="237E3818"/>
    <w:rsid w:val="237E3BE9"/>
    <w:rsid w:val="237EEA21"/>
    <w:rsid w:val="237F113A"/>
    <w:rsid w:val="237F7D08"/>
    <w:rsid w:val="2380E728"/>
    <w:rsid w:val="2380EFB3"/>
    <w:rsid w:val="23818F86"/>
    <w:rsid w:val="2381E74A"/>
    <w:rsid w:val="2381EAEF"/>
    <w:rsid w:val="23831170"/>
    <w:rsid w:val="23831C33"/>
    <w:rsid w:val="238361A2"/>
    <w:rsid w:val="23836472"/>
    <w:rsid w:val="23836716"/>
    <w:rsid w:val="23840AC5"/>
    <w:rsid w:val="23844AC8"/>
    <w:rsid w:val="23847599"/>
    <w:rsid w:val="2384E7B0"/>
    <w:rsid w:val="238526D5"/>
    <w:rsid w:val="2385EDE0"/>
    <w:rsid w:val="23862555"/>
    <w:rsid w:val="23865350"/>
    <w:rsid w:val="238892D1"/>
    <w:rsid w:val="238913DA"/>
    <w:rsid w:val="238951A9"/>
    <w:rsid w:val="23895318"/>
    <w:rsid w:val="238958DA"/>
    <w:rsid w:val="238A65BF"/>
    <w:rsid w:val="238AD829"/>
    <w:rsid w:val="238BF747"/>
    <w:rsid w:val="238D37AD"/>
    <w:rsid w:val="238E021C"/>
    <w:rsid w:val="238E75DD"/>
    <w:rsid w:val="238EC0D7"/>
    <w:rsid w:val="238F5822"/>
    <w:rsid w:val="2390664B"/>
    <w:rsid w:val="23909690"/>
    <w:rsid w:val="239096FE"/>
    <w:rsid w:val="23919FF5"/>
    <w:rsid w:val="2391AA88"/>
    <w:rsid w:val="239254F2"/>
    <w:rsid w:val="23936425"/>
    <w:rsid w:val="2393922F"/>
    <w:rsid w:val="23943910"/>
    <w:rsid w:val="23946FF3"/>
    <w:rsid w:val="23959F8F"/>
    <w:rsid w:val="2396489D"/>
    <w:rsid w:val="2396BDBD"/>
    <w:rsid w:val="23971CCB"/>
    <w:rsid w:val="23973DF7"/>
    <w:rsid w:val="239764C5"/>
    <w:rsid w:val="2399726A"/>
    <w:rsid w:val="2399A9E3"/>
    <w:rsid w:val="239A5CD9"/>
    <w:rsid w:val="239B0997"/>
    <w:rsid w:val="239B7BB8"/>
    <w:rsid w:val="239B8A86"/>
    <w:rsid w:val="239C9E18"/>
    <w:rsid w:val="239CB561"/>
    <w:rsid w:val="239CD465"/>
    <w:rsid w:val="239D01EA"/>
    <w:rsid w:val="239E41B6"/>
    <w:rsid w:val="239E5BA9"/>
    <w:rsid w:val="239E7040"/>
    <w:rsid w:val="239F6A7F"/>
    <w:rsid w:val="239F7D2C"/>
    <w:rsid w:val="239F94A1"/>
    <w:rsid w:val="23A059AD"/>
    <w:rsid w:val="23A088C7"/>
    <w:rsid w:val="23A11F5F"/>
    <w:rsid w:val="23A13F77"/>
    <w:rsid w:val="23A27D6F"/>
    <w:rsid w:val="23A36B4F"/>
    <w:rsid w:val="23A4B44D"/>
    <w:rsid w:val="23A512D8"/>
    <w:rsid w:val="23A59C66"/>
    <w:rsid w:val="23A68EF4"/>
    <w:rsid w:val="23A779EB"/>
    <w:rsid w:val="23A7B278"/>
    <w:rsid w:val="23A8253D"/>
    <w:rsid w:val="23A8593A"/>
    <w:rsid w:val="23A92632"/>
    <w:rsid w:val="23A9CB0C"/>
    <w:rsid w:val="23AA344D"/>
    <w:rsid w:val="23AB55FD"/>
    <w:rsid w:val="23AC75D9"/>
    <w:rsid w:val="23ACB3F6"/>
    <w:rsid w:val="23ACE070"/>
    <w:rsid w:val="23AD0B1F"/>
    <w:rsid w:val="23AD967F"/>
    <w:rsid w:val="23AF2CF5"/>
    <w:rsid w:val="23AF3826"/>
    <w:rsid w:val="23AFBD1C"/>
    <w:rsid w:val="23B1197C"/>
    <w:rsid w:val="23B178FC"/>
    <w:rsid w:val="23B1A6CC"/>
    <w:rsid w:val="23B3733B"/>
    <w:rsid w:val="23B39294"/>
    <w:rsid w:val="23B3BB5F"/>
    <w:rsid w:val="23B4145C"/>
    <w:rsid w:val="23B5C6C0"/>
    <w:rsid w:val="23B6AEBB"/>
    <w:rsid w:val="23B6D4F2"/>
    <w:rsid w:val="23B77116"/>
    <w:rsid w:val="23B7FB8C"/>
    <w:rsid w:val="23B82952"/>
    <w:rsid w:val="23B94DF9"/>
    <w:rsid w:val="23B9E396"/>
    <w:rsid w:val="23BAA81A"/>
    <w:rsid w:val="23BCAC64"/>
    <w:rsid w:val="23BD1D59"/>
    <w:rsid w:val="23BD6B42"/>
    <w:rsid w:val="23BDFBBD"/>
    <w:rsid w:val="23BE33EF"/>
    <w:rsid w:val="23BE94C5"/>
    <w:rsid w:val="23BEE356"/>
    <w:rsid w:val="23BFA154"/>
    <w:rsid w:val="23BFB6B0"/>
    <w:rsid w:val="23C03D97"/>
    <w:rsid w:val="23C056BA"/>
    <w:rsid w:val="23C24B14"/>
    <w:rsid w:val="23C29381"/>
    <w:rsid w:val="23C31176"/>
    <w:rsid w:val="23C32D11"/>
    <w:rsid w:val="23C3448A"/>
    <w:rsid w:val="23C38061"/>
    <w:rsid w:val="23C39FBD"/>
    <w:rsid w:val="23C3D2C0"/>
    <w:rsid w:val="23C424E3"/>
    <w:rsid w:val="23C771A3"/>
    <w:rsid w:val="23C8D4A5"/>
    <w:rsid w:val="23C92AAC"/>
    <w:rsid w:val="23C9DFDB"/>
    <w:rsid w:val="23C9FE67"/>
    <w:rsid w:val="23CA04FA"/>
    <w:rsid w:val="23CA39C8"/>
    <w:rsid w:val="23CA5292"/>
    <w:rsid w:val="23CA9147"/>
    <w:rsid w:val="23CAC776"/>
    <w:rsid w:val="23CAD6BC"/>
    <w:rsid w:val="23CAE9C7"/>
    <w:rsid w:val="23CB021B"/>
    <w:rsid w:val="23CC86B9"/>
    <w:rsid w:val="23CD454E"/>
    <w:rsid w:val="23CD97C7"/>
    <w:rsid w:val="23CDB19A"/>
    <w:rsid w:val="23CF3122"/>
    <w:rsid w:val="23CF4142"/>
    <w:rsid w:val="23CF4B99"/>
    <w:rsid w:val="23CF7CB2"/>
    <w:rsid w:val="23D004CF"/>
    <w:rsid w:val="23D0F8D8"/>
    <w:rsid w:val="23D2388E"/>
    <w:rsid w:val="23D272CD"/>
    <w:rsid w:val="23D2F8DC"/>
    <w:rsid w:val="23D322D4"/>
    <w:rsid w:val="23D3FE67"/>
    <w:rsid w:val="23D48BB5"/>
    <w:rsid w:val="23D5B58F"/>
    <w:rsid w:val="23D66E72"/>
    <w:rsid w:val="23D6A1B3"/>
    <w:rsid w:val="23D6DB0D"/>
    <w:rsid w:val="23D77B8A"/>
    <w:rsid w:val="23D7A2F8"/>
    <w:rsid w:val="23D8DA8D"/>
    <w:rsid w:val="23D9C8BD"/>
    <w:rsid w:val="23D9D2AA"/>
    <w:rsid w:val="23DA109C"/>
    <w:rsid w:val="23DA5638"/>
    <w:rsid w:val="23DB50FB"/>
    <w:rsid w:val="23DB9912"/>
    <w:rsid w:val="23DCB1D7"/>
    <w:rsid w:val="23DD6B28"/>
    <w:rsid w:val="23DD7C37"/>
    <w:rsid w:val="23DE5722"/>
    <w:rsid w:val="23DE8A1E"/>
    <w:rsid w:val="23DF28DA"/>
    <w:rsid w:val="23E00D05"/>
    <w:rsid w:val="23E079C9"/>
    <w:rsid w:val="23E10476"/>
    <w:rsid w:val="23E266FA"/>
    <w:rsid w:val="23E4BA3E"/>
    <w:rsid w:val="23E4D08F"/>
    <w:rsid w:val="23E549ED"/>
    <w:rsid w:val="23E5AB28"/>
    <w:rsid w:val="23E5FF8E"/>
    <w:rsid w:val="23E61310"/>
    <w:rsid w:val="23E62564"/>
    <w:rsid w:val="23E64736"/>
    <w:rsid w:val="23E73ED7"/>
    <w:rsid w:val="23E7826C"/>
    <w:rsid w:val="23E7953F"/>
    <w:rsid w:val="23E7A0AD"/>
    <w:rsid w:val="23E83552"/>
    <w:rsid w:val="23E85F61"/>
    <w:rsid w:val="23E98FFD"/>
    <w:rsid w:val="23E9D9B0"/>
    <w:rsid w:val="23EB32A0"/>
    <w:rsid w:val="23EB6379"/>
    <w:rsid w:val="23ED346F"/>
    <w:rsid w:val="23ED5815"/>
    <w:rsid w:val="23EF0A01"/>
    <w:rsid w:val="23EF1E3A"/>
    <w:rsid w:val="23EF36B2"/>
    <w:rsid w:val="23F063B1"/>
    <w:rsid w:val="23F10DEA"/>
    <w:rsid w:val="23F1B320"/>
    <w:rsid w:val="23F1D151"/>
    <w:rsid w:val="23F25789"/>
    <w:rsid w:val="23F26599"/>
    <w:rsid w:val="23F274F2"/>
    <w:rsid w:val="23F4B7F3"/>
    <w:rsid w:val="23F4F3E3"/>
    <w:rsid w:val="23F4F965"/>
    <w:rsid w:val="23F605A8"/>
    <w:rsid w:val="23F62C36"/>
    <w:rsid w:val="23F6A722"/>
    <w:rsid w:val="23F6C339"/>
    <w:rsid w:val="23F8723E"/>
    <w:rsid w:val="23F928DC"/>
    <w:rsid w:val="23F92E52"/>
    <w:rsid w:val="23F93570"/>
    <w:rsid w:val="23F97011"/>
    <w:rsid w:val="23F9945D"/>
    <w:rsid w:val="23FA19A2"/>
    <w:rsid w:val="23FACA8A"/>
    <w:rsid w:val="23FCBA10"/>
    <w:rsid w:val="23FCDC62"/>
    <w:rsid w:val="23FEE683"/>
    <w:rsid w:val="23FFA2F6"/>
    <w:rsid w:val="24007BAE"/>
    <w:rsid w:val="24018E96"/>
    <w:rsid w:val="2402FCD9"/>
    <w:rsid w:val="24044311"/>
    <w:rsid w:val="240458B5"/>
    <w:rsid w:val="24066F8A"/>
    <w:rsid w:val="24069E1A"/>
    <w:rsid w:val="2406FDBA"/>
    <w:rsid w:val="240803CA"/>
    <w:rsid w:val="2408CB83"/>
    <w:rsid w:val="2408E092"/>
    <w:rsid w:val="24093489"/>
    <w:rsid w:val="2409515F"/>
    <w:rsid w:val="24095EAF"/>
    <w:rsid w:val="240B590C"/>
    <w:rsid w:val="240BCD7E"/>
    <w:rsid w:val="240BE4A6"/>
    <w:rsid w:val="240C493A"/>
    <w:rsid w:val="240C4996"/>
    <w:rsid w:val="240C5EFC"/>
    <w:rsid w:val="240D0C82"/>
    <w:rsid w:val="240D5592"/>
    <w:rsid w:val="240E05CB"/>
    <w:rsid w:val="240E25B4"/>
    <w:rsid w:val="240E558E"/>
    <w:rsid w:val="240E6F83"/>
    <w:rsid w:val="240F93A5"/>
    <w:rsid w:val="240FBF00"/>
    <w:rsid w:val="241067AF"/>
    <w:rsid w:val="241331FA"/>
    <w:rsid w:val="24135C45"/>
    <w:rsid w:val="24139BC5"/>
    <w:rsid w:val="2413C452"/>
    <w:rsid w:val="24147EA8"/>
    <w:rsid w:val="24147FA3"/>
    <w:rsid w:val="24168738"/>
    <w:rsid w:val="2417500B"/>
    <w:rsid w:val="241758EF"/>
    <w:rsid w:val="2418447D"/>
    <w:rsid w:val="2418CC30"/>
    <w:rsid w:val="24192090"/>
    <w:rsid w:val="241988CB"/>
    <w:rsid w:val="241A140D"/>
    <w:rsid w:val="241A3671"/>
    <w:rsid w:val="241A7218"/>
    <w:rsid w:val="241A983C"/>
    <w:rsid w:val="241AA824"/>
    <w:rsid w:val="241AFB67"/>
    <w:rsid w:val="241BC806"/>
    <w:rsid w:val="241BCDFB"/>
    <w:rsid w:val="241CCF70"/>
    <w:rsid w:val="241CEFFC"/>
    <w:rsid w:val="241DAFDF"/>
    <w:rsid w:val="241F7FFF"/>
    <w:rsid w:val="242052AE"/>
    <w:rsid w:val="2420AE8A"/>
    <w:rsid w:val="2422255A"/>
    <w:rsid w:val="24228763"/>
    <w:rsid w:val="242306F5"/>
    <w:rsid w:val="24232649"/>
    <w:rsid w:val="242342B8"/>
    <w:rsid w:val="24240B6B"/>
    <w:rsid w:val="242504AF"/>
    <w:rsid w:val="2425220B"/>
    <w:rsid w:val="242651F5"/>
    <w:rsid w:val="2427927A"/>
    <w:rsid w:val="24287F8D"/>
    <w:rsid w:val="242992FA"/>
    <w:rsid w:val="2429ADC1"/>
    <w:rsid w:val="242A2C46"/>
    <w:rsid w:val="242B61B1"/>
    <w:rsid w:val="242CB3AD"/>
    <w:rsid w:val="242E3E14"/>
    <w:rsid w:val="242EDE6C"/>
    <w:rsid w:val="242F7FCE"/>
    <w:rsid w:val="2430D584"/>
    <w:rsid w:val="243187C8"/>
    <w:rsid w:val="2431A94F"/>
    <w:rsid w:val="2431BCDB"/>
    <w:rsid w:val="2431E893"/>
    <w:rsid w:val="2431ED29"/>
    <w:rsid w:val="24331DC8"/>
    <w:rsid w:val="24335662"/>
    <w:rsid w:val="2434879F"/>
    <w:rsid w:val="2434E096"/>
    <w:rsid w:val="2435E024"/>
    <w:rsid w:val="24360161"/>
    <w:rsid w:val="2436A0BC"/>
    <w:rsid w:val="2438105D"/>
    <w:rsid w:val="2438D16B"/>
    <w:rsid w:val="2438D9FA"/>
    <w:rsid w:val="24392833"/>
    <w:rsid w:val="2439B42A"/>
    <w:rsid w:val="2439E5D7"/>
    <w:rsid w:val="243B0684"/>
    <w:rsid w:val="243BC222"/>
    <w:rsid w:val="243C2297"/>
    <w:rsid w:val="243F1F1E"/>
    <w:rsid w:val="243FA55F"/>
    <w:rsid w:val="24401880"/>
    <w:rsid w:val="244146EE"/>
    <w:rsid w:val="2441941D"/>
    <w:rsid w:val="244215A4"/>
    <w:rsid w:val="24425198"/>
    <w:rsid w:val="24432CA5"/>
    <w:rsid w:val="2443571E"/>
    <w:rsid w:val="244431F2"/>
    <w:rsid w:val="2444518E"/>
    <w:rsid w:val="2446CB31"/>
    <w:rsid w:val="24474039"/>
    <w:rsid w:val="24476665"/>
    <w:rsid w:val="2447DB70"/>
    <w:rsid w:val="24486750"/>
    <w:rsid w:val="244A3E42"/>
    <w:rsid w:val="244A47CB"/>
    <w:rsid w:val="244AA36B"/>
    <w:rsid w:val="244B6659"/>
    <w:rsid w:val="244C12F9"/>
    <w:rsid w:val="244C6C66"/>
    <w:rsid w:val="244D06A0"/>
    <w:rsid w:val="244DEF36"/>
    <w:rsid w:val="244E288E"/>
    <w:rsid w:val="24503214"/>
    <w:rsid w:val="2450D009"/>
    <w:rsid w:val="24512E4F"/>
    <w:rsid w:val="2451E189"/>
    <w:rsid w:val="24522B5F"/>
    <w:rsid w:val="2452A2E6"/>
    <w:rsid w:val="2452F4DF"/>
    <w:rsid w:val="2452F5EB"/>
    <w:rsid w:val="2453556D"/>
    <w:rsid w:val="2453DDF6"/>
    <w:rsid w:val="24563375"/>
    <w:rsid w:val="24566D36"/>
    <w:rsid w:val="24579E55"/>
    <w:rsid w:val="2457FF02"/>
    <w:rsid w:val="2458A4E3"/>
    <w:rsid w:val="2459D5AA"/>
    <w:rsid w:val="2459D5DE"/>
    <w:rsid w:val="245A097C"/>
    <w:rsid w:val="245AB224"/>
    <w:rsid w:val="245B8595"/>
    <w:rsid w:val="245D4B81"/>
    <w:rsid w:val="245E286C"/>
    <w:rsid w:val="245E64C5"/>
    <w:rsid w:val="245F7845"/>
    <w:rsid w:val="245FC0E8"/>
    <w:rsid w:val="24616865"/>
    <w:rsid w:val="24617F32"/>
    <w:rsid w:val="2461974F"/>
    <w:rsid w:val="24634940"/>
    <w:rsid w:val="2463E4AC"/>
    <w:rsid w:val="2463EB0A"/>
    <w:rsid w:val="2464AC24"/>
    <w:rsid w:val="2464D5F2"/>
    <w:rsid w:val="24655FCE"/>
    <w:rsid w:val="246576CA"/>
    <w:rsid w:val="2465A5A6"/>
    <w:rsid w:val="2465E47D"/>
    <w:rsid w:val="246641FC"/>
    <w:rsid w:val="24673EDF"/>
    <w:rsid w:val="24673F38"/>
    <w:rsid w:val="246948CD"/>
    <w:rsid w:val="246990C4"/>
    <w:rsid w:val="2469D970"/>
    <w:rsid w:val="246A48BC"/>
    <w:rsid w:val="246A753B"/>
    <w:rsid w:val="246C315D"/>
    <w:rsid w:val="246CF2DC"/>
    <w:rsid w:val="246D7C2B"/>
    <w:rsid w:val="246E393E"/>
    <w:rsid w:val="246EF4B3"/>
    <w:rsid w:val="246F38DA"/>
    <w:rsid w:val="246FBB79"/>
    <w:rsid w:val="247003B7"/>
    <w:rsid w:val="24701368"/>
    <w:rsid w:val="2470535F"/>
    <w:rsid w:val="24708B93"/>
    <w:rsid w:val="2470E4F5"/>
    <w:rsid w:val="24713522"/>
    <w:rsid w:val="24715611"/>
    <w:rsid w:val="24715FFC"/>
    <w:rsid w:val="247302EF"/>
    <w:rsid w:val="2473A90C"/>
    <w:rsid w:val="24741893"/>
    <w:rsid w:val="24744C27"/>
    <w:rsid w:val="247477C9"/>
    <w:rsid w:val="2474D1F4"/>
    <w:rsid w:val="2475D7E3"/>
    <w:rsid w:val="2476A17C"/>
    <w:rsid w:val="2476B155"/>
    <w:rsid w:val="2476DF09"/>
    <w:rsid w:val="24770566"/>
    <w:rsid w:val="24772153"/>
    <w:rsid w:val="2478E366"/>
    <w:rsid w:val="247B06D5"/>
    <w:rsid w:val="247BB0C0"/>
    <w:rsid w:val="247BFC1D"/>
    <w:rsid w:val="247D01C8"/>
    <w:rsid w:val="247EDD30"/>
    <w:rsid w:val="247FB503"/>
    <w:rsid w:val="24801433"/>
    <w:rsid w:val="24801A9D"/>
    <w:rsid w:val="248078E1"/>
    <w:rsid w:val="2480C91C"/>
    <w:rsid w:val="2480E001"/>
    <w:rsid w:val="24818C73"/>
    <w:rsid w:val="2481F2B2"/>
    <w:rsid w:val="24835EEE"/>
    <w:rsid w:val="24837FCE"/>
    <w:rsid w:val="2483E622"/>
    <w:rsid w:val="2483FAE8"/>
    <w:rsid w:val="24846ADF"/>
    <w:rsid w:val="24847F12"/>
    <w:rsid w:val="2484965F"/>
    <w:rsid w:val="248559BA"/>
    <w:rsid w:val="24863F17"/>
    <w:rsid w:val="2486784B"/>
    <w:rsid w:val="248701FC"/>
    <w:rsid w:val="2487FF89"/>
    <w:rsid w:val="2488428F"/>
    <w:rsid w:val="2489BC1C"/>
    <w:rsid w:val="2489EADF"/>
    <w:rsid w:val="248A42D1"/>
    <w:rsid w:val="248A8671"/>
    <w:rsid w:val="248A9E78"/>
    <w:rsid w:val="248AD3B9"/>
    <w:rsid w:val="248AF632"/>
    <w:rsid w:val="248B2C02"/>
    <w:rsid w:val="248CEDCA"/>
    <w:rsid w:val="248D2BCD"/>
    <w:rsid w:val="248E4343"/>
    <w:rsid w:val="248FB664"/>
    <w:rsid w:val="2490ABD5"/>
    <w:rsid w:val="249167DE"/>
    <w:rsid w:val="249216DC"/>
    <w:rsid w:val="2492EF4D"/>
    <w:rsid w:val="249393DB"/>
    <w:rsid w:val="24940053"/>
    <w:rsid w:val="2494504A"/>
    <w:rsid w:val="24949981"/>
    <w:rsid w:val="24952E16"/>
    <w:rsid w:val="24964258"/>
    <w:rsid w:val="2496F5CE"/>
    <w:rsid w:val="249727D9"/>
    <w:rsid w:val="2497503A"/>
    <w:rsid w:val="2497B93A"/>
    <w:rsid w:val="2497DED1"/>
    <w:rsid w:val="2499AE2C"/>
    <w:rsid w:val="249A8520"/>
    <w:rsid w:val="249A88BE"/>
    <w:rsid w:val="249B3A3A"/>
    <w:rsid w:val="249B73BA"/>
    <w:rsid w:val="249B7436"/>
    <w:rsid w:val="249CB564"/>
    <w:rsid w:val="249CBF1E"/>
    <w:rsid w:val="249CC393"/>
    <w:rsid w:val="249DA606"/>
    <w:rsid w:val="249E6235"/>
    <w:rsid w:val="249F2898"/>
    <w:rsid w:val="249F85AF"/>
    <w:rsid w:val="249FD8D8"/>
    <w:rsid w:val="249FE701"/>
    <w:rsid w:val="24A0C68B"/>
    <w:rsid w:val="24A19791"/>
    <w:rsid w:val="24A1AC1A"/>
    <w:rsid w:val="24A35F9F"/>
    <w:rsid w:val="24A36457"/>
    <w:rsid w:val="24A3BA6E"/>
    <w:rsid w:val="24A3BB80"/>
    <w:rsid w:val="24A3D802"/>
    <w:rsid w:val="24A470D4"/>
    <w:rsid w:val="24A51D59"/>
    <w:rsid w:val="24A5FF72"/>
    <w:rsid w:val="24A63EBB"/>
    <w:rsid w:val="24A6BAAD"/>
    <w:rsid w:val="24A707B1"/>
    <w:rsid w:val="24A7195F"/>
    <w:rsid w:val="24A76738"/>
    <w:rsid w:val="24A82BED"/>
    <w:rsid w:val="24AB054A"/>
    <w:rsid w:val="24AB3784"/>
    <w:rsid w:val="24AB3D85"/>
    <w:rsid w:val="24AB7F47"/>
    <w:rsid w:val="24ADE68C"/>
    <w:rsid w:val="24B07509"/>
    <w:rsid w:val="24B152A9"/>
    <w:rsid w:val="24B15C49"/>
    <w:rsid w:val="24B350FD"/>
    <w:rsid w:val="24B42A91"/>
    <w:rsid w:val="24B46CD3"/>
    <w:rsid w:val="24B47502"/>
    <w:rsid w:val="24B58E07"/>
    <w:rsid w:val="24B5A119"/>
    <w:rsid w:val="24B60E47"/>
    <w:rsid w:val="24B62520"/>
    <w:rsid w:val="24B68C28"/>
    <w:rsid w:val="24B7776D"/>
    <w:rsid w:val="24B7E8E7"/>
    <w:rsid w:val="24B7EEC5"/>
    <w:rsid w:val="24B88845"/>
    <w:rsid w:val="24B892C3"/>
    <w:rsid w:val="24B8946F"/>
    <w:rsid w:val="24B8D899"/>
    <w:rsid w:val="24B9795B"/>
    <w:rsid w:val="24B9F6CA"/>
    <w:rsid w:val="24BA5E00"/>
    <w:rsid w:val="24BA956D"/>
    <w:rsid w:val="24BA971F"/>
    <w:rsid w:val="24BB1449"/>
    <w:rsid w:val="24BBA818"/>
    <w:rsid w:val="24BC75C1"/>
    <w:rsid w:val="24BCA60A"/>
    <w:rsid w:val="24BCB97D"/>
    <w:rsid w:val="24BD06F8"/>
    <w:rsid w:val="24BD6C36"/>
    <w:rsid w:val="24BDF55C"/>
    <w:rsid w:val="24BE31F9"/>
    <w:rsid w:val="24BE4F73"/>
    <w:rsid w:val="24BEE16D"/>
    <w:rsid w:val="24BF1F25"/>
    <w:rsid w:val="24BF3803"/>
    <w:rsid w:val="24C06264"/>
    <w:rsid w:val="24C07F25"/>
    <w:rsid w:val="24C08310"/>
    <w:rsid w:val="24C0AD97"/>
    <w:rsid w:val="24C21653"/>
    <w:rsid w:val="24C22228"/>
    <w:rsid w:val="24C29356"/>
    <w:rsid w:val="24C33552"/>
    <w:rsid w:val="24C3B1BA"/>
    <w:rsid w:val="24C4C3A7"/>
    <w:rsid w:val="24C4F120"/>
    <w:rsid w:val="24C51683"/>
    <w:rsid w:val="24C5CB0E"/>
    <w:rsid w:val="24C6D78D"/>
    <w:rsid w:val="24C6E835"/>
    <w:rsid w:val="24C77BF2"/>
    <w:rsid w:val="24C78452"/>
    <w:rsid w:val="24C7ACFA"/>
    <w:rsid w:val="24C80420"/>
    <w:rsid w:val="24C8A589"/>
    <w:rsid w:val="24C8FBBF"/>
    <w:rsid w:val="24C97446"/>
    <w:rsid w:val="24C99B39"/>
    <w:rsid w:val="24C9D52F"/>
    <w:rsid w:val="24CA716C"/>
    <w:rsid w:val="24CACD3A"/>
    <w:rsid w:val="24CAE4A1"/>
    <w:rsid w:val="24CBB0D4"/>
    <w:rsid w:val="24CD6F7B"/>
    <w:rsid w:val="24CD9BD8"/>
    <w:rsid w:val="24CDA384"/>
    <w:rsid w:val="24CDD458"/>
    <w:rsid w:val="24CDDB1C"/>
    <w:rsid w:val="24CE6B9C"/>
    <w:rsid w:val="24CEA655"/>
    <w:rsid w:val="24CF4636"/>
    <w:rsid w:val="24CF7B51"/>
    <w:rsid w:val="24CFE9FB"/>
    <w:rsid w:val="24D15A30"/>
    <w:rsid w:val="24D2437B"/>
    <w:rsid w:val="24D2439C"/>
    <w:rsid w:val="24D2DB4C"/>
    <w:rsid w:val="24D3800E"/>
    <w:rsid w:val="24D3DBAC"/>
    <w:rsid w:val="24D3EA6E"/>
    <w:rsid w:val="24D43E94"/>
    <w:rsid w:val="24D47E9E"/>
    <w:rsid w:val="24D4C637"/>
    <w:rsid w:val="24D568F2"/>
    <w:rsid w:val="24D5809F"/>
    <w:rsid w:val="24D7229B"/>
    <w:rsid w:val="24D8D9A6"/>
    <w:rsid w:val="24D93ABE"/>
    <w:rsid w:val="24DA20D4"/>
    <w:rsid w:val="24DA5888"/>
    <w:rsid w:val="24DAEFD8"/>
    <w:rsid w:val="24DAF39B"/>
    <w:rsid w:val="24DC9F36"/>
    <w:rsid w:val="24DCB3CB"/>
    <w:rsid w:val="24DD07C7"/>
    <w:rsid w:val="24DD3678"/>
    <w:rsid w:val="24DED50E"/>
    <w:rsid w:val="24DF9671"/>
    <w:rsid w:val="24DFA8A5"/>
    <w:rsid w:val="24DFFD8D"/>
    <w:rsid w:val="24E25CCC"/>
    <w:rsid w:val="24E2819E"/>
    <w:rsid w:val="24E33501"/>
    <w:rsid w:val="24E39AA5"/>
    <w:rsid w:val="24E40108"/>
    <w:rsid w:val="24E482CF"/>
    <w:rsid w:val="24E50A7B"/>
    <w:rsid w:val="24E7B131"/>
    <w:rsid w:val="24E82425"/>
    <w:rsid w:val="24E8FDCF"/>
    <w:rsid w:val="24EAD2AB"/>
    <w:rsid w:val="24EAD531"/>
    <w:rsid w:val="24EAE6E3"/>
    <w:rsid w:val="24EB949D"/>
    <w:rsid w:val="24EC1C0E"/>
    <w:rsid w:val="24EC2B9F"/>
    <w:rsid w:val="24ED00C3"/>
    <w:rsid w:val="24EE0DF6"/>
    <w:rsid w:val="24EEB330"/>
    <w:rsid w:val="24EF66F6"/>
    <w:rsid w:val="24EF7358"/>
    <w:rsid w:val="24F0477B"/>
    <w:rsid w:val="24F05675"/>
    <w:rsid w:val="24F0AE16"/>
    <w:rsid w:val="24F10D94"/>
    <w:rsid w:val="24F1CF30"/>
    <w:rsid w:val="24F31465"/>
    <w:rsid w:val="24F3DEFD"/>
    <w:rsid w:val="24F3E0CD"/>
    <w:rsid w:val="24F4B89B"/>
    <w:rsid w:val="24F4BDB2"/>
    <w:rsid w:val="24F52B03"/>
    <w:rsid w:val="24F58C10"/>
    <w:rsid w:val="24F6216D"/>
    <w:rsid w:val="24F6D2D9"/>
    <w:rsid w:val="24F71C06"/>
    <w:rsid w:val="24F7FA0B"/>
    <w:rsid w:val="24F80363"/>
    <w:rsid w:val="24F85F53"/>
    <w:rsid w:val="24F9A293"/>
    <w:rsid w:val="24FB57CD"/>
    <w:rsid w:val="24FC1BAD"/>
    <w:rsid w:val="24FC723D"/>
    <w:rsid w:val="24FDC1D7"/>
    <w:rsid w:val="24FDCE64"/>
    <w:rsid w:val="24FE5717"/>
    <w:rsid w:val="24FE8CD6"/>
    <w:rsid w:val="24FEF960"/>
    <w:rsid w:val="24FF35FA"/>
    <w:rsid w:val="24FF3D8D"/>
    <w:rsid w:val="24FF53E2"/>
    <w:rsid w:val="24FF97A4"/>
    <w:rsid w:val="24FFB830"/>
    <w:rsid w:val="24FFE344"/>
    <w:rsid w:val="25003F2B"/>
    <w:rsid w:val="2500D5D7"/>
    <w:rsid w:val="25014692"/>
    <w:rsid w:val="250183B3"/>
    <w:rsid w:val="2501D2F8"/>
    <w:rsid w:val="250212C5"/>
    <w:rsid w:val="25032DFB"/>
    <w:rsid w:val="25040726"/>
    <w:rsid w:val="25044C02"/>
    <w:rsid w:val="2505E18F"/>
    <w:rsid w:val="25061EC1"/>
    <w:rsid w:val="25063AD5"/>
    <w:rsid w:val="2506DED3"/>
    <w:rsid w:val="2507F2C4"/>
    <w:rsid w:val="25081BDC"/>
    <w:rsid w:val="2509333D"/>
    <w:rsid w:val="2509A5CC"/>
    <w:rsid w:val="250A665F"/>
    <w:rsid w:val="250A9FC8"/>
    <w:rsid w:val="250ABABE"/>
    <w:rsid w:val="250B29D9"/>
    <w:rsid w:val="250BAE05"/>
    <w:rsid w:val="250D4FA8"/>
    <w:rsid w:val="250D8AB9"/>
    <w:rsid w:val="250DEBBE"/>
    <w:rsid w:val="250E23BD"/>
    <w:rsid w:val="250E4F6A"/>
    <w:rsid w:val="250F3E2F"/>
    <w:rsid w:val="250F548E"/>
    <w:rsid w:val="251052E8"/>
    <w:rsid w:val="25110BA3"/>
    <w:rsid w:val="2511179D"/>
    <w:rsid w:val="25119CF0"/>
    <w:rsid w:val="25129FE1"/>
    <w:rsid w:val="2514F200"/>
    <w:rsid w:val="25152271"/>
    <w:rsid w:val="2515F646"/>
    <w:rsid w:val="25161ED2"/>
    <w:rsid w:val="2516A0F8"/>
    <w:rsid w:val="2516F30C"/>
    <w:rsid w:val="25175534"/>
    <w:rsid w:val="25175897"/>
    <w:rsid w:val="2518830A"/>
    <w:rsid w:val="2518B17C"/>
    <w:rsid w:val="2519C569"/>
    <w:rsid w:val="251A05E8"/>
    <w:rsid w:val="251AF674"/>
    <w:rsid w:val="251C0295"/>
    <w:rsid w:val="251C3BB0"/>
    <w:rsid w:val="251C830E"/>
    <w:rsid w:val="251C89AA"/>
    <w:rsid w:val="251D04A5"/>
    <w:rsid w:val="251DBA4F"/>
    <w:rsid w:val="251E20CC"/>
    <w:rsid w:val="251E236A"/>
    <w:rsid w:val="251E2517"/>
    <w:rsid w:val="251E3A7A"/>
    <w:rsid w:val="251F5BF7"/>
    <w:rsid w:val="2520B298"/>
    <w:rsid w:val="25218919"/>
    <w:rsid w:val="25233D3F"/>
    <w:rsid w:val="252340D4"/>
    <w:rsid w:val="25234CB8"/>
    <w:rsid w:val="25239BAC"/>
    <w:rsid w:val="2523AEF6"/>
    <w:rsid w:val="25245ABF"/>
    <w:rsid w:val="25251BB3"/>
    <w:rsid w:val="25252FD6"/>
    <w:rsid w:val="2526499D"/>
    <w:rsid w:val="2527D4CE"/>
    <w:rsid w:val="25283638"/>
    <w:rsid w:val="252996FF"/>
    <w:rsid w:val="252B16C8"/>
    <w:rsid w:val="252B398A"/>
    <w:rsid w:val="252B4422"/>
    <w:rsid w:val="252B9A0F"/>
    <w:rsid w:val="252BEE20"/>
    <w:rsid w:val="252C8EC6"/>
    <w:rsid w:val="252D0B0B"/>
    <w:rsid w:val="252DFC30"/>
    <w:rsid w:val="252E5752"/>
    <w:rsid w:val="252E8534"/>
    <w:rsid w:val="252EBC31"/>
    <w:rsid w:val="252F5A34"/>
    <w:rsid w:val="252F7DD9"/>
    <w:rsid w:val="2530F31C"/>
    <w:rsid w:val="253106BF"/>
    <w:rsid w:val="25328A8A"/>
    <w:rsid w:val="2532EE68"/>
    <w:rsid w:val="25338BA2"/>
    <w:rsid w:val="2534C69E"/>
    <w:rsid w:val="253521BC"/>
    <w:rsid w:val="2535DB36"/>
    <w:rsid w:val="25364028"/>
    <w:rsid w:val="25370BB4"/>
    <w:rsid w:val="253746BA"/>
    <w:rsid w:val="2537A81B"/>
    <w:rsid w:val="253806D0"/>
    <w:rsid w:val="2538B755"/>
    <w:rsid w:val="2539CF41"/>
    <w:rsid w:val="253A3F1C"/>
    <w:rsid w:val="253A5CB6"/>
    <w:rsid w:val="253B2185"/>
    <w:rsid w:val="253B4B63"/>
    <w:rsid w:val="253B68C3"/>
    <w:rsid w:val="253B8982"/>
    <w:rsid w:val="253C107A"/>
    <w:rsid w:val="253C3269"/>
    <w:rsid w:val="253CBC22"/>
    <w:rsid w:val="253D5232"/>
    <w:rsid w:val="253D9F6C"/>
    <w:rsid w:val="253DFA58"/>
    <w:rsid w:val="253F061E"/>
    <w:rsid w:val="254084D4"/>
    <w:rsid w:val="25415B9A"/>
    <w:rsid w:val="2541B0ED"/>
    <w:rsid w:val="2541B51C"/>
    <w:rsid w:val="254290B4"/>
    <w:rsid w:val="254304E2"/>
    <w:rsid w:val="25434915"/>
    <w:rsid w:val="25434A48"/>
    <w:rsid w:val="25435106"/>
    <w:rsid w:val="25447A72"/>
    <w:rsid w:val="2545B00A"/>
    <w:rsid w:val="25473F41"/>
    <w:rsid w:val="25489BAC"/>
    <w:rsid w:val="254A69F4"/>
    <w:rsid w:val="254A878B"/>
    <w:rsid w:val="254A8ED7"/>
    <w:rsid w:val="254B1441"/>
    <w:rsid w:val="254C62A1"/>
    <w:rsid w:val="254C843E"/>
    <w:rsid w:val="254CB4B8"/>
    <w:rsid w:val="254CFA77"/>
    <w:rsid w:val="254D0927"/>
    <w:rsid w:val="254D17DC"/>
    <w:rsid w:val="254E043F"/>
    <w:rsid w:val="254E9C7F"/>
    <w:rsid w:val="254ED7F0"/>
    <w:rsid w:val="254F03B4"/>
    <w:rsid w:val="254F49A2"/>
    <w:rsid w:val="2550B48C"/>
    <w:rsid w:val="2550E9B7"/>
    <w:rsid w:val="25520B0E"/>
    <w:rsid w:val="255424AE"/>
    <w:rsid w:val="255480AF"/>
    <w:rsid w:val="25554DB5"/>
    <w:rsid w:val="25559510"/>
    <w:rsid w:val="2555F221"/>
    <w:rsid w:val="25569AFD"/>
    <w:rsid w:val="2556D6AB"/>
    <w:rsid w:val="2557413A"/>
    <w:rsid w:val="255840B6"/>
    <w:rsid w:val="2558A7FC"/>
    <w:rsid w:val="2558D182"/>
    <w:rsid w:val="2558F4B3"/>
    <w:rsid w:val="255AE6B4"/>
    <w:rsid w:val="255AFB41"/>
    <w:rsid w:val="255B03C6"/>
    <w:rsid w:val="255B041B"/>
    <w:rsid w:val="255C6AED"/>
    <w:rsid w:val="255CD733"/>
    <w:rsid w:val="255CD8AC"/>
    <w:rsid w:val="255D039A"/>
    <w:rsid w:val="255E7A62"/>
    <w:rsid w:val="255E9AB8"/>
    <w:rsid w:val="255E9CEC"/>
    <w:rsid w:val="25615D97"/>
    <w:rsid w:val="2561A65A"/>
    <w:rsid w:val="2561B8CD"/>
    <w:rsid w:val="256547FF"/>
    <w:rsid w:val="2565A88A"/>
    <w:rsid w:val="256611BD"/>
    <w:rsid w:val="256662F7"/>
    <w:rsid w:val="2567142B"/>
    <w:rsid w:val="25671991"/>
    <w:rsid w:val="25671ADD"/>
    <w:rsid w:val="256722AE"/>
    <w:rsid w:val="2567F6F6"/>
    <w:rsid w:val="2567FDF2"/>
    <w:rsid w:val="256833B2"/>
    <w:rsid w:val="2568E3CD"/>
    <w:rsid w:val="2569B800"/>
    <w:rsid w:val="2569E4F5"/>
    <w:rsid w:val="256A6EE9"/>
    <w:rsid w:val="256A8DA5"/>
    <w:rsid w:val="256A9C53"/>
    <w:rsid w:val="256B0086"/>
    <w:rsid w:val="256B3B0A"/>
    <w:rsid w:val="256C8D5A"/>
    <w:rsid w:val="256CB7B0"/>
    <w:rsid w:val="256D6378"/>
    <w:rsid w:val="256E6E72"/>
    <w:rsid w:val="256EAAE6"/>
    <w:rsid w:val="256F918E"/>
    <w:rsid w:val="256FB285"/>
    <w:rsid w:val="2570224C"/>
    <w:rsid w:val="25706A7F"/>
    <w:rsid w:val="25707789"/>
    <w:rsid w:val="25722CF8"/>
    <w:rsid w:val="25723B3A"/>
    <w:rsid w:val="2572878D"/>
    <w:rsid w:val="25729296"/>
    <w:rsid w:val="2572DB47"/>
    <w:rsid w:val="2572E6F0"/>
    <w:rsid w:val="25737F1F"/>
    <w:rsid w:val="25776438"/>
    <w:rsid w:val="257841CF"/>
    <w:rsid w:val="25786DBB"/>
    <w:rsid w:val="2579E36D"/>
    <w:rsid w:val="257AE83D"/>
    <w:rsid w:val="257B72D7"/>
    <w:rsid w:val="257B7F58"/>
    <w:rsid w:val="257D0ACB"/>
    <w:rsid w:val="257D3EF6"/>
    <w:rsid w:val="257D937A"/>
    <w:rsid w:val="257EC2B7"/>
    <w:rsid w:val="257F3DC7"/>
    <w:rsid w:val="257F4574"/>
    <w:rsid w:val="257FF22A"/>
    <w:rsid w:val="2580485B"/>
    <w:rsid w:val="258049FC"/>
    <w:rsid w:val="2580D584"/>
    <w:rsid w:val="25815A5B"/>
    <w:rsid w:val="2581895C"/>
    <w:rsid w:val="2581E907"/>
    <w:rsid w:val="2581F36C"/>
    <w:rsid w:val="2582360B"/>
    <w:rsid w:val="2582740C"/>
    <w:rsid w:val="2582CA95"/>
    <w:rsid w:val="2583AFCB"/>
    <w:rsid w:val="2583B8EB"/>
    <w:rsid w:val="25851617"/>
    <w:rsid w:val="25853751"/>
    <w:rsid w:val="2585DDED"/>
    <w:rsid w:val="2585F893"/>
    <w:rsid w:val="2586CBEE"/>
    <w:rsid w:val="2586DAED"/>
    <w:rsid w:val="2588BBF3"/>
    <w:rsid w:val="2588F2DE"/>
    <w:rsid w:val="2589D0BF"/>
    <w:rsid w:val="2589FEBE"/>
    <w:rsid w:val="258A8368"/>
    <w:rsid w:val="258C0C12"/>
    <w:rsid w:val="258C2A98"/>
    <w:rsid w:val="258CB141"/>
    <w:rsid w:val="258DDDCA"/>
    <w:rsid w:val="258E3D82"/>
    <w:rsid w:val="258E6AE6"/>
    <w:rsid w:val="258F2146"/>
    <w:rsid w:val="258FA801"/>
    <w:rsid w:val="2590C578"/>
    <w:rsid w:val="259245F6"/>
    <w:rsid w:val="2594B395"/>
    <w:rsid w:val="2594CD2E"/>
    <w:rsid w:val="2595099B"/>
    <w:rsid w:val="25969E42"/>
    <w:rsid w:val="2596C3DE"/>
    <w:rsid w:val="2596C6A4"/>
    <w:rsid w:val="2598695B"/>
    <w:rsid w:val="25989636"/>
    <w:rsid w:val="2599536A"/>
    <w:rsid w:val="259A0D81"/>
    <w:rsid w:val="259AFD14"/>
    <w:rsid w:val="259B159E"/>
    <w:rsid w:val="259B3C27"/>
    <w:rsid w:val="259B40F2"/>
    <w:rsid w:val="259BA63C"/>
    <w:rsid w:val="259BAB17"/>
    <w:rsid w:val="259BCABF"/>
    <w:rsid w:val="259C06F7"/>
    <w:rsid w:val="259C4B07"/>
    <w:rsid w:val="259D3ACF"/>
    <w:rsid w:val="259D3AFF"/>
    <w:rsid w:val="259DA894"/>
    <w:rsid w:val="259DAEEA"/>
    <w:rsid w:val="259F17F4"/>
    <w:rsid w:val="259FC449"/>
    <w:rsid w:val="259FE5DD"/>
    <w:rsid w:val="25A05C59"/>
    <w:rsid w:val="25A06855"/>
    <w:rsid w:val="25A20897"/>
    <w:rsid w:val="25A28809"/>
    <w:rsid w:val="25A2A506"/>
    <w:rsid w:val="25A35AA0"/>
    <w:rsid w:val="25A38119"/>
    <w:rsid w:val="25A39FA9"/>
    <w:rsid w:val="25A4C0FB"/>
    <w:rsid w:val="25A4C686"/>
    <w:rsid w:val="25A52E17"/>
    <w:rsid w:val="25A61AC7"/>
    <w:rsid w:val="25A7C78C"/>
    <w:rsid w:val="25A7DA8F"/>
    <w:rsid w:val="25A81138"/>
    <w:rsid w:val="25A842FE"/>
    <w:rsid w:val="25A8A75B"/>
    <w:rsid w:val="25A8B4C4"/>
    <w:rsid w:val="25A8EA82"/>
    <w:rsid w:val="25A9DCAF"/>
    <w:rsid w:val="25AB08D3"/>
    <w:rsid w:val="25AB4205"/>
    <w:rsid w:val="25AC2C2C"/>
    <w:rsid w:val="25AC9BB3"/>
    <w:rsid w:val="25AE13AB"/>
    <w:rsid w:val="25AE7362"/>
    <w:rsid w:val="25B03616"/>
    <w:rsid w:val="25B1822F"/>
    <w:rsid w:val="25B1C4E7"/>
    <w:rsid w:val="25B1E976"/>
    <w:rsid w:val="25B2553B"/>
    <w:rsid w:val="25B368D7"/>
    <w:rsid w:val="25B4EBE6"/>
    <w:rsid w:val="25B58329"/>
    <w:rsid w:val="25B5BB1D"/>
    <w:rsid w:val="25B5C0F8"/>
    <w:rsid w:val="25B66D27"/>
    <w:rsid w:val="25B795FE"/>
    <w:rsid w:val="25B80303"/>
    <w:rsid w:val="25B8A51B"/>
    <w:rsid w:val="25B8AA23"/>
    <w:rsid w:val="25B960E9"/>
    <w:rsid w:val="25BA3EB5"/>
    <w:rsid w:val="25BAD1FA"/>
    <w:rsid w:val="25BB7827"/>
    <w:rsid w:val="25BB7A85"/>
    <w:rsid w:val="25BB808D"/>
    <w:rsid w:val="25BC5F45"/>
    <w:rsid w:val="25BD6887"/>
    <w:rsid w:val="25BD7C77"/>
    <w:rsid w:val="25BE1F56"/>
    <w:rsid w:val="25BE78ED"/>
    <w:rsid w:val="25BE8593"/>
    <w:rsid w:val="25BFD5E5"/>
    <w:rsid w:val="25BFD925"/>
    <w:rsid w:val="25BFFA7F"/>
    <w:rsid w:val="25C00A87"/>
    <w:rsid w:val="25C18E31"/>
    <w:rsid w:val="25C21242"/>
    <w:rsid w:val="25C27A2E"/>
    <w:rsid w:val="25C2B792"/>
    <w:rsid w:val="25C30FF6"/>
    <w:rsid w:val="25C3CC30"/>
    <w:rsid w:val="25C4258D"/>
    <w:rsid w:val="25C43ACE"/>
    <w:rsid w:val="25C45BB3"/>
    <w:rsid w:val="25C53BC7"/>
    <w:rsid w:val="25C5D72D"/>
    <w:rsid w:val="25C655E4"/>
    <w:rsid w:val="25C6E80A"/>
    <w:rsid w:val="25C8893F"/>
    <w:rsid w:val="25C8C7EF"/>
    <w:rsid w:val="25C95521"/>
    <w:rsid w:val="25C9E826"/>
    <w:rsid w:val="25CA1E41"/>
    <w:rsid w:val="25CA628F"/>
    <w:rsid w:val="25CABE47"/>
    <w:rsid w:val="25CB03A1"/>
    <w:rsid w:val="25CB7447"/>
    <w:rsid w:val="25CC9FB0"/>
    <w:rsid w:val="25CCAF67"/>
    <w:rsid w:val="25CDE207"/>
    <w:rsid w:val="25CE4550"/>
    <w:rsid w:val="25CF02B0"/>
    <w:rsid w:val="25CF695A"/>
    <w:rsid w:val="25CF8C10"/>
    <w:rsid w:val="25CF948C"/>
    <w:rsid w:val="25D008E0"/>
    <w:rsid w:val="25D0A055"/>
    <w:rsid w:val="25D0A36A"/>
    <w:rsid w:val="25D0B78F"/>
    <w:rsid w:val="25D244BA"/>
    <w:rsid w:val="25D25CD8"/>
    <w:rsid w:val="25D25D38"/>
    <w:rsid w:val="25D289B6"/>
    <w:rsid w:val="25D307AB"/>
    <w:rsid w:val="25D33037"/>
    <w:rsid w:val="25D34B7B"/>
    <w:rsid w:val="25D3E31A"/>
    <w:rsid w:val="25D40A15"/>
    <w:rsid w:val="25D51CFE"/>
    <w:rsid w:val="25D56A2F"/>
    <w:rsid w:val="25D5DE85"/>
    <w:rsid w:val="25D6053A"/>
    <w:rsid w:val="25D662F6"/>
    <w:rsid w:val="25D680C7"/>
    <w:rsid w:val="25D6A7F8"/>
    <w:rsid w:val="25D7054A"/>
    <w:rsid w:val="25D752B3"/>
    <w:rsid w:val="25D7BA59"/>
    <w:rsid w:val="25D906C2"/>
    <w:rsid w:val="25D9155B"/>
    <w:rsid w:val="25DA30E9"/>
    <w:rsid w:val="25DA54DA"/>
    <w:rsid w:val="25DC703C"/>
    <w:rsid w:val="25DCCD30"/>
    <w:rsid w:val="25DDAE63"/>
    <w:rsid w:val="25DDB449"/>
    <w:rsid w:val="25DE4821"/>
    <w:rsid w:val="25E24DDF"/>
    <w:rsid w:val="25E4D80A"/>
    <w:rsid w:val="25E5851F"/>
    <w:rsid w:val="25E680FB"/>
    <w:rsid w:val="25E6E903"/>
    <w:rsid w:val="25E6FB20"/>
    <w:rsid w:val="25E73989"/>
    <w:rsid w:val="25E755AD"/>
    <w:rsid w:val="25E7A5E9"/>
    <w:rsid w:val="25E7C87D"/>
    <w:rsid w:val="25E89272"/>
    <w:rsid w:val="25EBA332"/>
    <w:rsid w:val="25EC1F60"/>
    <w:rsid w:val="25ED1041"/>
    <w:rsid w:val="25ED2B13"/>
    <w:rsid w:val="25ED6719"/>
    <w:rsid w:val="25EE5106"/>
    <w:rsid w:val="25EEB1D7"/>
    <w:rsid w:val="25EF27A3"/>
    <w:rsid w:val="25EFBE70"/>
    <w:rsid w:val="25F115F0"/>
    <w:rsid w:val="25F14A44"/>
    <w:rsid w:val="25F1CA08"/>
    <w:rsid w:val="25F1DCD1"/>
    <w:rsid w:val="25F1EE7C"/>
    <w:rsid w:val="25F34B98"/>
    <w:rsid w:val="25F34C07"/>
    <w:rsid w:val="25F41C14"/>
    <w:rsid w:val="25F51CAB"/>
    <w:rsid w:val="25F58B64"/>
    <w:rsid w:val="25F6B0C0"/>
    <w:rsid w:val="25F6C2B7"/>
    <w:rsid w:val="25F76847"/>
    <w:rsid w:val="25F7D743"/>
    <w:rsid w:val="25F7D77C"/>
    <w:rsid w:val="25F81789"/>
    <w:rsid w:val="25F97158"/>
    <w:rsid w:val="25FABA8E"/>
    <w:rsid w:val="25FD178A"/>
    <w:rsid w:val="25FD6408"/>
    <w:rsid w:val="25FDA2D5"/>
    <w:rsid w:val="25FDA9BD"/>
    <w:rsid w:val="25FE222B"/>
    <w:rsid w:val="25FF488C"/>
    <w:rsid w:val="25FF9C2E"/>
    <w:rsid w:val="25FFB148"/>
    <w:rsid w:val="26009138"/>
    <w:rsid w:val="26029913"/>
    <w:rsid w:val="2602C88B"/>
    <w:rsid w:val="2602D98A"/>
    <w:rsid w:val="2603AE8A"/>
    <w:rsid w:val="26042F08"/>
    <w:rsid w:val="260438F0"/>
    <w:rsid w:val="2604B8FE"/>
    <w:rsid w:val="2604F577"/>
    <w:rsid w:val="26055620"/>
    <w:rsid w:val="2605701A"/>
    <w:rsid w:val="26068498"/>
    <w:rsid w:val="26068DFA"/>
    <w:rsid w:val="26072D23"/>
    <w:rsid w:val="26074672"/>
    <w:rsid w:val="2608FC94"/>
    <w:rsid w:val="26096D91"/>
    <w:rsid w:val="2609A8BC"/>
    <w:rsid w:val="260B5CE7"/>
    <w:rsid w:val="260B8866"/>
    <w:rsid w:val="260DD32F"/>
    <w:rsid w:val="260DE9A0"/>
    <w:rsid w:val="260EEA04"/>
    <w:rsid w:val="2610DADB"/>
    <w:rsid w:val="2611AA84"/>
    <w:rsid w:val="26134794"/>
    <w:rsid w:val="26145ADB"/>
    <w:rsid w:val="26147AEA"/>
    <w:rsid w:val="2614E9D1"/>
    <w:rsid w:val="2614EA5B"/>
    <w:rsid w:val="261560CD"/>
    <w:rsid w:val="26163F18"/>
    <w:rsid w:val="2616DED9"/>
    <w:rsid w:val="2617283A"/>
    <w:rsid w:val="2617F89A"/>
    <w:rsid w:val="26186A5F"/>
    <w:rsid w:val="2618ACF3"/>
    <w:rsid w:val="2619003B"/>
    <w:rsid w:val="26191EFF"/>
    <w:rsid w:val="26192BD2"/>
    <w:rsid w:val="26193745"/>
    <w:rsid w:val="261A5DA0"/>
    <w:rsid w:val="261B4390"/>
    <w:rsid w:val="261B72F0"/>
    <w:rsid w:val="261CF10C"/>
    <w:rsid w:val="261CFBD0"/>
    <w:rsid w:val="261D7796"/>
    <w:rsid w:val="261DC800"/>
    <w:rsid w:val="261E712D"/>
    <w:rsid w:val="261EDCFF"/>
    <w:rsid w:val="2620171E"/>
    <w:rsid w:val="2620A4DE"/>
    <w:rsid w:val="2620C2CF"/>
    <w:rsid w:val="262146AB"/>
    <w:rsid w:val="2622711D"/>
    <w:rsid w:val="2622F2AF"/>
    <w:rsid w:val="2624FA85"/>
    <w:rsid w:val="26253108"/>
    <w:rsid w:val="262570BE"/>
    <w:rsid w:val="2625A04A"/>
    <w:rsid w:val="262631A3"/>
    <w:rsid w:val="26269FD3"/>
    <w:rsid w:val="26271C51"/>
    <w:rsid w:val="262810A2"/>
    <w:rsid w:val="2628167B"/>
    <w:rsid w:val="2628705E"/>
    <w:rsid w:val="262916A8"/>
    <w:rsid w:val="2629540C"/>
    <w:rsid w:val="2629ADC8"/>
    <w:rsid w:val="2629C4CD"/>
    <w:rsid w:val="262A6E65"/>
    <w:rsid w:val="262BA551"/>
    <w:rsid w:val="262C4409"/>
    <w:rsid w:val="262DC75E"/>
    <w:rsid w:val="262DFAB8"/>
    <w:rsid w:val="262E32C1"/>
    <w:rsid w:val="2630CF39"/>
    <w:rsid w:val="2631FF3F"/>
    <w:rsid w:val="263244B8"/>
    <w:rsid w:val="2632FE9C"/>
    <w:rsid w:val="26332A20"/>
    <w:rsid w:val="26359791"/>
    <w:rsid w:val="2635B90F"/>
    <w:rsid w:val="2635E0B0"/>
    <w:rsid w:val="26361283"/>
    <w:rsid w:val="26370772"/>
    <w:rsid w:val="263712EE"/>
    <w:rsid w:val="2637D767"/>
    <w:rsid w:val="2638209C"/>
    <w:rsid w:val="2638B85C"/>
    <w:rsid w:val="263B30CC"/>
    <w:rsid w:val="263B5E5B"/>
    <w:rsid w:val="263C3FFC"/>
    <w:rsid w:val="263D4FC2"/>
    <w:rsid w:val="263EFB4B"/>
    <w:rsid w:val="26408171"/>
    <w:rsid w:val="2640868F"/>
    <w:rsid w:val="2640CE6C"/>
    <w:rsid w:val="2642AB5B"/>
    <w:rsid w:val="2644218F"/>
    <w:rsid w:val="26452EAC"/>
    <w:rsid w:val="2645C2EB"/>
    <w:rsid w:val="26467413"/>
    <w:rsid w:val="2646DA30"/>
    <w:rsid w:val="2646F460"/>
    <w:rsid w:val="2647161C"/>
    <w:rsid w:val="26471E82"/>
    <w:rsid w:val="2647C643"/>
    <w:rsid w:val="2648AF53"/>
    <w:rsid w:val="26498C0C"/>
    <w:rsid w:val="264A0E43"/>
    <w:rsid w:val="264A4A66"/>
    <w:rsid w:val="264AF366"/>
    <w:rsid w:val="264B1D91"/>
    <w:rsid w:val="264C4D4D"/>
    <w:rsid w:val="264C6655"/>
    <w:rsid w:val="264C9813"/>
    <w:rsid w:val="264CAA99"/>
    <w:rsid w:val="264CD9E0"/>
    <w:rsid w:val="264D140B"/>
    <w:rsid w:val="264D3F56"/>
    <w:rsid w:val="264D687E"/>
    <w:rsid w:val="264F67E4"/>
    <w:rsid w:val="264FC69B"/>
    <w:rsid w:val="264FD30E"/>
    <w:rsid w:val="26506BE8"/>
    <w:rsid w:val="2650A237"/>
    <w:rsid w:val="2651CBC7"/>
    <w:rsid w:val="2651F924"/>
    <w:rsid w:val="26521DA9"/>
    <w:rsid w:val="26523EB7"/>
    <w:rsid w:val="265314BA"/>
    <w:rsid w:val="2653951B"/>
    <w:rsid w:val="2653BDC1"/>
    <w:rsid w:val="2653DB02"/>
    <w:rsid w:val="26542318"/>
    <w:rsid w:val="265423CA"/>
    <w:rsid w:val="26561AB4"/>
    <w:rsid w:val="2659AF4B"/>
    <w:rsid w:val="265A6410"/>
    <w:rsid w:val="265B18BE"/>
    <w:rsid w:val="265B31DB"/>
    <w:rsid w:val="265C8EDE"/>
    <w:rsid w:val="265CC9B9"/>
    <w:rsid w:val="265CF1A4"/>
    <w:rsid w:val="265D0408"/>
    <w:rsid w:val="265EB1A3"/>
    <w:rsid w:val="265EBD03"/>
    <w:rsid w:val="26603906"/>
    <w:rsid w:val="2660482B"/>
    <w:rsid w:val="2660EE07"/>
    <w:rsid w:val="2661752F"/>
    <w:rsid w:val="2662271B"/>
    <w:rsid w:val="26623674"/>
    <w:rsid w:val="2662CB84"/>
    <w:rsid w:val="2662D460"/>
    <w:rsid w:val="2662FE90"/>
    <w:rsid w:val="26638FD0"/>
    <w:rsid w:val="266456F1"/>
    <w:rsid w:val="2664B310"/>
    <w:rsid w:val="26654006"/>
    <w:rsid w:val="2665B10C"/>
    <w:rsid w:val="26672CAA"/>
    <w:rsid w:val="2667B0F4"/>
    <w:rsid w:val="2667F0CF"/>
    <w:rsid w:val="2667F8E7"/>
    <w:rsid w:val="266BA483"/>
    <w:rsid w:val="266BBEC9"/>
    <w:rsid w:val="266C697D"/>
    <w:rsid w:val="266C87C0"/>
    <w:rsid w:val="266D1ED9"/>
    <w:rsid w:val="266D5E1D"/>
    <w:rsid w:val="266DA5B7"/>
    <w:rsid w:val="266E80DA"/>
    <w:rsid w:val="266F3FC4"/>
    <w:rsid w:val="266F5F97"/>
    <w:rsid w:val="266FC3B1"/>
    <w:rsid w:val="2670B292"/>
    <w:rsid w:val="26716404"/>
    <w:rsid w:val="267224C6"/>
    <w:rsid w:val="26743D71"/>
    <w:rsid w:val="26745FFD"/>
    <w:rsid w:val="2674DAC8"/>
    <w:rsid w:val="267719CC"/>
    <w:rsid w:val="26774FE3"/>
    <w:rsid w:val="26776044"/>
    <w:rsid w:val="2677CF50"/>
    <w:rsid w:val="26781FF2"/>
    <w:rsid w:val="26788628"/>
    <w:rsid w:val="267B5443"/>
    <w:rsid w:val="267B75F4"/>
    <w:rsid w:val="267CD2F4"/>
    <w:rsid w:val="267D9CEB"/>
    <w:rsid w:val="267E6CDA"/>
    <w:rsid w:val="267EB124"/>
    <w:rsid w:val="267EE666"/>
    <w:rsid w:val="267FB4C9"/>
    <w:rsid w:val="267FB8E1"/>
    <w:rsid w:val="267FCEA0"/>
    <w:rsid w:val="267FE5A6"/>
    <w:rsid w:val="268099AC"/>
    <w:rsid w:val="268100B9"/>
    <w:rsid w:val="26817DFC"/>
    <w:rsid w:val="26818DED"/>
    <w:rsid w:val="26821B2A"/>
    <w:rsid w:val="2682DA5B"/>
    <w:rsid w:val="2683AB09"/>
    <w:rsid w:val="2683FF5A"/>
    <w:rsid w:val="2684500A"/>
    <w:rsid w:val="26847E8C"/>
    <w:rsid w:val="26848EEE"/>
    <w:rsid w:val="26849808"/>
    <w:rsid w:val="2684C349"/>
    <w:rsid w:val="268537CE"/>
    <w:rsid w:val="268669A8"/>
    <w:rsid w:val="2686E936"/>
    <w:rsid w:val="26879AF0"/>
    <w:rsid w:val="26892048"/>
    <w:rsid w:val="26893715"/>
    <w:rsid w:val="268959C5"/>
    <w:rsid w:val="268C4DBA"/>
    <w:rsid w:val="268D32EC"/>
    <w:rsid w:val="268DD7A3"/>
    <w:rsid w:val="268F2EDE"/>
    <w:rsid w:val="268FE823"/>
    <w:rsid w:val="269054E7"/>
    <w:rsid w:val="2691374E"/>
    <w:rsid w:val="2691D370"/>
    <w:rsid w:val="26928372"/>
    <w:rsid w:val="26986A01"/>
    <w:rsid w:val="2698C31F"/>
    <w:rsid w:val="2698C8BA"/>
    <w:rsid w:val="269A4029"/>
    <w:rsid w:val="269A4D31"/>
    <w:rsid w:val="269C1BF3"/>
    <w:rsid w:val="269C2EDF"/>
    <w:rsid w:val="269C9821"/>
    <w:rsid w:val="269CA638"/>
    <w:rsid w:val="269CC932"/>
    <w:rsid w:val="269E64B5"/>
    <w:rsid w:val="269ED6D3"/>
    <w:rsid w:val="269F5ABA"/>
    <w:rsid w:val="269FD825"/>
    <w:rsid w:val="26A0577D"/>
    <w:rsid w:val="26A0A57E"/>
    <w:rsid w:val="26A13FEE"/>
    <w:rsid w:val="26A1B1F0"/>
    <w:rsid w:val="26A2B9EF"/>
    <w:rsid w:val="26A33C17"/>
    <w:rsid w:val="26A46233"/>
    <w:rsid w:val="26A59A1F"/>
    <w:rsid w:val="26A69BBD"/>
    <w:rsid w:val="26A8154F"/>
    <w:rsid w:val="26A8456C"/>
    <w:rsid w:val="26A87ADB"/>
    <w:rsid w:val="26A93256"/>
    <w:rsid w:val="26A9492B"/>
    <w:rsid w:val="26A9C682"/>
    <w:rsid w:val="26AA904D"/>
    <w:rsid w:val="26AA93A1"/>
    <w:rsid w:val="26AC4D78"/>
    <w:rsid w:val="26AC5E3D"/>
    <w:rsid w:val="26ACC37A"/>
    <w:rsid w:val="26AE7E1D"/>
    <w:rsid w:val="26AE94A6"/>
    <w:rsid w:val="26AFB56F"/>
    <w:rsid w:val="26B017DF"/>
    <w:rsid w:val="26B0B68D"/>
    <w:rsid w:val="26B2ABA2"/>
    <w:rsid w:val="26B2C6CE"/>
    <w:rsid w:val="26B30C3E"/>
    <w:rsid w:val="26B324CE"/>
    <w:rsid w:val="26B33A70"/>
    <w:rsid w:val="26B3A03F"/>
    <w:rsid w:val="26B46BC5"/>
    <w:rsid w:val="26B504FC"/>
    <w:rsid w:val="26B5583E"/>
    <w:rsid w:val="26B65F24"/>
    <w:rsid w:val="26B6D1F8"/>
    <w:rsid w:val="26B72DE2"/>
    <w:rsid w:val="26B7937D"/>
    <w:rsid w:val="26B82D55"/>
    <w:rsid w:val="26B85F9A"/>
    <w:rsid w:val="26B89A8C"/>
    <w:rsid w:val="26B9DE87"/>
    <w:rsid w:val="26BA0ADB"/>
    <w:rsid w:val="26BB3507"/>
    <w:rsid w:val="26BC2D0E"/>
    <w:rsid w:val="26BC4501"/>
    <w:rsid w:val="26BCAC6D"/>
    <w:rsid w:val="26BD1969"/>
    <w:rsid w:val="26BF1D39"/>
    <w:rsid w:val="26BFAA97"/>
    <w:rsid w:val="26C059E3"/>
    <w:rsid w:val="26C0ABBA"/>
    <w:rsid w:val="26C1573C"/>
    <w:rsid w:val="26C20E4B"/>
    <w:rsid w:val="26C2415F"/>
    <w:rsid w:val="26C3DA6A"/>
    <w:rsid w:val="26C3F62C"/>
    <w:rsid w:val="26C444D9"/>
    <w:rsid w:val="26C450AD"/>
    <w:rsid w:val="26C46086"/>
    <w:rsid w:val="26C46A8C"/>
    <w:rsid w:val="26C4F305"/>
    <w:rsid w:val="26C5A034"/>
    <w:rsid w:val="26C8500D"/>
    <w:rsid w:val="26C88E62"/>
    <w:rsid w:val="26C92134"/>
    <w:rsid w:val="26C9ECC5"/>
    <w:rsid w:val="26CA05BE"/>
    <w:rsid w:val="26CA420C"/>
    <w:rsid w:val="26CA801F"/>
    <w:rsid w:val="26CB34CC"/>
    <w:rsid w:val="26CB7B93"/>
    <w:rsid w:val="26CBE5E8"/>
    <w:rsid w:val="26CD2CF0"/>
    <w:rsid w:val="26CD342A"/>
    <w:rsid w:val="26CEEB4B"/>
    <w:rsid w:val="26CF928B"/>
    <w:rsid w:val="26CF9AD7"/>
    <w:rsid w:val="26D0126F"/>
    <w:rsid w:val="26D121A8"/>
    <w:rsid w:val="26D1742C"/>
    <w:rsid w:val="26D17FFB"/>
    <w:rsid w:val="26D1D06A"/>
    <w:rsid w:val="26D216ED"/>
    <w:rsid w:val="26D24827"/>
    <w:rsid w:val="26D26C40"/>
    <w:rsid w:val="26D2DEB1"/>
    <w:rsid w:val="26D51ED7"/>
    <w:rsid w:val="26D67918"/>
    <w:rsid w:val="26D6833D"/>
    <w:rsid w:val="26D69B92"/>
    <w:rsid w:val="26D817F4"/>
    <w:rsid w:val="26D82AAB"/>
    <w:rsid w:val="26D86CF8"/>
    <w:rsid w:val="26DAE841"/>
    <w:rsid w:val="26DB9BD5"/>
    <w:rsid w:val="26DBFACF"/>
    <w:rsid w:val="26DCB341"/>
    <w:rsid w:val="26DDFD02"/>
    <w:rsid w:val="26DF7C78"/>
    <w:rsid w:val="26DFDB47"/>
    <w:rsid w:val="26E01E99"/>
    <w:rsid w:val="26E1719A"/>
    <w:rsid w:val="26E19ADA"/>
    <w:rsid w:val="26E1C941"/>
    <w:rsid w:val="26E21C20"/>
    <w:rsid w:val="26E23451"/>
    <w:rsid w:val="26E35E85"/>
    <w:rsid w:val="26E3B97C"/>
    <w:rsid w:val="26E43E40"/>
    <w:rsid w:val="26E453ED"/>
    <w:rsid w:val="26E4BEE6"/>
    <w:rsid w:val="26E4E220"/>
    <w:rsid w:val="26E51265"/>
    <w:rsid w:val="26E54E14"/>
    <w:rsid w:val="26E5A52B"/>
    <w:rsid w:val="26E66634"/>
    <w:rsid w:val="26E711BF"/>
    <w:rsid w:val="26E7240B"/>
    <w:rsid w:val="26E74EDE"/>
    <w:rsid w:val="26E78736"/>
    <w:rsid w:val="26E9595E"/>
    <w:rsid w:val="26E9C218"/>
    <w:rsid w:val="26EBFB7A"/>
    <w:rsid w:val="26EC00BA"/>
    <w:rsid w:val="26EC3CFB"/>
    <w:rsid w:val="26ED4673"/>
    <w:rsid w:val="26ED7DBE"/>
    <w:rsid w:val="26EDA5E0"/>
    <w:rsid w:val="26EE8201"/>
    <w:rsid w:val="26EF114C"/>
    <w:rsid w:val="26F0A0AF"/>
    <w:rsid w:val="26F18E0F"/>
    <w:rsid w:val="26F28930"/>
    <w:rsid w:val="26F30891"/>
    <w:rsid w:val="26F33218"/>
    <w:rsid w:val="26F50FBE"/>
    <w:rsid w:val="26F71641"/>
    <w:rsid w:val="26F73858"/>
    <w:rsid w:val="26F7D02B"/>
    <w:rsid w:val="26F7F1FB"/>
    <w:rsid w:val="26F83E00"/>
    <w:rsid w:val="26F88AAC"/>
    <w:rsid w:val="26F8F359"/>
    <w:rsid w:val="26F8F764"/>
    <w:rsid w:val="26F97D50"/>
    <w:rsid w:val="26FAA474"/>
    <w:rsid w:val="26FB5464"/>
    <w:rsid w:val="26FB59BF"/>
    <w:rsid w:val="26FBC40C"/>
    <w:rsid w:val="26FC8BFD"/>
    <w:rsid w:val="26FD51FD"/>
    <w:rsid w:val="26FD54A3"/>
    <w:rsid w:val="26FD63E4"/>
    <w:rsid w:val="26FE61A6"/>
    <w:rsid w:val="26FFC0CB"/>
    <w:rsid w:val="2700B678"/>
    <w:rsid w:val="27017CBE"/>
    <w:rsid w:val="270205D6"/>
    <w:rsid w:val="270263D8"/>
    <w:rsid w:val="27028949"/>
    <w:rsid w:val="27035DAB"/>
    <w:rsid w:val="2704016A"/>
    <w:rsid w:val="270428AE"/>
    <w:rsid w:val="27043571"/>
    <w:rsid w:val="2704E67B"/>
    <w:rsid w:val="2704EF46"/>
    <w:rsid w:val="270618F5"/>
    <w:rsid w:val="2706E3AA"/>
    <w:rsid w:val="27089AB5"/>
    <w:rsid w:val="2708AB2C"/>
    <w:rsid w:val="270B32D5"/>
    <w:rsid w:val="270D306B"/>
    <w:rsid w:val="270D65D9"/>
    <w:rsid w:val="270EFA55"/>
    <w:rsid w:val="270F0370"/>
    <w:rsid w:val="270F4EA9"/>
    <w:rsid w:val="2711261F"/>
    <w:rsid w:val="27117741"/>
    <w:rsid w:val="2711B7AC"/>
    <w:rsid w:val="27123482"/>
    <w:rsid w:val="27137FB7"/>
    <w:rsid w:val="2714E5DE"/>
    <w:rsid w:val="27150EB0"/>
    <w:rsid w:val="27160641"/>
    <w:rsid w:val="27161554"/>
    <w:rsid w:val="2716434E"/>
    <w:rsid w:val="2716BF10"/>
    <w:rsid w:val="2716C6B3"/>
    <w:rsid w:val="27189A2F"/>
    <w:rsid w:val="2719130E"/>
    <w:rsid w:val="27193A23"/>
    <w:rsid w:val="2719964E"/>
    <w:rsid w:val="271A00D4"/>
    <w:rsid w:val="271A964D"/>
    <w:rsid w:val="271AADFD"/>
    <w:rsid w:val="271AD5E6"/>
    <w:rsid w:val="271B4D42"/>
    <w:rsid w:val="271C1C45"/>
    <w:rsid w:val="271CEBF0"/>
    <w:rsid w:val="271EB8A6"/>
    <w:rsid w:val="271EC968"/>
    <w:rsid w:val="271F543D"/>
    <w:rsid w:val="272048E1"/>
    <w:rsid w:val="2720581C"/>
    <w:rsid w:val="27207AD2"/>
    <w:rsid w:val="272118ED"/>
    <w:rsid w:val="27216AD4"/>
    <w:rsid w:val="2721EB28"/>
    <w:rsid w:val="27228199"/>
    <w:rsid w:val="272334A0"/>
    <w:rsid w:val="272351C1"/>
    <w:rsid w:val="272362F4"/>
    <w:rsid w:val="27237A8E"/>
    <w:rsid w:val="27245F09"/>
    <w:rsid w:val="27249AB6"/>
    <w:rsid w:val="27250F2C"/>
    <w:rsid w:val="27254091"/>
    <w:rsid w:val="27258847"/>
    <w:rsid w:val="2725A0D0"/>
    <w:rsid w:val="2725BF3E"/>
    <w:rsid w:val="2725C3EF"/>
    <w:rsid w:val="27267E43"/>
    <w:rsid w:val="272730D3"/>
    <w:rsid w:val="272753AA"/>
    <w:rsid w:val="2727D727"/>
    <w:rsid w:val="27280473"/>
    <w:rsid w:val="27282A0F"/>
    <w:rsid w:val="2728E2E2"/>
    <w:rsid w:val="2729E69F"/>
    <w:rsid w:val="272A079B"/>
    <w:rsid w:val="272AD7D4"/>
    <w:rsid w:val="272B141C"/>
    <w:rsid w:val="272B2E2C"/>
    <w:rsid w:val="272C0716"/>
    <w:rsid w:val="272C97FE"/>
    <w:rsid w:val="272D7978"/>
    <w:rsid w:val="272DB5B4"/>
    <w:rsid w:val="272DC4AD"/>
    <w:rsid w:val="272E92C3"/>
    <w:rsid w:val="272ED52B"/>
    <w:rsid w:val="272F00F5"/>
    <w:rsid w:val="272F53B5"/>
    <w:rsid w:val="2730A867"/>
    <w:rsid w:val="2731AB33"/>
    <w:rsid w:val="2731BAAB"/>
    <w:rsid w:val="2731CD9C"/>
    <w:rsid w:val="2731EA64"/>
    <w:rsid w:val="2732328D"/>
    <w:rsid w:val="273286D0"/>
    <w:rsid w:val="27333ABA"/>
    <w:rsid w:val="27360A47"/>
    <w:rsid w:val="27362D77"/>
    <w:rsid w:val="2737A1F9"/>
    <w:rsid w:val="273981EA"/>
    <w:rsid w:val="2739B03A"/>
    <w:rsid w:val="2739DC02"/>
    <w:rsid w:val="273D015B"/>
    <w:rsid w:val="273E07BF"/>
    <w:rsid w:val="273E5B7E"/>
    <w:rsid w:val="273E935C"/>
    <w:rsid w:val="273EA02E"/>
    <w:rsid w:val="273EE1B1"/>
    <w:rsid w:val="27402397"/>
    <w:rsid w:val="2740A846"/>
    <w:rsid w:val="274109AF"/>
    <w:rsid w:val="2741F4BB"/>
    <w:rsid w:val="274205DA"/>
    <w:rsid w:val="27424583"/>
    <w:rsid w:val="2742CEC6"/>
    <w:rsid w:val="27439B80"/>
    <w:rsid w:val="2743CB30"/>
    <w:rsid w:val="2743D0C7"/>
    <w:rsid w:val="274486C7"/>
    <w:rsid w:val="27449AED"/>
    <w:rsid w:val="2745649D"/>
    <w:rsid w:val="27464D5B"/>
    <w:rsid w:val="27465178"/>
    <w:rsid w:val="2746A2DE"/>
    <w:rsid w:val="2746D639"/>
    <w:rsid w:val="27475B81"/>
    <w:rsid w:val="27478C8F"/>
    <w:rsid w:val="2749371B"/>
    <w:rsid w:val="274956C4"/>
    <w:rsid w:val="27497A95"/>
    <w:rsid w:val="274A977F"/>
    <w:rsid w:val="274AC224"/>
    <w:rsid w:val="274B28B1"/>
    <w:rsid w:val="274C83A4"/>
    <w:rsid w:val="274C9EF9"/>
    <w:rsid w:val="274E4C64"/>
    <w:rsid w:val="274E5FB9"/>
    <w:rsid w:val="27504436"/>
    <w:rsid w:val="27507A76"/>
    <w:rsid w:val="27518618"/>
    <w:rsid w:val="2751A474"/>
    <w:rsid w:val="275284AF"/>
    <w:rsid w:val="2753C441"/>
    <w:rsid w:val="275487BF"/>
    <w:rsid w:val="27563C8B"/>
    <w:rsid w:val="27566A5B"/>
    <w:rsid w:val="275716FB"/>
    <w:rsid w:val="275A0F5A"/>
    <w:rsid w:val="275A7FF5"/>
    <w:rsid w:val="275AFCD6"/>
    <w:rsid w:val="275B5951"/>
    <w:rsid w:val="275CEB05"/>
    <w:rsid w:val="2760B1AE"/>
    <w:rsid w:val="2761D94C"/>
    <w:rsid w:val="27621C93"/>
    <w:rsid w:val="2762A6B1"/>
    <w:rsid w:val="2765E8C2"/>
    <w:rsid w:val="27660B1C"/>
    <w:rsid w:val="27664DCE"/>
    <w:rsid w:val="2766A93C"/>
    <w:rsid w:val="2767EBC6"/>
    <w:rsid w:val="2767F954"/>
    <w:rsid w:val="27683C80"/>
    <w:rsid w:val="2768C764"/>
    <w:rsid w:val="27694496"/>
    <w:rsid w:val="276957C8"/>
    <w:rsid w:val="27697384"/>
    <w:rsid w:val="27698006"/>
    <w:rsid w:val="2769C2BD"/>
    <w:rsid w:val="276A0920"/>
    <w:rsid w:val="276A24E4"/>
    <w:rsid w:val="276A74F5"/>
    <w:rsid w:val="276BF94E"/>
    <w:rsid w:val="276D4400"/>
    <w:rsid w:val="276E33C3"/>
    <w:rsid w:val="276F0391"/>
    <w:rsid w:val="276F10F0"/>
    <w:rsid w:val="276F4A8C"/>
    <w:rsid w:val="27703068"/>
    <w:rsid w:val="277043A7"/>
    <w:rsid w:val="2770595A"/>
    <w:rsid w:val="2770E655"/>
    <w:rsid w:val="2773045B"/>
    <w:rsid w:val="27742E8B"/>
    <w:rsid w:val="277743AF"/>
    <w:rsid w:val="27774C06"/>
    <w:rsid w:val="27782F06"/>
    <w:rsid w:val="27797860"/>
    <w:rsid w:val="277B8FEB"/>
    <w:rsid w:val="277CDCA0"/>
    <w:rsid w:val="277CE4A9"/>
    <w:rsid w:val="277D570F"/>
    <w:rsid w:val="277D5996"/>
    <w:rsid w:val="277D7824"/>
    <w:rsid w:val="277DA39B"/>
    <w:rsid w:val="277F531E"/>
    <w:rsid w:val="277F5C6F"/>
    <w:rsid w:val="278037AF"/>
    <w:rsid w:val="27813FF3"/>
    <w:rsid w:val="278169B0"/>
    <w:rsid w:val="2781B67E"/>
    <w:rsid w:val="2782355C"/>
    <w:rsid w:val="27839CFC"/>
    <w:rsid w:val="2783D6BC"/>
    <w:rsid w:val="2785BBD3"/>
    <w:rsid w:val="2786E765"/>
    <w:rsid w:val="278707D9"/>
    <w:rsid w:val="2787EECC"/>
    <w:rsid w:val="27890736"/>
    <w:rsid w:val="2789569D"/>
    <w:rsid w:val="278A9E3A"/>
    <w:rsid w:val="278B17A1"/>
    <w:rsid w:val="278CBA2C"/>
    <w:rsid w:val="278D0D8A"/>
    <w:rsid w:val="278F2AC9"/>
    <w:rsid w:val="278F7AA6"/>
    <w:rsid w:val="278FAC60"/>
    <w:rsid w:val="279006F0"/>
    <w:rsid w:val="27907118"/>
    <w:rsid w:val="2792ED28"/>
    <w:rsid w:val="2793CC00"/>
    <w:rsid w:val="2793F193"/>
    <w:rsid w:val="2794141F"/>
    <w:rsid w:val="279442DB"/>
    <w:rsid w:val="27945048"/>
    <w:rsid w:val="27957646"/>
    <w:rsid w:val="2795DA26"/>
    <w:rsid w:val="2796CFF1"/>
    <w:rsid w:val="27974040"/>
    <w:rsid w:val="27980B86"/>
    <w:rsid w:val="27985246"/>
    <w:rsid w:val="279870F6"/>
    <w:rsid w:val="2798D2E6"/>
    <w:rsid w:val="2798D63A"/>
    <w:rsid w:val="2799296E"/>
    <w:rsid w:val="279A4717"/>
    <w:rsid w:val="279A5BAD"/>
    <w:rsid w:val="279A844B"/>
    <w:rsid w:val="279B6C6B"/>
    <w:rsid w:val="279B7D3F"/>
    <w:rsid w:val="279B9CF4"/>
    <w:rsid w:val="279BECE1"/>
    <w:rsid w:val="279C29A5"/>
    <w:rsid w:val="279C3DF8"/>
    <w:rsid w:val="279D081D"/>
    <w:rsid w:val="279D3273"/>
    <w:rsid w:val="279D588D"/>
    <w:rsid w:val="279D88F5"/>
    <w:rsid w:val="279D9EAA"/>
    <w:rsid w:val="279E11B1"/>
    <w:rsid w:val="27A0B5F3"/>
    <w:rsid w:val="27A1BA39"/>
    <w:rsid w:val="27A24937"/>
    <w:rsid w:val="27A32DD1"/>
    <w:rsid w:val="27A3637D"/>
    <w:rsid w:val="27A39F76"/>
    <w:rsid w:val="27A3FE62"/>
    <w:rsid w:val="27A49BA6"/>
    <w:rsid w:val="27A59B71"/>
    <w:rsid w:val="27A74C53"/>
    <w:rsid w:val="27A76660"/>
    <w:rsid w:val="27A848E4"/>
    <w:rsid w:val="27A9FFD7"/>
    <w:rsid w:val="27AA2078"/>
    <w:rsid w:val="27AB89F4"/>
    <w:rsid w:val="27ABB59E"/>
    <w:rsid w:val="27AC808D"/>
    <w:rsid w:val="27ADF058"/>
    <w:rsid w:val="27ADF1A9"/>
    <w:rsid w:val="27AEE947"/>
    <w:rsid w:val="27B02908"/>
    <w:rsid w:val="27B12777"/>
    <w:rsid w:val="27B175E0"/>
    <w:rsid w:val="27B1897B"/>
    <w:rsid w:val="27B1D7DD"/>
    <w:rsid w:val="27B1E69F"/>
    <w:rsid w:val="27B28EA4"/>
    <w:rsid w:val="27B2DE71"/>
    <w:rsid w:val="27B3584F"/>
    <w:rsid w:val="27B52245"/>
    <w:rsid w:val="27B55539"/>
    <w:rsid w:val="27B583B2"/>
    <w:rsid w:val="27B66871"/>
    <w:rsid w:val="27B6850C"/>
    <w:rsid w:val="27B71B38"/>
    <w:rsid w:val="27B81053"/>
    <w:rsid w:val="27B89CF4"/>
    <w:rsid w:val="27B962C8"/>
    <w:rsid w:val="27B971C4"/>
    <w:rsid w:val="27BA0A70"/>
    <w:rsid w:val="27BB33FE"/>
    <w:rsid w:val="27BC091A"/>
    <w:rsid w:val="27BD16C9"/>
    <w:rsid w:val="27BD94BB"/>
    <w:rsid w:val="27BDB616"/>
    <w:rsid w:val="27BE89DE"/>
    <w:rsid w:val="27BF1D85"/>
    <w:rsid w:val="27BF2EDF"/>
    <w:rsid w:val="27BF43B2"/>
    <w:rsid w:val="27C02991"/>
    <w:rsid w:val="27C0AB1E"/>
    <w:rsid w:val="27C0D404"/>
    <w:rsid w:val="27C1DD66"/>
    <w:rsid w:val="27C45F4B"/>
    <w:rsid w:val="27C4FCC0"/>
    <w:rsid w:val="27C50E40"/>
    <w:rsid w:val="27C513B0"/>
    <w:rsid w:val="27C57453"/>
    <w:rsid w:val="27C64657"/>
    <w:rsid w:val="27C65FDA"/>
    <w:rsid w:val="27C69F41"/>
    <w:rsid w:val="27C6DB9B"/>
    <w:rsid w:val="27C755FD"/>
    <w:rsid w:val="27C7B877"/>
    <w:rsid w:val="27C7C5C6"/>
    <w:rsid w:val="27C87166"/>
    <w:rsid w:val="27C8C028"/>
    <w:rsid w:val="27C993E1"/>
    <w:rsid w:val="27CBD776"/>
    <w:rsid w:val="27CBFF42"/>
    <w:rsid w:val="27CC8DAC"/>
    <w:rsid w:val="27CCD147"/>
    <w:rsid w:val="27CD683C"/>
    <w:rsid w:val="27CE18C9"/>
    <w:rsid w:val="27CE22E4"/>
    <w:rsid w:val="27CE977E"/>
    <w:rsid w:val="27CFEA12"/>
    <w:rsid w:val="27D08114"/>
    <w:rsid w:val="27D0D190"/>
    <w:rsid w:val="27D198B0"/>
    <w:rsid w:val="27D1E040"/>
    <w:rsid w:val="27D20D03"/>
    <w:rsid w:val="27D2526B"/>
    <w:rsid w:val="27D2DAFC"/>
    <w:rsid w:val="27D30F4F"/>
    <w:rsid w:val="27D39B17"/>
    <w:rsid w:val="27D3C437"/>
    <w:rsid w:val="27D547C2"/>
    <w:rsid w:val="27D644FC"/>
    <w:rsid w:val="27D6614C"/>
    <w:rsid w:val="27D8C601"/>
    <w:rsid w:val="27DA01D0"/>
    <w:rsid w:val="27DA7654"/>
    <w:rsid w:val="27DADE7E"/>
    <w:rsid w:val="27DAF906"/>
    <w:rsid w:val="27DC50D5"/>
    <w:rsid w:val="27DCC3B7"/>
    <w:rsid w:val="27DFD471"/>
    <w:rsid w:val="27E1A0C1"/>
    <w:rsid w:val="27E25791"/>
    <w:rsid w:val="27E35B30"/>
    <w:rsid w:val="27E3D33C"/>
    <w:rsid w:val="27E3E2AD"/>
    <w:rsid w:val="27E526FA"/>
    <w:rsid w:val="27E5FE21"/>
    <w:rsid w:val="27E67C11"/>
    <w:rsid w:val="27E7185F"/>
    <w:rsid w:val="27E7B1B3"/>
    <w:rsid w:val="27E841C1"/>
    <w:rsid w:val="27E84A48"/>
    <w:rsid w:val="27E87E0E"/>
    <w:rsid w:val="27E8EC79"/>
    <w:rsid w:val="27E95520"/>
    <w:rsid w:val="27E9F7A0"/>
    <w:rsid w:val="27EA9D27"/>
    <w:rsid w:val="27EB922C"/>
    <w:rsid w:val="27EC90D6"/>
    <w:rsid w:val="27ECF356"/>
    <w:rsid w:val="27ECFFBA"/>
    <w:rsid w:val="27ED1127"/>
    <w:rsid w:val="27EDC466"/>
    <w:rsid w:val="27EE99D3"/>
    <w:rsid w:val="27EF0B62"/>
    <w:rsid w:val="27EF34E8"/>
    <w:rsid w:val="27EF8E22"/>
    <w:rsid w:val="27F0A471"/>
    <w:rsid w:val="27F14B52"/>
    <w:rsid w:val="27F18918"/>
    <w:rsid w:val="27F18CDD"/>
    <w:rsid w:val="27F27203"/>
    <w:rsid w:val="27F303DF"/>
    <w:rsid w:val="27F33001"/>
    <w:rsid w:val="27F42891"/>
    <w:rsid w:val="27F55763"/>
    <w:rsid w:val="27F588ED"/>
    <w:rsid w:val="27F5AD39"/>
    <w:rsid w:val="27F5E83F"/>
    <w:rsid w:val="27F82528"/>
    <w:rsid w:val="27F89BA5"/>
    <w:rsid w:val="27F96C5B"/>
    <w:rsid w:val="27FB22BB"/>
    <w:rsid w:val="27FBCBF2"/>
    <w:rsid w:val="27FC5618"/>
    <w:rsid w:val="27FC91E2"/>
    <w:rsid w:val="27FCC795"/>
    <w:rsid w:val="27FD142D"/>
    <w:rsid w:val="27FD70A5"/>
    <w:rsid w:val="27FD80DC"/>
    <w:rsid w:val="27FE2B3E"/>
    <w:rsid w:val="27FE2E3C"/>
    <w:rsid w:val="27FF0FB8"/>
    <w:rsid w:val="27FFB42F"/>
    <w:rsid w:val="2800FA03"/>
    <w:rsid w:val="28012BC1"/>
    <w:rsid w:val="2801719A"/>
    <w:rsid w:val="2801E976"/>
    <w:rsid w:val="28024021"/>
    <w:rsid w:val="280306AD"/>
    <w:rsid w:val="28032EC0"/>
    <w:rsid w:val="2803C130"/>
    <w:rsid w:val="2803CFD9"/>
    <w:rsid w:val="28044375"/>
    <w:rsid w:val="28062D5D"/>
    <w:rsid w:val="2806CBDF"/>
    <w:rsid w:val="2806EB42"/>
    <w:rsid w:val="2807F06B"/>
    <w:rsid w:val="280886AD"/>
    <w:rsid w:val="2808B852"/>
    <w:rsid w:val="2808BEE6"/>
    <w:rsid w:val="2809F9B2"/>
    <w:rsid w:val="280A1368"/>
    <w:rsid w:val="280A2FC5"/>
    <w:rsid w:val="280A6017"/>
    <w:rsid w:val="280AB16C"/>
    <w:rsid w:val="280AB89B"/>
    <w:rsid w:val="280BCCAB"/>
    <w:rsid w:val="280C7671"/>
    <w:rsid w:val="280CDB16"/>
    <w:rsid w:val="280E2CE4"/>
    <w:rsid w:val="280EF4E5"/>
    <w:rsid w:val="280FB112"/>
    <w:rsid w:val="28106F9C"/>
    <w:rsid w:val="2811B865"/>
    <w:rsid w:val="281280C8"/>
    <w:rsid w:val="281294CA"/>
    <w:rsid w:val="281303C9"/>
    <w:rsid w:val="281371C2"/>
    <w:rsid w:val="28142D3C"/>
    <w:rsid w:val="2814F3CA"/>
    <w:rsid w:val="2815BF73"/>
    <w:rsid w:val="28164380"/>
    <w:rsid w:val="28165794"/>
    <w:rsid w:val="2816890B"/>
    <w:rsid w:val="2817D571"/>
    <w:rsid w:val="2818EB90"/>
    <w:rsid w:val="28194E4D"/>
    <w:rsid w:val="281A3591"/>
    <w:rsid w:val="281A67DC"/>
    <w:rsid w:val="281A6EC7"/>
    <w:rsid w:val="281ADE7A"/>
    <w:rsid w:val="281B6A26"/>
    <w:rsid w:val="281C4CCB"/>
    <w:rsid w:val="281C5CC3"/>
    <w:rsid w:val="281C919F"/>
    <w:rsid w:val="281D1FC6"/>
    <w:rsid w:val="281E4F9D"/>
    <w:rsid w:val="281FEBEC"/>
    <w:rsid w:val="28207C61"/>
    <w:rsid w:val="28218966"/>
    <w:rsid w:val="28221F3C"/>
    <w:rsid w:val="282273BE"/>
    <w:rsid w:val="2822CC15"/>
    <w:rsid w:val="28239023"/>
    <w:rsid w:val="28247940"/>
    <w:rsid w:val="28248ED5"/>
    <w:rsid w:val="2824E840"/>
    <w:rsid w:val="2825968A"/>
    <w:rsid w:val="2826FCA0"/>
    <w:rsid w:val="2828A46E"/>
    <w:rsid w:val="28295BE7"/>
    <w:rsid w:val="282B29D0"/>
    <w:rsid w:val="282C039A"/>
    <w:rsid w:val="282C29B2"/>
    <w:rsid w:val="282E3006"/>
    <w:rsid w:val="282E5FF5"/>
    <w:rsid w:val="28329DEB"/>
    <w:rsid w:val="2832D12F"/>
    <w:rsid w:val="2832EFF4"/>
    <w:rsid w:val="28333112"/>
    <w:rsid w:val="2833974B"/>
    <w:rsid w:val="2833E879"/>
    <w:rsid w:val="2834BBA3"/>
    <w:rsid w:val="28353AA8"/>
    <w:rsid w:val="28360AED"/>
    <w:rsid w:val="2836A1C8"/>
    <w:rsid w:val="2836CB18"/>
    <w:rsid w:val="28378340"/>
    <w:rsid w:val="28383C32"/>
    <w:rsid w:val="2838C7B8"/>
    <w:rsid w:val="283AB529"/>
    <w:rsid w:val="283ABE38"/>
    <w:rsid w:val="283B4758"/>
    <w:rsid w:val="283BFE02"/>
    <w:rsid w:val="283C1575"/>
    <w:rsid w:val="283D61C2"/>
    <w:rsid w:val="283ED7E2"/>
    <w:rsid w:val="28416F92"/>
    <w:rsid w:val="2841C925"/>
    <w:rsid w:val="2841EABE"/>
    <w:rsid w:val="284210BE"/>
    <w:rsid w:val="28421F1C"/>
    <w:rsid w:val="2842AA29"/>
    <w:rsid w:val="28432902"/>
    <w:rsid w:val="28434DA4"/>
    <w:rsid w:val="2843638A"/>
    <w:rsid w:val="2843E71C"/>
    <w:rsid w:val="28441F88"/>
    <w:rsid w:val="284529F5"/>
    <w:rsid w:val="2845F4DA"/>
    <w:rsid w:val="28469E12"/>
    <w:rsid w:val="28473F8A"/>
    <w:rsid w:val="2847FBA7"/>
    <w:rsid w:val="28487B94"/>
    <w:rsid w:val="2849ACEE"/>
    <w:rsid w:val="2849E613"/>
    <w:rsid w:val="284A7EF7"/>
    <w:rsid w:val="284B2BB8"/>
    <w:rsid w:val="284C7258"/>
    <w:rsid w:val="284CD686"/>
    <w:rsid w:val="284D59A8"/>
    <w:rsid w:val="284D6200"/>
    <w:rsid w:val="284DF98C"/>
    <w:rsid w:val="284E1F62"/>
    <w:rsid w:val="2850961D"/>
    <w:rsid w:val="28509B21"/>
    <w:rsid w:val="2850A1B5"/>
    <w:rsid w:val="28516B47"/>
    <w:rsid w:val="28525815"/>
    <w:rsid w:val="2852F3C9"/>
    <w:rsid w:val="28538632"/>
    <w:rsid w:val="2855DE8D"/>
    <w:rsid w:val="28579347"/>
    <w:rsid w:val="2857C3B4"/>
    <w:rsid w:val="2857E4EC"/>
    <w:rsid w:val="2857FB81"/>
    <w:rsid w:val="2858F9C0"/>
    <w:rsid w:val="285915B5"/>
    <w:rsid w:val="285B440B"/>
    <w:rsid w:val="285B46E4"/>
    <w:rsid w:val="285B4CE5"/>
    <w:rsid w:val="285CD97A"/>
    <w:rsid w:val="285CE306"/>
    <w:rsid w:val="285D4C89"/>
    <w:rsid w:val="285D798E"/>
    <w:rsid w:val="285E1648"/>
    <w:rsid w:val="285E2287"/>
    <w:rsid w:val="285E65D1"/>
    <w:rsid w:val="285EAA24"/>
    <w:rsid w:val="285EB9DE"/>
    <w:rsid w:val="285FEB0A"/>
    <w:rsid w:val="28603FCE"/>
    <w:rsid w:val="286129CC"/>
    <w:rsid w:val="2862970C"/>
    <w:rsid w:val="286323A0"/>
    <w:rsid w:val="2863391C"/>
    <w:rsid w:val="28647C7C"/>
    <w:rsid w:val="2864D19A"/>
    <w:rsid w:val="28662137"/>
    <w:rsid w:val="28667983"/>
    <w:rsid w:val="28684FDE"/>
    <w:rsid w:val="2868B457"/>
    <w:rsid w:val="2869399F"/>
    <w:rsid w:val="2869EAF7"/>
    <w:rsid w:val="2869EB48"/>
    <w:rsid w:val="286A1213"/>
    <w:rsid w:val="286A512A"/>
    <w:rsid w:val="286A8A1B"/>
    <w:rsid w:val="286AA200"/>
    <w:rsid w:val="286D8A33"/>
    <w:rsid w:val="286DA904"/>
    <w:rsid w:val="286E06EC"/>
    <w:rsid w:val="286E84A2"/>
    <w:rsid w:val="286F6C34"/>
    <w:rsid w:val="28708772"/>
    <w:rsid w:val="2871EB2D"/>
    <w:rsid w:val="2873427F"/>
    <w:rsid w:val="2874F3C8"/>
    <w:rsid w:val="28757987"/>
    <w:rsid w:val="28758CAF"/>
    <w:rsid w:val="2875DAF3"/>
    <w:rsid w:val="2876175A"/>
    <w:rsid w:val="287645DD"/>
    <w:rsid w:val="287789EB"/>
    <w:rsid w:val="2877E3EB"/>
    <w:rsid w:val="28789B4E"/>
    <w:rsid w:val="28792D0C"/>
    <w:rsid w:val="28793719"/>
    <w:rsid w:val="2879BDA2"/>
    <w:rsid w:val="2879BEB0"/>
    <w:rsid w:val="287A9C80"/>
    <w:rsid w:val="287C8677"/>
    <w:rsid w:val="287CA318"/>
    <w:rsid w:val="287CC50E"/>
    <w:rsid w:val="287D1D27"/>
    <w:rsid w:val="287F908B"/>
    <w:rsid w:val="28803AB8"/>
    <w:rsid w:val="28811094"/>
    <w:rsid w:val="28812BA3"/>
    <w:rsid w:val="288178B2"/>
    <w:rsid w:val="2881A1AC"/>
    <w:rsid w:val="2883953D"/>
    <w:rsid w:val="28839FDB"/>
    <w:rsid w:val="28843DFD"/>
    <w:rsid w:val="28854781"/>
    <w:rsid w:val="28856683"/>
    <w:rsid w:val="28868F0C"/>
    <w:rsid w:val="28871E60"/>
    <w:rsid w:val="28881941"/>
    <w:rsid w:val="28884C86"/>
    <w:rsid w:val="288A28BE"/>
    <w:rsid w:val="288AEAA3"/>
    <w:rsid w:val="288B3A9D"/>
    <w:rsid w:val="288CE9DD"/>
    <w:rsid w:val="288D4430"/>
    <w:rsid w:val="288ECC09"/>
    <w:rsid w:val="288EF944"/>
    <w:rsid w:val="288F2C9D"/>
    <w:rsid w:val="28906D8C"/>
    <w:rsid w:val="2890F17B"/>
    <w:rsid w:val="2891A528"/>
    <w:rsid w:val="2892FBDC"/>
    <w:rsid w:val="289354A5"/>
    <w:rsid w:val="2893EA2B"/>
    <w:rsid w:val="28948972"/>
    <w:rsid w:val="289658B5"/>
    <w:rsid w:val="2897727A"/>
    <w:rsid w:val="28979B7A"/>
    <w:rsid w:val="2897E4AF"/>
    <w:rsid w:val="2898215F"/>
    <w:rsid w:val="289861DA"/>
    <w:rsid w:val="2898CA02"/>
    <w:rsid w:val="28999A4F"/>
    <w:rsid w:val="2899EE52"/>
    <w:rsid w:val="289A327D"/>
    <w:rsid w:val="289A67BA"/>
    <w:rsid w:val="289ACCCB"/>
    <w:rsid w:val="289B9D86"/>
    <w:rsid w:val="289C06C3"/>
    <w:rsid w:val="289C5E74"/>
    <w:rsid w:val="289CD3B0"/>
    <w:rsid w:val="289D8E8E"/>
    <w:rsid w:val="289DAFC0"/>
    <w:rsid w:val="289DE46C"/>
    <w:rsid w:val="289E0C7F"/>
    <w:rsid w:val="289E1F7D"/>
    <w:rsid w:val="289E8EE0"/>
    <w:rsid w:val="289EDF0A"/>
    <w:rsid w:val="289F490D"/>
    <w:rsid w:val="289F749A"/>
    <w:rsid w:val="289FC174"/>
    <w:rsid w:val="289FE77E"/>
    <w:rsid w:val="28A019EE"/>
    <w:rsid w:val="28A18E00"/>
    <w:rsid w:val="28A1C483"/>
    <w:rsid w:val="28A2F597"/>
    <w:rsid w:val="28A2FA5D"/>
    <w:rsid w:val="28A33A65"/>
    <w:rsid w:val="28A61913"/>
    <w:rsid w:val="28A64BEA"/>
    <w:rsid w:val="28A71CCE"/>
    <w:rsid w:val="28A79EF6"/>
    <w:rsid w:val="28A7A321"/>
    <w:rsid w:val="28A81D0E"/>
    <w:rsid w:val="28A8CB44"/>
    <w:rsid w:val="28A983DA"/>
    <w:rsid w:val="28AAA14E"/>
    <w:rsid w:val="28AB5FA0"/>
    <w:rsid w:val="28ABBD86"/>
    <w:rsid w:val="28AC5602"/>
    <w:rsid w:val="28AD5908"/>
    <w:rsid w:val="28AE586F"/>
    <w:rsid w:val="28AF6A33"/>
    <w:rsid w:val="28AFBE63"/>
    <w:rsid w:val="28AFEBE6"/>
    <w:rsid w:val="28B06657"/>
    <w:rsid w:val="28B1B4EB"/>
    <w:rsid w:val="28B1F9EC"/>
    <w:rsid w:val="28B2BC55"/>
    <w:rsid w:val="28B38116"/>
    <w:rsid w:val="28B44BD2"/>
    <w:rsid w:val="28B49E6F"/>
    <w:rsid w:val="28B5E544"/>
    <w:rsid w:val="28B5F6F4"/>
    <w:rsid w:val="28B6F568"/>
    <w:rsid w:val="28B89C24"/>
    <w:rsid w:val="28BACEFD"/>
    <w:rsid w:val="28BB46AC"/>
    <w:rsid w:val="28BC58B0"/>
    <w:rsid w:val="28BC9677"/>
    <w:rsid w:val="28BCAC09"/>
    <w:rsid w:val="28BCC57D"/>
    <w:rsid w:val="28BE56A2"/>
    <w:rsid w:val="28BE6E94"/>
    <w:rsid w:val="28BEAD5B"/>
    <w:rsid w:val="28BF2D81"/>
    <w:rsid w:val="28BFBC4A"/>
    <w:rsid w:val="28BFF2E5"/>
    <w:rsid w:val="28C0AEA2"/>
    <w:rsid w:val="28C12EA0"/>
    <w:rsid w:val="28C3BE17"/>
    <w:rsid w:val="28C408CC"/>
    <w:rsid w:val="28C549F4"/>
    <w:rsid w:val="28C54D1F"/>
    <w:rsid w:val="28C6F2D0"/>
    <w:rsid w:val="28C768DE"/>
    <w:rsid w:val="28C8378B"/>
    <w:rsid w:val="28C849E2"/>
    <w:rsid w:val="28C86D87"/>
    <w:rsid w:val="28C8C047"/>
    <w:rsid w:val="28C8F909"/>
    <w:rsid w:val="28C9031B"/>
    <w:rsid w:val="28C95535"/>
    <w:rsid w:val="28C9E13B"/>
    <w:rsid w:val="28CA149B"/>
    <w:rsid w:val="28CA211C"/>
    <w:rsid w:val="28CA3637"/>
    <w:rsid w:val="28CA76D9"/>
    <w:rsid w:val="28CBA65A"/>
    <w:rsid w:val="28CD8DD8"/>
    <w:rsid w:val="28CDCD5C"/>
    <w:rsid w:val="28CE3C0F"/>
    <w:rsid w:val="28CEA33D"/>
    <w:rsid w:val="28CF53BA"/>
    <w:rsid w:val="28CFD7D2"/>
    <w:rsid w:val="28D0324E"/>
    <w:rsid w:val="28D06F97"/>
    <w:rsid w:val="28D0C628"/>
    <w:rsid w:val="28D1DA9B"/>
    <w:rsid w:val="28D2D8E5"/>
    <w:rsid w:val="28D34161"/>
    <w:rsid w:val="28D3765A"/>
    <w:rsid w:val="28D3D273"/>
    <w:rsid w:val="28D43BE0"/>
    <w:rsid w:val="28D4A731"/>
    <w:rsid w:val="28D601E6"/>
    <w:rsid w:val="28D7060A"/>
    <w:rsid w:val="28D72F5C"/>
    <w:rsid w:val="28D7FF91"/>
    <w:rsid w:val="28D80ED2"/>
    <w:rsid w:val="28D842B5"/>
    <w:rsid w:val="28D8C5F5"/>
    <w:rsid w:val="28D941C2"/>
    <w:rsid w:val="28DAC409"/>
    <w:rsid w:val="28DB0B36"/>
    <w:rsid w:val="28DB11F1"/>
    <w:rsid w:val="28DB7D75"/>
    <w:rsid w:val="28DB8986"/>
    <w:rsid w:val="28DBA6FC"/>
    <w:rsid w:val="28DC2311"/>
    <w:rsid w:val="28DD3AA8"/>
    <w:rsid w:val="28DDC96E"/>
    <w:rsid w:val="28DE55BF"/>
    <w:rsid w:val="28DE5EF0"/>
    <w:rsid w:val="28E05195"/>
    <w:rsid w:val="28E107F6"/>
    <w:rsid w:val="28E1398B"/>
    <w:rsid w:val="28E1E58C"/>
    <w:rsid w:val="28E20D2E"/>
    <w:rsid w:val="28E23791"/>
    <w:rsid w:val="28E2BAAE"/>
    <w:rsid w:val="28E2DA7A"/>
    <w:rsid w:val="28E3C09E"/>
    <w:rsid w:val="28E4D5A3"/>
    <w:rsid w:val="28E502B2"/>
    <w:rsid w:val="28E54560"/>
    <w:rsid w:val="28E54D84"/>
    <w:rsid w:val="28E5F51B"/>
    <w:rsid w:val="28E60EBF"/>
    <w:rsid w:val="28E6CF3D"/>
    <w:rsid w:val="28E7BF7C"/>
    <w:rsid w:val="28E7FD6E"/>
    <w:rsid w:val="28E7FEBA"/>
    <w:rsid w:val="28E8D1D4"/>
    <w:rsid w:val="28E941B3"/>
    <w:rsid w:val="28E9CA6B"/>
    <w:rsid w:val="28EA5D10"/>
    <w:rsid w:val="28EAA45F"/>
    <w:rsid w:val="28EABAA8"/>
    <w:rsid w:val="28EAD33E"/>
    <w:rsid w:val="28EAD743"/>
    <w:rsid w:val="28EB26A3"/>
    <w:rsid w:val="28EB94C9"/>
    <w:rsid w:val="28EDBA04"/>
    <w:rsid w:val="28EDD7F4"/>
    <w:rsid w:val="28EE302F"/>
    <w:rsid w:val="28EE42A1"/>
    <w:rsid w:val="28EEDE6B"/>
    <w:rsid w:val="28EF2652"/>
    <w:rsid w:val="28F03EA4"/>
    <w:rsid w:val="28F0B835"/>
    <w:rsid w:val="28F16C45"/>
    <w:rsid w:val="28F1A73E"/>
    <w:rsid w:val="28F26712"/>
    <w:rsid w:val="28F295DD"/>
    <w:rsid w:val="28F39C7D"/>
    <w:rsid w:val="28F39EEB"/>
    <w:rsid w:val="28F3F1AC"/>
    <w:rsid w:val="28F3F284"/>
    <w:rsid w:val="28F5DE8E"/>
    <w:rsid w:val="28F5DEB1"/>
    <w:rsid w:val="28F7535E"/>
    <w:rsid w:val="28F78E87"/>
    <w:rsid w:val="28F79646"/>
    <w:rsid w:val="28F8FCB6"/>
    <w:rsid w:val="28F917BA"/>
    <w:rsid w:val="28F9610B"/>
    <w:rsid w:val="28F9B7D3"/>
    <w:rsid w:val="28F9BB72"/>
    <w:rsid w:val="28F9EFCA"/>
    <w:rsid w:val="28FB5D1F"/>
    <w:rsid w:val="28FBDEDD"/>
    <w:rsid w:val="28FCAE99"/>
    <w:rsid w:val="28FD6B75"/>
    <w:rsid w:val="28FE1B1F"/>
    <w:rsid w:val="28FE3179"/>
    <w:rsid w:val="28FEFC9D"/>
    <w:rsid w:val="2900A523"/>
    <w:rsid w:val="2900C090"/>
    <w:rsid w:val="290165F3"/>
    <w:rsid w:val="2901BA31"/>
    <w:rsid w:val="2902FFEE"/>
    <w:rsid w:val="29036DBE"/>
    <w:rsid w:val="2903A64C"/>
    <w:rsid w:val="2903D4AA"/>
    <w:rsid w:val="290418B5"/>
    <w:rsid w:val="29046C24"/>
    <w:rsid w:val="2904E15E"/>
    <w:rsid w:val="2905338B"/>
    <w:rsid w:val="29054551"/>
    <w:rsid w:val="29057B18"/>
    <w:rsid w:val="290591C1"/>
    <w:rsid w:val="2905DB79"/>
    <w:rsid w:val="29075EC2"/>
    <w:rsid w:val="2907A708"/>
    <w:rsid w:val="290A2BDC"/>
    <w:rsid w:val="290A8D59"/>
    <w:rsid w:val="290A9622"/>
    <w:rsid w:val="290AA5DE"/>
    <w:rsid w:val="290B54E8"/>
    <w:rsid w:val="290BD35F"/>
    <w:rsid w:val="290C2A4F"/>
    <w:rsid w:val="290C7027"/>
    <w:rsid w:val="290C8F7F"/>
    <w:rsid w:val="290D0B1A"/>
    <w:rsid w:val="290DA32B"/>
    <w:rsid w:val="290E3D0F"/>
    <w:rsid w:val="291063B2"/>
    <w:rsid w:val="2910FFB8"/>
    <w:rsid w:val="291455E3"/>
    <w:rsid w:val="29156DB5"/>
    <w:rsid w:val="2916094B"/>
    <w:rsid w:val="291673B2"/>
    <w:rsid w:val="29175937"/>
    <w:rsid w:val="2917F106"/>
    <w:rsid w:val="29184B22"/>
    <w:rsid w:val="291854B9"/>
    <w:rsid w:val="2918E1D5"/>
    <w:rsid w:val="291C5BCC"/>
    <w:rsid w:val="291C9BAB"/>
    <w:rsid w:val="291CBE6F"/>
    <w:rsid w:val="291D2646"/>
    <w:rsid w:val="291F3576"/>
    <w:rsid w:val="291F9842"/>
    <w:rsid w:val="29207D8C"/>
    <w:rsid w:val="292118C8"/>
    <w:rsid w:val="29211E53"/>
    <w:rsid w:val="29218A10"/>
    <w:rsid w:val="29220E31"/>
    <w:rsid w:val="292290E2"/>
    <w:rsid w:val="2922D628"/>
    <w:rsid w:val="2922F5D8"/>
    <w:rsid w:val="2923C7AC"/>
    <w:rsid w:val="2923E12A"/>
    <w:rsid w:val="29241064"/>
    <w:rsid w:val="29241F52"/>
    <w:rsid w:val="292470D2"/>
    <w:rsid w:val="2925D47F"/>
    <w:rsid w:val="29260E11"/>
    <w:rsid w:val="29262C57"/>
    <w:rsid w:val="29269B43"/>
    <w:rsid w:val="292751BF"/>
    <w:rsid w:val="29280B33"/>
    <w:rsid w:val="29281D9A"/>
    <w:rsid w:val="292ABAF2"/>
    <w:rsid w:val="292BEEA6"/>
    <w:rsid w:val="292BF9EA"/>
    <w:rsid w:val="292BFE79"/>
    <w:rsid w:val="292D275B"/>
    <w:rsid w:val="292DC7C8"/>
    <w:rsid w:val="292DD773"/>
    <w:rsid w:val="292E26D5"/>
    <w:rsid w:val="292E2706"/>
    <w:rsid w:val="292F3C8A"/>
    <w:rsid w:val="292F4C0F"/>
    <w:rsid w:val="29300BB1"/>
    <w:rsid w:val="293020A9"/>
    <w:rsid w:val="2930518C"/>
    <w:rsid w:val="2933FD15"/>
    <w:rsid w:val="2935BD7D"/>
    <w:rsid w:val="29363AFF"/>
    <w:rsid w:val="293680E1"/>
    <w:rsid w:val="2936C8B4"/>
    <w:rsid w:val="293740F5"/>
    <w:rsid w:val="29377447"/>
    <w:rsid w:val="29398250"/>
    <w:rsid w:val="293AA30D"/>
    <w:rsid w:val="293AC55D"/>
    <w:rsid w:val="293AD2E7"/>
    <w:rsid w:val="293AF986"/>
    <w:rsid w:val="293B46BA"/>
    <w:rsid w:val="293B7B03"/>
    <w:rsid w:val="293C4533"/>
    <w:rsid w:val="293C81BA"/>
    <w:rsid w:val="293D04B2"/>
    <w:rsid w:val="293D0716"/>
    <w:rsid w:val="293D566B"/>
    <w:rsid w:val="293E0B6A"/>
    <w:rsid w:val="293E30F6"/>
    <w:rsid w:val="293EAE18"/>
    <w:rsid w:val="293F0B3A"/>
    <w:rsid w:val="293F3B3B"/>
    <w:rsid w:val="293F8EE5"/>
    <w:rsid w:val="293F9273"/>
    <w:rsid w:val="29403F02"/>
    <w:rsid w:val="29408523"/>
    <w:rsid w:val="2940FF41"/>
    <w:rsid w:val="294272F8"/>
    <w:rsid w:val="29451DFA"/>
    <w:rsid w:val="29453E9C"/>
    <w:rsid w:val="294588B2"/>
    <w:rsid w:val="29463FE3"/>
    <w:rsid w:val="2946A42E"/>
    <w:rsid w:val="29477153"/>
    <w:rsid w:val="2947AA92"/>
    <w:rsid w:val="2947D49D"/>
    <w:rsid w:val="2947EF12"/>
    <w:rsid w:val="29491615"/>
    <w:rsid w:val="294956A8"/>
    <w:rsid w:val="2949DD49"/>
    <w:rsid w:val="294A244C"/>
    <w:rsid w:val="294ABAE2"/>
    <w:rsid w:val="294BDB16"/>
    <w:rsid w:val="294C2CDA"/>
    <w:rsid w:val="294C313C"/>
    <w:rsid w:val="294CDA77"/>
    <w:rsid w:val="294CEB96"/>
    <w:rsid w:val="294D575C"/>
    <w:rsid w:val="294E8D5B"/>
    <w:rsid w:val="294EAC3E"/>
    <w:rsid w:val="294F4417"/>
    <w:rsid w:val="2951A044"/>
    <w:rsid w:val="29521F2A"/>
    <w:rsid w:val="29523CA7"/>
    <w:rsid w:val="29529A03"/>
    <w:rsid w:val="2953876D"/>
    <w:rsid w:val="29538B8E"/>
    <w:rsid w:val="29542016"/>
    <w:rsid w:val="29547EE6"/>
    <w:rsid w:val="2954C2FC"/>
    <w:rsid w:val="29552670"/>
    <w:rsid w:val="29573527"/>
    <w:rsid w:val="29576763"/>
    <w:rsid w:val="29593615"/>
    <w:rsid w:val="2959D560"/>
    <w:rsid w:val="2959F211"/>
    <w:rsid w:val="2959FD64"/>
    <w:rsid w:val="295A5402"/>
    <w:rsid w:val="295B5753"/>
    <w:rsid w:val="295C530A"/>
    <w:rsid w:val="295D56DD"/>
    <w:rsid w:val="295E09A7"/>
    <w:rsid w:val="295FC348"/>
    <w:rsid w:val="29611FF1"/>
    <w:rsid w:val="2961C582"/>
    <w:rsid w:val="29621BA8"/>
    <w:rsid w:val="296286CA"/>
    <w:rsid w:val="2962CEE2"/>
    <w:rsid w:val="29630BD0"/>
    <w:rsid w:val="296353E3"/>
    <w:rsid w:val="2963DEC6"/>
    <w:rsid w:val="2963ED21"/>
    <w:rsid w:val="2963F595"/>
    <w:rsid w:val="29648753"/>
    <w:rsid w:val="2964BAB7"/>
    <w:rsid w:val="29652340"/>
    <w:rsid w:val="2965FEB5"/>
    <w:rsid w:val="2966910A"/>
    <w:rsid w:val="29676E48"/>
    <w:rsid w:val="2967898B"/>
    <w:rsid w:val="2967AE87"/>
    <w:rsid w:val="29682FB5"/>
    <w:rsid w:val="2968F3B9"/>
    <w:rsid w:val="296A958F"/>
    <w:rsid w:val="296B27FE"/>
    <w:rsid w:val="296BCC92"/>
    <w:rsid w:val="296C0F45"/>
    <w:rsid w:val="296C2C20"/>
    <w:rsid w:val="296CAE46"/>
    <w:rsid w:val="296E0FAA"/>
    <w:rsid w:val="296E4F69"/>
    <w:rsid w:val="296E93C1"/>
    <w:rsid w:val="296F1C1B"/>
    <w:rsid w:val="296F5A29"/>
    <w:rsid w:val="297000D0"/>
    <w:rsid w:val="29711512"/>
    <w:rsid w:val="29714E9D"/>
    <w:rsid w:val="2973F853"/>
    <w:rsid w:val="29757C54"/>
    <w:rsid w:val="297713EF"/>
    <w:rsid w:val="29775662"/>
    <w:rsid w:val="29784B2A"/>
    <w:rsid w:val="297852B6"/>
    <w:rsid w:val="297890C5"/>
    <w:rsid w:val="2978DF3A"/>
    <w:rsid w:val="29797027"/>
    <w:rsid w:val="297A1239"/>
    <w:rsid w:val="297B6BD5"/>
    <w:rsid w:val="297B9CCC"/>
    <w:rsid w:val="297C8062"/>
    <w:rsid w:val="297EB660"/>
    <w:rsid w:val="297F2184"/>
    <w:rsid w:val="298068E0"/>
    <w:rsid w:val="298073A9"/>
    <w:rsid w:val="2980B80D"/>
    <w:rsid w:val="2981A9DA"/>
    <w:rsid w:val="298226A1"/>
    <w:rsid w:val="29822EA5"/>
    <w:rsid w:val="29832F31"/>
    <w:rsid w:val="29849101"/>
    <w:rsid w:val="29857FCA"/>
    <w:rsid w:val="2985DB8D"/>
    <w:rsid w:val="2986D6A5"/>
    <w:rsid w:val="29871BB3"/>
    <w:rsid w:val="29873782"/>
    <w:rsid w:val="2987D03D"/>
    <w:rsid w:val="29893F2B"/>
    <w:rsid w:val="298961F3"/>
    <w:rsid w:val="2989EA01"/>
    <w:rsid w:val="298A7CEE"/>
    <w:rsid w:val="298B34D1"/>
    <w:rsid w:val="298B8D6B"/>
    <w:rsid w:val="298C9078"/>
    <w:rsid w:val="298CACB7"/>
    <w:rsid w:val="298CC591"/>
    <w:rsid w:val="298CD111"/>
    <w:rsid w:val="298D7B63"/>
    <w:rsid w:val="298D8358"/>
    <w:rsid w:val="298D9D70"/>
    <w:rsid w:val="298DE05F"/>
    <w:rsid w:val="298E770D"/>
    <w:rsid w:val="298FE54D"/>
    <w:rsid w:val="2990AD66"/>
    <w:rsid w:val="2990F959"/>
    <w:rsid w:val="2991AE8B"/>
    <w:rsid w:val="2992A3FA"/>
    <w:rsid w:val="2992C904"/>
    <w:rsid w:val="29935B87"/>
    <w:rsid w:val="299373EB"/>
    <w:rsid w:val="299398AD"/>
    <w:rsid w:val="2994AB9B"/>
    <w:rsid w:val="299553AC"/>
    <w:rsid w:val="29960BA4"/>
    <w:rsid w:val="2996DFD0"/>
    <w:rsid w:val="299949F3"/>
    <w:rsid w:val="299A8D9A"/>
    <w:rsid w:val="299ABB61"/>
    <w:rsid w:val="299BC5BF"/>
    <w:rsid w:val="299BC5D1"/>
    <w:rsid w:val="299C7FF2"/>
    <w:rsid w:val="299D115F"/>
    <w:rsid w:val="299DEDD9"/>
    <w:rsid w:val="299ECEA2"/>
    <w:rsid w:val="29A01C6F"/>
    <w:rsid w:val="29A0AD2F"/>
    <w:rsid w:val="29A0CB19"/>
    <w:rsid w:val="29A0F0E1"/>
    <w:rsid w:val="29A11EBE"/>
    <w:rsid w:val="29A13E36"/>
    <w:rsid w:val="29A1878A"/>
    <w:rsid w:val="29A1E10B"/>
    <w:rsid w:val="29A210C9"/>
    <w:rsid w:val="29A27C65"/>
    <w:rsid w:val="29A2BC2C"/>
    <w:rsid w:val="29A3B8D1"/>
    <w:rsid w:val="29A41930"/>
    <w:rsid w:val="29A4E9F5"/>
    <w:rsid w:val="29A4F78C"/>
    <w:rsid w:val="29A59055"/>
    <w:rsid w:val="29A6D78E"/>
    <w:rsid w:val="29A7EEDF"/>
    <w:rsid w:val="29A97150"/>
    <w:rsid w:val="29A9CAC2"/>
    <w:rsid w:val="29AB21A3"/>
    <w:rsid w:val="29ACEF48"/>
    <w:rsid w:val="29AD6FFA"/>
    <w:rsid w:val="29AD86F0"/>
    <w:rsid w:val="29AD9672"/>
    <w:rsid w:val="29AE44BC"/>
    <w:rsid w:val="29AEE417"/>
    <w:rsid w:val="29AEEA89"/>
    <w:rsid w:val="29AEEC68"/>
    <w:rsid w:val="29AF16C9"/>
    <w:rsid w:val="29B005E8"/>
    <w:rsid w:val="29B01974"/>
    <w:rsid w:val="29B050EB"/>
    <w:rsid w:val="29B0DF5C"/>
    <w:rsid w:val="29B3DBEC"/>
    <w:rsid w:val="29B43744"/>
    <w:rsid w:val="29B44759"/>
    <w:rsid w:val="29B45F70"/>
    <w:rsid w:val="29B586CD"/>
    <w:rsid w:val="29B6404A"/>
    <w:rsid w:val="29B643C7"/>
    <w:rsid w:val="29B7DC0F"/>
    <w:rsid w:val="29BA7737"/>
    <w:rsid w:val="29BABAFB"/>
    <w:rsid w:val="29BB7C15"/>
    <w:rsid w:val="29BB965E"/>
    <w:rsid w:val="29BB9E8F"/>
    <w:rsid w:val="29BBF687"/>
    <w:rsid w:val="29BE6461"/>
    <w:rsid w:val="29BF0EF0"/>
    <w:rsid w:val="29BFF0C0"/>
    <w:rsid w:val="29C0EF00"/>
    <w:rsid w:val="29C1CFF4"/>
    <w:rsid w:val="29C22FBD"/>
    <w:rsid w:val="29C36391"/>
    <w:rsid w:val="29C40484"/>
    <w:rsid w:val="29C51F80"/>
    <w:rsid w:val="29C64BD9"/>
    <w:rsid w:val="29C6A6E3"/>
    <w:rsid w:val="29C71D1E"/>
    <w:rsid w:val="29C83921"/>
    <w:rsid w:val="29C8E1A5"/>
    <w:rsid w:val="29C945A9"/>
    <w:rsid w:val="29C9E600"/>
    <w:rsid w:val="29CA5CD6"/>
    <w:rsid w:val="29CB6217"/>
    <w:rsid w:val="29CB9026"/>
    <w:rsid w:val="29CBCB35"/>
    <w:rsid w:val="29CD0B0D"/>
    <w:rsid w:val="29CD81E9"/>
    <w:rsid w:val="29CDC871"/>
    <w:rsid w:val="29CDD21C"/>
    <w:rsid w:val="29CE8B2F"/>
    <w:rsid w:val="29CECD25"/>
    <w:rsid w:val="29CF487F"/>
    <w:rsid w:val="29CF849A"/>
    <w:rsid w:val="29D0B7E5"/>
    <w:rsid w:val="29D0F487"/>
    <w:rsid w:val="29D107DA"/>
    <w:rsid w:val="29D16EC8"/>
    <w:rsid w:val="29D20854"/>
    <w:rsid w:val="29D36167"/>
    <w:rsid w:val="29D3AA13"/>
    <w:rsid w:val="29D3AFAB"/>
    <w:rsid w:val="29D4F028"/>
    <w:rsid w:val="29D5BB6F"/>
    <w:rsid w:val="29D5F655"/>
    <w:rsid w:val="29D613CE"/>
    <w:rsid w:val="29D73157"/>
    <w:rsid w:val="29D7A19A"/>
    <w:rsid w:val="29D7C020"/>
    <w:rsid w:val="29D7D9D3"/>
    <w:rsid w:val="29D8EFF0"/>
    <w:rsid w:val="29DA3FFF"/>
    <w:rsid w:val="29DAB34B"/>
    <w:rsid w:val="29DB0FAF"/>
    <w:rsid w:val="29DB256B"/>
    <w:rsid w:val="29DB2FA1"/>
    <w:rsid w:val="29DCE350"/>
    <w:rsid w:val="29DE25A6"/>
    <w:rsid w:val="29DE795A"/>
    <w:rsid w:val="29DF2DED"/>
    <w:rsid w:val="29DF624F"/>
    <w:rsid w:val="29DF669E"/>
    <w:rsid w:val="29E10F7E"/>
    <w:rsid w:val="29E26D71"/>
    <w:rsid w:val="29E340A1"/>
    <w:rsid w:val="29E3CB22"/>
    <w:rsid w:val="29E40FDF"/>
    <w:rsid w:val="29E4448F"/>
    <w:rsid w:val="29E45AE7"/>
    <w:rsid w:val="29E4CD7B"/>
    <w:rsid w:val="29E50E03"/>
    <w:rsid w:val="29E6C9E7"/>
    <w:rsid w:val="29E88D25"/>
    <w:rsid w:val="29EAAA4B"/>
    <w:rsid w:val="29EB363D"/>
    <w:rsid w:val="29ED0E1A"/>
    <w:rsid w:val="29ED7A9F"/>
    <w:rsid w:val="29ED82A8"/>
    <w:rsid w:val="29ED9229"/>
    <w:rsid w:val="29EDBF71"/>
    <w:rsid w:val="29EDE7CE"/>
    <w:rsid w:val="29EE9AF2"/>
    <w:rsid w:val="29EEF97D"/>
    <w:rsid w:val="29EFB8F4"/>
    <w:rsid w:val="29F030BC"/>
    <w:rsid w:val="29F034BD"/>
    <w:rsid w:val="29F1565D"/>
    <w:rsid w:val="29F20FBC"/>
    <w:rsid w:val="29F22B01"/>
    <w:rsid w:val="29F343E0"/>
    <w:rsid w:val="29F3CA37"/>
    <w:rsid w:val="29F6DB69"/>
    <w:rsid w:val="29F75133"/>
    <w:rsid w:val="29F75D55"/>
    <w:rsid w:val="29F7A3A7"/>
    <w:rsid w:val="29F92F42"/>
    <w:rsid w:val="29FAE5E7"/>
    <w:rsid w:val="29FB035F"/>
    <w:rsid w:val="29FB4401"/>
    <w:rsid w:val="29FB5445"/>
    <w:rsid w:val="29FC9C99"/>
    <w:rsid w:val="29FD64BA"/>
    <w:rsid w:val="29FDBB75"/>
    <w:rsid w:val="29FE656F"/>
    <w:rsid w:val="29FE7DE2"/>
    <w:rsid w:val="29FF81B5"/>
    <w:rsid w:val="29FF81CB"/>
    <w:rsid w:val="29FFDC72"/>
    <w:rsid w:val="2A007AF3"/>
    <w:rsid w:val="2A012633"/>
    <w:rsid w:val="2A014952"/>
    <w:rsid w:val="2A01DA08"/>
    <w:rsid w:val="2A027266"/>
    <w:rsid w:val="2A02A67B"/>
    <w:rsid w:val="2A031A38"/>
    <w:rsid w:val="2A03A947"/>
    <w:rsid w:val="2A03C47E"/>
    <w:rsid w:val="2A03CB52"/>
    <w:rsid w:val="2A04427E"/>
    <w:rsid w:val="2A0493C8"/>
    <w:rsid w:val="2A05AF22"/>
    <w:rsid w:val="2A061E8D"/>
    <w:rsid w:val="2A067465"/>
    <w:rsid w:val="2A073309"/>
    <w:rsid w:val="2A073AE7"/>
    <w:rsid w:val="2A076C46"/>
    <w:rsid w:val="2A083C33"/>
    <w:rsid w:val="2A08A9AB"/>
    <w:rsid w:val="2A090411"/>
    <w:rsid w:val="2A093699"/>
    <w:rsid w:val="2A0A50E1"/>
    <w:rsid w:val="2A0B3741"/>
    <w:rsid w:val="2A0C587B"/>
    <w:rsid w:val="2A0DC276"/>
    <w:rsid w:val="2A0DDB9B"/>
    <w:rsid w:val="2A0E13EA"/>
    <w:rsid w:val="2A0E7610"/>
    <w:rsid w:val="2A0E968B"/>
    <w:rsid w:val="2A0EA495"/>
    <w:rsid w:val="2A0EAE5C"/>
    <w:rsid w:val="2A0FBB35"/>
    <w:rsid w:val="2A111A78"/>
    <w:rsid w:val="2A12137C"/>
    <w:rsid w:val="2A128493"/>
    <w:rsid w:val="2A13262B"/>
    <w:rsid w:val="2A155521"/>
    <w:rsid w:val="2A15D8B3"/>
    <w:rsid w:val="2A161CBF"/>
    <w:rsid w:val="2A167758"/>
    <w:rsid w:val="2A177657"/>
    <w:rsid w:val="2A17ED66"/>
    <w:rsid w:val="2A18CFBF"/>
    <w:rsid w:val="2A18D1CB"/>
    <w:rsid w:val="2A18D9CD"/>
    <w:rsid w:val="2A19B177"/>
    <w:rsid w:val="2A19D4E5"/>
    <w:rsid w:val="2A1BD5F5"/>
    <w:rsid w:val="2A1BF5A7"/>
    <w:rsid w:val="2A1C24D2"/>
    <w:rsid w:val="2A1D2262"/>
    <w:rsid w:val="2A1D5DAA"/>
    <w:rsid w:val="2A1E41F0"/>
    <w:rsid w:val="2A1E5608"/>
    <w:rsid w:val="2A1EB7A3"/>
    <w:rsid w:val="2A1EC396"/>
    <w:rsid w:val="2A1EE114"/>
    <w:rsid w:val="2A1F319A"/>
    <w:rsid w:val="2A1FE05F"/>
    <w:rsid w:val="2A22ADAF"/>
    <w:rsid w:val="2A23F7D9"/>
    <w:rsid w:val="2A243ED7"/>
    <w:rsid w:val="2A256380"/>
    <w:rsid w:val="2A2575A2"/>
    <w:rsid w:val="2A26E216"/>
    <w:rsid w:val="2A271995"/>
    <w:rsid w:val="2A275292"/>
    <w:rsid w:val="2A27CCA1"/>
    <w:rsid w:val="2A28BDB0"/>
    <w:rsid w:val="2A28C569"/>
    <w:rsid w:val="2A28F4CA"/>
    <w:rsid w:val="2A290ED0"/>
    <w:rsid w:val="2A291193"/>
    <w:rsid w:val="2A292990"/>
    <w:rsid w:val="2A2A7A7F"/>
    <w:rsid w:val="2A2AB147"/>
    <w:rsid w:val="2A2ACF92"/>
    <w:rsid w:val="2A2B2F1C"/>
    <w:rsid w:val="2A2B5786"/>
    <w:rsid w:val="2A2BF67D"/>
    <w:rsid w:val="2A2D1C2A"/>
    <w:rsid w:val="2A2DE0AE"/>
    <w:rsid w:val="2A2EF60F"/>
    <w:rsid w:val="2A2F05A3"/>
    <w:rsid w:val="2A2F1D23"/>
    <w:rsid w:val="2A2F8022"/>
    <w:rsid w:val="2A2FF87B"/>
    <w:rsid w:val="2A305EF7"/>
    <w:rsid w:val="2A328A7E"/>
    <w:rsid w:val="2A340EEF"/>
    <w:rsid w:val="2A3430E5"/>
    <w:rsid w:val="2A348E6F"/>
    <w:rsid w:val="2A358B3A"/>
    <w:rsid w:val="2A367AC2"/>
    <w:rsid w:val="2A36FB09"/>
    <w:rsid w:val="2A38382A"/>
    <w:rsid w:val="2A38484C"/>
    <w:rsid w:val="2A38DD9D"/>
    <w:rsid w:val="2A3955DD"/>
    <w:rsid w:val="2A39953E"/>
    <w:rsid w:val="2A39C26E"/>
    <w:rsid w:val="2A39CA74"/>
    <w:rsid w:val="2A39F7B6"/>
    <w:rsid w:val="2A3A1BA3"/>
    <w:rsid w:val="2A3AA676"/>
    <w:rsid w:val="2A3AD855"/>
    <w:rsid w:val="2A3B6D76"/>
    <w:rsid w:val="2A3DFA97"/>
    <w:rsid w:val="2A3E59EC"/>
    <w:rsid w:val="2A3E9B65"/>
    <w:rsid w:val="2A3FD6D3"/>
    <w:rsid w:val="2A3FDAED"/>
    <w:rsid w:val="2A402AF3"/>
    <w:rsid w:val="2A420F80"/>
    <w:rsid w:val="2A423A60"/>
    <w:rsid w:val="2A42D53A"/>
    <w:rsid w:val="2A431035"/>
    <w:rsid w:val="2A437149"/>
    <w:rsid w:val="2A446A5A"/>
    <w:rsid w:val="2A4527A8"/>
    <w:rsid w:val="2A45867B"/>
    <w:rsid w:val="2A46FA9A"/>
    <w:rsid w:val="2A4721A2"/>
    <w:rsid w:val="2A47E290"/>
    <w:rsid w:val="2A48D14A"/>
    <w:rsid w:val="2A48D1D5"/>
    <w:rsid w:val="2A48E2BA"/>
    <w:rsid w:val="2A498B3D"/>
    <w:rsid w:val="2A4B0970"/>
    <w:rsid w:val="2A4B0E7D"/>
    <w:rsid w:val="2A4C22A1"/>
    <w:rsid w:val="2A4C6D3A"/>
    <w:rsid w:val="2A4CF1A2"/>
    <w:rsid w:val="2A4F145E"/>
    <w:rsid w:val="2A4F1E2C"/>
    <w:rsid w:val="2A4F3E73"/>
    <w:rsid w:val="2A4F7B99"/>
    <w:rsid w:val="2A500820"/>
    <w:rsid w:val="2A507BC5"/>
    <w:rsid w:val="2A52324D"/>
    <w:rsid w:val="2A524A9B"/>
    <w:rsid w:val="2A528C2F"/>
    <w:rsid w:val="2A52A70F"/>
    <w:rsid w:val="2A531EEA"/>
    <w:rsid w:val="2A53E6B7"/>
    <w:rsid w:val="2A543209"/>
    <w:rsid w:val="2A546026"/>
    <w:rsid w:val="2A54DB55"/>
    <w:rsid w:val="2A55C9EF"/>
    <w:rsid w:val="2A570499"/>
    <w:rsid w:val="2A573313"/>
    <w:rsid w:val="2A586687"/>
    <w:rsid w:val="2A588F4B"/>
    <w:rsid w:val="2A5A3BBA"/>
    <w:rsid w:val="2A5AE276"/>
    <w:rsid w:val="2A5B9C26"/>
    <w:rsid w:val="2A5B9D29"/>
    <w:rsid w:val="2A5C5CE7"/>
    <w:rsid w:val="2A5C6368"/>
    <w:rsid w:val="2A5C8359"/>
    <w:rsid w:val="2A5CD3D2"/>
    <w:rsid w:val="2A5D70CF"/>
    <w:rsid w:val="2A5E3A9F"/>
    <w:rsid w:val="2A5E4331"/>
    <w:rsid w:val="2A5EACC0"/>
    <w:rsid w:val="2A5F5445"/>
    <w:rsid w:val="2A60A59B"/>
    <w:rsid w:val="2A610B7D"/>
    <w:rsid w:val="2A615315"/>
    <w:rsid w:val="2A618761"/>
    <w:rsid w:val="2A61A63F"/>
    <w:rsid w:val="2A623A3B"/>
    <w:rsid w:val="2A629C6F"/>
    <w:rsid w:val="2A642074"/>
    <w:rsid w:val="2A6497FF"/>
    <w:rsid w:val="2A64EE16"/>
    <w:rsid w:val="2A668D14"/>
    <w:rsid w:val="2A671D40"/>
    <w:rsid w:val="2A681789"/>
    <w:rsid w:val="2A684A50"/>
    <w:rsid w:val="2A684BB6"/>
    <w:rsid w:val="2A68A59E"/>
    <w:rsid w:val="2A68D78E"/>
    <w:rsid w:val="2A698AFB"/>
    <w:rsid w:val="2A6AE9F4"/>
    <w:rsid w:val="2A6C05B2"/>
    <w:rsid w:val="2A6C18C0"/>
    <w:rsid w:val="2A6C4A42"/>
    <w:rsid w:val="2A6CCC9E"/>
    <w:rsid w:val="2A6CDB61"/>
    <w:rsid w:val="2A6D8968"/>
    <w:rsid w:val="2A6DB01C"/>
    <w:rsid w:val="2A6E0084"/>
    <w:rsid w:val="2A6EA1D6"/>
    <w:rsid w:val="2A6EAE9C"/>
    <w:rsid w:val="2A6EE948"/>
    <w:rsid w:val="2A6F917D"/>
    <w:rsid w:val="2A70B96D"/>
    <w:rsid w:val="2A71784D"/>
    <w:rsid w:val="2A72770D"/>
    <w:rsid w:val="2A7297F6"/>
    <w:rsid w:val="2A754D32"/>
    <w:rsid w:val="2A755B4D"/>
    <w:rsid w:val="2A75B527"/>
    <w:rsid w:val="2A75D3DA"/>
    <w:rsid w:val="2A76B35E"/>
    <w:rsid w:val="2A76FBDC"/>
    <w:rsid w:val="2A77316D"/>
    <w:rsid w:val="2A779ABA"/>
    <w:rsid w:val="2A77C968"/>
    <w:rsid w:val="2A77CFB2"/>
    <w:rsid w:val="2A7805A4"/>
    <w:rsid w:val="2A78A622"/>
    <w:rsid w:val="2A79DD90"/>
    <w:rsid w:val="2A7AFEDC"/>
    <w:rsid w:val="2A7BC626"/>
    <w:rsid w:val="2A7BF1D3"/>
    <w:rsid w:val="2A7BFE57"/>
    <w:rsid w:val="2A7C6A15"/>
    <w:rsid w:val="2A7C6DC5"/>
    <w:rsid w:val="2A7D3F63"/>
    <w:rsid w:val="2A7D4900"/>
    <w:rsid w:val="2A7E1221"/>
    <w:rsid w:val="2A7F4426"/>
    <w:rsid w:val="2A7F610E"/>
    <w:rsid w:val="2A803D0B"/>
    <w:rsid w:val="2A817532"/>
    <w:rsid w:val="2A81B779"/>
    <w:rsid w:val="2A82CEDA"/>
    <w:rsid w:val="2A83025C"/>
    <w:rsid w:val="2A841234"/>
    <w:rsid w:val="2A84A1D7"/>
    <w:rsid w:val="2A85D665"/>
    <w:rsid w:val="2A867B4D"/>
    <w:rsid w:val="2A86A50E"/>
    <w:rsid w:val="2A86D105"/>
    <w:rsid w:val="2A877B3E"/>
    <w:rsid w:val="2A880EB2"/>
    <w:rsid w:val="2A889FAC"/>
    <w:rsid w:val="2A88A1D3"/>
    <w:rsid w:val="2A88F3E5"/>
    <w:rsid w:val="2A890ADD"/>
    <w:rsid w:val="2A897DF3"/>
    <w:rsid w:val="2A8B0A36"/>
    <w:rsid w:val="2A8B5545"/>
    <w:rsid w:val="2A8C0935"/>
    <w:rsid w:val="2A8DB40B"/>
    <w:rsid w:val="2A8FEF02"/>
    <w:rsid w:val="2A906722"/>
    <w:rsid w:val="2A918050"/>
    <w:rsid w:val="2A922FEE"/>
    <w:rsid w:val="2A92F5A5"/>
    <w:rsid w:val="2A931976"/>
    <w:rsid w:val="2A932CB8"/>
    <w:rsid w:val="2A93BE43"/>
    <w:rsid w:val="2A93FAD2"/>
    <w:rsid w:val="2A940F68"/>
    <w:rsid w:val="2A941926"/>
    <w:rsid w:val="2A95907C"/>
    <w:rsid w:val="2A959780"/>
    <w:rsid w:val="2A962F4E"/>
    <w:rsid w:val="2A96A306"/>
    <w:rsid w:val="2A96B94A"/>
    <w:rsid w:val="2A9742F3"/>
    <w:rsid w:val="2A98F7DB"/>
    <w:rsid w:val="2A99A54A"/>
    <w:rsid w:val="2A99B996"/>
    <w:rsid w:val="2A9AB37F"/>
    <w:rsid w:val="2A9B8414"/>
    <w:rsid w:val="2A9C4A86"/>
    <w:rsid w:val="2A9C7584"/>
    <w:rsid w:val="2A9CFDEE"/>
    <w:rsid w:val="2A9D2255"/>
    <w:rsid w:val="2A9DAEFB"/>
    <w:rsid w:val="2A9EA674"/>
    <w:rsid w:val="2A9EAE19"/>
    <w:rsid w:val="2A9EB4CD"/>
    <w:rsid w:val="2A9F8DA0"/>
    <w:rsid w:val="2A9FCB62"/>
    <w:rsid w:val="2AA05A95"/>
    <w:rsid w:val="2AA10ABC"/>
    <w:rsid w:val="2AA17C26"/>
    <w:rsid w:val="2AA185F6"/>
    <w:rsid w:val="2AA1F53A"/>
    <w:rsid w:val="2AA363A4"/>
    <w:rsid w:val="2AA5027D"/>
    <w:rsid w:val="2AA53493"/>
    <w:rsid w:val="2AA5B693"/>
    <w:rsid w:val="2AA60070"/>
    <w:rsid w:val="2AA609B6"/>
    <w:rsid w:val="2AA60B14"/>
    <w:rsid w:val="2AA69CD2"/>
    <w:rsid w:val="2AA6F4D8"/>
    <w:rsid w:val="2AA707C3"/>
    <w:rsid w:val="2AA71F27"/>
    <w:rsid w:val="2AA72549"/>
    <w:rsid w:val="2AA75030"/>
    <w:rsid w:val="2AA76FD7"/>
    <w:rsid w:val="2AA772A4"/>
    <w:rsid w:val="2AA91479"/>
    <w:rsid w:val="2AAAC7B9"/>
    <w:rsid w:val="2AAC1044"/>
    <w:rsid w:val="2AAC1713"/>
    <w:rsid w:val="2AAD5A6C"/>
    <w:rsid w:val="2AAE4D93"/>
    <w:rsid w:val="2AAE8192"/>
    <w:rsid w:val="2AAFAADC"/>
    <w:rsid w:val="2AB268DB"/>
    <w:rsid w:val="2AB3B36F"/>
    <w:rsid w:val="2AB44E03"/>
    <w:rsid w:val="2AB4A3C4"/>
    <w:rsid w:val="2AB4ED0C"/>
    <w:rsid w:val="2AB61DDF"/>
    <w:rsid w:val="2AB66723"/>
    <w:rsid w:val="2AB78F23"/>
    <w:rsid w:val="2AB7B2BC"/>
    <w:rsid w:val="2AB819F7"/>
    <w:rsid w:val="2AB9B35F"/>
    <w:rsid w:val="2ABA018A"/>
    <w:rsid w:val="2ABA32E2"/>
    <w:rsid w:val="2ABAB2FC"/>
    <w:rsid w:val="2ABB68A3"/>
    <w:rsid w:val="2ABBDE92"/>
    <w:rsid w:val="2ABC3A8C"/>
    <w:rsid w:val="2ABE478C"/>
    <w:rsid w:val="2ABEA184"/>
    <w:rsid w:val="2ABF4678"/>
    <w:rsid w:val="2ABFFCD0"/>
    <w:rsid w:val="2AC0AF7F"/>
    <w:rsid w:val="2AC0E4AF"/>
    <w:rsid w:val="2AC1CCB3"/>
    <w:rsid w:val="2AC1F266"/>
    <w:rsid w:val="2AC21B38"/>
    <w:rsid w:val="2AC23EFC"/>
    <w:rsid w:val="2AC3EDFB"/>
    <w:rsid w:val="2AC4B93F"/>
    <w:rsid w:val="2AC56F3F"/>
    <w:rsid w:val="2AC5E4D6"/>
    <w:rsid w:val="2AC5F847"/>
    <w:rsid w:val="2AC67940"/>
    <w:rsid w:val="2AC6CBF1"/>
    <w:rsid w:val="2AC8CC80"/>
    <w:rsid w:val="2AC8D358"/>
    <w:rsid w:val="2ACBF4FA"/>
    <w:rsid w:val="2ACC3840"/>
    <w:rsid w:val="2ACE393D"/>
    <w:rsid w:val="2ACE6ADD"/>
    <w:rsid w:val="2ACE9F84"/>
    <w:rsid w:val="2ACEA4D0"/>
    <w:rsid w:val="2ACEF056"/>
    <w:rsid w:val="2ACF7F55"/>
    <w:rsid w:val="2AD004C0"/>
    <w:rsid w:val="2AD01201"/>
    <w:rsid w:val="2AD17E62"/>
    <w:rsid w:val="2AD26014"/>
    <w:rsid w:val="2AD333F0"/>
    <w:rsid w:val="2AD4BD6B"/>
    <w:rsid w:val="2AD615B7"/>
    <w:rsid w:val="2AD7716B"/>
    <w:rsid w:val="2AD7CEE1"/>
    <w:rsid w:val="2AD81594"/>
    <w:rsid w:val="2AD923BE"/>
    <w:rsid w:val="2ADA9A49"/>
    <w:rsid w:val="2ADB4409"/>
    <w:rsid w:val="2ADB5548"/>
    <w:rsid w:val="2ADBED03"/>
    <w:rsid w:val="2ADC5590"/>
    <w:rsid w:val="2ADCDDC9"/>
    <w:rsid w:val="2ADCEB08"/>
    <w:rsid w:val="2ADD2451"/>
    <w:rsid w:val="2ADE8D9A"/>
    <w:rsid w:val="2ADEB267"/>
    <w:rsid w:val="2ADF6333"/>
    <w:rsid w:val="2ADF991D"/>
    <w:rsid w:val="2AE0D1D7"/>
    <w:rsid w:val="2AE1A8D0"/>
    <w:rsid w:val="2AE25308"/>
    <w:rsid w:val="2AE2C516"/>
    <w:rsid w:val="2AE34F78"/>
    <w:rsid w:val="2AE3E276"/>
    <w:rsid w:val="2AE45787"/>
    <w:rsid w:val="2AE45C86"/>
    <w:rsid w:val="2AE46157"/>
    <w:rsid w:val="2AE4680B"/>
    <w:rsid w:val="2AE5A6D1"/>
    <w:rsid w:val="2AE5B1B1"/>
    <w:rsid w:val="2AE5DAF6"/>
    <w:rsid w:val="2AE6749F"/>
    <w:rsid w:val="2AE74CD6"/>
    <w:rsid w:val="2AE7B75A"/>
    <w:rsid w:val="2AE81872"/>
    <w:rsid w:val="2AE8411B"/>
    <w:rsid w:val="2AE8FDAF"/>
    <w:rsid w:val="2AE935BE"/>
    <w:rsid w:val="2AEA7C19"/>
    <w:rsid w:val="2AEAEE91"/>
    <w:rsid w:val="2AEB4C2A"/>
    <w:rsid w:val="2AEBC822"/>
    <w:rsid w:val="2AECD277"/>
    <w:rsid w:val="2AED1DE6"/>
    <w:rsid w:val="2AED1F88"/>
    <w:rsid w:val="2AEDC436"/>
    <w:rsid w:val="2AEDE3CC"/>
    <w:rsid w:val="2AEE3126"/>
    <w:rsid w:val="2AEE5998"/>
    <w:rsid w:val="2AEEF979"/>
    <w:rsid w:val="2AEF4F9F"/>
    <w:rsid w:val="2AEFC73A"/>
    <w:rsid w:val="2AF100AB"/>
    <w:rsid w:val="2AF17FFA"/>
    <w:rsid w:val="2AF1CDAA"/>
    <w:rsid w:val="2AF2FE1B"/>
    <w:rsid w:val="2AF35A86"/>
    <w:rsid w:val="2AF37B0A"/>
    <w:rsid w:val="2AF49B3E"/>
    <w:rsid w:val="2AF4CA4D"/>
    <w:rsid w:val="2AF567B9"/>
    <w:rsid w:val="2AF5A5C1"/>
    <w:rsid w:val="2AF78A5D"/>
    <w:rsid w:val="2AF80E54"/>
    <w:rsid w:val="2AF8BC0B"/>
    <w:rsid w:val="2AF8E6F9"/>
    <w:rsid w:val="2AF8EA9A"/>
    <w:rsid w:val="2AFB6281"/>
    <w:rsid w:val="2AFB6F75"/>
    <w:rsid w:val="2AFB8CEF"/>
    <w:rsid w:val="2AFBCF63"/>
    <w:rsid w:val="2AFBFF54"/>
    <w:rsid w:val="2AFED3CA"/>
    <w:rsid w:val="2AFEE5BD"/>
    <w:rsid w:val="2AFF1BF8"/>
    <w:rsid w:val="2B00B647"/>
    <w:rsid w:val="2B00BBAD"/>
    <w:rsid w:val="2B014E43"/>
    <w:rsid w:val="2B01B599"/>
    <w:rsid w:val="2B027611"/>
    <w:rsid w:val="2B066872"/>
    <w:rsid w:val="2B07F0D1"/>
    <w:rsid w:val="2B08278B"/>
    <w:rsid w:val="2B08B0E7"/>
    <w:rsid w:val="2B08C54F"/>
    <w:rsid w:val="2B099E93"/>
    <w:rsid w:val="2B09B94A"/>
    <w:rsid w:val="2B09D1DB"/>
    <w:rsid w:val="2B0ACE32"/>
    <w:rsid w:val="2B0B2C59"/>
    <w:rsid w:val="2B0B459E"/>
    <w:rsid w:val="2B0CB699"/>
    <w:rsid w:val="2B0D4567"/>
    <w:rsid w:val="2B106592"/>
    <w:rsid w:val="2B10855A"/>
    <w:rsid w:val="2B109FC7"/>
    <w:rsid w:val="2B10EE75"/>
    <w:rsid w:val="2B11B4CD"/>
    <w:rsid w:val="2B12BF6F"/>
    <w:rsid w:val="2B12CC25"/>
    <w:rsid w:val="2B1327B2"/>
    <w:rsid w:val="2B147B6E"/>
    <w:rsid w:val="2B14D529"/>
    <w:rsid w:val="2B162AA9"/>
    <w:rsid w:val="2B1676D6"/>
    <w:rsid w:val="2B16ECA1"/>
    <w:rsid w:val="2B170EED"/>
    <w:rsid w:val="2B184D9E"/>
    <w:rsid w:val="2B1859C1"/>
    <w:rsid w:val="2B185B79"/>
    <w:rsid w:val="2B186720"/>
    <w:rsid w:val="2B18F9BC"/>
    <w:rsid w:val="2B19BE57"/>
    <w:rsid w:val="2B19DCE2"/>
    <w:rsid w:val="2B1A37D9"/>
    <w:rsid w:val="2B1AA806"/>
    <w:rsid w:val="2B1ADBED"/>
    <w:rsid w:val="2B1B0059"/>
    <w:rsid w:val="2B1B4EB1"/>
    <w:rsid w:val="2B1B7C43"/>
    <w:rsid w:val="2B1CF304"/>
    <w:rsid w:val="2B1CFAA1"/>
    <w:rsid w:val="2B1E353B"/>
    <w:rsid w:val="2B1E5F27"/>
    <w:rsid w:val="2B1EDD2F"/>
    <w:rsid w:val="2B1EEE5C"/>
    <w:rsid w:val="2B1F4402"/>
    <w:rsid w:val="2B1F6DE4"/>
    <w:rsid w:val="2B200540"/>
    <w:rsid w:val="2B201C76"/>
    <w:rsid w:val="2B205CF6"/>
    <w:rsid w:val="2B2081A6"/>
    <w:rsid w:val="2B20E81B"/>
    <w:rsid w:val="2B20F84D"/>
    <w:rsid w:val="2B21FF21"/>
    <w:rsid w:val="2B21FF6C"/>
    <w:rsid w:val="2B223F09"/>
    <w:rsid w:val="2B2240C9"/>
    <w:rsid w:val="2B2490DD"/>
    <w:rsid w:val="2B260CD7"/>
    <w:rsid w:val="2B2622CF"/>
    <w:rsid w:val="2B26E511"/>
    <w:rsid w:val="2B27CC13"/>
    <w:rsid w:val="2B28E365"/>
    <w:rsid w:val="2B28E6EB"/>
    <w:rsid w:val="2B293CC4"/>
    <w:rsid w:val="2B29C725"/>
    <w:rsid w:val="2B2A28BD"/>
    <w:rsid w:val="2B2A72E5"/>
    <w:rsid w:val="2B2A759D"/>
    <w:rsid w:val="2B2AF6C3"/>
    <w:rsid w:val="2B2BE14D"/>
    <w:rsid w:val="2B2EA72E"/>
    <w:rsid w:val="2B2FCC23"/>
    <w:rsid w:val="2B2FDB37"/>
    <w:rsid w:val="2B306E6C"/>
    <w:rsid w:val="2B3147DD"/>
    <w:rsid w:val="2B32764C"/>
    <w:rsid w:val="2B3298D4"/>
    <w:rsid w:val="2B333F6E"/>
    <w:rsid w:val="2B340E85"/>
    <w:rsid w:val="2B342D03"/>
    <w:rsid w:val="2B3455BC"/>
    <w:rsid w:val="2B3482D8"/>
    <w:rsid w:val="2B34F7BE"/>
    <w:rsid w:val="2B34FDF7"/>
    <w:rsid w:val="2B35FAB6"/>
    <w:rsid w:val="2B35FD2A"/>
    <w:rsid w:val="2B36A6A5"/>
    <w:rsid w:val="2B36B255"/>
    <w:rsid w:val="2B389A46"/>
    <w:rsid w:val="2B3919AA"/>
    <w:rsid w:val="2B397FDB"/>
    <w:rsid w:val="2B3A0514"/>
    <w:rsid w:val="2B3A5128"/>
    <w:rsid w:val="2B3C1D03"/>
    <w:rsid w:val="2B3C4953"/>
    <w:rsid w:val="2B3C532E"/>
    <w:rsid w:val="2B3DC85B"/>
    <w:rsid w:val="2B3E814E"/>
    <w:rsid w:val="2B3E87BF"/>
    <w:rsid w:val="2B3EF7F7"/>
    <w:rsid w:val="2B3F76C3"/>
    <w:rsid w:val="2B3FA440"/>
    <w:rsid w:val="2B3FD784"/>
    <w:rsid w:val="2B406BBA"/>
    <w:rsid w:val="2B40BFAA"/>
    <w:rsid w:val="2B41748A"/>
    <w:rsid w:val="2B4384B8"/>
    <w:rsid w:val="2B43AE19"/>
    <w:rsid w:val="2B43DCFD"/>
    <w:rsid w:val="2B43EBA3"/>
    <w:rsid w:val="2B4480EE"/>
    <w:rsid w:val="2B44C140"/>
    <w:rsid w:val="2B44E758"/>
    <w:rsid w:val="2B44EDEA"/>
    <w:rsid w:val="2B4706BD"/>
    <w:rsid w:val="2B471CD3"/>
    <w:rsid w:val="2B47565F"/>
    <w:rsid w:val="2B47865F"/>
    <w:rsid w:val="2B489693"/>
    <w:rsid w:val="2B48D5E3"/>
    <w:rsid w:val="2B4B4FBE"/>
    <w:rsid w:val="2B4C6FD9"/>
    <w:rsid w:val="2B4D0DA3"/>
    <w:rsid w:val="2B4D13E2"/>
    <w:rsid w:val="2B4D2658"/>
    <w:rsid w:val="2B4DC900"/>
    <w:rsid w:val="2B4E450E"/>
    <w:rsid w:val="2B4F2B77"/>
    <w:rsid w:val="2B4F98FB"/>
    <w:rsid w:val="2B4FD3A7"/>
    <w:rsid w:val="2B4FF533"/>
    <w:rsid w:val="2B51CF88"/>
    <w:rsid w:val="2B521E66"/>
    <w:rsid w:val="2B5225EF"/>
    <w:rsid w:val="2B523648"/>
    <w:rsid w:val="2B523B29"/>
    <w:rsid w:val="2B5301CC"/>
    <w:rsid w:val="2B533202"/>
    <w:rsid w:val="2B536135"/>
    <w:rsid w:val="2B53D95E"/>
    <w:rsid w:val="2B5494DA"/>
    <w:rsid w:val="2B550614"/>
    <w:rsid w:val="2B5579F7"/>
    <w:rsid w:val="2B5642A5"/>
    <w:rsid w:val="2B581C9C"/>
    <w:rsid w:val="2B58BD73"/>
    <w:rsid w:val="2B5B640A"/>
    <w:rsid w:val="2B5BBB4A"/>
    <w:rsid w:val="2B5C3519"/>
    <w:rsid w:val="2B5D8370"/>
    <w:rsid w:val="2B5D8A79"/>
    <w:rsid w:val="2B5DA9CF"/>
    <w:rsid w:val="2B5E6EA3"/>
    <w:rsid w:val="2B5FE353"/>
    <w:rsid w:val="2B6018FE"/>
    <w:rsid w:val="2B604A57"/>
    <w:rsid w:val="2B60519B"/>
    <w:rsid w:val="2B615D56"/>
    <w:rsid w:val="2B618522"/>
    <w:rsid w:val="2B620BB7"/>
    <w:rsid w:val="2B62782C"/>
    <w:rsid w:val="2B62C594"/>
    <w:rsid w:val="2B63DB01"/>
    <w:rsid w:val="2B643C98"/>
    <w:rsid w:val="2B658739"/>
    <w:rsid w:val="2B6636A7"/>
    <w:rsid w:val="2B6672F8"/>
    <w:rsid w:val="2B67128E"/>
    <w:rsid w:val="2B676B5C"/>
    <w:rsid w:val="2B6773D6"/>
    <w:rsid w:val="2B6782EA"/>
    <w:rsid w:val="2B693EDD"/>
    <w:rsid w:val="2B694D1E"/>
    <w:rsid w:val="2B69CDE6"/>
    <w:rsid w:val="2B69ED4A"/>
    <w:rsid w:val="2B6A38FC"/>
    <w:rsid w:val="2B6A737E"/>
    <w:rsid w:val="2B6ACB8A"/>
    <w:rsid w:val="2B6CFF41"/>
    <w:rsid w:val="2B6DF2C0"/>
    <w:rsid w:val="2B6E8037"/>
    <w:rsid w:val="2B6EACA2"/>
    <w:rsid w:val="2B6F17B7"/>
    <w:rsid w:val="2B6FA511"/>
    <w:rsid w:val="2B70421E"/>
    <w:rsid w:val="2B71D88C"/>
    <w:rsid w:val="2B72E690"/>
    <w:rsid w:val="2B74AE86"/>
    <w:rsid w:val="2B7544E2"/>
    <w:rsid w:val="2B75CDB0"/>
    <w:rsid w:val="2B75F7A0"/>
    <w:rsid w:val="2B7694BE"/>
    <w:rsid w:val="2B7965E4"/>
    <w:rsid w:val="2B7ABD64"/>
    <w:rsid w:val="2B7BE606"/>
    <w:rsid w:val="2B7C977F"/>
    <w:rsid w:val="2B7D4D07"/>
    <w:rsid w:val="2B7D566F"/>
    <w:rsid w:val="2B7EBC44"/>
    <w:rsid w:val="2B7F2DC6"/>
    <w:rsid w:val="2B804D9E"/>
    <w:rsid w:val="2B80AECD"/>
    <w:rsid w:val="2B818238"/>
    <w:rsid w:val="2B81D3C6"/>
    <w:rsid w:val="2B8218A1"/>
    <w:rsid w:val="2B8257B3"/>
    <w:rsid w:val="2B83B1C2"/>
    <w:rsid w:val="2B83B370"/>
    <w:rsid w:val="2B83C21A"/>
    <w:rsid w:val="2B845681"/>
    <w:rsid w:val="2B8482B8"/>
    <w:rsid w:val="2B84DBE1"/>
    <w:rsid w:val="2B8537E3"/>
    <w:rsid w:val="2B8577E7"/>
    <w:rsid w:val="2B860158"/>
    <w:rsid w:val="2B87C4A8"/>
    <w:rsid w:val="2B889E29"/>
    <w:rsid w:val="2B897072"/>
    <w:rsid w:val="2B8A2FE6"/>
    <w:rsid w:val="2B8AA042"/>
    <w:rsid w:val="2B8B2D9A"/>
    <w:rsid w:val="2B8C8CB4"/>
    <w:rsid w:val="2B8CFB06"/>
    <w:rsid w:val="2B8D08FE"/>
    <w:rsid w:val="2B8D0BAC"/>
    <w:rsid w:val="2B8D9421"/>
    <w:rsid w:val="2B8D9535"/>
    <w:rsid w:val="2B8DFA87"/>
    <w:rsid w:val="2B8E6417"/>
    <w:rsid w:val="2B8EAABC"/>
    <w:rsid w:val="2B8F05B2"/>
    <w:rsid w:val="2B8F2535"/>
    <w:rsid w:val="2B90C39B"/>
    <w:rsid w:val="2B91723A"/>
    <w:rsid w:val="2B918049"/>
    <w:rsid w:val="2B918415"/>
    <w:rsid w:val="2B9198E4"/>
    <w:rsid w:val="2B9312C1"/>
    <w:rsid w:val="2B93D5FE"/>
    <w:rsid w:val="2B940A30"/>
    <w:rsid w:val="2B945BFB"/>
    <w:rsid w:val="2B94B50F"/>
    <w:rsid w:val="2B94B63F"/>
    <w:rsid w:val="2B96F956"/>
    <w:rsid w:val="2B978C64"/>
    <w:rsid w:val="2B9941A1"/>
    <w:rsid w:val="2B9992A2"/>
    <w:rsid w:val="2B9C0E64"/>
    <w:rsid w:val="2B9C923E"/>
    <w:rsid w:val="2B9CD98A"/>
    <w:rsid w:val="2B9CDFDA"/>
    <w:rsid w:val="2B9D0C16"/>
    <w:rsid w:val="2B9D0D3E"/>
    <w:rsid w:val="2B9D644A"/>
    <w:rsid w:val="2B9D6536"/>
    <w:rsid w:val="2B9D744F"/>
    <w:rsid w:val="2B9DD1E7"/>
    <w:rsid w:val="2B9EC2E6"/>
    <w:rsid w:val="2B9EEE5D"/>
    <w:rsid w:val="2B9F317A"/>
    <w:rsid w:val="2B9FB740"/>
    <w:rsid w:val="2B9FFA3B"/>
    <w:rsid w:val="2BA06038"/>
    <w:rsid w:val="2BA0947B"/>
    <w:rsid w:val="2BA1F34C"/>
    <w:rsid w:val="2BA1F6F8"/>
    <w:rsid w:val="2BA2B324"/>
    <w:rsid w:val="2BA3EAE8"/>
    <w:rsid w:val="2BA46361"/>
    <w:rsid w:val="2BA4CCAC"/>
    <w:rsid w:val="2BA5207E"/>
    <w:rsid w:val="2BA5291C"/>
    <w:rsid w:val="2BA585A1"/>
    <w:rsid w:val="2BA79A31"/>
    <w:rsid w:val="2BA79A72"/>
    <w:rsid w:val="2BA7DB95"/>
    <w:rsid w:val="2BA97285"/>
    <w:rsid w:val="2BA9C07D"/>
    <w:rsid w:val="2BA9C4D6"/>
    <w:rsid w:val="2BA9FE7B"/>
    <w:rsid w:val="2BAAFFAE"/>
    <w:rsid w:val="2BAB09A5"/>
    <w:rsid w:val="2BAB2DAF"/>
    <w:rsid w:val="2BABBB66"/>
    <w:rsid w:val="2BAC266C"/>
    <w:rsid w:val="2BAC3349"/>
    <w:rsid w:val="2BAC6D19"/>
    <w:rsid w:val="2BACDA12"/>
    <w:rsid w:val="2BADAF67"/>
    <w:rsid w:val="2BAE342E"/>
    <w:rsid w:val="2BAE4EC0"/>
    <w:rsid w:val="2BAFA20B"/>
    <w:rsid w:val="2BAFD329"/>
    <w:rsid w:val="2BAFE7C9"/>
    <w:rsid w:val="2BB019B3"/>
    <w:rsid w:val="2BB078C7"/>
    <w:rsid w:val="2BB0C332"/>
    <w:rsid w:val="2BB11666"/>
    <w:rsid w:val="2BB147AD"/>
    <w:rsid w:val="2BB14C4E"/>
    <w:rsid w:val="2BB23CF5"/>
    <w:rsid w:val="2BB262F8"/>
    <w:rsid w:val="2BB2A6DE"/>
    <w:rsid w:val="2BB36297"/>
    <w:rsid w:val="2BB39C98"/>
    <w:rsid w:val="2BB3BDCD"/>
    <w:rsid w:val="2BB40BCE"/>
    <w:rsid w:val="2BB45DC3"/>
    <w:rsid w:val="2BB4ADDB"/>
    <w:rsid w:val="2BB51773"/>
    <w:rsid w:val="2BB649ED"/>
    <w:rsid w:val="2BB6E389"/>
    <w:rsid w:val="2BB73E74"/>
    <w:rsid w:val="2BB7C4EF"/>
    <w:rsid w:val="2BB8AF27"/>
    <w:rsid w:val="2BB9471A"/>
    <w:rsid w:val="2BB9A168"/>
    <w:rsid w:val="2BB9CEAB"/>
    <w:rsid w:val="2BB9D0DD"/>
    <w:rsid w:val="2BBB458B"/>
    <w:rsid w:val="2BBBE461"/>
    <w:rsid w:val="2BBC11E9"/>
    <w:rsid w:val="2BBC24D4"/>
    <w:rsid w:val="2BBC5E7D"/>
    <w:rsid w:val="2BBC77BE"/>
    <w:rsid w:val="2BBD3266"/>
    <w:rsid w:val="2BBE30D9"/>
    <w:rsid w:val="2BC02DED"/>
    <w:rsid w:val="2BC04EE2"/>
    <w:rsid w:val="2BC098E9"/>
    <w:rsid w:val="2BC0FCDC"/>
    <w:rsid w:val="2BC0FE67"/>
    <w:rsid w:val="2BC1B13D"/>
    <w:rsid w:val="2BC2175C"/>
    <w:rsid w:val="2BC2944D"/>
    <w:rsid w:val="2BC2BE65"/>
    <w:rsid w:val="2BC35B04"/>
    <w:rsid w:val="2BC3B674"/>
    <w:rsid w:val="2BC3C825"/>
    <w:rsid w:val="2BC3FCA0"/>
    <w:rsid w:val="2BC40A4C"/>
    <w:rsid w:val="2BC53495"/>
    <w:rsid w:val="2BC5D2A5"/>
    <w:rsid w:val="2BC64895"/>
    <w:rsid w:val="2BC70591"/>
    <w:rsid w:val="2BC76094"/>
    <w:rsid w:val="2BC7E46C"/>
    <w:rsid w:val="2BC9387F"/>
    <w:rsid w:val="2BCA40A1"/>
    <w:rsid w:val="2BCBA826"/>
    <w:rsid w:val="2BCE8AC7"/>
    <w:rsid w:val="2BCEBAF1"/>
    <w:rsid w:val="2BCEF146"/>
    <w:rsid w:val="2BD27E0A"/>
    <w:rsid w:val="2BD320B6"/>
    <w:rsid w:val="2BD36F46"/>
    <w:rsid w:val="2BD4C377"/>
    <w:rsid w:val="2BD5AAC8"/>
    <w:rsid w:val="2BD6C8D3"/>
    <w:rsid w:val="2BD766F4"/>
    <w:rsid w:val="2BD7C876"/>
    <w:rsid w:val="2BD7E6E3"/>
    <w:rsid w:val="2BD86314"/>
    <w:rsid w:val="2BD89A1C"/>
    <w:rsid w:val="2BD95098"/>
    <w:rsid w:val="2BD9838F"/>
    <w:rsid w:val="2BDA971F"/>
    <w:rsid w:val="2BDB1671"/>
    <w:rsid w:val="2BDCF87C"/>
    <w:rsid w:val="2BDD159D"/>
    <w:rsid w:val="2BDE3D4B"/>
    <w:rsid w:val="2BDE971C"/>
    <w:rsid w:val="2BDEE526"/>
    <w:rsid w:val="2BDF08F4"/>
    <w:rsid w:val="2BDF5F45"/>
    <w:rsid w:val="2BDF708C"/>
    <w:rsid w:val="2BDFA572"/>
    <w:rsid w:val="2BDFF48A"/>
    <w:rsid w:val="2BE07227"/>
    <w:rsid w:val="2BE103F3"/>
    <w:rsid w:val="2BE22B7E"/>
    <w:rsid w:val="2BE286ED"/>
    <w:rsid w:val="2BE3354D"/>
    <w:rsid w:val="2BE3835A"/>
    <w:rsid w:val="2BE47C7E"/>
    <w:rsid w:val="2BE4C060"/>
    <w:rsid w:val="2BE57415"/>
    <w:rsid w:val="2BE61D27"/>
    <w:rsid w:val="2BE69D07"/>
    <w:rsid w:val="2BE80FA2"/>
    <w:rsid w:val="2BE8E91D"/>
    <w:rsid w:val="2BE9E665"/>
    <w:rsid w:val="2BEA281D"/>
    <w:rsid w:val="2BEB21D8"/>
    <w:rsid w:val="2BEB483F"/>
    <w:rsid w:val="2BEBA1CE"/>
    <w:rsid w:val="2BEC07F3"/>
    <w:rsid w:val="2BEC4E06"/>
    <w:rsid w:val="2BECA3EA"/>
    <w:rsid w:val="2BECBB06"/>
    <w:rsid w:val="2BED0A4F"/>
    <w:rsid w:val="2BEDAA03"/>
    <w:rsid w:val="2BEE0592"/>
    <w:rsid w:val="2BEE3279"/>
    <w:rsid w:val="2BEF7013"/>
    <w:rsid w:val="2BF23B5A"/>
    <w:rsid w:val="2BF2657C"/>
    <w:rsid w:val="2BF2B9BB"/>
    <w:rsid w:val="2BF2DD20"/>
    <w:rsid w:val="2BF467CB"/>
    <w:rsid w:val="2BF4DBE6"/>
    <w:rsid w:val="2BF5A16F"/>
    <w:rsid w:val="2BF615EC"/>
    <w:rsid w:val="2BF65537"/>
    <w:rsid w:val="2BF6B5AB"/>
    <w:rsid w:val="2BF7A6A7"/>
    <w:rsid w:val="2BF7B11D"/>
    <w:rsid w:val="2BF7D07C"/>
    <w:rsid w:val="2BF86EBE"/>
    <w:rsid w:val="2BFABCC6"/>
    <w:rsid w:val="2BFB1124"/>
    <w:rsid w:val="2BFCCE8A"/>
    <w:rsid w:val="2BFCEBAC"/>
    <w:rsid w:val="2BFD05DD"/>
    <w:rsid w:val="2BFD1D8A"/>
    <w:rsid w:val="2BFD5235"/>
    <w:rsid w:val="2BFDBC0F"/>
    <w:rsid w:val="2BFEE85E"/>
    <w:rsid w:val="2BFF126D"/>
    <w:rsid w:val="2BFF3F1A"/>
    <w:rsid w:val="2BFFF5CA"/>
    <w:rsid w:val="2C01307B"/>
    <w:rsid w:val="2C019378"/>
    <w:rsid w:val="2C01EAA2"/>
    <w:rsid w:val="2C0208C2"/>
    <w:rsid w:val="2C022ED5"/>
    <w:rsid w:val="2C02839F"/>
    <w:rsid w:val="2C02DD16"/>
    <w:rsid w:val="2C02E63F"/>
    <w:rsid w:val="2C03B0D2"/>
    <w:rsid w:val="2C04923E"/>
    <w:rsid w:val="2C05A3D1"/>
    <w:rsid w:val="2C05CB8F"/>
    <w:rsid w:val="2C062797"/>
    <w:rsid w:val="2C064EF1"/>
    <w:rsid w:val="2C06B14B"/>
    <w:rsid w:val="2C06F3D7"/>
    <w:rsid w:val="2C0705B1"/>
    <w:rsid w:val="2C07D83C"/>
    <w:rsid w:val="2C082D9C"/>
    <w:rsid w:val="2C084F5C"/>
    <w:rsid w:val="2C0881EC"/>
    <w:rsid w:val="2C08ED36"/>
    <w:rsid w:val="2C09CFE3"/>
    <w:rsid w:val="2C0A0D03"/>
    <w:rsid w:val="2C0A4A6C"/>
    <w:rsid w:val="2C0A6350"/>
    <w:rsid w:val="2C0A7968"/>
    <w:rsid w:val="2C0AB7F3"/>
    <w:rsid w:val="2C0B0852"/>
    <w:rsid w:val="2C0BB517"/>
    <w:rsid w:val="2C0BD94A"/>
    <w:rsid w:val="2C0C69BF"/>
    <w:rsid w:val="2C0D2C94"/>
    <w:rsid w:val="2C0DBC00"/>
    <w:rsid w:val="2C0E3183"/>
    <w:rsid w:val="2C0EAD65"/>
    <w:rsid w:val="2C0FEBAF"/>
    <w:rsid w:val="2C12BA1F"/>
    <w:rsid w:val="2C12C4D6"/>
    <w:rsid w:val="2C132893"/>
    <w:rsid w:val="2C135B0C"/>
    <w:rsid w:val="2C13C3D3"/>
    <w:rsid w:val="2C13FD9F"/>
    <w:rsid w:val="2C143B48"/>
    <w:rsid w:val="2C147980"/>
    <w:rsid w:val="2C1769CF"/>
    <w:rsid w:val="2C1971FE"/>
    <w:rsid w:val="2C1993A4"/>
    <w:rsid w:val="2C199B3B"/>
    <w:rsid w:val="2C1A3619"/>
    <w:rsid w:val="2C1A4EFD"/>
    <w:rsid w:val="2C1A4FB3"/>
    <w:rsid w:val="2C1C21C6"/>
    <w:rsid w:val="2C1CEE63"/>
    <w:rsid w:val="2C1D4582"/>
    <w:rsid w:val="2C1DB8D2"/>
    <w:rsid w:val="2C1E072A"/>
    <w:rsid w:val="2C1E18EB"/>
    <w:rsid w:val="2C1ECD25"/>
    <w:rsid w:val="2C1FA4CB"/>
    <w:rsid w:val="2C1FB6C9"/>
    <w:rsid w:val="2C1FD3AB"/>
    <w:rsid w:val="2C20F9DF"/>
    <w:rsid w:val="2C214F4F"/>
    <w:rsid w:val="2C218011"/>
    <w:rsid w:val="2C23135A"/>
    <w:rsid w:val="2C2364D7"/>
    <w:rsid w:val="2C23BC20"/>
    <w:rsid w:val="2C249074"/>
    <w:rsid w:val="2C2535BB"/>
    <w:rsid w:val="2C26286B"/>
    <w:rsid w:val="2C265B0A"/>
    <w:rsid w:val="2C26F350"/>
    <w:rsid w:val="2C281F7A"/>
    <w:rsid w:val="2C28CD24"/>
    <w:rsid w:val="2C29ED8D"/>
    <w:rsid w:val="2C2A4488"/>
    <w:rsid w:val="2C2A8D3D"/>
    <w:rsid w:val="2C2B3D1A"/>
    <w:rsid w:val="2C2BE544"/>
    <w:rsid w:val="2C2C8435"/>
    <w:rsid w:val="2C2CCE78"/>
    <w:rsid w:val="2C2D5AE6"/>
    <w:rsid w:val="2C2DBD76"/>
    <w:rsid w:val="2C2E5001"/>
    <w:rsid w:val="2C2FBBC6"/>
    <w:rsid w:val="2C302439"/>
    <w:rsid w:val="2C305E16"/>
    <w:rsid w:val="2C316B75"/>
    <w:rsid w:val="2C316FCB"/>
    <w:rsid w:val="2C341FB5"/>
    <w:rsid w:val="2C34ADA7"/>
    <w:rsid w:val="2C363B16"/>
    <w:rsid w:val="2C37C52B"/>
    <w:rsid w:val="2C387D58"/>
    <w:rsid w:val="2C389FA9"/>
    <w:rsid w:val="2C38E40B"/>
    <w:rsid w:val="2C38EE43"/>
    <w:rsid w:val="2C3976B3"/>
    <w:rsid w:val="2C3A820F"/>
    <w:rsid w:val="2C3B66DB"/>
    <w:rsid w:val="2C3CE179"/>
    <w:rsid w:val="2C3D8E27"/>
    <w:rsid w:val="2C3DAB14"/>
    <w:rsid w:val="2C3F2AEB"/>
    <w:rsid w:val="2C3FDF46"/>
    <w:rsid w:val="2C401203"/>
    <w:rsid w:val="2C411111"/>
    <w:rsid w:val="2C421F36"/>
    <w:rsid w:val="2C42AD71"/>
    <w:rsid w:val="2C4311D5"/>
    <w:rsid w:val="2C4338D1"/>
    <w:rsid w:val="2C43ABE3"/>
    <w:rsid w:val="2C43C83C"/>
    <w:rsid w:val="2C44D9AE"/>
    <w:rsid w:val="2C450B86"/>
    <w:rsid w:val="2C46E20A"/>
    <w:rsid w:val="2C479916"/>
    <w:rsid w:val="2C47CB96"/>
    <w:rsid w:val="2C483F10"/>
    <w:rsid w:val="2C496397"/>
    <w:rsid w:val="2C49F054"/>
    <w:rsid w:val="2C4A17F4"/>
    <w:rsid w:val="2C4A8556"/>
    <w:rsid w:val="2C4B74E0"/>
    <w:rsid w:val="2C4B7BDE"/>
    <w:rsid w:val="2C4BE597"/>
    <w:rsid w:val="2C4C8E27"/>
    <w:rsid w:val="2C4C9C78"/>
    <w:rsid w:val="2C4CB755"/>
    <w:rsid w:val="2C4D5F04"/>
    <w:rsid w:val="2C4DEE4B"/>
    <w:rsid w:val="2C4F2881"/>
    <w:rsid w:val="2C4F6F8A"/>
    <w:rsid w:val="2C4FE183"/>
    <w:rsid w:val="2C4FEB25"/>
    <w:rsid w:val="2C500E2A"/>
    <w:rsid w:val="2C50219D"/>
    <w:rsid w:val="2C508235"/>
    <w:rsid w:val="2C50D86B"/>
    <w:rsid w:val="2C5282CE"/>
    <w:rsid w:val="2C5353A6"/>
    <w:rsid w:val="2C53821A"/>
    <w:rsid w:val="2C546E23"/>
    <w:rsid w:val="2C5496F8"/>
    <w:rsid w:val="2C54D553"/>
    <w:rsid w:val="2C559910"/>
    <w:rsid w:val="2C55A80A"/>
    <w:rsid w:val="2C55C209"/>
    <w:rsid w:val="2C56FC76"/>
    <w:rsid w:val="2C58ABA7"/>
    <w:rsid w:val="2C58E4A1"/>
    <w:rsid w:val="2C59385C"/>
    <w:rsid w:val="2C5A1858"/>
    <w:rsid w:val="2C5A6C64"/>
    <w:rsid w:val="2C5A7ADE"/>
    <w:rsid w:val="2C5AFA60"/>
    <w:rsid w:val="2C5B177B"/>
    <w:rsid w:val="2C5B6353"/>
    <w:rsid w:val="2C5B9678"/>
    <w:rsid w:val="2C5BAAEE"/>
    <w:rsid w:val="2C5CC407"/>
    <w:rsid w:val="2C5CC40B"/>
    <w:rsid w:val="2C5CF36E"/>
    <w:rsid w:val="2C607C91"/>
    <w:rsid w:val="2C60B4E6"/>
    <w:rsid w:val="2C610DE0"/>
    <w:rsid w:val="2C61335E"/>
    <w:rsid w:val="2C614E6D"/>
    <w:rsid w:val="2C61D154"/>
    <w:rsid w:val="2C624B22"/>
    <w:rsid w:val="2C62D216"/>
    <w:rsid w:val="2C630F52"/>
    <w:rsid w:val="2C63C08C"/>
    <w:rsid w:val="2C645A8C"/>
    <w:rsid w:val="2C64699B"/>
    <w:rsid w:val="2C6566C1"/>
    <w:rsid w:val="2C658104"/>
    <w:rsid w:val="2C65E115"/>
    <w:rsid w:val="2C66CA4F"/>
    <w:rsid w:val="2C6714A7"/>
    <w:rsid w:val="2C6715D6"/>
    <w:rsid w:val="2C67254D"/>
    <w:rsid w:val="2C6895DF"/>
    <w:rsid w:val="2C6907D8"/>
    <w:rsid w:val="2C692515"/>
    <w:rsid w:val="2C6A7511"/>
    <w:rsid w:val="2C6AFCBA"/>
    <w:rsid w:val="2C6B331E"/>
    <w:rsid w:val="2C6CF582"/>
    <w:rsid w:val="2C6D0FBB"/>
    <w:rsid w:val="2C6D4020"/>
    <w:rsid w:val="2C6D60D7"/>
    <w:rsid w:val="2C6E56BD"/>
    <w:rsid w:val="2C6ECC28"/>
    <w:rsid w:val="2C7127C0"/>
    <w:rsid w:val="2C7148B9"/>
    <w:rsid w:val="2C71BDF7"/>
    <w:rsid w:val="2C71FEE0"/>
    <w:rsid w:val="2C7286AB"/>
    <w:rsid w:val="2C7294FD"/>
    <w:rsid w:val="2C736A33"/>
    <w:rsid w:val="2C73B932"/>
    <w:rsid w:val="2C74ABEF"/>
    <w:rsid w:val="2C74E65A"/>
    <w:rsid w:val="2C750CE8"/>
    <w:rsid w:val="2C75206E"/>
    <w:rsid w:val="2C759B9B"/>
    <w:rsid w:val="2C766523"/>
    <w:rsid w:val="2C77EBD6"/>
    <w:rsid w:val="2C786BA1"/>
    <w:rsid w:val="2C78CD93"/>
    <w:rsid w:val="2C79B263"/>
    <w:rsid w:val="2C79CBAF"/>
    <w:rsid w:val="2C7A5878"/>
    <w:rsid w:val="2C7B391B"/>
    <w:rsid w:val="2C7B3A5F"/>
    <w:rsid w:val="2C7B861F"/>
    <w:rsid w:val="2C7BE0E3"/>
    <w:rsid w:val="2C7C1BCB"/>
    <w:rsid w:val="2C7CB4B0"/>
    <w:rsid w:val="2C7CB66A"/>
    <w:rsid w:val="2C7CD87A"/>
    <w:rsid w:val="2C7D1801"/>
    <w:rsid w:val="2C7D5E53"/>
    <w:rsid w:val="2C7E2BB8"/>
    <w:rsid w:val="2C7E49FF"/>
    <w:rsid w:val="2C7EF387"/>
    <w:rsid w:val="2C7EFAEC"/>
    <w:rsid w:val="2C7F1558"/>
    <w:rsid w:val="2C7FC0AA"/>
    <w:rsid w:val="2C7FD3DF"/>
    <w:rsid w:val="2C80A9E8"/>
    <w:rsid w:val="2C8175EF"/>
    <w:rsid w:val="2C818DAB"/>
    <w:rsid w:val="2C820974"/>
    <w:rsid w:val="2C823892"/>
    <w:rsid w:val="2C825BA4"/>
    <w:rsid w:val="2C827CB5"/>
    <w:rsid w:val="2C829225"/>
    <w:rsid w:val="2C837593"/>
    <w:rsid w:val="2C83F091"/>
    <w:rsid w:val="2C83F0E6"/>
    <w:rsid w:val="2C84D704"/>
    <w:rsid w:val="2C850B6A"/>
    <w:rsid w:val="2C854CDA"/>
    <w:rsid w:val="2C8650DE"/>
    <w:rsid w:val="2C876464"/>
    <w:rsid w:val="2C87797D"/>
    <w:rsid w:val="2C87822B"/>
    <w:rsid w:val="2C887375"/>
    <w:rsid w:val="2C896039"/>
    <w:rsid w:val="2C8A60F5"/>
    <w:rsid w:val="2C8A773C"/>
    <w:rsid w:val="2C8A9F79"/>
    <w:rsid w:val="2C8BB131"/>
    <w:rsid w:val="2C8CAF4A"/>
    <w:rsid w:val="2C8CCF8F"/>
    <w:rsid w:val="2C8DA507"/>
    <w:rsid w:val="2C8DF834"/>
    <w:rsid w:val="2C8EF35F"/>
    <w:rsid w:val="2C8FE95A"/>
    <w:rsid w:val="2C9072FA"/>
    <w:rsid w:val="2C9198A4"/>
    <w:rsid w:val="2C9258D6"/>
    <w:rsid w:val="2C930B73"/>
    <w:rsid w:val="2C93FFCF"/>
    <w:rsid w:val="2C940503"/>
    <w:rsid w:val="2C9476CF"/>
    <w:rsid w:val="2C9501F7"/>
    <w:rsid w:val="2C954B2D"/>
    <w:rsid w:val="2C95A26E"/>
    <w:rsid w:val="2C95CEB1"/>
    <w:rsid w:val="2C96311F"/>
    <w:rsid w:val="2C965DB6"/>
    <w:rsid w:val="2C98837C"/>
    <w:rsid w:val="2C990B67"/>
    <w:rsid w:val="2C993B2C"/>
    <w:rsid w:val="2C9A660D"/>
    <w:rsid w:val="2C9A9B8C"/>
    <w:rsid w:val="2C9B1CCC"/>
    <w:rsid w:val="2C9CBDEB"/>
    <w:rsid w:val="2C9CE551"/>
    <w:rsid w:val="2C9E075D"/>
    <w:rsid w:val="2C9F954D"/>
    <w:rsid w:val="2CA09033"/>
    <w:rsid w:val="2CA0C903"/>
    <w:rsid w:val="2CA30480"/>
    <w:rsid w:val="2CA38AC3"/>
    <w:rsid w:val="2CA3CF74"/>
    <w:rsid w:val="2CA3DB33"/>
    <w:rsid w:val="2CA54701"/>
    <w:rsid w:val="2CA54BCA"/>
    <w:rsid w:val="2CA5DFC2"/>
    <w:rsid w:val="2CA5FA43"/>
    <w:rsid w:val="2CA63831"/>
    <w:rsid w:val="2CA65BF7"/>
    <w:rsid w:val="2CA6D682"/>
    <w:rsid w:val="2CA80837"/>
    <w:rsid w:val="2CA80B0C"/>
    <w:rsid w:val="2CAAC1BE"/>
    <w:rsid w:val="2CAB293C"/>
    <w:rsid w:val="2CAB67F9"/>
    <w:rsid w:val="2CAB77A8"/>
    <w:rsid w:val="2CAB96CD"/>
    <w:rsid w:val="2CAC0754"/>
    <w:rsid w:val="2CAC44B8"/>
    <w:rsid w:val="2CAC9E21"/>
    <w:rsid w:val="2CACD430"/>
    <w:rsid w:val="2CAE0327"/>
    <w:rsid w:val="2CAF0411"/>
    <w:rsid w:val="2CB020E1"/>
    <w:rsid w:val="2CB06C87"/>
    <w:rsid w:val="2CB0C592"/>
    <w:rsid w:val="2CB10318"/>
    <w:rsid w:val="2CB1ECF9"/>
    <w:rsid w:val="2CB23F34"/>
    <w:rsid w:val="2CB2DA3C"/>
    <w:rsid w:val="2CB39EC0"/>
    <w:rsid w:val="2CB4B035"/>
    <w:rsid w:val="2CB4CF92"/>
    <w:rsid w:val="2CB56BB4"/>
    <w:rsid w:val="2CB5C457"/>
    <w:rsid w:val="2CB5FAD1"/>
    <w:rsid w:val="2CB63EA0"/>
    <w:rsid w:val="2CB6AC79"/>
    <w:rsid w:val="2CB82285"/>
    <w:rsid w:val="2CB88BDE"/>
    <w:rsid w:val="2CB89F62"/>
    <w:rsid w:val="2CB90A94"/>
    <w:rsid w:val="2CB92C45"/>
    <w:rsid w:val="2CB93674"/>
    <w:rsid w:val="2CB9EFBB"/>
    <w:rsid w:val="2CB9FB12"/>
    <w:rsid w:val="2CBA0B38"/>
    <w:rsid w:val="2CBA143A"/>
    <w:rsid w:val="2CBA8653"/>
    <w:rsid w:val="2CBA92C7"/>
    <w:rsid w:val="2CBAE3D2"/>
    <w:rsid w:val="2CBDCFCD"/>
    <w:rsid w:val="2CBE3501"/>
    <w:rsid w:val="2CBE712D"/>
    <w:rsid w:val="2CBEAFAC"/>
    <w:rsid w:val="2CBEE54E"/>
    <w:rsid w:val="2CBF33FD"/>
    <w:rsid w:val="2CBF7B21"/>
    <w:rsid w:val="2CC01496"/>
    <w:rsid w:val="2CC0B21E"/>
    <w:rsid w:val="2CC210E8"/>
    <w:rsid w:val="2CC27700"/>
    <w:rsid w:val="2CC475AD"/>
    <w:rsid w:val="2CC49367"/>
    <w:rsid w:val="2CC49CD6"/>
    <w:rsid w:val="2CC4BC75"/>
    <w:rsid w:val="2CC53FB5"/>
    <w:rsid w:val="2CC6198C"/>
    <w:rsid w:val="2CC6C5BE"/>
    <w:rsid w:val="2CC6CEA2"/>
    <w:rsid w:val="2CC7592C"/>
    <w:rsid w:val="2CC8E6C9"/>
    <w:rsid w:val="2CC98AC9"/>
    <w:rsid w:val="2CCB6D0A"/>
    <w:rsid w:val="2CCC34F4"/>
    <w:rsid w:val="2CCC7017"/>
    <w:rsid w:val="2CCC7520"/>
    <w:rsid w:val="2CCCD79B"/>
    <w:rsid w:val="2CCD3846"/>
    <w:rsid w:val="2CCDBF27"/>
    <w:rsid w:val="2CCDC782"/>
    <w:rsid w:val="2CCE64A1"/>
    <w:rsid w:val="2CCE91B6"/>
    <w:rsid w:val="2CCEA94E"/>
    <w:rsid w:val="2CCEBB58"/>
    <w:rsid w:val="2CCF2510"/>
    <w:rsid w:val="2CCFE559"/>
    <w:rsid w:val="2CD05CF1"/>
    <w:rsid w:val="2CD0EAB5"/>
    <w:rsid w:val="2CD14511"/>
    <w:rsid w:val="2CD18724"/>
    <w:rsid w:val="2CD26A99"/>
    <w:rsid w:val="2CD3ADDB"/>
    <w:rsid w:val="2CD40268"/>
    <w:rsid w:val="2CD41D47"/>
    <w:rsid w:val="2CD48CC8"/>
    <w:rsid w:val="2CD510E6"/>
    <w:rsid w:val="2CD526FF"/>
    <w:rsid w:val="2CD5CF1B"/>
    <w:rsid w:val="2CD6AB14"/>
    <w:rsid w:val="2CD70C58"/>
    <w:rsid w:val="2CD7BD85"/>
    <w:rsid w:val="2CD86317"/>
    <w:rsid w:val="2CDA42A9"/>
    <w:rsid w:val="2CDAA356"/>
    <w:rsid w:val="2CDAE5F7"/>
    <w:rsid w:val="2CDB0A91"/>
    <w:rsid w:val="2CDB5640"/>
    <w:rsid w:val="2CDC3E72"/>
    <w:rsid w:val="2CDD57D2"/>
    <w:rsid w:val="2CDD75A8"/>
    <w:rsid w:val="2CDE2CA7"/>
    <w:rsid w:val="2CDEE2C9"/>
    <w:rsid w:val="2CDF0535"/>
    <w:rsid w:val="2CDF1975"/>
    <w:rsid w:val="2CDF507A"/>
    <w:rsid w:val="2CE069DF"/>
    <w:rsid w:val="2CE06EA3"/>
    <w:rsid w:val="2CE11F30"/>
    <w:rsid w:val="2CE1737D"/>
    <w:rsid w:val="2CE1E309"/>
    <w:rsid w:val="2CE23802"/>
    <w:rsid w:val="2CE300B2"/>
    <w:rsid w:val="2CE37E22"/>
    <w:rsid w:val="2CE493E4"/>
    <w:rsid w:val="2CE5A68F"/>
    <w:rsid w:val="2CE5ADBA"/>
    <w:rsid w:val="2CE61DD8"/>
    <w:rsid w:val="2CE625E6"/>
    <w:rsid w:val="2CE68C40"/>
    <w:rsid w:val="2CE6E1CA"/>
    <w:rsid w:val="2CE72F7E"/>
    <w:rsid w:val="2CE7469F"/>
    <w:rsid w:val="2CE76C29"/>
    <w:rsid w:val="2CE82E5B"/>
    <w:rsid w:val="2CEA58D8"/>
    <w:rsid w:val="2CEB3812"/>
    <w:rsid w:val="2CEB3B87"/>
    <w:rsid w:val="2CEBE69A"/>
    <w:rsid w:val="2CEBEE6C"/>
    <w:rsid w:val="2CEC1208"/>
    <w:rsid w:val="2CEC3373"/>
    <w:rsid w:val="2CEDB0DF"/>
    <w:rsid w:val="2CEEDC72"/>
    <w:rsid w:val="2CEF5348"/>
    <w:rsid w:val="2CEF6D4A"/>
    <w:rsid w:val="2CF08E8D"/>
    <w:rsid w:val="2CF0BEE7"/>
    <w:rsid w:val="2CF1DA76"/>
    <w:rsid w:val="2CF24ADE"/>
    <w:rsid w:val="2CF32F3C"/>
    <w:rsid w:val="2CF3A3E6"/>
    <w:rsid w:val="2CF53C60"/>
    <w:rsid w:val="2CF5FCEE"/>
    <w:rsid w:val="2CF63C3F"/>
    <w:rsid w:val="2CF6B1D6"/>
    <w:rsid w:val="2CF6CAC8"/>
    <w:rsid w:val="2CF6D38C"/>
    <w:rsid w:val="2CFA94E8"/>
    <w:rsid w:val="2CFADABB"/>
    <w:rsid w:val="2CFB1E0F"/>
    <w:rsid w:val="2CFB9C0B"/>
    <w:rsid w:val="2CFBF270"/>
    <w:rsid w:val="2CFCBF54"/>
    <w:rsid w:val="2CFCDF60"/>
    <w:rsid w:val="2CFD036B"/>
    <w:rsid w:val="2CFD8C7A"/>
    <w:rsid w:val="2CFE1BED"/>
    <w:rsid w:val="2CFE7790"/>
    <w:rsid w:val="2CFF8530"/>
    <w:rsid w:val="2CFF9940"/>
    <w:rsid w:val="2D007483"/>
    <w:rsid w:val="2D0106E5"/>
    <w:rsid w:val="2D018F8B"/>
    <w:rsid w:val="2D01D118"/>
    <w:rsid w:val="2D0352EF"/>
    <w:rsid w:val="2D03C14D"/>
    <w:rsid w:val="2D03EE09"/>
    <w:rsid w:val="2D04A02F"/>
    <w:rsid w:val="2D04CE24"/>
    <w:rsid w:val="2D056E65"/>
    <w:rsid w:val="2D07945C"/>
    <w:rsid w:val="2D081272"/>
    <w:rsid w:val="2D08CBCA"/>
    <w:rsid w:val="2D093050"/>
    <w:rsid w:val="2D099D66"/>
    <w:rsid w:val="2D09CD13"/>
    <w:rsid w:val="2D0A4323"/>
    <w:rsid w:val="2D0AB69B"/>
    <w:rsid w:val="2D0B55AC"/>
    <w:rsid w:val="2D0B8B28"/>
    <w:rsid w:val="2D0CA89F"/>
    <w:rsid w:val="2D1036F8"/>
    <w:rsid w:val="2D104F8C"/>
    <w:rsid w:val="2D10BCF6"/>
    <w:rsid w:val="2D11876C"/>
    <w:rsid w:val="2D11FDFF"/>
    <w:rsid w:val="2D122938"/>
    <w:rsid w:val="2D1286F5"/>
    <w:rsid w:val="2D1384C0"/>
    <w:rsid w:val="2D145EFD"/>
    <w:rsid w:val="2D14FCAA"/>
    <w:rsid w:val="2D1528E6"/>
    <w:rsid w:val="2D15DE3D"/>
    <w:rsid w:val="2D15EB64"/>
    <w:rsid w:val="2D166692"/>
    <w:rsid w:val="2D16EC24"/>
    <w:rsid w:val="2D181073"/>
    <w:rsid w:val="2D188F1A"/>
    <w:rsid w:val="2D191A13"/>
    <w:rsid w:val="2D191D68"/>
    <w:rsid w:val="2D1995F7"/>
    <w:rsid w:val="2D19B03D"/>
    <w:rsid w:val="2D1AB0C6"/>
    <w:rsid w:val="2D1BCAB2"/>
    <w:rsid w:val="2D1BE148"/>
    <w:rsid w:val="2D1CB98F"/>
    <w:rsid w:val="2D1E80A5"/>
    <w:rsid w:val="2D1F816D"/>
    <w:rsid w:val="2D1FCEE2"/>
    <w:rsid w:val="2D2092CE"/>
    <w:rsid w:val="2D210745"/>
    <w:rsid w:val="2D21C1A3"/>
    <w:rsid w:val="2D2265A6"/>
    <w:rsid w:val="2D226F61"/>
    <w:rsid w:val="2D227765"/>
    <w:rsid w:val="2D22793D"/>
    <w:rsid w:val="2D2296BF"/>
    <w:rsid w:val="2D232D1E"/>
    <w:rsid w:val="2D24066F"/>
    <w:rsid w:val="2D241C61"/>
    <w:rsid w:val="2D24B0F6"/>
    <w:rsid w:val="2D24C607"/>
    <w:rsid w:val="2D24FCBE"/>
    <w:rsid w:val="2D250F0A"/>
    <w:rsid w:val="2D253E82"/>
    <w:rsid w:val="2D282C3A"/>
    <w:rsid w:val="2D2A09D2"/>
    <w:rsid w:val="2D2A318F"/>
    <w:rsid w:val="2D2A67F0"/>
    <w:rsid w:val="2D2A7300"/>
    <w:rsid w:val="2D2D46C3"/>
    <w:rsid w:val="2D2D6BF7"/>
    <w:rsid w:val="2D2E00BE"/>
    <w:rsid w:val="2D2EB121"/>
    <w:rsid w:val="2D2F0A51"/>
    <w:rsid w:val="2D2FF7CC"/>
    <w:rsid w:val="2D307EEC"/>
    <w:rsid w:val="2D30B6D0"/>
    <w:rsid w:val="2D30F327"/>
    <w:rsid w:val="2D32AA99"/>
    <w:rsid w:val="2D344DE2"/>
    <w:rsid w:val="2D350F33"/>
    <w:rsid w:val="2D3586DF"/>
    <w:rsid w:val="2D35CB62"/>
    <w:rsid w:val="2D364598"/>
    <w:rsid w:val="2D37585E"/>
    <w:rsid w:val="2D37AC25"/>
    <w:rsid w:val="2D37CEB6"/>
    <w:rsid w:val="2D380919"/>
    <w:rsid w:val="2D3938D0"/>
    <w:rsid w:val="2D39D762"/>
    <w:rsid w:val="2D3ABE43"/>
    <w:rsid w:val="2D3AF613"/>
    <w:rsid w:val="2D3B3334"/>
    <w:rsid w:val="2D3B80C0"/>
    <w:rsid w:val="2D3BFD68"/>
    <w:rsid w:val="2D3D83DD"/>
    <w:rsid w:val="2D3F0F5B"/>
    <w:rsid w:val="2D40DE0C"/>
    <w:rsid w:val="2D40E1AF"/>
    <w:rsid w:val="2D414A92"/>
    <w:rsid w:val="2D41593A"/>
    <w:rsid w:val="2D41C15B"/>
    <w:rsid w:val="2D41F871"/>
    <w:rsid w:val="2D4235A7"/>
    <w:rsid w:val="2D424D21"/>
    <w:rsid w:val="2D4278F3"/>
    <w:rsid w:val="2D434A26"/>
    <w:rsid w:val="2D441C8B"/>
    <w:rsid w:val="2D445B2C"/>
    <w:rsid w:val="2D4484FF"/>
    <w:rsid w:val="2D452278"/>
    <w:rsid w:val="2D45D51E"/>
    <w:rsid w:val="2D45EC0E"/>
    <w:rsid w:val="2D47482C"/>
    <w:rsid w:val="2D4766AA"/>
    <w:rsid w:val="2D479B23"/>
    <w:rsid w:val="2D47D763"/>
    <w:rsid w:val="2D481DB7"/>
    <w:rsid w:val="2D49C56C"/>
    <w:rsid w:val="2D4A642D"/>
    <w:rsid w:val="2D4AA5E6"/>
    <w:rsid w:val="2D4B381F"/>
    <w:rsid w:val="2D4B69D3"/>
    <w:rsid w:val="2D4BA3FF"/>
    <w:rsid w:val="2D4C1A1E"/>
    <w:rsid w:val="2D4D0865"/>
    <w:rsid w:val="2D4D84F5"/>
    <w:rsid w:val="2D4DC246"/>
    <w:rsid w:val="2D4E2321"/>
    <w:rsid w:val="2D4FE329"/>
    <w:rsid w:val="2D4FF09B"/>
    <w:rsid w:val="2D503EB0"/>
    <w:rsid w:val="2D50579A"/>
    <w:rsid w:val="2D5059BB"/>
    <w:rsid w:val="2D507774"/>
    <w:rsid w:val="2D5161C2"/>
    <w:rsid w:val="2D5188C2"/>
    <w:rsid w:val="2D51B0B0"/>
    <w:rsid w:val="2D528A97"/>
    <w:rsid w:val="2D52E680"/>
    <w:rsid w:val="2D53DF0B"/>
    <w:rsid w:val="2D544B95"/>
    <w:rsid w:val="2D546CBE"/>
    <w:rsid w:val="2D54CCB5"/>
    <w:rsid w:val="2D54CEA3"/>
    <w:rsid w:val="2D55461D"/>
    <w:rsid w:val="2D555AF4"/>
    <w:rsid w:val="2D556E06"/>
    <w:rsid w:val="2D558F75"/>
    <w:rsid w:val="2D55995F"/>
    <w:rsid w:val="2D5698BC"/>
    <w:rsid w:val="2D57A981"/>
    <w:rsid w:val="2D583CFD"/>
    <w:rsid w:val="2D58F50A"/>
    <w:rsid w:val="2D58F673"/>
    <w:rsid w:val="2D5946FE"/>
    <w:rsid w:val="2D59AC71"/>
    <w:rsid w:val="2D59CD29"/>
    <w:rsid w:val="2D59CD43"/>
    <w:rsid w:val="2D5A33DF"/>
    <w:rsid w:val="2D5B6DC9"/>
    <w:rsid w:val="2D5B748E"/>
    <w:rsid w:val="2D5BD7AD"/>
    <w:rsid w:val="2D5BE0D3"/>
    <w:rsid w:val="2D5C0EE9"/>
    <w:rsid w:val="2D5C562B"/>
    <w:rsid w:val="2D5C59A3"/>
    <w:rsid w:val="2D5D65AD"/>
    <w:rsid w:val="2D5E1A4C"/>
    <w:rsid w:val="2D5E637E"/>
    <w:rsid w:val="2D5FA1AD"/>
    <w:rsid w:val="2D6027BD"/>
    <w:rsid w:val="2D607E2D"/>
    <w:rsid w:val="2D60A3C4"/>
    <w:rsid w:val="2D6126DE"/>
    <w:rsid w:val="2D618A60"/>
    <w:rsid w:val="2D62927C"/>
    <w:rsid w:val="2D62A74A"/>
    <w:rsid w:val="2D63ABC7"/>
    <w:rsid w:val="2D63B630"/>
    <w:rsid w:val="2D641B9E"/>
    <w:rsid w:val="2D656B01"/>
    <w:rsid w:val="2D660392"/>
    <w:rsid w:val="2D66248A"/>
    <w:rsid w:val="2D66E534"/>
    <w:rsid w:val="2D6754EB"/>
    <w:rsid w:val="2D682F9B"/>
    <w:rsid w:val="2D689A56"/>
    <w:rsid w:val="2D6A8D4B"/>
    <w:rsid w:val="2D6B6DFC"/>
    <w:rsid w:val="2D6BEDD4"/>
    <w:rsid w:val="2D6E20D4"/>
    <w:rsid w:val="2D6F0A43"/>
    <w:rsid w:val="2D6F575A"/>
    <w:rsid w:val="2D707B25"/>
    <w:rsid w:val="2D7153EA"/>
    <w:rsid w:val="2D7365AD"/>
    <w:rsid w:val="2D745375"/>
    <w:rsid w:val="2D7700F1"/>
    <w:rsid w:val="2D773A16"/>
    <w:rsid w:val="2D776399"/>
    <w:rsid w:val="2D7763C7"/>
    <w:rsid w:val="2D77AE0E"/>
    <w:rsid w:val="2D783F6C"/>
    <w:rsid w:val="2D78C49F"/>
    <w:rsid w:val="2D7A4229"/>
    <w:rsid w:val="2D7A4928"/>
    <w:rsid w:val="2D7A7395"/>
    <w:rsid w:val="2D7B3B40"/>
    <w:rsid w:val="2D7B834E"/>
    <w:rsid w:val="2D7C3ABB"/>
    <w:rsid w:val="2D7CE014"/>
    <w:rsid w:val="2D7D98FF"/>
    <w:rsid w:val="2D7DD912"/>
    <w:rsid w:val="2D7E7679"/>
    <w:rsid w:val="2D7E8868"/>
    <w:rsid w:val="2D806CEF"/>
    <w:rsid w:val="2D80F2E2"/>
    <w:rsid w:val="2D81CDF7"/>
    <w:rsid w:val="2D81D671"/>
    <w:rsid w:val="2D81E610"/>
    <w:rsid w:val="2D84A2A4"/>
    <w:rsid w:val="2D85BCE7"/>
    <w:rsid w:val="2D86FA06"/>
    <w:rsid w:val="2D872C2F"/>
    <w:rsid w:val="2D8B64A0"/>
    <w:rsid w:val="2D8B9B82"/>
    <w:rsid w:val="2D8C7B24"/>
    <w:rsid w:val="2D8D8D2E"/>
    <w:rsid w:val="2D8DFB23"/>
    <w:rsid w:val="2D8F9462"/>
    <w:rsid w:val="2D8FF89B"/>
    <w:rsid w:val="2D91B31B"/>
    <w:rsid w:val="2D925C4A"/>
    <w:rsid w:val="2D92773B"/>
    <w:rsid w:val="2D92BB8B"/>
    <w:rsid w:val="2D92E7BF"/>
    <w:rsid w:val="2D935D61"/>
    <w:rsid w:val="2D945FCE"/>
    <w:rsid w:val="2D94600C"/>
    <w:rsid w:val="2D948060"/>
    <w:rsid w:val="2D95A1E2"/>
    <w:rsid w:val="2D962528"/>
    <w:rsid w:val="2D963AE5"/>
    <w:rsid w:val="2D96496B"/>
    <w:rsid w:val="2D974FC2"/>
    <w:rsid w:val="2D9760DE"/>
    <w:rsid w:val="2D985F8B"/>
    <w:rsid w:val="2D985FE1"/>
    <w:rsid w:val="2D986A1F"/>
    <w:rsid w:val="2D98D6AD"/>
    <w:rsid w:val="2D995FDD"/>
    <w:rsid w:val="2D996BEE"/>
    <w:rsid w:val="2D999A78"/>
    <w:rsid w:val="2D99AD60"/>
    <w:rsid w:val="2D9AB409"/>
    <w:rsid w:val="2D9D5754"/>
    <w:rsid w:val="2D9DEF9E"/>
    <w:rsid w:val="2D9F01B2"/>
    <w:rsid w:val="2D9F3AAC"/>
    <w:rsid w:val="2D9F7CE1"/>
    <w:rsid w:val="2DA043B9"/>
    <w:rsid w:val="2DA15D3D"/>
    <w:rsid w:val="2DA1F9CD"/>
    <w:rsid w:val="2DA21536"/>
    <w:rsid w:val="2DA2A3A3"/>
    <w:rsid w:val="2DA2C364"/>
    <w:rsid w:val="2DA460A6"/>
    <w:rsid w:val="2DA4792D"/>
    <w:rsid w:val="2DA4F05B"/>
    <w:rsid w:val="2DA4F53E"/>
    <w:rsid w:val="2DA50DC2"/>
    <w:rsid w:val="2DA56D06"/>
    <w:rsid w:val="2DA5F570"/>
    <w:rsid w:val="2DA63DCF"/>
    <w:rsid w:val="2DA76B7D"/>
    <w:rsid w:val="2DA8639F"/>
    <w:rsid w:val="2DA8AFF7"/>
    <w:rsid w:val="2DA912E7"/>
    <w:rsid w:val="2DAB0FB6"/>
    <w:rsid w:val="2DACCAEF"/>
    <w:rsid w:val="2DADB114"/>
    <w:rsid w:val="2DADC555"/>
    <w:rsid w:val="2DADD9C5"/>
    <w:rsid w:val="2DAE288B"/>
    <w:rsid w:val="2DAE87DE"/>
    <w:rsid w:val="2DAE8A68"/>
    <w:rsid w:val="2DAFFEC1"/>
    <w:rsid w:val="2DB04BFA"/>
    <w:rsid w:val="2DB0C40E"/>
    <w:rsid w:val="2DB0D80D"/>
    <w:rsid w:val="2DB0FB48"/>
    <w:rsid w:val="2DB1676C"/>
    <w:rsid w:val="2DB25B69"/>
    <w:rsid w:val="2DB46D04"/>
    <w:rsid w:val="2DB49B8A"/>
    <w:rsid w:val="2DB4CA24"/>
    <w:rsid w:val="2DB5B95F"/>
    <w:rsid w:val="2DB648A7"/>
    <w:rsid w:val="2DB7BD6D"/>
    <w:rsid w:val="2DB7D5EF"/>
    <w:rsid w:val="2DB85A00"/>
    <w:rsid w:val="2DB8EBB2"/>
    <w:rsid w:val="2DB8F426"/>
    <w:rsid w:val="2DB98CBC"/>
    <w:rsid w:val="2DB9E284"/>
    <w:rsid w:val="2DBA07DA"/>
    <w:rsid w:val="2DBAFF62"/>
    <w:rsid w:val="2DBDD74F"/>
    <w:rsid w:val="2DBEC094"/>
    <w:rsid w:val="2DBEDF68"/>
    <w:rsid w:val="2DBEEA86"/>
    <w:rsid w:val="2DBEEF98"/>
    <w:rsid w:val="2DBF2C2F"/>
    <w:rsid w:val="2DBF3BAA"/>
    <w:rsid w:val="2DBFB0F3"/>
    <w:rsid w:val="2DBFCE30"/>
    <w:rsid w:val="2DBFDE2E"/>
    <w:rsid w:val="2DC00E10"/>
    <w:rsid w:val="2DC068D6"/>
    <w:rsid w:val="2DC0C9EE"/>
    <w:rsid w:val="2DC41175"/>
    <w:rsid w:val="2DC4127B"/>
    <w:rsid w:val="2DC46FFE"/>
    <w:rsid w:val="2DC4B336"/>
    <w:rsid w:val="2DC595EA"/>
    <w:rsid w:val="2DC5C2E1"/>
    <w:rsid w:val="2DC5CA86"/>
    <w:rsid w:val="2DC650E5"/>
    <w:rsid w:val="2DC76BFC"/>
    <w:rsid w:val="2DC96B24"/>
    <w:rsid w:val="2DC9A8FF"/>
    <w:rsid w:val="2DCA40AB"/>
    <w:rsid w:val="2DCAD81E"/>
    <w:rsid w:val="2DCB0BE3"/>
    <w:rsid w:val="2DCB2656"/>
    <w:rsid w:val="2DCB5708"/>
    <w:rsid w:val="2DCBC9DB"/>
    <w:rsid w:val="2DCD1DE4"/>
    <w:rsid w:val="2DCD2913"/>
    <w:rsid w:val="2DCDA3EB"/>
    <w:rsid w:val="2DCE83DD"/>
    <w:rsid w:val="2DCECE8D"/>
    <w:rsid w:val="2DCF93A5"/>
    <w:rsid w:val="2DD1AD13"/>
    <w:rsid w:val="2DD239CC"/>
    <w:rsid w:val="2DD27461"/>
    <w:rsid w:val="2DD2D7A9"/>
    <w:rsid w:val="2DD4F1D3"/>
    <w:rsid w:val="2DD64736"/>
    <w:rsid w:val="2DD657D7"/>
    <w:rsid w:val="2DD674B2"/>
    <w:rsid w:val="2DD6EBD9"/>
    <w:rsid w:val="2DD82661"/>
    <w:rsid w:val="2DD9B8AA"/>
    <w:rsid w:val="2DDAA406"/>
    <w:rsid w:val="2DDAB757"/>
    <w:rsid w:val="2DDBCC4F"/>
    <w:rsid w:val="2DDE3521"/>
    <w:rsid w:val="2DDEF2D1"/>
    <w:rsid w:val="2DDF2FD4"/>
    <w:rsid w:val="2DDF7CEB"/>
    <w:rsid w:val="2DE1C588"/>
    <w:rsid w:val="2DE554CD"/>
    <w:rsid w:val="2DE5CF08"/>
    <w:rsid w:val="2DE78D43"/>
    <w:rsid w:val="2DE79978"/>
    <w:rsid w:val="2DE7B257"/>
    <w:rsid w:val="2DE8904E"/>
    <w:rsid w:val="2DE8C260"/>
    <w:rsid w:val="2DE8D973"/>
    <w:rsid w:val="2DE9FF10"/>
    <w:rsid w:val="2DEA1792"/>
    <w:rsid w:val="2DEA40B8"/>
    <w:rsid w:val="2DEC02F8"/>
    <w:rsid w:val="2DEDED26"/>
    <w:rsid w:val="2DEE6F4A"/>
    <w:rsid w:val="2DEEF420"/>
    <w:rsid w:val="2DEF48D5"/>
    <w:rsid w:val="2DF046B6"/>
    <w:rsid w:val="2DF05025"/>
    <w:rsid w:val="2DF05758"/>
    <w:rsid w:val="2DF09979"/>
    <w:rsid w:val="2DF09F41"/>
    <w:rsid w:val="2DF0BC32"/>
    <w:rsid w:val="2DF21B98"/>
    <w:rsid w:val="2DF2748B"/>
    <w:rsid w:val="2DF2A699"/>
    <w:rsid w:val="2DF2E5A6"/>
    <w:rsid w:val="2DF3805B"/>
    <w:rsid w:val="2DF4D75A"/>
    <w:rsid w:val="2DF5082F"/>
    <w:rsid w:val="2DF68801"/>
    <w:rsid w:val="2DF6A68D"/>
    <w:rsid w:val="2DF6F45F"/>
    <w:rsid w:val="2DF72D36"/>
    <w:rsid w:val="2DF7641E"/>
    <w:rsid w:val="2DF7CDE2"/>
    <w:rsid w:val="2DF8E21E"/>
    <w:rsid w:val="2DF92670"/>
    <w:rsid w:val="2DF9617D"/>
    <w:rsid w:val="2DFB0EC7"/>
    <w:rsid w:val="2DFC1B03"/>
    <w:rsid w:val="2DFCBB8F"/>
    <w:rsid w:val="2DFDCD47"/>
    <w:rsid w:val="2DFEF2EF"/>
    <w:rsid w:val="2DFF01AF"/>
    <w:rsid w:val="2E02883D"/>
    <w:rsid w:val="2E028EE7"/>
    <w:rsid w:val="2E0291F8"/>
    <w:rsid w:val="2E04AB33"/>
    <w:rsid w:val="2E05611D"/>
    <w:rsid w:val="2E06851E"/>
    <w:rsid w:val="2E0688CE"/>
    <w:rsid w:val="2E069C28"/>
    <w:rsid w:val="2E06C14F"/>
    <w:rsid w:val="2E07B409"/>
    <w:rsid w:val="2E07CDAC"/>
    <w:rsid w:val="2E07E2B5"/>
    <w:rsid w:val="2E094B6D"/>
    <w:rsid w:val="2E0A9FE8"/>
    <w:rsid w:val="2E0B2D33"/>
    <w:rsid w:val="2E0B8207"/>
    <w:rsid w:val="2E0B9463"/>
    <w:rsid w:val="2E0BB09F"/>
    <w:rsid w:val="2E0BB83D"/>
    <w:rsid w:val="2E0BE51E"/>
    <w:rsid w:val="2E0C0BD4"/>
    <w:rsid w:val="2E0C411B"/>
    <w:rsid w:val="2E0CEDBC"/>
    <w:rsid w:val="2E0D9561"/>
    <w:rsid w:val="2E0DA4C0"/>
    <w:rsid w:val="2E0E38CF"/>
    <w:rsid w:val="2E0E4D8C"/>
    <w:rsid w:val="2E0E8D45"/>
    <w:rsid w:val="2E0F7FB0"/>
    <w:rsid w:val="2E10949A"/>
    <w:rsid w:val="2E1103D5"/>
    <w:rsid w:val="2E112494"/>
    <w:rsid w:val="2E112623"/>
    <w:rsid w:val="2E129E9C"/>
    <w:rsid w:val="2E12E9C9"/>
    <w:rsid w:val="2E145A1E"/>
    <w:rsid w:val="2E148E20"/>
    <w:rsid w:val="2E14D744"/>
    <w:rsid w:val="2E152DA2"/>
    <w:rsid w:val="2E155DCA"/>
    <w:rsid w:val="2E156F04"/>
    <w:rsid w:val="2E15BC80"/>
    <w:rsid w:val="2E16158B"/>
    <w:rsid w:val="2E167E8E"/>
    <w:rsid w:val="2E16DADB"/>
    <w:rsid w:val="2E1724E8"/>
    <w:rsid w:val="2E176DCD"/>
    <w:rsid w:val="2E17AEBC"/>
    <w:rsid w:val="2E17F68B"/>
    <w:rsid w:val="2E185D7A"/>
    <w:rsid w:val="2E1957D7"/>
    <w:rsid w:val="2E1A5D75"/>
    <w:rsid w:val="2E1A7929"/>
    <w:rsid w:val="2E1C65F9"/>
    <w:rsid w:val="2E1DA077"/>
    <w:rsid w:val="2E1DDD2D"/>
    <w:rsid w:val="2E1E2C05"/>
    <w:rsid w:val="2E1F2D29"/>
    <w:rsid w:val="2E1F8CE9"/>
    <w:rsid w:val="2E1FDD58"/>
    <w:rsid w:val="2E20451F"/>
    <w:rsid w:val="2E208E77"/>
    <w:rsid w:val="2E20D9C3"/>
    <w:rsid w:val="2E2108FB"/>
    <w:rsid w:val="2E217EB9"/>
    <w:rsid w:val="2E2190B3"/>
    <w:rsid w:val="2E22EA07"/>
    <w:rsid w:val="2E2363BB"/>
    <w:rsid w:val="2E236A34"/>
    <w:rsid w:val="2E238EC7"/>
    <w:rsid w:val="2E23A938"/>
    <w:rsid w:val="2E23AC9A"/>
    <w:rsid w:val="2E24542C"/>
    <w:rsid w:val="2E248832"/>
    <w:rsid w:val="2E26DD34"/>
    <w:rsid w:val="2E27E0C7"/>
    <w:rsid w:val="2E292DD7"/>
    <w:rsid w:val="2E29FA42"/>
    <w:rsid w:val="2E2A6D32"/>
    <w:rsid w:val="2E2C3D20"/>
    <w:rsid w:val="2E2CC225"/>
    <w:rsid w:val="2E2D1BB9"/>
    <w:rsid w:val="2E2D752F"/>
    <w:rsid w:val="2E2E50A1"/>
    <w:rsid w:val="2E2E7208"/>
    <w:rsid w:val="2E2E9E2D"/>
    <w:rsid w:val="2E2F13E7"/>
    <w:rsid w:val="2E3066C4"/>
    <w:rsid w:val="2E329805"/>
    <w:rsid w:val="2E337AB3"/>
    <w:rsid w:val="2E34B3E0"/>
    <w:rsid w:val="2E34F173"/>
    <w:rsid w:val="2E351084"/>
    <w:rsid w:val="2E356580"/>
    <w:rsid w:val="2E358364"/>
    <w:rsid w:val="2E35F172"/>
    <w:rsid w:val="2E362150"/>
    <w:rsid w:val="2E365538"/>
    <w:rsid w:val="2E3713FD"/>
    <w:rsid w:val="2E37CF81"/>
    <w:rsid w:val="2E37F3F7"/>
    <w:rsid w:val="2E382AD0"/>
    <w:rsid w:val="2E393FAB"/>
    <w:rsid w:val="2E39EF79"/>
    <w:rsid w:val="2E3AB172"/>
    <w:rsid w:val="2E3AC113"/>
    <w:rsid w:val="2E3B1668"/>
    <w:rsid w:val="2E3CE0DB"/>
    <w:rsid w:val="2E3E30D1"/>
    <w:rsid w:val="2E3EDE4E"/>
    <w:rsid w:val="2E3EFB12"/>
    <w:rsid w:val="2E3F9FFE"/>
    <w:rsid w:val="2E40F70C"/>
    <w:rsid w:val="2E416063"/>
    <w:rsid w:val="2E417B86"/>
    <w:rsid w:val="2E426DC0"/>
    <w:rsid w:val="2E437C72"/>
    <w:rsid w:val="2E43C41F"/>
    <w:rsid w:val="2E43EE71"/>
    <w:rsid w:val="2E446B60"/>
    <w:rsid w:val="2E44D356"/>
    <w:rsid w:val="2E450B98"/>
    <w:rsid w:val="2E456567"/>
    <w:rsid w:val="2E456937"/>
    <w:rsid w:val="2E45B44B"/>
    <w:rsid w:val="2E46528B"/>
    <w:rsid w:val="2E46C016"/>
    <w:rsid w:val="2E4778DA"/>
    <w:rsid w:val="2E47C65A"/>
    <w:rsid w:val="2E47CD9E"/>
    <w:rsid w:val="2E4835BD"/>
    <w:rsid w:val="2E48B42E"/>
    <w:rsid w:val="2E48F5CB"/>
    <w:rsid w:val="2E4CC26D"/>
    <w:rsid w:val="2E4D1BF7"/>
    <w:rsid w:val="2E4DD52F"/>
    <w:rsid w:val="2E4E55D8"/>
    <w:rsid w:val="2E4ED61E"/>
    <w:rsid w:val="2E500721"/>
    <w:rsid w:val="2E500A51"/>
    <w:rsid w:val="2E5115C6"/>
    <w:rsid w:val="2E513F81"/>
    <w:rsid w:val="2E51F498"/>
    <w:rsid w:val="2E5308EC"/>
    <w:rsid w:val="2E5398F9"/>
    <w:rsid w:val="2E53F15F"/>
    <w:rsid w:val="2E54424D"/>
    <w:rsid w:val="2E5567DE"/>
    <w:rsid w:val="2E566CFF"/>
    <w:rsid w:val="2E5749EC"/>
    <w:rsid w:val="2E5791DB"/>
    <w:rsid w:val="2E581A3A"/>
    <w:rsid w:val="2E585467"/>
    <w:rsid w:val="2E58A2EE"/>
    <w:rsid w:val="2E590082"/>
    <w:rsid w:val="2E5954FC"/>
    <w:rsid w:val="2E595FC0"/>
    <w:rsid w:val="2E59A413"/>
    <w:rsid w:val="2E5A2D51"/>
    <w:rsid w:val="2E5A88CC"/>
    <w:rsid w:val="2E5B045E"/>
    <w:rsid w:val="2E5B3666"/>
    <w:rsid w:val="2E5BE2E4"/>
    <w:rsid w:val="2E5C0519"/>
    <w:rsid w:val="2E5C52D9"/>
    <w:rsid w:val="2E5CAC2B"/>
    <w:rsid w:val="2E5D281D"/>
    <w:rsid w:val="2E5D2ECD"/>
    <w:rsid w:val="2E5ECB85"/>
    <w:rsid w:val="2E5F1C0C"/>
    <w:rsid w:val="2E5F9D90"/>
    <w:rsid w:val="2E6015DE"/>
    <w:rsid w:val="2E604349"/>
    <w:rsid w:val="2E60A18A"/>
    <w:rsid w:val="2E615AD6"/>
    <w:rsid w:val="2E617E5D"/>
    <w:rsid w:val="2E622E2F"/>
    <w:rsid w:val="2E628B0D"/>
    <w:rsid w:val="2E633492"/>
    <w:rsid w:val="2E6387F9"/>
    <w:rsid w:val="2E6424FF"/>
    <w:rsid w:val="2E647BC3"/>
    <w:rsid w:val="2E64A4BF"/>
    <w:rsid w:val="2E654E7E"/>
    <w:rsid w:val="2E65A6C1"/>
    <w:rsid w:val="2E68AA08"/>
    <w:rsid w:val="2E68BF2B"/>
    <w:rsid w:val="2E6945FE"/>
    <w:rsid w:val="2E6B63E0"/>
    <w:rsid w:val="2E6BE020"/>
    <w:rsid w:val="2E6CC85B"/>
    <w:rsid w:val="2E6D2B0A"/>
    <w:rsid w:val="2E6EB33F"/>
    <w:rsid w:val="2E6EC370"/>
    <w:rsid w:val="2E6F1394"/>
    <w:rsid w:val="2E6F8929"/>
    <w:rsid w:val="2E6FC065"/>
    <w:rsid w:val="2E710372"/>
    <w:rsid w:val="2E71F8AC"/>
    <w:rsid w:val="2E7223BB"/>
    <w:rsid w:val="2E727E18"/>
    <w:rsid w:val="2E72EADB"/>
    <w:rsid w:val="2E740AEC"/>
    <w:rsid w:val="2E742EDB"/>
    <w:rsid w:val="2E748B51"/>
    <w:rsid w:val="2E753216"/>
    <w:rsid w:val="2E75BBC6"/>
    <w:rsid w:val="2E762CC6"/>
    <w:rsid w:val="2E77BED4"/>
    <w:rsid w:val="2E780F4B"/>
    <w:rsid w:val="2E788C7B"/>
    <w:rsid w:val="2E78CECD"/>
    <w:rsid w:val="2E7A6ECD"/>
    <w:rsid w:val="2E7A7148"/>
    <w:rsid w:val="2E7AC5A1"/>
    <w:rsid w:val="2E7B0188"/>
    <w:rsid w:val="2E7B32F8"/>
    <w:rsid w:val="2E7C1B82"/>
    <w:rsid w:val="2E7E77F2"/>
    <w:rsid w:val="2E7F0E88"/>
    <w:rsid w:val="2E7F13C7"/>
    <w:rsid w:val="2E7F5E06"/>
    <w:rsid w:val="2E7FD2EB"/>
    <w:rsid w:val="2E80F219"/>
    <w:rsid w:val="2E8115AD"/>
    <w:rsid w:val="2E820492"/>
    <w:rsid w:val="2E83DCF0"/>
    <w:rsid w:val="2E847808"/>
    <w:rsid w:val="2E847E1E"/>
    <w:rsid w:val="2E852262"/>
    <w:rsid w:val="2E852AB9"/>
    <w:rsid w:val="2E854F6B"/>
    <w:rsid w:val="2E856414"/>
    <w:rsid w:val="2E8688DD"/>
    <w:rsid w:val="2E8749FC"/>
    <w:rsid w:val="2E87A9BA"/>
    <w:rsid w:val="2E882CA9"/>
    <w:rsid w:val="2E883CB2"/>
    <w:rsid w:val="2E885685"/>
    <w:rsid w:val="2E88EDD1"/>
    <w:rsid w:val="2E89DEB1"/>
    <w:rsid w:val="2E8A6A86"/>
    <w:rsid w:val="2E8DE742"/>
    <w:rsid w:val="2E8DED63"/>
    <w:rsid w:val="2E8DFA9B"/>
    <w:rsid w:val="2E8E4048"/>
    <w:rsid w:val="2E8E75FE"/>
    <w:rsid w:val="2E8F562C"/>
    <w:rsid w:val="2E8F798B"/>
    <w:rsid w:val="2E8FA988"/>
    <w:rsid w:val="2E8FBF59"/>
    <w:rsid w:val="2E911980"/>
    <w:rsid w:val="2E930093"/>
    <w:rsid w:val="2E936391"/>
    <w:rsid w:val="2E9461B4"/>
    <w:rsid w:val="2E94E8C9"/>
    <w:rsid w:val="2E953D7B"/>
    <w:rsid w:val="2E95E155"/>
    <w:rsid w:val="2E960206"/>
    <w:rsid w:val="2E964308"/>
    <w:rsid w:val="2E96E6A9"/>
    <w:rsid w:val="2E97EECB"/>
    <w:rsid w:val="2E982209"/>
    <w:rsid w:val="2E9831F5"/>
    <w:rsid w:val="2E98BB01"/>
    <w:rsid w:val="2E999599"/>
    <w:rsid w:val="2E9A4B83"/>
    <w:rsid w:val="2E9A6A7A"/>
    <w:rsid w:val="2E9A9FE6"/>
    <w:rsid w:val="2E9AAE9A"/>
    <w:rsid w:val="2E9AC034"/>
    <w:rsid w:val="2E9BCB82"/>
    <w:rsid w:val="2E9BF264"/>
    <w:rsid w:val="2E9C0074"/>
    <w:rsid w:val="2E9C5891"/>
    <w:rsid w:val="2E9CABEA"/>
    <w:rsid w:val="2E9E7D7A"/>
    <w:rsid w:val="2E9EC98C"/>
    <w:rsid w:val="2EA10F15"/>
    <w:rsid w:val="2EA1260A"/>
    <w:rsid w:val="2EA18B13"/>
    <w:rsid w:val="2EA323FA"/>
    <w:rsid w:val="2EA41F63"/>
    <w:rsid w:val="2EA470E7"/>
    <w:rsid w:val="2EA4BABA"/>
    <w:rsid w:val="2EA55EDF"/>
    <w:rsid w:val="2EA5A902"/>
    <w:rsid w:val="2EA5C20E"/>
    <w:rsid w:val="2EA5F9F4"/>
    <w:rsid w:val="2EA650F7"/>
    <w:rsid w:val="2EA69288"/>
    <w:rsid w:val="2EA69AB7"/>
    <w:rsid w:val="2EA70A30"/>
    <w:rsid w:val="2EA7862F"/>
    <w:rsid w:val="2EA7F325"/>
    <w:rsid w:val="2EA8A3C6"/>
    <w:rsid w:val="2EA92D4B"/>
    <w:rsid w:val="2EAA5B2F"/>
    <w:rsid w:val="2EAB1983"/>
    <w:rsid w:val="2EABE7C6"/>
    <w:rsid w:val="2EAC9C34"/>
    <w:rsid w:val="2EAD25D4"/>
    <w:rsid w:val="2EAD2791"/>
    <w:rsid w:val="2EAD2BE3"/>
    <w:rsid w:val="2EAD367C"/>
    <w:rsid w:val="2EAD43A6"/>
    <w:rsid w:val="2EAE51FD"/>
    <w:rsid w:val="2EAED03B"/>
    <w:rsid w:val="2EAFB75A"/>
    <w:rsid w:val="2EB1B411"/>
    <w:rsid w:val="2EB2A65A"/>
    <w:rsid w:val="2EB30CEF"/>
    <w:rsid w:val="2EB464DF"/>
    <w:rsid w:val="2EB4D3E7"/>
    <w:rsid w:val="2EB4E24F"/>
    <w:rsid w:val="2EB4EDC9"/>
    <w:rsid w:val="2EB51C3D"/>
    <w:rsid w:val="2EB56AED"/>
    <w:rsid w:val="2EB5C984"/>
    <w:rsid w:val="2EB5E336"/>
    <w:rsid w:val="2EB70D61"/>
    <w:rsid w:val="2EB7657E"/>
    <w:rsid w:val="2EB78440"/>
    <w:rsid w:val="2EB785D2"/>
    <w:rsid w:val="2EB78682"/>
    <w:rsid w:val="2EB7F89B"/>
    <w:rsid w:val="2EB8B9E2"/>
    <w:rsid w:val="2EB9E959"/>
    <w:rsid w:val="2EBA8924"/>
    <w:rsid w:val="2EBA8C89"/>
    <w:rsid w:val="2EBAA96C"/>
    <w:rsid w:val="2EBB9760"/>
    <w:rsid w:val="2EBBDA94"/>
    <w:rsid w:val="2EBC113A"/>
    <w:rsid w:val="2EBC632F"/>
    <w:rsid w:val="2EBC9F32"/>
    <w:rsid w:val="2EBD2326"/>
    <w:rsid w:val="2EBE6310"/>
    <w:rsid w:val="2EBFE895"/>
    <w:rsid w:val="2EC138DB"/>
    <w:rsid w:val="2EC1AE46"/>
    <w:rsid w:val="2EC1D514"/>
    <w:rsid w:val="2EC26CC3"/>
    <w:rsid w:val="2EC3223A"/>
    <w:rsid w:val="2EC3F5C3"/>
    <w:rsid w:val="2EC45E3D"/>
    <w:rsid w:val="2EC525C6"/>
    <w:rsid w:val="2EC52BCE"/>
    <w:rsid w:val="2EC56AAC"/>
    <w:rsid w:val="2EC62C0A"/>
    <w:rsid w:val="2EC7E448"/>
    <w:rsid w:val="2EC83C05"/>
    <w:rsid w:val="2EC8780C"/>
    <w:rsid w:val="2EC884F5"/>
    <w:rsid w:val="2EC9BC08"/>
    <w:rsid w:val="2ECA6277"/>
    <w:rsid w:val="2ECB1343"/>
    <w:rsid w:val="2ECB36A9"/>
    <w:rsid w:val="2ECB7D7C"/>
    <w:rsid w:val="2ECC01E6"/>
    <w:rsid w:val="2ECD9E81"/>
    <w:rsid w:val="2ECDCCA5"/>
    <w:rsid w:val="2ECE38F7"/>
    <w:rsid w:val="2ECE4937"/>
    <w:rsid w:val="2ECEC211"/>
    <w:rsid w:val="2ED066FA"/>
    <w:rsid w:val="2ED102EB"/>
    <w:rsid w:val="2ED122C9"/>
    <w:rsid w:val="2ED1B043"/>
    <w:rsid w:val="2ED28AC1"/>
    <w:rsid w:val="2ED33569"/>
    <w:rsid w:val="2ED43F89"/>
    <w:rsid w:val="2ED5D5D2"/>
    <w:rsid w:val="2ED5E250"/>
    <w:rsid w:val="2ED72180"/>
    <w:rsid w:val="2ED72F7C"/>
    <w:rsid w:val="2ED7320E"/>
    <w:rsid w:val="2ED73A4F"/>
    <w:rsid w:val="2ED75BA1"/>
    <w:rsid w:val="2ED79495"/>
    <w:rsid w:val="2ED8F4F5"/>
    <w:rsid w:val="2ED9940E"/>
    <w:rsid w:val="2EDA4CCC"/>
    <w:rsid w:val="2EDB146E"/>
    <w:rsid w:val="2EDC2434"/>
    <w:rsid w:val="2EDC37F7"/>
    <w:rsid w:val="2EDCE296"/>
    <w:rsid w:val="2EDD5863"/>
    <w:rsid w:val="2EDD8FC0"/>
    <w:rsid w:val="2EDDE6EC"/>
    <w:rsid w:val="2EDE128C"/>
    <w:rsid w:val="2EDE7ACC"/>
    <w:rsid w:val="2EDEE007"/>
    <w:rsid w:val="2EDF1983"/>
    <w:rsid w:val="2EDF93AA"/>
    <w:rsid w:val="2EE0FB77"/>
    <w:rsid w:val="2EE129D6"/>
    <w:rsid w:val="2EE149DE"/>
    <w:rsid w:val="2EE3370B"/>
    <w:rsid w:val="2EE388E1"/>
    <w:rsid w:val="2EE4DCF4"/>
    <w:rsid w:val="2EE5D175"/>
    <w:rsid w:val="2EE5DAC5"/>
    <w:rsid w:val="2EE626CD"/>
    <w:rsid w:val="2EE75A4A"/>
    <w:rsid w:val="2EE7BA75"/>
    <w:rsid w:val="2EE81145"/>
    <w:rsid w:val="2EE8609A"/>
    <w:rsid w:val="2EE88A16"/>
    <w:rsid w:val="2EE9AE27"/>
    <w:rsid w:val="2EEA1CBC"/>
    <w:rsid w:val="2EEA211A"/>
    <w:rsid w:val="2EEA9BCC"/>
    <w:rsid w:val="2EEAE481"/>
    <w:rsid w:val="2EEB7A0A"/>
    <w:rsid w:val="2EEBB6FF"/>
    <w:rsid w:val="2EEC16DC"/>
    <w:rsid w:val="2EEC6DE9"/>
    <w:rsid w:val="2EECC415"/>
    <w:rsid w:val="2EEDC07C"/>
    <w:rsid w:val="2EEDFFE2"/>
    <w:rsid w:val="2EEE5561"/>
    <w:rsid w:val="2EEEE1CF"/>
    <w:rsid w:val="2EEF0927"/>
    <w:rsid w:val="2EEF77FF"/>
    <w:rsid w:val="2EF04146"/>
    <w:rsid w:val="2EF08D76"/>
    <w:rsid w:val="2EF0F59F"/>
    <w:rsid w:val="2EF150AB"/>
    <w:rsid w:val="2EF1FC4D"/>
    <w:rsid w:val="2EF34F7E"/>
    <w:rsid w:val="2EF4B9B9"/>
    <w:rsid w:val="2EF699E3"/>
    <w:rsid w:val="2EF6CFA2"/>
    <w:rsid w:val="2EF74327"/>
    <w:rsid w:val="2EF7710C"/>
    <w:rsid w:val="2EF7A0B0"/>
    <w:rsid w:val="2EF84ED4"/>
    <w:rsid w:val="2EF86BCE"/>
    <w:rsid w:val="2EF8F55F"/>
    <w:rsid w:val="2EF90B1E"/>
    <w:rsid w:val="2EF96A42"/>
    <w:rsid w:val="2EF98264"/>
    <w:rsid w:val="2EFA5700"/>
    <w:rsid w:val="2EFADFEC"/>
    <w:rsid w:val="2EFB0D91"/>
    <w:rsid w:val="2EFCBE76"/>
    <w:rsid w:val="2EFCDDEA"/>
    <w:rsid w:val="2EFDA2B9"/>
    <w:rsid w:val="2EFE98A9"/>
    <w:rsid w:val="2EFEB5A0"/>
    <w:rsid w:val="2F000531"/>
    <w:rsid w:val="2F0043E9"/>
    <w:rsid w:val="2F014B3D"/>
    <w:rsid w:val="2F03B292"/>
    <w:rsid w:val="2F03B4D5"/>
    <w:rsid w:val="2F0423E7"/>
    <w:rsid w:val="2F049496"/>
    <w:rsid w:val="2F049B08"/>
    <w:rsid w:val="2F04B000"/>
    <w:rsid w:val="2F04B840"/>
    <w:rsid w:val="2F062713"/>
    <w:rsid w:val="2F064369"/>
    <w:rsid w:val="2F0769D7"/>
    <w:rsid w:val="2F079002"/>
    <w:rsid w:val="2F08E9E0"/>
    <w:rsid w:val="2F097AC5"/>
    <w:rsid w:val="2F0A72FD"/>
    <w:rsid w:val="2F0AC27E"/>
    <w:rsid w:val="2F0C3AE3"/>
    <w:rsid w:val="2F0CA883"/>
    <w:rsid w:val="2F0CE24E"/>
    <w:rsid w:val="2F0D7F2C"/>
    <w:rsid w:val="2F0E0105"/>
    <w:rsid w:val="2F0E61AC"/>
    <w:rsid w:val="2F105CEB"/>
    <w:rsid w:val="2F1074E8"/>
    <w:rsid w:val="2F1237AB"/>
    <w:rsid w:val="2F130EC1"/>
    <w:rsid w:val="2F132FB0"/>
    <w:rsid w:val="2F13C78B"/>
    <w:rsid w:val="2F145B5D"/>
    <w:rsid w:val="2F14D61F"/>
    <w:rsid w:val="2F15E5A9"/>
    <w:rsid w:val="2F16FD30"/>
    <w:rsid w:val="2F1787FA"/>
    <w:rsid w:val="2F17F9F6"/>
    <w:rsid w:val="2F18600D"/>
    <w:rsid w:val="2F186D57"/>
    <w:rsid w:val="2F18C24B"/>
    <w:rsid w:val="2F1B5B3A"/>
    <w:rsid w:val="2F1C7122"/>
    <w:rsid w:val="2F1CDF36"/>
    <w:rsid w:val="2F1EE5C9"/>
    <w:rsid w:val="2F1FDE5D"/>
    <w:rsid w:val="2F201814"/>
    <w:rsid w:val="2F20691D"/>
    <w:rsid w:val="2F20B543"/>
    <w:rsid w:val="2F21C14E"/>
    <w:rsid w:val="2F23E683"/>
    <w:rsid w:val="2F248DC5"/>
    <w:rsid w:val="2F24F950"/>
    <w:rsid w:val="2F259FB5"/>
    <w:rsid w:val="2F261150"/>
    <w:rsid w:val="2F263B2B"/>
    <w:rsid w:val="2F264609"/>
    <w:rsid w:val="2F269417"/>
    <w:rsid w:val="2F275696"/>
    <w:rsid w:val="2F27D74D"/>
    <w:rsid w:val="2F28BB51"/>
    <w:rsid w:val="2F297B92"/>
    <w:rsid w:val="2F29D487"/>
    <w:rsid w:val="2F2A1055"/>
    <w:rsid w:val="2F2ADB83"/>
    <w:rsid w:val="2F2BA8C5"/>
    <w:rsid w:val="2F2D9A8A"/>
    <w:rsid w:val="2F2DD316"/>
    <w:rsid w:val="2F2E2BB3"/>
    <w:rsid w:val="2F2EC99F"/>
    <w:rsid w:val="2F2F1369"/>
    <w:rsid w:val="2F2FA40C"/>
    <w:rsid w:val="2F2FC199"/>
    <w:rsid w:val="2F30296A"/>
    <w:rsid w:val="2F3040A6"/>
    <w:rsid w:val="2F306958"/>
    <w:rsid w:val="2F3074E2"/>
    <w:rsid w:val="2F30FE93"/>
    <w:rsid w:val="2F333889"/>
    <w:rsid w:val="2F335AA9"/>
    <w:rsid w:val="2F34FFA0"/>
    <w:rsid w:val="2F354AD1"/>
    <w:rsid w:val="2F374347"/>
    <w:rsid w:val="2F37B2AB"/>
    <w:rsid w:val="2F384FB5"/>
    <w:rsid w:val="2F385AEA"/>
    <w:rsid w:val="2F395AD7"/>
    <w:rsid w:val="2F39EA2B"/>
    <w:rsid w:val="2F3AA946"/>
    <w:rsid w:val="2F3B72AE"/>
    <w:rsid w:val="2F3B9D80"/>
    <w:rsid w:val="2F3C1970"/>
    <w:rsid w:val="2F3C2B7D"/>
    <w:rsid w:val="2F3C7D80"/>
    <w:rsid w:val="2F3CAB95"/>
    <w:rsid w:val="2F3D4BC2"/>
    <w:rsid w:val="2F3F117F"/>
    <w:rsid w:val="2F3F9385"/>
    <w:rsid w:val="2F40B8BB"/>
    <w:rsid w:val="2F4122C0"/>
    <w:rsid w:val="2F416C50"/>
    <w:rsid w:val="2F435677"/>
    <w:rsid w:val="2F4371CF"/>
    <w:rsid w:val="2F439971"/>
    <w:rsid w:val="2F447127"/>
    <w:rsid w:val="2F468A9C"/>
    <w:rsid w:val="2F473E4B"/>
    <w:rsid w:val="2F475446"/>
    <w:rsid w:val="2F489F08"/>
    <w:rsid w:val="2F492068"/>
    <w:rsid w:val="2F49A7B3"/>
    <w:rsid w:val="2F49EC7D"/>
    <w:rsid w:val="2F4AA52B"/>
    <w:rsid w:val="2F4CDF1D"/>
    <w:rsid w:val="2F4D73E9"/>
    <w:rsid w:val="2F4F55DA"/>
    <w:rsid w:val="2F4FB438"/>
    <w:rsid w:val="2F4FB960"/>
    <w:rsid w:val="2F500A7B"/>
    <w:rsid w:val="2F5277EA"/>
    <w:rsid w:val="2F52B4D9"/>
    <w:rsid w:val="2F543F51"/>
    <w:rsid w:val="2F547071"/>
    <w:rsid w:val="2F54AAE2"/>
    <w:rsid w:val="2F54D022"/>
    <w:rsid w:val="2F559C12"/>
    <w:rsid w:val="2F55AAC2"/>
    <w:rsid w:val="2F55C96B"/>
    <w:rsid w:val="2F562EDD"/>
    <w:rsid w:val="2F57A1A9"/>
    <w:rsid w:val="2F58F1CB"/>
    <w:rsid w:val="2F59A154"/>
    <w:rsid w:val="2F59AF97"/>
    <w:rsid w:val="2F5AF299"/>
    <w:rsid w:val="2F5B75C4"/>
    <w:rsid w:val="2F5B8905"/>
    <w:rsid w:val="2F5BA020"/>
    <w:rsid w:val="2F5C4878"/>
    <w:rsid w:val="2F5CAC8E"/>
    <w:rsid w:val="2F5DAA42"/>
    <w:rsid w:val="2F5DC56E"/>
    <w:rsid w:val="2F5E3BFB"/>
    <w:rsid w:val="2F5F5804"/>
    <w:rsid w:val="2F6091F7"/>
    <w:rsid w:val="2F60DDFC"/>
    <w:rsid w:val="2F60F2B6"/>
    <w:rsid w:val="2F61C76E"/>
    <w:rsid w:val="2F61CE08"/>
    <w:rsid w:val="2F61F876"/>
    <w:rsid w:val="2F622BD2"/>
    <w:rsid w:val="2F6284FD"/>
    <w:rsid w:val="2F636A0E"/>
    <w:rsid w:val="2F63BC96"/>
    <w:rsid w:val="2F64A554"/>
    <w:rsid w:val="2F6556DC"/>
    <w:rsid w:val="2F656B25"/>
    <w:rsid w:val="2F656B56"/>
    <w:rsid w:val="2F6596CA"/>
    <w:rsid w:val="2F669F9C"/>
    <w:rsid w:val="2F66E0ED"/>
    <w:rsid w:val="2F67408F"/>
    <w:rsid w:val="2F674B83"/>
    <w:rsid w:val="2F68A2DB"/>
    <w:rsid w:val="2F68A3FB"/>
    <w:rsid w:val="2F692938"/>
    <w:rsid w:val="2F6A53CB"/>
    <w:rsid w:val="2F6A5A6A"/>
    <w:rsid w:val="2F6C2F1B"/>
    <w:rsid w:val="2F6C6F9E"/>
    <w:rsid w:val="2F6F2330"/>
    <w:rsid w:val="2F6F9F91"/>
    <w:rsid w:val="2F7024EA"/>
    <w:rsid w:val="2F706891"/>
    <w:rsid w:val="2F708AD5"/>
    <w:rsid w:val="2F70B7BB"/>
    <w:rsid w:val="2F70C110"/>
    <w:rsid w:val="2F718DED"/>
    <w:rsid w:val="2F720A82"/>
    <w:rsid w:val="2F7332FB"/>
    <w:rsid w:val="2F73FC32"/>
    <w:rsid w:val="2F742729"/>
    <w:rsid w:val="2F75C8A6"/>
    <w:rsid w:val="2F767A39"/>
    <w:rsid w:val="2F76A88B"/>
    <w:rsid w:val="2F76FC3A"/>
    <w:rsid w:val="2F772BC4"/>
    <w:rsid w:val="2F777CA8"/>
    <w:rsid w:val="2F7841E0"/>
    <w:rsid w:val="2F789D22"/>
    <w:rsid w:val="2F7931C9"/>
    <w:rsid w:val="2F79B85E"/>
    <w:rsid w:val="2F79BEC0"/>
    <w:rsid w:val="2F7A9281"/>
    <w:rsid w:val="2F7C5B6B"/>
    <w:rsid w:val="2F7C6DF9"/>
    <w:rsid w:val="2F7CB306"/>
    <w:rsid w:val="2F7D11D2"/>
    <w:rsid w:val="2F7D8F76"/>
    <w:rsid w:val="2F7D95AC"/>
    <w:rsid w:val="2F7F56CB"/>
    <w:rsid w:val="2F7F75A4"/>
    <w:rsid w:val="2F808C8F"/>
    <w:rsid w:val="2F808DB6"/>
    <w:rsid w:val="2F80915F"/>
    <w:rsid w:val="2F80A61D"/>
    <w:rsid w:val="2F80EDAA"/>
    <w:rsid w:val="2F812191"/>
    <w:rsid w:val="2F82B190"/>
    <w:rsid w:val="2F82E1D5"/>
    <w:rsid w:val="2F8315A2"/>
    <w:rsid w:val="2F842DF4"/>
    <w:rsid w:val="2F84C530"/>
    <w:rsid w:val="2F865E7B"/>
    <w:rsid w:val="2F86AA61"/>
    <w:rsid w:val="2F877C64"/>
    <w:rsid w:val="2F88E082"/>
    <w:rsid w:val="2F8922E2"/>
    <w:rsid w:val="2F8A3805"/>
    <w:rsid w:val="2F8A7D17"/>
    <w:rsid w:val="2F8AE87F"/>
    <w:rsid w:val="2F8AFC4E"/>
    <w:rsid w:val="2F8BBF3A"/>
    <w:rsid w:val="2F8BF573"/>
    <w:rsid w:val="2F8C0AD2"/>
    <w:rsid w:val="2F8CAAB3"/>
    <w:rsid w:val="2F8D00E0"/>
    <w:rsid w:val="2F8D1FF3"/>
    <w:rsid w:val="2F8E7381"/>
    <w:rsid w:val="2F8F40E0"/>
    <w:rsid w:val="2F8F7375"/>
    <w:rsid w:val="2F90B2AC"/>
    <w:rsid w:val="2F90E74E"/>
    <w:rsid w:val="2F9190F2"/>
    <w:rsid w:val="2F91AED7"/>
    <w:rsid w:val="2F91CC1E"/>
    <w:rsid w:val="2F91E8DB"/>
    <w:rsid w:val="2F924288"/>
    <w:rsid w:val="2F93BCF5"/>
    <w:rsid w:val="2F94F24A"/>
    <w:rsid w:val="2F955B3A"/>
    <w:rsid w:val="2F959835"/>
    <w:rsid w:val="2F95BB8D"/>
    <w:rsid w:val="2F964EEF"/>
    <w:rsid w:val="2F96F564"/>
    <w:rsid w:val="2F97341F"/>
    <w:rsid w:val="2F9757FF"/>
    <w:rsid w:val="2F977490"/>
    <w:rsid w:val="2F981E1B"/>
    <w:rsid w:val="2F9955F9"/>
    <w:rsid w:val="2F9B862D"/>
    <w:rsid w:val="2F9B8807"/>
    <w:rsid w:val="2F9B8EC4"/>
    <w:rsid w:val="2F9C1F7C"/>
    <w:rsid w:val="2F9CBE18"/>
    <w:rsid w:val="2F9D433C"/>
    <w:rsid w:val="2F9EA386"/>
    <w:rsid w:val="2F9FDF4D"/>
    <w:rsid w:val="2FA167D3"/>
    <w:rsid w:val="2FA1CE13"/>
    <w:rsid w:val="2FA30251"/>
    <w:rsid w:val="2FA32240"/>
    <w:rsid w:val="2FA3BCDD"/>
    <w:rsid w:val="2FA4EA62"/>
    <w:rsid w:val="2FA61C77"/>
    <w:rsid w:val="2FA6CD8B"/>
    <w:rsid w:val="2FA78EBA"/>
    <w:rsid w:val="2FA791E4"/>
    <w:rsid w:val="2FA7CCFE"/>
    <w:rsid w:val="2FA83E24"/>
    <w:rsid w:val="2FA8923F"/>
    <w:rsid w:val="2FA8B564"/>
    <w:rsid w:val="2FA9D97C"/>
    <w:rsid w:val="2FAA2B54"/>
    <w:rsid w:val="2FAA42CD"/>
    <w:rsid w:val="2FAA6A8D"/>
    <w:rsid w:val="2FAAACDE"/>
    <w:rsid w:val="2FACC68E"/>
    <w:rsid w:val="2FACE92B"/>
    <w:rsid w:val="2FAD2EEC"/>
    <w:rsid w:val="2FADD230"/>
    <w:rsid w:val="2FAE866B"/>
    <w:rsid w:val="2FAF047A"/>
    <w:rsid w:val="2FB0F18C"/>
    <w:rsid w:val="2FB25C78"/>
    <w:rsid w:val="2FB2680C"/>
    <w:rsid w:val="2FB2B873"/>
    <w:rsid w:val="2FB348B0"/>
    <w:rsid w:val="2FB4C441"/>
    <w:rsid w:val="2FB4D31C"/>
    <w:rsid w:val="2FB4DCB5"/>
    <w:rsid w:val="2FB53FBC"/>
    <w:rsid w:val="2FB685DF"/>
    <w:rsid w:val="2FB72985"/>
    <w:rsid w:val="2FB739B4"/>
    <w:rsid w:val="2FB7F48E"/>
    <w:rsid w:val="2FB8D2ED"/>
    <w:rsid w:val="2FB9249C"/>
    <w:rsid w:val="2FBA3E62"/>
    <w:rsid w:val="2FBACF72"/>
    <w:rsid w:val="2FBCC157"/>
    <w:rsid w:val="2FBDDA45"/>
    <w:rsid w:val="2FBDF38A"/>
    <w:rsid w:val="2FBED167"/>
    <w:rsid w:val="2FBF1A5B"/>
    <w:rsid w:val="2FBFBB1E"/>
    <w:rsid w:val="2FBFEA34"/>
    <w:rsid w:val="2FC00DC8"/>
    <w:rsid w:val="2FC15F6C"/>
    <w:rsid w:val="2FC22A8F"/>
    <w:rsid w:val="2FC2DA2B"/>
    <w:rsid w:val="2FC462B3"/>
    <w:rsid w:val="2FC47821"/>
    <w:rsid w:val="2FC506C1"/>
    <w:rsid w:val="2FC508F7"/>
    <w:rsid w:val="2FC59B83"/>
    <w:rsid w:val="2FC643A3"/>
    <w:rsid w:val="2FC7B9AF"/>
    <w:rsid w:val="2FC8FFE9"/>
    <w:rsid w:val="2FC96A02"/>
    <w:rsid w:val="2FCA0B30"/>
    <w:rsid w:val="2FCA93F8"/>
    <w:rsid w:val="2FCB8572"/>
    <w:rsid w:val="2FCC1A21"/>
    <w:rsid w:val="2FCC25E6"/>
    <w:rsid w:val="2FCD4735"/>
    <w:rsid w:val="2FCD7591"/>
    <w:rsid w:val="2FCD87CB"/>
    <w:rsid w:val="2FCEFAA2"/>
    <w:rsid w:val="2FCFB670"/>
    <w:rsid w:val="2FCFF351"/>
    <w:rsid w:val="2FD27B85"/>
    <w:rsid w:val="2FD2AAFB"/>
    <w:rsid w:val="2FD2CE5C"/>
    <w:rsid w:val="2FD2DE16"/>
    <w:rsid w:val="2FD2EAC0"/>
    <w:rsid w:val="2FD3587E"/>
    <w:rsid w:val="2FD36EB2"/>
    <w:rsid w:val="2FD37437"/>
    <w:rsid w:val="2FD3992D"/>
    <w:rsid w:val="2FD3F035"/>
    <w:rsid w:val="2FD41875"/>
    <w:rsid w:val="2FD475D6"/>
    <w:rsid w:val="2FD4B06A"/>
    <w:rsid w:val="2FD4B814"/>
    <w:rsid w:val="2FD57ABF"/>
    <w:rsid w:val="2FD58D09"/>
    <w:rsid w:val="2FD5A49D"/>
    <w:rsid w:val="2FD5CE91"/>
    <w:rsid w:val="2FD687AC"/>
    <w:rsid w:val="2FD6F545"/>
    <w:rsid w:val="2FD7409F"/>
    <w:rsid w:val="2FD8C59E"/>
    <w:rsid w:val="2FDAE72E"/>
    <w:rsid w:val="2FDB19AA"/>
    <w:rsid w:val="2FDCD17B"/>
    <w:rsid w:val="2FDCDED2"/>
    <w:rsid w:val="2FDD196B"/>
    <w:rsid w:val="2FDD29DC"/>
    <w:rsid w:val="2FDDC5BF"/>
    <w:rsid w:val="2FDDD85B"/>
    <w:rsid w:val="2FDE7E38"/>
    <w:rsid w:val="2FDF70A1"/>
    <w:rsid w:val="2FDFB7C1"/>
    <w:rsid w:val="2FE08AAA"/>
    <w:rsid w:val="2FE18BAD"/>
    <w:rsid w:val="2FE2BD14"/>
    <w:rsid w:val="2FE2C3DB"/>
    <w:rsid w:val="2FE4243C"/>
    <w:rsid w:val="2FE43F4F"/>
    <w:rsid w:val="2FE4BA45"/>
    <w:rsid w:val="2FE4FB34"/>
    <w:rsid w:val="2FE5179B"/>
    <w:rsid w:val="2FE7068D"/>
    <w:rsid w:val="2FE7510E"/>
    <w:rsid w:val="2FEAC8D1"/>
    <w:rsid w:val="2FEADD60"/>
    <w:rsid w:val="2FEB02BE"/>
    <w:rsid w:val="2FEC082F"/>
    <w:rsid w:val="2FEC625C"/>
    <w:rsid w:val="2FED198E"/>
    <w:rsid w:val="2FED6D8C"/>
    <w:rsid w:val="2FEECCCE"/>
    <w:rsid w:val="2FEEF361"/>
    <w:rsid w:val="2FF0D514"/>
    <w:rsid w:val="2FF233AC"/>
    <w:rsid w:val="2FF3741D"/>
    <w:rsid w:val="2FF40EFB"/>
    <w:rsid w:val="2FF50FBF"/>
    <w:rsid w:val="2FF5BC56"/>
    <w:rsid w:val="2FF5C9B5"/>
    <w:rsid w:val="2FF6B8E8"/>
    <w:rsid w:val="2FF71AEA"/>
    <w:rsid w:val="2FF80BD8"/>
    <w:rsid w:val="2FF8AAE7"/>
    <w:rsid w:val="2FF8DFE9"/>
    <w:rsid w:val="2FF91118"/>
    <w:rsid w:val="2FF98E9C"/>
    <w:rsid w:val="2FF9B27B"/>
    <w:rsid w:val="2FFA48E7"/>
    <w:rsid w:val="2FFB8356"/>
    <w:rsid w:val="2FFC3F9A"/>
    <w:rsid w:val="2FFF0497"/>
    <w:rsid w:val="2FFFDC66"/>
    <w:rsid w:val="3000136C"/>
    <w:rsid w:val="30010191"/>
    <w:rsid w:val="30011DD8"/>
    <w:rsid w:val="30014A8A"/>
    <w:rsid w:val="3001585B"/>
    <w:rsid w:val="30026F85"/>
    <w:rsid w:val="3002C399"/>
    <w:rsid w:val="3004F301"/>
    <w:rsid w:val="300550F1"/>
    <w:rsid w:val="3005AAB5"/>
    <w:rsid w:val="3005D8C9"/>
    <w:rsid w:val="30061BAE"/>
    <w:rsid w:val="300661BB"/>
    <w:rsid w:val="30075C2A"/>
    <w:rsid w:val="300805C7"/>
    <w:rsid w:val="30086758"/>
    <w:rsid w:val="3008CE74"/>
    <w:rsid w:val="300976B0"/>
    <w:rsid w:val="3009925D"/>
    <w:rsid w:val="300A0A38"/>
    <w:rsid w:val="300A365B"/>
    <w:rsid w:val="300AEC96"/>
    <w:rsid w:val="300BF386"/>
    <w:rsid w:val="300C3CD3"/>
    <w:rsid w:val="300D3CB9"/>
    <w:rsid w:val="300DE187"/>
    <w:rsid w:val="300E9736"/>
    <w:rsid w:val="300EFA8B"/>
    <w:rsid w:val="300F35EA"/>
    <w:rsid w:val="300F7660"/>
    <w:rsid w:val="300F83A6"/>
    <w:rsid w:val="300FBEA7"/>
    <w:rsid w:val="300FE058"/>
    <w:rsid w:val="30106CCA"/>
    <w:rsid w:val="301073E3"/>
    <w:rsid w:val="30109AA5"/>
    <w:rsid w:val="3010F7C2"/>
    <w:rsid w:val="30124345"/>
    <w:rsid w:val="30131430"/>
    <w:rsid w:val="30137CFF"/>
    <w:rsid w:val="30139D26"/>
    <w:rsid w:val="3013B6A7"/>
    <w:rsid w:val="30145AA4"/>
    <w:rsid w:val="30146B40"/>
    <w:rsid w:val="3014B5E8"/>
    <w:rsid w:val="30150BC4"/>
    <w:rsid w:val="30151FEE"/>
    <w:rsid w:val="3015CA58"/>
    <w:rsid w:val="30162E0D"/>
    <w:rsid w:val="30165749"/>
    <w:rsid w:val="3018582A"/>
    <w:rsid w:val="3018E1F3"/>
    <w:rsid w:val="3018F490"/>
    <w:rsid w:val="30190AC1"/>
    <w:rsid w:val="301969FA"/>
    <w:rsid w:val="301B02A6"/>
    <w:rsid w:val="301B8D8E"/>
    <w:rsid w:val="301BBA5E"/>
    <w:rsid w:val="301BF649"/>
    <w:rsid w:val="301C92EE"/>
    <w:rsid w:val="301CE636"/>
    <w:rsid w:val="301D143E"/>
    <w:rsid w:val="301E0B1D"/>
    <w:rsid w:val="301E2CCB"/>
    <w:rsid w:val="301E89B6"/>
    <w:rsid w:val="301ED281"/>
    <w:rsid w:val="301F0BAE"/>
    <w:rsid w:val="301F11EB"/>
    <w:rsid w:val="301F77BE"/>
    <w:rsid w:val="301FC69A"/>
    <w:rsid w:val="301FE2FA"/>
    <w:rsid w:val="302005AF"/>
    <w:rsid w:val="302042F1"/>
    <w:rsid w:val="30207086"/>
    <w:rsid w:val="302303B0"/>
    <w:rsid w:val="30235DC3"/>
    <w:rsid w:val="30247ED0"/>
    <w:rsid w:val="30265C95"/>
    <w:rsid w:val="30266D13"/>
    <w:rsid w:val="3027B43D"/>
    <w:rsid w:val="3027CCE5"/>
    <w:rsid w:val="3027E49F"/>
    <w:rsid w:val="3028C961"/>
    <w:rsid w:val="3028D539"/>
    <w:rsid w:val="302942BA"/>
    <w:rsid w:val="302AC804"/>
    <w:rsid w:val="302B50DF"/>
    <w:rsid w:val="302BC86D"/>
    <w:rsid w:val="302BD1EB"/>
    <w:rsid w:val="302DA006"/>
    <w:rsid w:val="302E7C1C"/>
    <w:rsid w:val="302E8218"/>
    <w:rsid w:val="303082DC"/>
    <w:rsid w:val="3031558F"/>
    <w:rsid w:val="30319C70"/>
    <w:rsid w:val="30320742"/>
    <w:rsid w:val="3032C568"/>
    <w:rsid w:val="3032E329"/>
    <w:rsid w:val="3034BED6"/>
    <w:rsid w:val="30352F61"/>
    <w:rsid w:val="30358B18"/>
    <w:rsid w:val="3035DADE"/>
    <w:rsid w:val="3036D2BF"/>
    <w:rsid w:val="303767A7"/>
    <w:rsid w:val="3037B1E3"/>
    <w:rsid w:val="3038338D"/>
    <w:rsid w:val="3038872D"/>
    <w:rsid w:val="30390B0F"/>
    <w:rsid w:val="3039D9C4"/>
    <w:rsid w:val="303AED12"/>
    <w:rsid w:val="303B10B4"/>
    <w:rsid w:val="303BF868"/>
    <w:rsid w:val="303C4C91"/>
    <w:rsid w:val="303D53E4"/>
    <w:rsid w:val="303D89ED"/>
    <w:rsid w:val="303E5BF8"/>
    <w:rsid w:val="30407ABF"/>
    <w:rsid w:val="3040C248"/>
    <w:rsid w:val="3040D296"/>
    <w:rsid w:val="304118AE"/>
    <w:rsid w:val="30416149"/>
    <w:rsid w:val="3041DECE"/>
    <w:rsid w:val="30420C84"/>
    <w:rsid w:val="3042998D"/>
    <w:rsid w:val="3042E2EB"/>
    <w:rsid w:val="3043123A"/>
    <w:rsid w:val="304368AD"/>
    <w:rsid w:val="3043A660"/>
    <w:rsid w:val="30446FC1"/>
    <w:rsid w:val="30447914"/>
    <w:rsid w:val="30463B5A"/>
    <w:rsid w:val="30472849"/>
    <w:rsid w:val="3047975A"/>
    <w:rsid w:val="3048A588"/>
    <w:rsid w:val="3048B007"/>
    <w:rsid w:val="3048DB1A"/>
    <w:rsid w:val="3048EC0F"/>
    <w:rsid w:val="304AF666"/>
    <w:rsid w:val="304BD77B"/>
    <w:rsid w:val="304CA0D7"/>
    <w:rsid w:val="304D847E"/>
    <w:rsid w:val="304DC488"/>
    <w:rsid w:val="304E17C9"/>
    <w:rsid w:val="304E4267"/>
    <w:rsid w:val="304EF0D7"/>
    <w:rsid w:val="304F118A"/>
    <w:rsid w:val="304FDB98"/>
    <w:rsid w:val="30504A7B"/>
    <w:rsid w:val="3050BE2A"/>
    <w:rsid w:val="3051D26C"/>
    <w:rsid w:val="3051D650"/>
    <w:rsid w:val="30522382"/>
    <w:rsid w:val="30524286"/>
    <w:rsid w:val="30527398"/>
    <w:rsid w:val="305273A6"/>
    <w:rsid w:val="3052F2DE"/>
    <w:rsid w:val="3053450A"/>
    <w:rsid w:val="305356BC"/>
    <w:rsid w:val="3053EB14"/>
    <w:rsid w:val="3054E07F"/>
    <w:rsid w:val="3055971A"/>
    <w:rsid w:val="305650FA"/>
    <w:rsid w:val="3056C7F1"/>
    <w:rsid w:val="3057FD17"/>
    <w:rsid w:val="305896DE"/>
    <w:rsid w:val="3058A2E9"/>
    <w:rsid w:val="3058E300"/>
    <w:rsid w:val="3058EFEB"/>
    <w:rsid w:val="30595184"/>
    <w:rsid w:val="30597B0A"/>
    <w:rsid w:val="3059C137"/>
    <w:rsid w:val="305A2A7C"/>
    <w:rsid w:val="305E977B"/>
    <w:rsid w:val="305F0D12"/>
    <w:rsid w:val="305F3494"/>
    <w:rsid w:val="305F3DDA"/>
    <w:rsid w:val="305F4C1F"/>
    <w:rsid w:val="305FEADD"/>
    <w:rsid w:val="3060762F"/>
    <w:rsid w:val="3061EC11"/>
    <w:rsid w:val="30624BD0"/>
    <w:rsid w:val="3062A525"/>
    <w:rsid w:val="3062D05C"/>
    <w:rsid w:val="30631C3B"/>
    <w:rsid w:val="3063BF8E"/>
    <w:rsid w:val="3064162A"/>
    <w:rsid w:val="3064D7AD"/>
    <w:rsid w:val="30664083"/>
    <w:rsid w:val="30671D90"/>
    <w:rsid w:val="30688691"/>
    <w:rsid w:val="306891A0"/>
    <w:rsid w:val="3069F3EA"/>
    <w:rsid w:val="306A6D2A"/>
    <w:rsid w:val="306B7FAF"/>
    <w:rsid w:val="306BBA0F"/>
    <w:rsid w:val="306BBECD"/>
    <w:rsid w:val="306BC3AA"/>
    <w:rsid w:val="306CF11B"/>
    <w:rsid w:val="306EBA05"/>
    <w:rsid w:val="306F2EC6"/>
    <w:rsid w:val="306F8B1D"/>
    <w:rsid w:val="306FD822"/>
    <w:rsid w:val="307045B6"/>
    <w:rsid w:val="3070500D"/>
    <w:rsid w:val="30717256"/>
    <w:rsid w:val="30729EAA"/>
    <w:rsid w:val="307306B4"/>
    <w:rsid w:val="30735B8B"/>
    <w:rsid w:val="30742569"/>
    <w:rsid w:val="30744F9C"/>
    <w:rsid w:val="30753A81"/>
    <w:rsid w:val="3075505D"/>
    <w:rsid w:val="30756E34"/>
    <w:rsid w:val="30757CDC"/>
    <w:rsid w:val="30768198"/>
    <w:rsid w:val="3076D3C0"/>
    <w:rsid w:val="3076F00F"/>
    <w:rsid w:val="30787DA6"/>
    <w:rsid w:val="307937E3"/>
    <w:rsid w:val="307A01EA"/>
    <w:rsid w:val="307A463F"/>
    <w:rsid w:val="307A5E72"/>
    <w:rsid w:val="307A8275"/>
    <w:rsid w:val="307AB6DC"/>
    <w:rsid w:val="307BA889"/>
    <w:rsid w:val="307C3BA2"/>
    <w:rsid w:val="307CA0F6"/>
    <w:rsid w:val="307CC33A"/>
    <w:rsid w:val="307E2B77"/>
    <w:rsid w:val="307F2E00"/>
    <w:rsid w:val="307F67A3"/>
    <w:rsid w:val="30805A7E"/>
    <w:rsid w:val="30817346"/>
    <w:rsid w:val="30824F38"/>
    <w:rsid w:val="3082B3B3"/>
    <w:rsid w:val="3084284A"/>
    <w:rsid w:val="30848B84"/>
    <w:rsid w:val="30848C5A"/>
    <w:rsid w:val="308573BF"/>
    <w:rsid w:val="3086424E"/>
    <w:rsid w:val="3086E8AA"/>
    <w:rsid w:val="3086FE94"/>
    <w:rsid w:val="3087779E"/>
    <w:rsid w:val="308824AB"/>
    <w:rsid w:val="30889E1A"/>
    <w:rsid w:val="308B58EA"/>
    <w:rsid w:val="308C07C3"/>
    <w:rsid w:val="308C6C76"/>
    <w:rsid w:val="308C875D"/>
    <w:rsid w:val="308CC17E"/>
    <w:rsid w:val="308CDF27"/>
    <w:rsid w:val="308CF4FA"/>
    <w:rsid w:val="308DFF77"/>
    <w:rsid w:val="308E3611"/>
    <w:rsid w:val="308E71F7"/>
    <w:rsid w:val="308EA062"/>
    <w:rsid w:val="308F03A0"/>
    <w:rsid w:val="308F8DFE"/>
    <w:rsid w:val="308FDB27"/>
    <w:rsid w:val="30902F2E"/>
    <w:rsid w:val="309031E3"/>
    <w:rsid w:val="3090CD2F"/>
    <w:rsid w:val="3090F26B"/>
    <w:rsid w:val="309167FB"/>
    <w:rsid w:val="30931A65"/>
    <w:rsid w:val="30945576"/>
    <w:rsid w:val="30947B1E"/>
    <w:rsid w:val="3094A78E"/>
    <w:rsid w:val="3094F76B"/>
    <w:rsid w:val="3095D552"/>
    <w:rsid w:val="30964008"/>
    <w:rsid w:val="3096418C"/>
    <w:rsid w:val="3098816C"/>
    <w:rsid w:val="30989030"/>
    <w:rsid w:val="3098B562"/>
    <w:rsid w:val="3098CBD7"/>
    <w:rsid w:val="309955E6"/>
    <w:rsid w:val="3099DAC3"/>
    <w:rsid w:val="309A0E30"/>
    <w:rsid w:val="309A30B6"/>
    <w:rsid w:val="309A3F56"/>
    <w:rsid w:val="309B2938"/>
    <w:rsid w:val="309D7485"/>
    <w:rsid w:val="309DA7ED"/>
    <w:rsid w:val="309DB6D3"/>
    <w:rsid w:val="309EF113"/>
    <w:rsid w:val="30A08BE4"/>
    <w:rsid w:val="30A0F22E"/>
    <w:rsid w:val="30A1DE7C"/>
    <w:rsid w:val="30A39A16"/>
    <w:rsid w:val="30A41EDA"/>
    <w:rsid w:val="30A4A8B1"/>
    <w:rsid w:val="30A50BE5"/>
    <w:rsid w:val="30A54F23"/>
    <w:rsid w:val="30A5DE9C"/>
    <w:rsid w:val="30A69C87"/>
    <w:rsid w:val="30A6A46A"/>
    <w:rsid w:val="30A70595"/>
    <w:rsid w:val="30A90696"/>
    <w:rsid w:val="30A93614"/>
    <w:rsid w:val="30A95050"/>
    <w:rsid w:val="30A9A57C"/>
    <w:rsid w:val="30A9D555"/>
    <w:rsid w:val="30A9F0EB"/>
    <w:rsid w:val="30AA3420"/>
    <w:rsid w:val="30AA4865"/>
    <w:rsid w:val="30AB652A"/>
    <w:rsid w:val="30AC094A"/>
    <w:rsid w:val="30AC86EC"/>
    <w:rsid w:val="30ADA5E8"/>
    <w:rsid w:val="30B03F11"/>
    <w:rsid w:val="30B0A7F9"/>
    <w:rsid w:val="30B0D58C"/>
    <w:rsid w:val="30B20D7D"/>
    <w:rsid w:val="30B2EA56"/>
    <w:rsid w:val="30B3F65E"/>
    <w:rsid w:val="30B401B9"/>
    <w:rsid w:val="30B65D74"/>
    <w:rsid w:val="30B67AC6"/>
    <w:rsid w:val="30B6D6BE"/>
    <w:rsid w:val="30B6DB5C"/>
    <w:rsid w:val="30B6DFA6"/>
    <w:rsid w:val="30B7DD8E"/>
    <w:rsid w:val="30B8589C"/>
    <w:rsid w:val="30B91F17"/>
    <w:rsid w:val="30B94864"/>
    <w:rsid w:val="30BA1929"/>
    <w:rsid w:val="30BA62FB"/>
    <w:rsid w:val="30BACF72"/>
    <w:rsid w:val="30BBF069"/>
    <w:rsid w:val="30BBF1C4"/>
    <w:rsid w:val="30BCA7FF"/>
    <w:rsid w:val="30BE0149"/>
    <w:rsid w:val="30BECC3B"/>
    <w:rsid w:val="30BFA138"/>
    <w:rsid w:val="30BFB4A2"/>
    <w:rsid w:val="30BFB6E4"/>
    <w:rsid w:val="30BFD7A7"/>
    <w:rsid w:val="30C01199"/>
    <w:rsid w:val="30C05748"/>
    <w:rsid w:val="30C1924E"/>
    <w:rsid w:val="30C19A8C"/>
    <w:rsid w:val="30C1F81B"/>
    <w:rsid w:val="30C2442A"/>
    <w:rsid w:val="30C2BB99"/>
    <w:rsid w:val="30C451AF"/>
    <w:rsid w:val="30C4864E"/>
    <w:rsid w:val="30C542EA"/>
    <w:rsid w:val="30C5982A"/>
    <w:rsid w:val="30C816E6"/>
    <w:rsid w:val="30C86F07"/>
    <w:rsid w:val="30C8E961"/>
    <w:rsid w:val="30C998B6"/>
    <w:rsid w:val="30CA2CA5"/>
    <w:rsid w:val="30CA41D3"/>
    <w:rsid w:val="30CA67FB"/>
    <w:rsid w:val="30CA8196"/>
    <w:rsid w:val="30CA8F80"/>
    <w:rsid w:val="30CA92FA"/>
    <w:rsid w:val="30CA9FDE"/>
    <w:rsid w:val="30CAE6A1"/>
    <w:rsid w:val="30CB204D"/>
    <w:rsid w:val="30CBDBFA"/>
    <w:rsid w:val="30CBF3E4"/>
    <w:rsid w:val="30CC1AA4"/>
    <w:rsid w:val="30CD48B7"/>
    <w:rsid w:val="30CD8851"/>
    <w:rsid w:val="30CE9CDB"/>
    <w:rsid w:val="30CECDE2"/>
    <w:rsid w:val="30CF5968"/>
    <w:rsid w:val="30CF96A1"/>
    <w:rsid w:val="30CFD029"/>
    <w:rsid w:val="30D077E5"/>
    <w:rsid w:val="30D07DC6"/>
    <w:rsid w:val="30D11EFE"/>
    <w:rsid w:val="30D1FBFA"/>
    <w:rsid w:val="30D2474F"/>
    <w:rsid w:val="30D3062E"/>
    <w:rsid w:val="30D47EDF"/>
    <w:rsid w:val="30D4F994"/>
    <w:rsid w:val="30D53A9D"/>
    <w:rsid w:val="30D552E9"/>
    <w:rsid w:val="30D56F19"/>
    <w:rsid w:val="30D5CE8A"/>
    <w:rsid w:val="30D6D8D0"/>
    <w:rsid w:val="30D6F1FF"/>
    <w:rsid w:val="30D7FF87"/>
    <w:rsid w:val="30D8ACC5"/>
    <w:rsid w:val="30D9037C"/>
    <w:rsid w:val="30D9570F"/>
    <w:rsid w:val="30D96C32"/>
    <w:rsid w:val="30DA099C"/>
    <w:rsid w:val="30DA46B4"/>
    <w:rsid w:val="30DAA6B3"/>
    <w:rsid w:val="30DAFA15"/>
    <w:rsid w:val="30DB7F34"/>
    <w:rsid w:val="30DCDAC4"/>
    <w:rsid w:val="30DCEA57"/>
    <w:rsid w:val="30E00BBC"/>
    <w:rsid w:val="30E08360"/>
    <w:rsid w:val="30E10BBC"/>
    <w:rsid w:val="30E21A0F"/>
    <w:rsid w:val="30E26844"/>
    <w:rsid w:val="30E29948"/>
    <w:rsid w:val="30E30E7C"/>
    <w:rsid w:val="30E5EDA9"/>
    <w:rsid w:val="30E69E1D"/>
    <w:rsid w:val="30E73D38"/>
    <w:rsid w:val="30E74701"/>
    <w:rsid w:val="30E7DC97"/>
    <w:rsid w:val="30EA4AE9"/>
    <w:rsid w:val="30ECAF4A"/>
    <w:rsid w:val="30ECD920"/>
    <w:rsid w:val="30ED967D"/>
    <w:rsid w:val="30EFF846"/>
    <w:rsid w:val="30F0C240"/>
    <w:rsid w:val="30F14FDE"/>
    <w:rsid w:val="30F28B88"/>
    <w:rsid w:val="30F3C62D"/>
    <w:rsid w:val="30F44F21"/>
    <w:rsid w:val="30F530F5"/>
    <w:rsid w:val="30F5371B"/>
    <w:rsid w:val="30F5538A"/>
    <w:rsid w:val="30F74F49"/>
    <w:rsid w:val="30F77A2E"/>
    <w:rsid w:val="30F7BE7F"/>
    <w:rsid w:val="30F81DE4"/>
    <w:rsid w:val="30FA38F7"/>
    <w:rsid w:val="30FAA239"/>
    <w:rsid w:val="30FADBD1"/>
    <w:rsid w:val="30FBAA6E"/>
    <w:rsid w:val="30FD0EEB"/>
    <w:rsid w:val="30FD3B5F"/>
    <w:rsid w:val="30FD53A0"/>
    <w:rsid w:val="3100CDAF"/>
    <w:rsid w:val="31013DA7"/>
    <w:rsid w:val="31018351"/>
    <w:rsid w:val="31023C26"/>
    <w:rsid w:val="31031CA0"/>
    <w:rsid w:val="31044AA4"/>
    <w:rsid w:val="31049857"/>
    <w:rsid w:val="3104EABF"/>
    <w:rsid w:val="31053252"/>
    <w:rsid w:val="3105BDA6"/>
    <w:rsid w:val="3106B3E6"/>
    <w:rsid w:val="3107607D"/>
    <w:rsid w:val="31083EB3"/>
    <w:rsid w:val="3108C700"/>
    <w:rsid w:val="3109754B"/>
    <w:rsid w:val="3109BBEF"/>
    <w:rsid w:val="310C59AA"/>
    <w:rsid w:val="310CD8FE"/>
    <w:rsid w:val="310DE7F8"/>
    <w:rsid w:val="310DF6E0"/>
    <w:rsid w:val="311011DD"/>
    <w:rsid w:val="3110FA3E"/>
    <w:rsid w:val="311123D5"/>
    <w:rsid w:val="31114493"/>
    <w:rsid w:val="31116745"/>
    <w:rsid w:val="31143A62"/>
    <w:rsid w:val="311457FA"/>
    <w:rsid w:val="311483AE"/>
    <w:rsid w:val="31150F7F"/>
    <w:rsid w:val="3115E199"/>
    <w:rsid w:val="311681D7"/>
    <w:rsid w:val="31172A80"/>
    <w:rsid w:val="31177556"/>
    <w:rsid w:val="3117C068"/>
    <w:rsid w:val="3117DC82"/>
    <w:rsid w:val="3118B5C3"/>
    <w:rsid w:val="3119219D"/>
    <w:rsid w:val="3119B872"/>
    <w:rsid w:val="311A79FD"/>
    <w:rsid w:val="311ADD12"/>
    <w:rsid w:val="311B1813"/>
    <w:rsid w:val="311C57C9"/>
    <w:rsid w:val="311D14AB"/>
    <w:rsid w:val="311D2B79"/>
    <w:rsid w:val="311DE4A7"/>
    <w:rsid w:val="311FE60F"/>
    <w:rsid w:val="31205B84"/>
    <w:rsid w:val="312101DA"/>
    <w:rsid w:val="31210904"/>
    <w:rsid w:val="3121D12D"/>
    <w:rsid w:val="3122C26A"/>
    <w:rsid w:val="31230272"/>
    <w:rsid w:val="3123174F"/>
    <w:rsid w:val="31236EC5"/>
    <w:rsid w:val="312554D5"/>
    <w:rsid w:val="312597AA"/>
    <w:rsid w:val="31263E53"/>
    <w:rsid w:val="31269710"/>
    <w:rsid w:val="3126AB23"/>
    <w:rsid w:val="31270302"/>
    <w:rsid w:val="3127627F"/>
    <w:rsid w:val="3127940F"/>
    <w:rsid w:val="3127B2E6"/>
    <w:rsid w:val="3127C3D2"/>
    <w:rsid w:val="312867E0"/>
    <w:rsid w:val="312AA192"/>
    <w:rsid w:val="312AA2F3"/>
    <w:rsid w:val="312BD8E4"/>
    <w:rsid w:val="312BDF92"/>
    <w:rsid w:val="312D4616"/>
    <w:rsid w:val="312D8F55"/>
    <w:rsid w:val="312E62D8"/>
    <w:rsid w:val="312EEB6F"/>
    <w:rsid w:val="312FBF77"/>
    <w:rsid w:val="31312CAE"/>
    <w:rsid w:val="31317811"/>
    <w:rsid w:val="3131F57E"/>
    <w:rsid w:val="3132413E"/>
    <w:rsid w:val="313342E7"/>
    <w:rsid w:val="3133E054"/>
    <w:rsid w:val="3133F70E"/>
    <w:rsid w:val="31344C85"/>
    <w:rsid w:val="3134F3B8"/>
    <w:rsid w:val="31352923"/>
    <w:rsid w:val="313630C6"/>
    <w:rsid w:val="313694F9"/>
    <w:rsid w:val="3136EF85"/>
    <w:rsid w:val="31371EC9"/>
    <w:rsid w:val="3137A6A0"/>
    <w:rsid w:val="31390703"/>
    <w:rsid w:val="31394A1F"/>
    <w:rsid w:val="3139DF48"/>
    <w:rsid w:val="313AA923"/>
    <w:rsid w:val="313AC417"/>
    <w:rsid w:val="313AF968"/>
    <w:rsid w:val="313CB945"/>
    <w:rsid w:val="313CCD77"/>
    <w:rsid w:val="313D80C7"/>
    <w:rsid w:val="313DB255"/>
    <w:rsid w:val="313E04E0"/>
    <w:rsid w:val="313E1399"/>
    <w:rsid w:val="313FC166"/>
    <w:rsid w:val="313FC98D"/>
    <w:rsid w:val="3140EC2F"/>
    <w:rsid w:val="314105D9"/>
    <w:rsid w:val="3141C452"/>
    <w:rsid w:val="3141E7CE"/>
    <w:rsid w:val="31421597"/>
    <w:rsid w:val="314243FC"/>
    <w:rsid w:val="3143D284"/>
    <w:rsid w:val="31455C89"/>
    <w:rsid w:val="3145B688"/>
    <w:rsid w:val="31462182"/>
    <w:rsid w:val="31465AE8"/>
    <w:rsid w:val="31469E00"/>
    <w:rsid w:val="3147268E"/>
    <w:rsid w:val="3147E36F"/>
    <w:rsid w:val="3149410E"/>
    <w:rsid w:val="31499AFC"/>
    <w:rsid w:val="314A0166"/>
    <w:rsid w:val="314AA65E"/>
    <w:rsid w:val="314B7DDA"/>
    <w:rsid w:val="314C3C3F"/>
    <w:rsid w:val="314D5B9B"/>
    <w:rsid w:val="314D719C"/>
    <w:rsid w:val="314DFDFB"/>
    <w:rsid w:val="314E490E"/>
    <w:rsid w:val="31506FBF"/>
    <w:rsid w:val="3150C278"/>
    <w:rsid w:val="31512FA5"/>
    <w:rsid w:val="3152E24E"/>
    <w:rsid w:val="315317D6"/>
    <w:rsid w:val="31536173"/>
    <w:rsid w:val="3154B365"/>
    <w:rsid w:val="3154B580"/>
    <w:rsid w:val="3154E9B5"/>
    <w:rsid w:val="31572FA2"/>
    <w:rsid w:val="31573A8E"/>
    <w:rsid w:val="315762FD"/>
    <w:rsid w:val="3157D379"/>
    <w:rsid w:val="3158FCFA"/>
    <w:rsid w:val="31595812"/>
    <w:rsid w:val="315A1A5D"/>
    <w:rsid w:val="315A96A8"/>
    <w:rsid w:val="315AB7B5"/>
    <w:rsid w:val="315AD889"/>
    <w:rsid w:val="315D0C1E"/>
    <w:rsid w:val="3160687B"/>
    <w:rsid w:val="3160D9CA"/>
    <w:rsid w:val="31611D03"/>
    <w:rsid w:val="31616215"/>
    <w:rsid w:val="31633EDC"/>
    <w:rsid w:val="31645A4C"/>
    <w:rsid w:val="31645F6A"/>
    <w:rsid w:val="31649D71"/>
    <w:rsid w:val="3165C86A"/>
    <w:rsid w:val="3166794E"/>
    <w:rsid w:val="3166CAEA"/>
    <w:rsid w:val="31676A6F"/>
    <w:rsid w:val="3167C259"/>
    <w:rsid w:val="3168CC8A"/>
    <w:rsid w:val="3168D017"/>
    <w:rsid w:val="3169445F"/>
    <w:rsid w:val="31695C08"/>
    <w:rsid w:val="3169808F"/>
    <w:rsid w:val="3169876F"/>
    <w:rsid w:val="3169BC1D"/>
    <w:rsid w:val="3169DDD1"/>
    <w:rsid w:val="316A10D6"/>
    <w:rsid w:val="316ADA43"/>
    <w:rsid w:val="316B5D44"/>
    <w:rsid w:val="316B6F20"/>
    <w:rsid w:val="316BD582"/>
    <w:rsid w:val="316CA420"/>
    <w:rsid w:val="316DD605"/>
    <w:rsid w:val="316E1C04"/>
    <w:rsid w:val="316F5445"/>
    <w:rsid w:val="316FD9FF"/>
    <w:rsid w:val="316FF504"/>
    <w:rsid w:val="31701DC3"/>
    <w:rsid w:val="317055A4"/>
    <w:rsid w:val="31705FB6"/>
    <w:rsid w:val="3171C4E4"/>
    <w:rsid w:val="3172AC13"/>
    <w:rsid w:val="3172CEA1"/>
    <w:rsid w:val="3173F5C3"/>
    <w:rsid w:val="31746D20"/>
    <w:rsid w:val="31754321"/>
    <w:rsid w:val="31757A12"/>
    <w:rsid w:val="31761FA2"/>
    <w:rsid w:val="3176332F"/>
    <w:rsid w:val="31767869"/>
    <w:rsid w:val="31774C75"/>
    <w:rsid w:val="3177CFD5"/>
    <w:rsid w:val="3177FACF"/>
    <w:rsid w:val="31780606"/>
    <w:rsid w:val="31782933"/>
    <w:rsid w:val="31783FBD"/>
    <w:rsid w:val="31787B47"/>
    <w:rsid w:val="3178805E"/>
    <w:rsid w:val="3178AFB2"/>
    <w:rsid w:val="31791E95"/>
    <w:rsid w:val="31797C67"/>
    <w:rsid w:val="317A201B"/>
    <w:rsid w:val="317BC2ED"/>
    <w:rsid w:val="317BEEED"/>
    <w:rsid w:val="317C0594"/>
    <w:rsid w:val="317C3BF6"/>
    <w:rsid w:val="317CF7BD"/>
    <w:rsid w:val="317D29A7"/>
    <w:rsid w:val="317D43DB"/>
    <w:rsid w:val="317D58CD"/>
    <w:rsid w:val="317D7DDB"/>
    <w:rsid w:val="317E1CB1"/>
    <w:rsid w:val="317E2EEA"/>
    <w:rsid w:val="317E8FE5"/>
    <w:rsid w:val="317E9270"/>
    <w:rsid w:val="317F4C92"/>
    <w:rsid w:val="3180436C"/>
    <w:rsid w:val="3180D0E4"/>
    <w:rsid w:val="3186B4FD"/>
    <w:rsid w:val="31870209"/>
    <w:rsid w:val="3187336E"/>
    <w:rsid w:val="3188F423"/>
    <w:rsid w:val="31890252"/>
    <w:rsid w:val="318A6B52"/>
    <w:rsid w:val="318D119B"/>
    <w:rsid w:val="318EB908"/>
    <w:rsid w:val="318F1960"/>
    <w:rsid w:val="3190642F"/>
    <w:rsid w:val="3190D51C"/>
    <w:rsid w:val="319213E7"/>
    <w:rsid w:val="31934CBF"/>
    <w:rsid w:val="31937675"/>
    <w:rsid w:val="31944B0F"/>
    <w:rsid w:val="31962FBD"/>
    <w:rsid w:val="3197C83F"/>
    <w:rsid w:val="3199F3BE"/>
    <w:rsid w:val="3199F473"/>
    <w:rsid w:val="319A88B9"/>
    <w:rsid w:val="319B1D25"/>
    <w:rsid w:val="319B209E"/>
    <w:rsid w:val="319BCFE5"/>
    <w:rsid w:val="319BDC89"/>
    <w:rsid w:val="319BEA3E"/>
    <w:rsid w:val="319C09A8"/>
    <w:rsid w:val="319C474E"/>
    <w:rsid w:val="319CB9A1"/>
    <w:rsid w:val="319F3EB2"/>
    <w:rsid w:val="319F72B7"/>
    <w:rsid w:val="319F83F8"/>
    <w:rsid w:val="31A0655B"/>
    <w:rsid w:val="31A10B7E"/>
    <w:rsid w:val="31A12D87"/>
    <w:rsid w:val="31A169F8"/>
    <w:rsid w:val="31A19965"/>
    <w:rsid w:val="31A1EC9D"/>
    <w:rsid w:val="31A29F41"/>
    <w:rsid w:val="31A2F407"/>
    <w:rsid w:val="31A309A4"/>
    <w:rsid w:val="31A32BDD"/>
    <w:rsid w:val="31A4939A"/>
    <w:rsid w:val="31A4B293"/>
    <w:rsid w:val="31A4F203"/>
    <w:rsid w:val="31A52380"/>
    <w:rsid w:val="31A5B270"/>
    <w:rsid w:val="31A5FC85"/>
    <w:rsid w:val="31A68F22"/>
    <w:rsid w:val="31A7F1E9"/>
    <w:rsid w:val="31A83746"/>
    <w:rsid w:val="31A89E8F"/>
    <w:rsid w:val="31A8D699"/>
    <w:rsid w:val="31A928AE"/>
    <w:rsid w:val="31A94599"/>
    <w:rsid w:val="31A94A01"/>
    <w:rsid w:val="31A9F4F9"/>
    <w:rsid w:val="31AA917E"/>
    <w:rsid w:val="31AAC68D"/>
    <w:rsid w:val="31ABF787"/>
    <w:rsid w:val="31AC0996"/>
    <w:rsid w:val="31AC10B1"/>
    <w:rsid w:val="31AC2324"/>
    <w:rsid w:val="31AC413C"/>
    <w:rsid w:val="31AD75AD"/>
    <w:rsid w:val="31ADA4FB"/>
    <w:rsid w:val="31ADFF87"/>
    <w:rsid w:val="31AEAE71"/>
    <w:rsid w:val="31AEFF9A"/>
    <w:rsid w:val="31AF660B"/>
    <w:rsid w:val="31B09647"/>
    <w:rsid w:val="31B17160"/>
    <w:rsid w:val="31B27B41"/>
    <w:rsid w:val="31B2D7EF"/>
    <w:rsid w:val="31B33632"/>
    <w:rsid w:val="31B35AA3"/>
    <w:rsid w:val="31B36487"/>
    <w:rsid w:val="31B3B133"/>
    <w:rsid w:val="31B3DDC3"/>
    <w:rsid w:val="31B428DD"/>
    <w:rsid w:val="31B45423"/>
    <w:rsid w:val="31B501E3"/>
    <w:rsid w:val="31B50313"/>
    <w:rsid w:val="31B729D4"/>
    <w:rsid w:val="31B7B9B9"/>
    <w:rsid w:val="31B80C0B"/>
    <w:rsid w:val="31B88D4F"/>
    <w:rsid w:val="31B8D8CC"/>
    <w:rsid w:val="31B8E54A"/>
    <w:rsid w:val="31B923BC"/>
    <w:rsid w:val="31B9D936"/>
    <w:rsid w:val="31BB1871"/>
    <w:rsid w:val="31BB4905"/>
    <w:rsid w:val="31BE03D5"/>
    <w:rsid w:val="31BEB325"/>
    <w:rsid w:val="31C04E2D"/>
    <w:rsid w:val="31C1018C"/>
    <w:rsid w:val="31C31EAE"/>
    <w:rsid w:val="31C3546E"/>
    <w:rsid w:val="31C3D315"/>
    <w:rsid w:val="31C45983"/>
    <w:rsid w:val="31C4E51A"/>
    <w:rsid w:val="31C4FC46"/>
    <w:rsid w:val="31C52142"/>
    <w:rsid w:val="31C52B7B"/>
    <w:rsid w:val="31C68107"/>
    <w:rsid w:val="31C6A022"/>
    <w:rsid w:val="31C80195"/>
    <w:rsid w:val="31C8DF33"/>
    <w:rsid w:val="31C9F521"/>
    <w:rsid w:val="31CA1A72"/>
    <w:rsid w:val="31CC0D68"/>
    <w:rsid w:val="31CC27D5"/>
    <w:rsid w:val="31CCB5E5"/>
    <w:rsid w:val="31CD243C"/>
    <w:rsid w:val="31CD47D8"/>
    <w:rsid w:val="31CD8EC4"/>
    <w:rsid w:val="31CD9976"/>
    <w:rsid w:val="31CDA62A"/>
    <w:rsid w:val="31CE609D"/>
    <w:rsid w:val="31CF5535"/>
    <w:rsid w:val="31CF7369"/>
    <w:rsid w:val="31D0256B"/>
    <w:rsid w:val="31D17B15"/>
    <w:rsid w:val="31D19731"/>
    <w:rsid w:val="31D1C3BB"/>
    <w:rsid w:val="31D1EAE9"/>
    <w:rsid w:val="31D2B9E0"/>
    <w:rsid w:val="31D42E92"/>
    <w:rsid w:val="31D49F5C"/>
    <w:rsid w:val="31D52F47"/>
    <w:rsid w:val="31D65400"/>
    <w:rsid w:val="31D742A1"/>
    <w:rsid w:val="31D7A347"/>
    <w:rsid w:val="31D7E410"/>
    <w:rsid w:val="31D7F201"/>
    <w:rsid w:val="31D83C88"/>
    <w:rsid w:val="31D86AC6"/>
    <w:rsid w:val="31D893EA"/>
    <w:rsid w:val="31D9D496"/>
    <w:rsid w:val="31DA1F67"/>
    <w:rsid w:val="31DA66E6"/>
    <w:rsid w:val="31DAD509"/>
    <w:rsid w:val="31DB014A"/>
    <w:rsid w:val="31DB091C"/>
    <w:rsid w:val="31DB72CE"/>
    <w:rsid w:val="31DBB707"/>
    <w:rsid w:val="31DBEED9"/>
    <w:rsid w:val="31DBFE98"/>
    <w:rsid w:val="31DC57D0"/>
    <w:rsid w:val="31DC99F4"/>
    <w:rsid w:val="31DCAA81"/>
    <w:rsid w:val="31DD1DE0"/>
    <w:rsid w:val="31DDF0C8"/>
    <w:rsid w:val="31DFB996"/>
    <w:rsid w:val="31E02A5B"/>
    <w:rsid w:val="31E13169"/>
    <w:rsid w:val="31E179FB"/>
    <w:rsid w:val="31E27291"/>
    <w:rsid w:val="31E2DBDE"/>
    <w:rsid w:val="31E4097E"/>
    <w:rsid w:val="31E54BE9"/>
    <w:rsid w:val="31E6ED18"/>
    <w:rsid w:val="31E8BCDB"/>
    <w:rsid w:val="31E911CE"/>
    <w:rsid w:val="31E921DE"/>
    <w:rsid w:val="31E94245"/>
    <w:rsid w:val="31EA6D9E"/>
    <w:rsid w:val="31EC1B86"/>
    <w:rsid w:val="31EC89E5"/>
    <w:rsid w:val="31ED3482"/>
    <w:rsid w:val="31ED5C82"/>
    <w:rsid w:val="31ED9D42"/>
    <w:rsid w:val="31EDA3C1"/>
    <w:rsid w:val="31EF7D1A"/>
    <w:rsid w:val="31F0A3F1"/>
    <w:rsid w:val="31F132C1"/>
    <w:rsid w:val="31F1AAF4"/>
    <w:rsid w:val="31F20CC5"/>
    <w:rsid w:val="31F38165"/>
    <w:rsid w:val="31F3CAB7"/>
    <w:rsid w:val="31F3F85C"/>
    <w:rsid w:val="31F4AF6D"/>
    <w:rsid w:val="31F5A20F"/>
    <w:rsid w:val="31F5B805"/>
    <w:rsid w:val="31F645FA"/>
    <w:rsid w:val="31F661E1"/>
    <w:rsid w:val="31F68E23"/>
    <w:rsid w:val="31F72045"/>
    <w:rsid w:val="31F79609"/>
    <w:rsid w:val="31F8261C"/>
    <w:rsid w:val="31F85C64"/>
    <w:rsid w:val="31F884C9"/>
    <w:rsid w:val="31F8FB94"/>
    <w:rsid w:val="31FBC3A5"/>
    <w:rsid w:val="31FC5396"/>
    <w:rsid w:val="31FCEFF7"/>
    <w:rsid w:val="31FD6307"/>
    <w:rsid w:val="31FDADED"/>
    <w:rsid w:val="31FDC0C6"/>
    <w:rsid w:val="31FE058C"/>
    <w:rsid w:val="31FE5AB6"/>
    <w:rsid w:val="31FE93BD"/>
    <w:rsid w:val="31FF8770"/>
    <w:rsid w:val="320030A9"/>
    <w:rsid w:val="3200AD98"/>
    <w:rsid w:val="3201558B"/>
    <w:rsid w:val="320183EF"/>
    <w:rsid w:val="320255DD"/>
    <w:rsid w:val="32043F19"/>
    <w:rsid w:val="32047321"/>
    <w:rsid w:val="3204E521"/>
    <w:rsid w:val="32050D65"/>
    <w:rsid w:val="32056C45"/>
    <w:rsid w:val="3205C0B2"/>
    <w:rsid w:val="3205D716"/>
    <w:rsid w:val="3205D803"/>
    <w:rsid w:val="32061BBC"/>
    <w:rsid w:val="3207123F"/>
    <w:rsid w:val="32072EA0"/>
    <w:rsid w:val="32092E4D"/>
    <w:rsid w:val="3209825B"/>
    <w:rsid w:val="3209BE5B"/>
    <w:rsid w:val="3209D1DF"/>
    <w:rsid w:val="320A354E"/>
    <w:rsid w:val="320AE5EE"/>
    <w:rsid w:val="320B5FE2"/>
    <w:rsid w:val="320BAA0D"/>
    <w:rsid w:val="320BBCA2"/>
    <w:rsid w:val="320BF46D"/>
    <w:rsid w:val="320CDBE7"/>
    <w:rsid w:val="320E379E"/>
    <w:rsid w:val="320E5788"/>
    <w:rsid w:val="320E71C6"/>
    <w:rsid w:val="320E9A8F"/>
    <w:rsid w:val="320ED2D0"/>
    <w:rsid w:val="320EEC41"/>
    <w:rsid w:val="320F3676"/>
    <w:rsid w:val="320F370A"/>
    <w:rsid w:val="320F4174"/>
    <w:rsid w:val="320F454F"/>
    <w:rsid w:val="320FFF63"/>
    <w:rsid w:val="3210694F"/>
    <w:rsid w:val="3210DBE3"/>
    <w:rsid w:val="3211D275"/>
    <w:rsid w:val="3211EF63"/>
    <w:rsid w:val="321369FE"/>
    <w:rsid w:val="32139346"/>
    <w:rsid w:val="3213AFF6"/>
    <w:rsid w:val="3214D405"/>
    <w:rsid w:val="32175058"/>
    <w:rsid w:val="32175E48"/>
    <w:rsid w:val="3217E727"/>
    <w:rsid w:val="32191D14"/>
    <w:rsid w:val="3219C8BB"/>
    <w:rsid w:val="321C6A5B"/>
    <w:rsid w:val="321CA828"/>
    <w:rsid w:val="321D0DD7"/>
    <w:rsid w:val="321D47E5"/>
    <w:rsid w:val="321D8306"/>
    <w:rsid w:val="321DFD4E"/>
    <w:rsid w:val="321E22B2"/>
    <w:rsid w:val="321E8477"/>
    <w:rsid w:val="321FC35D"/>
    <w:rsid w:val="32209FC8"/>
    <w:rsid w:val="3221AF6D"/>
    <w:rsid w:val="322213BD"/>
    <w:rsid w:val="32224F94"/>
    <w:rsid w:val="3222C14A"/>
    <w:rsid w:val="32238072"/>
    <w:rsid w:val="32238325"/>
    <w:rsid w:val="3224FE61"/>
    <w:rsid w:val="32252B00"/>
    <w:rsid w:val="32257078"/>
    <w:rsid w:val="322614AF"/>
    <w:rsid w:val="3226524A"/>
    <w:rsid w:val="32265AE9"/>
    <w:rsid w:val="32265F97"/>
    <w:rsid w:val="3226A5F6"/>
    <w:rsid w:val="322715D5"/>
    <w:rsid w:val="3227EC85"/>
    <w:rsid w:val="32297F57"/>
    <w:rsid w:val="322A1415"/>
    <w:rsid w:val="322A2844"/>
    <w:rsid w:val="322C8511"/>
    <w:rsid w:val="322E3497"/>
    <w:rsid w:val="322EE174"/>
    <w:rsid w:val="322F6684"/>
    <w:rsid w:val="322F8830"/>
    <w:rsid w:val="322FDA31"/>
    <w:rsid w:val="32309B1A"/>
    <w:rsid w:val="323231EC"/>
    <w:rsid w:val="3233797C"/>
    <w:rsid w:val="3234003D"/>
    <w:rsid w:val="323402E3"/>
    <w:rsid w:val="3234C4EE"/>
    <w:rsid w:val="32351135"/>
    <w:rsid w:val="32357B0E"/>
    <w:rsid w:val="32363797"/>
    <w:rsid w:val="32364991"/>
    <w:rsid w:val="323755AE"/>
    <w:rsid w:val="3237946E"/>
    <w:rsid w:val="32385000"/>
    <w:rsid w:val="3238DB0C"/>
    <w:rsid w:val="3238EFC2"/>
    <w:rsid w:val="32392B13"/>
    <w:rsid w:val="3239E7EE"/>
    <w:rsid w:val="323A272F"/>
    <w:rsid w:val="323A343C"/>
    <w:rsid w:val="323BC675"/>
    <w:rsid w:val="323BFB40"/>
    <w:rsid w:val="323C51A5"/>
    <w:rsid w:val="323CBC30"/>
    <w:rsid w:val="323E1E16"/>
    <w:rsid w:val="323E2020"/>
    <w:rsid w:val="323E455A"/>
    <w:rsid w:val="323E691E"/>
    <w:rsid w:val="323F0B26"/>
    <w:rsid w:val="32401132"/>
    <w:rsid w:val="324197E1"/>
    <w:rsid w:val="3241CEF9"/>
    <w:rsid w:val="3243579C"/>
    <w:rsid w:val="324366B7"/>
    <w:rsid w:val="3243C66E"/>
    <w:rsid w:val="3243EC8E"/>
    <w:rsid w:val="3243EFAB"/>
    <w:rsid w:val="3244891A"/>
    <w:rsid w:val="32454ADE"/>
    <w:rsid w:val="324557FB"/>
    <w:rsid w:val="32463C07"/>
    <w:rsid w:val="32464D36"/>
    <w:rsid w:val="3246A4F3"/>
    <w:rsid w:val="3247B489"/>
    <w:rsid w:val="3247D5C4"/>
    <w:rsid w:val="324A2EA8"/>
    <w:rsid w:val="324A5D2E"/>
    <w:rsid w:val="324B5982"/>
    <w:rsid w:val="324C4442"/>
    <w:rsid w:val="324C9056"/>
    <w:rsid w:val="324D295E"/>
    <w:rsid w:val="324D5E0A"/>
    <w:rsid w:val="324E0108"/>
    <w:rsid w:val="324FD99D"/>
    <w:rsid w:val="32506175"/>
    <w:rsid w:val="32515717"/>
    <w:rsid w:val="325176AB"/>
    <w:rsid w:val="32517E49"/>
    <w:rsid w:val="32540E12"/>
    <w:rsid w:val="32541BBE"/>
    <w:rsid w:val="3254E64D"/>
    <w:rsid w:val="32550681"/>
    <w:rsid w:val="32558D7B"/>
    <w:rsid w:val="3255C79B"/>
    <w:rsid w:val="325806EA"/>
    <w:rsid w:val="32588CE0"/>
    <w:rsid w:val="32589175"/>
    <w:rsid w:val="3258AA7F"/>
    <w:rsid w:val="32597C43"/>
    <w:rsid w:val="32599ACD"/>
    <w:rsid w:val="325ACE76"/>
    <w:rsid w:val="325CE893"/>
    <w:rsid w:val="325F615F"/>
    <w:rsid w:val="325F691C"/>
    <w:rsid w:val="32606350"/>
    <w:rsid w:val="3261224C"/>
    <w:rsid w:val="3261E4E9"/>
    <w:rsid w:val="3262797D"/>
    <w:rsid w:val="3262F7BA"/>
    <w:rsid w:val="3263D956"/>
    <w:rsid w:val="3263E066"/>
    <w:rsid w:val="32640ED2"/>
    <w:rsid w:val="3264182A"/>
    <w:rsid w:val="3264CEFB"/>
    <w:rsid w:val="32650596"/>
    <w:rsid w:val="326525F8"/>
    <w:rsid w:val="326582AE"/>
    <w:rsid w:val="32661616"/>
    <w:rsid w:val="3266BD8A"/>
    <w:rsid w:val="3266D910"/>
    <w:rsid w:val="3266DA58"/>
    <w:rsid w:val="3266F876"/>
    <w:rsid w:val="32675084"/>
    <w:rsid w:val="3267D4CC"/>
    <w:rsid w:val="32684682"/>
    <w:rsid w:val="32687B02"/>
    <w:rsid w:val="32691736"/>
    <w:rsid w:val="326934FE"/>
    <w:rsid w:val="3269D3A6"/>
    <w:rsid w:val="326A42BB"/>
    <w:rsid w:val="326AA5CD"/>
    <w:rsid w:val="326B8EC7"/>
    <w:rsid w:val="326BA035"/>
    <w:rsid w:val="326E0BB8"/>
    <w:rsid w:val="326EB0CE"/>
    <w:rsid w:val="326EB5B1"/>
    <w:rsid w:val="326EC965"/>
    <w:rsid w:val="326FE620"/>
    <w:rsid w:val="32704F40"/>
    <w:rsid w:val="3271EEAD"/>
    <w:rsid w:val="32724A44"/>
    <w:rsid w:val="32728008"/>
    <w:rsid w:val="32728620"/>
    <w:rsid w:val="327381B1"/>
    <w:rsid w:val="3274D90C"/>
    <w:rsid w:val="3275AFDB"/>
    <w:rsid w:val="3275D40B"/>
    <w:rsid w:val="32777E06"/>
    <w:rsid w:val="3277D2B6"/>
    <w:rsid w:val="32786506"/>
    <w:rsid w:val="327886DD"/>
    <w:rsid w:val="327908F0"/>
    <w:rsid w:val="3279DE5C"/>
    <w:rsid w:val="327AB33C"/>
    <w:rsid w:val="327AB89C"/>
    <w:rsid w:val="327AB98E"/>
    <w:rsid w:val="327B3034"/>
    <w:rsid w:val="327BE4FB"/>
    <w:rsid w:val="327C286A"/>
    <w:rsid w:val="327C62B5"/>
    <w:rsid w:val="327C695C"/>
    <w:rsid w:val="327D172A"/>
    <w:rsid w:val="327D4D9D"/>
    <w:rsid w:val="327DC680"/>
    <w:rsid w:val="327E3027"/>
    <w:rsid w:val="327EFF3F"/>
    <w:rsid w:val="327F9E5C"/>
    <w:rsid w:val="327FB58E"/>
    <w:rsid w:val="32802CA5"/>
    <w:rsid w:val="3280595F"/>
    <w:rsid w:val="3280C20F"/>
    <w:rsid w:val="32816ACD"/>
    <w:rsid w:val="32820019"/>
    <w:rsid w:val="3282BE11"/>
    <w:rsid w:val="3284F7E8"/>
    <w:rsid w:val="328525E9"/>
    <w:rsid w:val="32855047"/>
    <w:rsid w:val="3285B5D5"/>
    <w:rsid w:val="3285D4ED"/>
    <w:rsid w:val="3286D35C"/>
    <w:rsid w:val="3286E919"/>
    <w:rsid w:val="3286F69C"/>
    <w:rsid w:val="328957C6"/>
    <w:rsid w:val="328A1507"/>
    <w:rsid w:val="328A8DF3"/>
    <w:rsid w:val="328A9659"/>
    <w:rsid w:val="328AB396"/>
    <w:rsid w:val="328AD774"/>
    <w:rsid w:val="328B81E4"/>
    <w:rsid w:val="328BF111"/>
    <w:rsid w:val="328CD506"/>
    <w:rsid w:val="328DC4FA"/>
    <w:rsid w:val="328E9A1C"/>
    <w:rsid w:val="328E9B20"/>
    <w:rsid w:val="328EA9DC"/>
    <w:rsid w:val="328EE83C"/>
    <w:rsid w:val="328F02D2"/>
    <w:rsid w:val="328F6C74"/>
    <w:rsid w:val="32902AB2"/>
    <w:rsid w:val="3290FD04"/>
    <w:rsid w:val="329136B6"/>
    <w:rsid w:val="32930527"/>
    <w:rsid w:val="329329C7"/>
    <w:rsid w:val="32937F76"/>
    <w:rsid w:val="3293F7D2"/>
    <w:rsid w:val="32941354"/>
    <w:rsid w:val="3294B0F4"/>
    <w:rsid w:val="32952077"/>
    <w:rsid w:val="32953EFC"/>
    <w:rsid w:val="3295FB00"/>
    <w:rsid w:val="3296B10C"/>
    <w:rsid w:val="3296D853"/>
    <w:rsid w:val="329731EA"/>
    <w:rsid w:val="32985A4F"/>
    <w:rsid w:val="3298A174"/>
    <w:rsid w:val="3298BDE7"/>
    <w:rsid w:val="329A2201"/>
    <w:rsid w:val="329AC407"/>
    <w:rsid w:val="329B1E92"/>
    <w:rsid w:val="329B8854"/>
    <w:rsid w:val="329BF86E"/>
    <w:rsid w:val="329D556E"/>
    <w:rsid w:val="329DCF8F"/>
    <w:rsid w:val="329E5D09"/>
    <w:rsid w:val="329F0761"/>
    <w:rsid w:val="32A0C1D5"/>
    <w:rsid w:val="32A0CEA1"/>
    <w:rsid w:val="32A196F0"/>
    <w:rsid w:val="32A1C0EE"/>
    <w:rsid w:val="32A2B60C"/>
    <w:rsid w:val="32A2BA4E"/>
    <w:rsid w:val="32A41090"/>
    <w:rsid w:val="32A416D8"/>
    <w:rsid w:val="32A52CF7"/>
    <w:rsid w:val="32A56B19"/>
    <w:rsid w:val="32A64DC7"/>
    <w:rsid w:val="32A6609F"/>
    <w:rsid w:val="32A7C2C0"/>
    <w:rsid w:val="32A7F300"/>
    <w:rsid w:val="32A7FA96"/>
    <w:rsid w:val="32A89631"/>
    <w:rsid w:val="32A8D236"/>
    <w:rsid w:val="32A8D4CC"/>
    <w:rsid w:val="32AB5C5D"/>
    <w:rsid w:val="32ACC401"/>
    <w:rsid w:val="32ACDC46"/>
    <w:rsid w:val="32AE1D86"/>
    <w:rsid w:val="32AE578D"/>
    <w:rsid w:val="32AE69DB"/>
    <w:rsid w:val="32AF1DAB"/>
    <w:rsid w:val="32B02EE5"/>
    <w:rsid w:val="32B07D38"/>
    <w:rsid w:val="32B0F881"/>
    <w:rsid w:val="32B1162F"/>
    <w:rsid w:val="32B2BD44"/>
    <w:rsid w:val="32B2C031"/>
    <w:rsid w:val="32B2FF59"/>
    <w:rsid w:val="32B30C95"/>
    <w:rsid w:val="32B394A3"/>
    <w:rsid w:val="32B3CC25"/>
    <w:rsid w:val="32B5A11E"/>
    <w:rsid w:val="32B6ACC3"/>
    <w:rsid w:val="32B722C1"/>
    <w:rsid w:val="32B7E622"/>
    <w:rsid w:val="32B80627"/>
    <w:rsid w:val="32B91291"/>
    <w:rsid w:val="32BA9F0F"/>
    <w:rsid w:val="32BB52BA"/>
    <w:rsid w:val="32BB6C2E"/>
    <w:rsid w:val="32BBA1BD"/>
    <w:rsid w:val="32BBD70D"/>
    <w:rsid w:val="32BDB3A0"/>
    <w:rsid w:val="32BE10D8"/>
    <w:rsid w:val="32BE25C2"/>
    <w:rsid w:val="32C19076"/>
    <w:rsid w:val="32C25145"/>
    <w:rsid w:val="32C30FE4"/>
    <w:rsid w:val="32C33069"/>
    <w:rsid w:val="32C3AF17"/>
    <w:rsid w:val="32C3EE8F"/>
    <w:rsid w:val="32C57ADD"/>
    <w:rsid w:val="32C5E477"/>
    <w:rsid w:val="32C6367D"/>
    <w:rsid w:val="32C73FCC"/>
    <w:rsid w:val="32C775E3"/>
    <w:rsid w:val="32C78098"/>
    <w:rsid w:val="32C7C7C9"/>
    <w:rsid w:val="32C83BA5"/>
    <w:rsid w:val="32C88761"/>
    <w:rsid w:val="32C8AB7B"/>
    <w:rsid w:val="32C8D688"/>
    <w:rsid w:val="32CA0368"/>
    <w:rsid w:val="32CA62ED"/>
    <w:rsid w:val="32CB07F3"/>
    <w:rsid w:val="32CDE6FC"/>
    <w:rsid w:val="32CEE698"/>
    <w:rsid w:val="32CF1558"/>
    <w:rsid w:val="32CF1E7B"/>
    <w:rsid w:val="32D091C4"/>
    <w:rsid w:val="32D1C12C"/>
    <w:rsid w:val="32D217AA"/>
    <w:rsid w:val="32D28024"/>
    <w:rsid w:val="32D2CC34"/>
    <w:rsid w:val="32D4612A"/>
    <w:rsid w:val="32D53477"/>
    <w:rsid w:val="32D5E1C2"/>
    <w:rsid w:val="32D63BA1"/>
    <w:rsid w:val="32D69854"/>
    <w:rsid w:val="32D79616"/>
    <w:rsid w:val="32D87AC9"/>
    <w:rsid w:val="32D9B909"/>
    <w:rsid w:val="32DA32F0"/>
    <w:rsid w:val="32DAA10E"/>
    <w:rsid w:val="32DAFC52"/>
    <w:rsid w:val="32DE0276"/>
    <w:rsid w:val="32DE88EE"/>
    <w:rsid w:val="32DE9C7B"/>
    <w:rsid w:val="32DFF351"/>
    <w:rsid w:val="32E0E4D2"/>
    <w:rsid w:val="32E12DA3"/>
    <w:rsid w:val="32E30376"/>
    <w:rsid w:val="32E3E187"/>
    <w:rsid w:val="32E54A2C"/>
    <w:rsid w:val="32E57D70"/>
    <w:rsid w:val="32E59F5C"/>
    <w:rsid w:val="32E5C11E"/>
    <w:rsid w:val="32E6216B"/>
    <w:rsid w:val="32E66478"/>
    <w:rsid w:val="32E671A1"/>
    <w:rsid w:val="32E67432"/>
    <w:rsid w:val="32E68C12"/>
    <w:rsid w:val="32E7A94E"/>
    <w:rsid w:val="32E7AA01"/>
    <w:rsid w:val="32E7BD6E"/>
    <w:rsid w:val="32E7BE4E"/>
    <w:rsid w:val="32E7F2F3"/>
    <w:rsid w:val="32E7F393"/>
    <w:rsid w:val="32E8E339"/>
    <w:rsid w:val="32E9172A"/>
    <w:rsid w:val="32E92DD4"/>
    <w:rsid w:val="32E9C580"/>
    <w:rsid w:val="32E9C65A"/>
    <w:rsid w:val="32EA9739"/>
    <w:rsid w:val="32EBCAC0"/>
    <w:rsid w:val="32EBDAF9"/>
    <w:rsid w:val="32EC7A14"/>
    <w:rsid w:val="32ED25D4"/>
    <w:rsid w:val="32ED2715"/>
    <w:rsid w:val="32ED576B"/>
    <w:rsid w:val="32ED6942"/>
    <w:rsid w:val="32ED9505"/>
    <w:rsid w:val="32EE26A1"/>
    <w:rsid w:val="32EEAC63"/>
    <w:rsid w:val="32EEB059"/>
    <w:rsid w:val="32EEF137"/>
    <w:rsid w:val="32EF8793"/>
    <w:rsid w:val="32EFE63B"/>
    <w:rsid w:val="32F03C90"/>
    <w:rsid w:val="32F04C5F"/>
    <w:rsid w:val="32F1F6F1"/>
    <w:rsid w:val="32F211EE"/>
    <w:rsid w:val="32F25E97"/>
    <w:rsid w:val="32F27AE2"/>
    <w:rsid w:val="32F28332"/>
    <w:rsid w:val="32F2A0BA"/>
    <w:rsid w:val="32F2F2B2"/>
    <w:rsid w:val="32F319F5"/>
    <w:rsid w:val="32F42389"/>
    <w:rsid w:val="32F43DDE"/>
    <w:rsid w:val="32F44D71"/>
    <w:rsid w:val="32F48B89"/>
    <w:rsid w:val="32F53794"/>
    <w:rsid w:val="32F5D82C"/>
    <w:rsid w:val="32F5F720"/>
    <w:rsid w:val="32F6681A"/>
    <w:rsid w:val="32F7A782"/>
    <w:rsid w:val="32F810D3"/>
    <w:rsid w:val="32F87F24"/>
    <w:rsid w:val="32FAC844"/>
    <w:rsid w:val="32FC32DE"/>
    <w:rsid w:val="32FC347F"/>
    <w:rsid w:val="32FC4798"/>
    <w:rsid w:val="32FC52A3"/>
    <w:rsid w:val="32FC7F72"/>
    <w:rsid w:val="32FD26DA"/>
    <w:rsid w:val="32FD3F0F"/>
    <w:rsid w:val="32FD4739"/>
    <w:rsid w:val="32FE31E6"/>
    <w:rsid w:val="32FE56D3"/>
    <w:rsid w:val="32FE5F8E"/>
    <w:rsid w:val="32FE77B1"/>
    <w:rsid w:val="32FE988D"/>
    <w:rsid w:val="32FEA652"/>
    <w:rsid w:val="32FF0BD2"/>
    <w:rsid w:val="32FF7CAF"/>
    <w:rsid w:val="33015766"/>
    <w:rsid w:val="3301A627"/>
    <w:rsid w:val="33022AD7"/>
    <w:rsid w:val="330244D4"/>
    <w:rsid w:val="3302B829"/>
    <w:rsid w:val="330326C0"/>
    <w:rsid w:val="3303F53F"/>
    <w:rsid w:val="33040195"/>
    <w:rsid w:val="33043140"/>
    <w:rsid w:val="33062DC1"/>
    <w:rsid w:val="33065C2A"/>
    <w:rsid w:val="33066A2C"/>
    <w:rsid w:val="33069CB8"/>
    <w:rsid w:val="3306ACAA"/>
    <w:rsid w:val="3307222C"/>
    <w:rsid w:val="330767EC"/>
    <w:rsid w:val="3307790C"/>
    <w:rsid w:val="3307C03F"/>
    <w:rsid w:val="33081F1D"/>
    <w:rsid w:val="3308E1FF"/>
    <w:rsid w:val="330998EB"/>
    <w:rsid w:val="3309DC7F"/>
    <w:rsid w:val="330BE334"/>
    <w:rsid w:val="330C3968"/>
    <w:rsid w:val="330D1E00"/>
    <w:rsid w:val="330D5C10"/>
    <w:rsid w:val="330DE5F6"/>
    <w:rsid w:val="330E6C28"/>
    <w:rsid w:val="330E980F"/>
    <w:rsid w:val="330EE250"/>
    <w:rsid w:val="330EE86B"/>
    <w:rsid w:val="330FBC41"/>
    <w:rsid w:val="331006D8"/>
    <w:rsid w:val="33104B2A"/>
    <w:rsid w:val="33115D8E"/>
    <w:rsid w:val="331191C5"/>
    <w:rsid w:val="3311E449"/>
    <w:rsid w:val="33126ADD"/>
    <w:rsid w:val="33128F7B"/>
    <w:rsid w:val="33134F75"/>
    <w:rsid w:val="3314D846"/>
    <w:rsid w:val="3314FC34"/>
    <w:rsid w:val="33156F17"/>
    <w:rsid w:val="3315D061"/>
    <w:rsid w:val="3315D948"/>
    <w:rsid w:val="33162B76"/>
    <w:rsid w:val="3316BBC5"/>
    <w:rsid w:val="331760BE"/>
    <w:rsid w:val="3318AB4B"/>
    <w:rsid w:val="3318E132"/>
    <w:rsid w:val="331BCDFA"/>
    <w:rsid w:val="331C74BB"/>
    <w:rsid w:val="331D785E"/>
    <w:rsid w:val="331DFC6E"/>
    <w:rsid w:val="331E6E22"/>
    <w:rsid w:val="331E85D8"/>
    <w:rsid w:val="331E861B"/>
    <w:rsid w:val="331F69ED"/>
    <w:rsid w:val="331F6BB3"/>
    <w:rsid w:val="33210244"/>
    <w:rsid w:val="33212F42"/>
    <w:rsid w:val="33214612"/>
    <w:rsid w:val="332154E8"/>
    <w:rsid w:val="33224AC2"/>
    <w:rsid w:val="33233725"/>
    <w:rsid w:val="33235AFB"/>
    <w:rsid w:val="33237EE0"/>
    <w:rsid w:val="3323C42D"/>
    <w:rsid w:val="3324744B"/>
    <w:rsid w:val="33252658"/>
    <w:rsid w:val="3325B1F7"/>
    <w:rsid w:val="3325D0FA"/>
    <w:rsid w:val="33269838"/>
    <w:rsid w:val="33279A08"/>
    <w:rsid w:val="3327C31D"/>
    <w:rsid w:val="33285ED4"/>
    <w:rsid w:val="332B763D"/>
    <w:rsid w:val="332C1182"/>
    <w:rsid w:val="332D06B3"/>
    <w:rsid w:val="332E5F8D"/>
    <w:rsid w:val="332E6C89"/>
    <w:rsid w:val="332E700A"/>
    <w:rsid w:val="332FD54F"/>
    <w:rsid w:val="3330A7E9"/>
    <w:rsid w:val="333178DB"/>
    <w:rsid w:val="33327A4F"/>
    <w:rsid w:val="3333B86A"/>
    <w:rsid w:val="333459C8"/>
    <w:rsid w:val="333491D7"/>
    <w:rsid w:val="3334A28F"/>
    <w:rsid w:val="33354E01"/>
    <w:rsid w:val="333567BB"/>
    <w:rsid w:val="333628C5"/>
    <w:rsid w:val="33363CE5"/>
    <w:rsid w:val="3336ED22"/>
    <w:rsid w:val="333774E8"/>
    <w:rsid w:val="3337D58B"/>
    <w:rsid w:val="3338ABA0"/>
    <w:rsid w:val="333A6C95"/>
    <w:rsid w:val="333A9FBD"/>
    <w:rsid w:val="333AEF76"/>
    <w:rsid w:val="333B8CE4"/>
    <w:rsid w:val="333BEEA3"/>
    <w:rsid w:val="333EDA17"/>
    <w:rsid w:val="3340DDB6"/>
    <w:rsid w:val="3340F02A"/>
    <w:rsid w:val="33415796"/>
    <w:rsid w:val="3341C2FA"/>
    <w:rsid w:val="334285AD"/>
    <w:rsid w:val="33431BE4"/>
    <w:rsid w:val="33433F32"/>
    <w:rsid w:val="3343BC52"/>
    <w:rsid w:val="33446D42"/>
    <w:rsid w:val="33453403"/>
    <w:rsid w:val="3347E9AD"/>
    <w:rsid w:val="33484A75"/>
    <w:rsid w:val="33498BC7"/>
    <w:rsid w:val="3349C36E"/>
    <w:rsid w:val="3349F589"/>
    <w:rsid w:val="334B26B4"/>
    <w:rsid w:val="334BD10E"/>
    <w:rsid w:val="334BE5FF"/>
    <w:rsid w:val="334C2A24"/>
    <w:rsid w:val="334C6B25"/>
    <w:rsid w:val="334C7E11"/>
    <w:rsid w:val="334C8DB7"/>
    <w:rsid w:val="334D05F6"/>
    <w:rsid w:val="334D0E95"/>
    <w:rsid w:val="334E34EE"/>
    <w:rsid w:val="334F3C8B"/>
    <w:rsid w:val="334FBC93"/>
    <w:rsid w:val="33521CE8"/>
    <w:rsid w:val="3352B1CB"/>
    <w:rsid w:val="335354F3"/>
    <w:rsid w:val="33549497"/>
    <w:rsid w:val="33551B8E"/>
    <w:rsid w:val="33551CC7"/>
    <w:rsid w:val="335677BB"/>
    <w:rsid w:val="3356AD4D"/>
    <w:rsid w:val="335788CE"/>
    <w:rsid w:val="3357B717"/>
    <w:rsid w:val="3357D54F"/>
    <w:rsid w:val="33580FB4"/>
    <w:rsid w:val="33583148"/>
    <w:rsid w:val="3358681A"/>
    <w:rsid w:val="3358CD11"/>
    <w:rsid w:val="3358D0F9"/>
    <w:rsid w:val="33592104"/>
    <w:rsid w:val="3359262D"/>
    <w:rsid w:val="335930F2"/>
    <w:rsid w:val="335A0875"/>
    <w:rsid w:val="335A39CE"/>
    <w:rsid w:val="335A3B88"/>
    <w:rsid w:val="335AC618"/>
    <w:rsid w:val="335B0FD4"/>
    <w:rsid w:val="335B5A69"/>
    <w:rsid w:val="335D4D94"/>
    <w:rsid w:val="335D87C8"/>
    <w:rsid w:val="335E0A7B"/>
    <w:rsid w:val="335FA583"/>
    <w:rsid w:val="335FF2C0"/>
    <w:rsid w:val="3360246C"/>
    <w:rsid w:val="336124DA"/>
    <w:rsid w:val="336159AF"/>
    <w:rsid w:val="3361ECFD"/>
    <w:rsid w:val="336208AB"/>
    <w:rsid w:val="3362D2B6"/>
    <w:rsid w:val="3362F0C3"/>
    <w:rsid w:val="3363D8A4"/>
    <w:rsid w:val="33651551"/>
    <w:rsid w:val="336635FB"/>
    <w:rsid w:val="336668B3"/>
    <w:rsid w:val="336669CE"/>
    <w:rsid w:val="3366C031"/>
    <w:rsid w:val="3366C173"/>
    <w:rsid w:val="3366FAC1"/>
    <w:rsid w:val="33689236"/>
    <w:rsid w:val="3369A604"/>
    <w:rsid w:val="3369D956"/>
    <w:rsid w:val="336AD7C8"/>
    <w:rsid w:val="336B4308"/>
    <w:rsid w:val="336B55DE"/>
    <w:rsid w:val="336BD43C"/>
    <w:rsid w:val="336C022D"/>
    <w:rsid w:val="336C484A"/>
    <w:rsid w:val="336C8B15"/>
    <w:rsid w:val="336CD54A"/>
    <w:rsid w:val="336CECC4"/>
    <w:rsid w:val="336DA3B7"/>
    <w:rsid w:val="336DF827"/>
    <w:rsid w:val="336E0422"/>
    <w:rsid w:val="336E6030"/>
    <w:rsid w:val="336EC65D"/>
    <w:rsid w:val="336F74DD"/>
    <w:rsid w:val="3371041A"/>
    <w:rsid w:val="33710C02"/>
    <w:rsid w:val="337146B8"/>
    <w:rsid w:val="337193C5"/>
    <w:rsid w:val="337240CD"/>
    <w:rsid w:val="33729893"/>
    <w:rsid w:val="33736F89"/>
    <w:rsid w:val="3374662C"/>
    <w:rsid w:val="3374BFBD"/>
    <w:rsid w:val="33758A06"/>
    <w:rsid w:val="3375F03C"/>
    <w:rsid w:val="3375F7E2"/>
    <w:rsid w:val="3377218D"/>
    <w:rsid w:val="33779937"/>
    <w:rsid w:val="3377EBD6"/>
    <w:rsid w:val="337811BF"/>
    <w:rsid w:val="33783478"/>
    <w:rsid w:val="33785E13"/>
    <w:rsid w:val="3378FAC4"/>
    <w:rsid w:val="33790E9A"/>
    <w:rsid w:val="337AA5BB"/>
    <w:rsid w:val="337AF5AD"/>
    <w:rsid w:val="337CC1C0"/>
    <w:rsid w:val="337CD86E"/>
    <w:rsid w:val="337D2AE0"/>
    <w:rsid w:val="337DEC17"/>
    <w:rsid w:val="337F333E"/>
    <w:rsid w:val="337F64BF"/>
    <w:rsid w:val="337FCE20"/>
    <w:rsid w:val="337FD246"/>
    <w:rsid w:val="33802B41"/>
    <w:rsid w:val="33807C30"/>
    <w:rsid w:val="3382282A"/>
    <w:rsid w:val="33825019"/>
    <w:rsid w:val="33825096"/>
    <w:rsid w:val="338283F1"/>
    <w:rsid w:val="3383F333"/>
    <w:rsid w:val="33852BBC"/>
    <w:rsid w:val="3385A803"/>
    <w:rsid w:val="33864D16"/>
    <w:rsid w:val="338757A9"/>
    <w:rsid w:val="338824E8"/>
    <w:rsid w:val="33892A1E"/>
    <w:rsid w:val="3389C444"/>
    <w:rsid w:val="3389D0A3"/>
    <w:rsid w:val="338A8697"/>
    <w:rsid w:val="338A86E7"/>
    <w:rsid w:val="338BCB69"/>
    <w:rsid w:val="338BE93A"/>
    <w:rsid w:val="338CDE03"/>
    <w:rsid w:val="338CEEFE"/>
    <w:rsid w:val="338E38A0"/>
    <w:rsid w:val="338EAD58"/>
    <w:rsid w:val="338ED138"/>
    <w:rsid w:val="338EDEF7"/>
    <w:rsid w:val="338F3885"/>
    <w:rsid w:val="338F464E"/>
    <w:rsid w:val="338FA52C"/>
    <w:rsid w:val="338FD6D9"/>
    <w:rsid w:val="33908F77"/>
    <w:rsid w:val="3390A9DD"/>
    <w:rsid w:val="3390EBC1"/>
    <w:rsid w:val="33913EDC"/>
    <w:rsid w:val="3391C067"/>
    <w:rsid w:val="33934858"/>
    <w:rsid w:val="33941E86"/>
    <w:rsid w:val="33943E37"/>
    <w:rsid w:val="339498C2"/>
    <w:rsid w:val="3395E6CD"/>
    <w:rsid w:val="3396559D"/>
    <w:rsid w:val="3396A550"/>
    <w:rsid w:val="3396FAF4"/>
    <w:rsid w:val="33974C32"/>
    <w:rsid w:val="33975068"/>
    <w:rsid w:val="3397AAE8"/>
    <w:rsid w:val="3397E15D"/>
    <w:rsid w:val="33983CDB"/>
    <w:rsid w:val="3398F5A9"/>
    <w:rsid w:val="339975B8"/>
    <w:rsid w:val="3399780D"/>
    <w:rsid w:val="339A0B3D"/>
    <w:rsid w:val="339CFEC4"/>
    <w:rsid w:val="339DA327"/>
    <w:rsid w:val="339F2FC2"/>
    <w:rsid w:val="339FADEC"/>
    <w:rsid w:val="33A0C27F"/>
    <w:rsid w:val="33A26B66"/>
    <w:rsid w:val="33A39ECE"/>
    <w:rsid w:val="33A44475"/>
    <w:rsid w:val="33A494E8"/>
    <w:rsid w:val="33A4BFF2"/>
    <w:rsid w:val="33A4D521"/>
    <w:rsid w:val="33A5F2AF"/>
    <w:rsid w:val="33A5FDF9"/>
    <w:rsid w:val="33A6D9B3"/>
    <w:rsid w:val="33A73947"/>
    <w:rsid w:val="33A91DFB"/>
    <w:rsid w:val="33A9946D"/>
    <w:rsid w:val="33AA6834"/>
    <w:rsid w:val="33AAF51D"/>
    <w:rsid w:val="33AB1E62"/>
    <w:rsid w:val="33AB25BA"/>
    <w:rsid w:val="33AC7592"/>
    <w:rsid w:val="33ADAF23"/>
    <w:rsid w:val="33B098D3"/>
    <w:rsid w:val="33B12CA4"/>
    <w:rsid w:val="33B1D74D"/>
    <w:rsid w:val="33B253E1"/>
    <w:rsid w:val="33B320B9"/>
    <w:rsid w:val="33B34C4B"/>
    <w:rsid w:val="33B4B5BE"/>
    <w:rsid w:val="33B4D581"/>
    <w:rsid w:val="33B5A74A"/>
    <w:rsid w:val="33B6270D"/>
    <w:rsid w:val="33B73FC1"/>
    <w:rsid w:val="33B784CC"/>
    <w:rsid w:val="33B901E3"/>
    <w:rsid w:val="33BA3C72"/>
    <w:rsid w:val="33BA8988"/>
    <w:rsid w:val="33BAA501"/>
    <w:rsid w:val="33BC2482"/>
    <w:rsid w:val="33BD5523"/>
    <w:rsid w:val="33BEF48B"/>
    <w:rsid w:val="33BFEF20"/>
    <w:rsid w:val="33C01BCE"/>
    <w:rsid w:val="33C07F22"/>
    <w:rsid w:val="33C1B04A"/>
    <w:rsid w:val="33C356CA"/>
    <w:rsid w:val="33C369FB"/>
    <w:rsid w:val="33C487D0"/>
    <w:rsid w:val="33C48CA7"/>
    <w:rsid w:val="33C4B0CB"/>
    <w:rsid w:val="33C58BEC"/>
    <w:rsid w:val="33C6C1D5"/>
    <w:rsid w:val="33C7F310"/>
    <w:rsid w:val="33C897FC"/>
    <w:rsid w:val="33C8B160"/>
    <w:rsid w:val="33C91666"/>
    <w:rsid w:val="33C9CE02"/>
    <w:rsid w:val="33CA1198"/>
    <w:rsid w:val="33CB0B02"/>
    <w:rsid w:val="33CB16C1"/>
    <w:rsid w:val="33CB90B2"/>
    <w:rsid w:val="33CBD36E"/>
    <w:rsid w:val="33CBD866"/>
    <w:rsid w:val="33CCFBE8"/>
    <w:rsid w:val="33CD8E68"/>
    <w:rsid w:val="33CDFEA6"/>
    <w:rsid w:val="33CEAE9C"/>
    <w:rsid w:val="33CF200F"/>
    <w:rsid w:val="33CF386A"/>
    <w:rsid w:val="33CFAB85"/>
    <w:rsid w:val="33D056E6"/>
    <w:rsid w:val="33D0779A"/>
    <w:rsid w:val="33D07E88"/>
    <w:rsid w:val="33D0D815"/>
    <w:rsid w:val="33D0E97D"/>
    <w:rsid w:val="33D1D4B6"/>
    <w:rsid w:val="33D29448"/>
    <w:rsid w:val="33D3175A"/>
    <w:rsid w:val="33D3376A"/>
    <w:rsid w:val="33D3F584"/>
    <w:rsid w:val="33D5352C"/>
    <w:rsid w:val="33D54840"/>
    <w:rsid w:val="33D77A6D"/>
    <w:rsid w:val="33D7CF24"/>
    <w:rsid w:val="33D7F2A4"/>
    <w:rsid w:val="33D8CE3D"/>
    <w:rsid w:val="33D988F2"/>
    <w:rsid w:val="33D9D72E"/>
    <w:rsid w:val="33DA7606"/>
    <w:rsid w:val="33DAFC2B"/>
    <w:rsid w:val="33DB3E71"/>
    <w:rsid w:val="33DCCDBE"/>
    <w:rsid w:val="33DE3F9E"/>
    <w:rsid w:val="33DFADEC"/>
    <w:rsid w:val="33E0275C"/>
    <w:rsid w:val="33E1C977"/>
    <w:rsid w:val="33E2BA41"/>
    <w:rsid w:val="33E2F95E"/>
    <w:rsid w:val="33E3AE7D"/>
    <w:rsid w:val="33E411CD"/>
    <w:rsid w:val="33E487FF"/>
    <w:rsid w:val="33E554D9"/>
    <w:rsid w:val="33E5D098"/>
    <w:rsid w:val="33E648F0"/>
    <w:rsid w:val="33E6ECE5"/>
    <w:rsid w:val="33E704DB"/>
    <w:rsid w:val="33E797A0"/>
    <w:rsid w:val="33E7EC78"/>
    <w:rsid w:val="33E83786"/>
    <w:rsid w:val="33E92185"/>
    <w:rsid w:val="33E97457"/>
    <w:rsid w:val="33EAA0EC"/>
    <w:rsid w:val="33EB2164"/>
    <w:rsid w:val="33EB27A6"/>
    <w:rsid w:val="33EB696C"/>
    <w:rsid w:val="33EC70BC"/>
    <w:rsid w:val="33EDCE51"/>
    <w:rsid w:val="33EE42CB"/>
    <w:rsid w:val="33EE5A1D"/>
    <w:rsid w:val="33EEC802"/>
    <w:rsid w:val="33EF881A"/>
    <w:rsid w:val="33EFEE2C"/>
    <w:rsid w:val="33F03BB9"/>
    <w:rsid w:val="33F161C1"/>
    <w:rsid w:val="33F18045"/>
    <w:rsid w:val="33F21A05"/>
    <w:rsid w:val="33F24FD2"/>
    <w:rsid w:val="33F34C83"/>
    <w:rsid w:val="33F3CE1F"/>
    <w:rsid w:val="33F4009D"/>
    <w:rsid w:val="33F4D555"/>
    <w:rsid w:val="33F4F65B"/>
    <w:rsid w:val="33F5068F"/>
    <w:rsid w:val="33F5D372"/>
    <w:rsid w:val="33F649E8"/>
    <w:rsid w:val="33F7722B"/>
    <w:rsid w:val="33F8D679"/>
    <w:rsid w:val="33F90A51"/>
    <w:rsid w:val="33FA9D54"/>
    <w:rsid w:val="33FAA9B0"/>
    <w:rsid w:val="33FAC45A"/>
    <w:rsid w:val="33FB05FF"/>
    <w:rsid w:val="33FB993D"/>
    <w:rsid w:val="33FBADAB"/>
    <w:rsid w:val="33FBE06D"/>
    <w:rsid w:val="33FBEBFE"/>
    <w:rsid w:val="33FBF42D"/>
    <w:rsid w:val="33FD7D42"/>
    <w:rsid w:val="33FDDB0F"/>
    <w:rsid w:val="33FF5C12"/>
    <w:rsid w:val="33FF60F1"/>
    <w:rsid w:val="33FFE484"/>
    <w:rsid w:val="340034B0"/>
    <w:rsid w:val="3400BC21"/>
    <w:rsid w:val="34010AF4"/>
    <w:rsid w:val="34033DE3"/>
    <w:rsid w:val="34034902"/>
    <w:rsid w:val="34038010"/>
    <w:rsid w:val="3403F042"/>
    <w:rsid w:val="3404D900"/>
    <w:rsid w:val="34066675"/>
    <w:rsid w:val="3406A748"/>
    <w:rsid w:val="34075EAA"/>
    <w:rsid w:val="3407BB3C"/>
    <w:rsid w:val="34083084"/>
    <w:rsid w:val="34083958"/>
    <w:rsid w:val="34085D61"/>
    <w:rsid w:val="3408943B"/>
    <w:rsid w:val="34089452"/>
    <w:rsid w:val="3408C4D4"/>
    <w:rsid w:val="340A5A8C"/>
    <w:rsid w:val="340A9767"/>
    <w:rsid w:val="340AFC71"/>
    <w:rsid w:val="340BF3D6"/>
    <w:rsid w:val="340BF616"/>
    <w:rsid w:val="340CF3A2"/>
    <w:rsid w:val="340D2DCD"/>
    <w:rsid w:val="340DE47D"/>
    <w:rsid w:val="340F0917"/>
    <w:rsid w:val="340F5FA3"/>
    <w:rsid w:val="340F9FD7"/>
    <w:rsid w:val="340FD36C"/>
    <w:rsid w:val="3410572D"/>
    <w:rsid w:val="34120C93"/>
    <w:rsid w:val="34127103"/>
    <w:rsid w:val="3413E8D8"/>
    <w:rsid w:val="3414CB89"/>
    <w:rsid w:val="34153C2B"/>
    <w:rsid w:val="34156C67"/>
    <w:rsid w:val="34161D71"/>
    <w:rsid w:val="34165AB5"/>
    <w:rsid w:val="3416989A"/>
    <w:rsid w:val="341735BD"/>
    <w:rsid w:val="341862E4"/>
    <w:rsid w:val="341883C7"/>
    <w:rsid w:val="3418A865"/>
    <w:rsid w:val="3418E9BE"/>
    <w:rsid w:val="341912EA"/>
    <w:rsid w:val="341A8E22"/>
    <w:rsid w:val="341AA206"/>
    <w:rsid w:val="341BE812"/>
    <w:rsid w:val="341C2890"/>
    <w:rsid w:val="341C3166"/>
    <w:rsid w:val="341CE9C6"/>
    <w:rsid w:val="341DBA9E"/>
    <w:rsid w:val="341DBD64"/>
    <w:rsid w:val="341E2C2D"/>
    <w:rsid w:val="341F6EFB"/>
    <w:rsid w:val="3420A8FD"/>
    <w:rsid w:val="34216759"/>
    <w:rsid w:val="34218BE0"/>
    <w:rsid w:val="3421977B"/>
    <w:rsid w:val="34225D4E"/>
    <w:rsid w:val="3422E291"/>
    <w:rsid w:val="3423D699"/>
    <w:rsid w:val="3423DFFA"/>
    <w:rsid w:val="3423EC15"/>
    <w:rsid w:val="3424072E"/>
    <w:rsid w:val="34253E2F"/>
    <w:rsid w:val="3425847B"/>
    <w:rsid w:val="34259DF6"/>
    <w:rsid w:val="342759EB"/>
    <w:rsid w:val="34276052"/>
    <w:rsid w:val="342910F9"/>
    <w:rsid w:val="3429140D"/>
    <w:rsid w:val="3429DC3F"/>
    <w:rsid w:val="3429E3BC"/>
    <w:rsid w:val="342A0CE2"/>
    <w:rsid w:val="342A695D"/>
    <w:rsid w:val="342B99AB"/>
    <w:rsid w:val="342C605D"/>
    <w:rsid w:val="342D3B1E"/>
    <w:rsid w:val="342DBBE4"/>
    <w:rsid w:val="342DF630"/>
    <w:rsid w:val="342E6A18"/>
    <w:rsid w:val="342E946F"/>
    <w:rsid w:val="342EBEB2"/>
    <w:rsid w:val="342FD73B"/>
    <w:rsid w:val="34309B55"/>
    <w:rsid w:val="3430CD90"/>
    <w:rsid w:val="3431337C"/>
    <w:rsid w:val="34317589"/>
    <w:rsid w:val="343177E3"/>
    <w:rsid w:val="3431E404"/>
    <w:rsid w:val="3431E888"/>
    <w:rsid w:val="343292B0"/>
    <w:rsid w:val="3432F0DF"/>
    <w:rsid w:val="34339C21"/>
    <w:rsid w:val="3433DE1F"/>
    <w:rsid w:val="3433ED34"/>
    <w:rsid w:val="3434D943"/>
    <w:rsid w:val="3434F36D"/>
    <w:rsid w:val="34354206"/>
    <w:rsid w:val="34357FBE"/>
    <w:rsid w:val="34360344"/>
    <w:rsid w:val="34368CF5"/>
    <w:rsid w:val="3436CAAE"/>
    <w:rsid w:val="3437059F"/>
    <w:rsid w:val="343862FC"/>
    <w:rsid w:val="34386B61"/>
    <w:rsid w:val="3438A055"/>
    <w:rsid w:val="3438D593"/>
    <w:rsid w:val="3438DB1E"/>
    <w:rsid w:val="3439ECC4"/>
    <w:rsid w:val="343A020D"/>
    <w:rsid w:val="343BB63C"/>
    <w:rsid w:val="343CA842"/>
    <w:rsid w:val="343D43A4"/>
    <w:rsid w:val="343E846E"/>
    <w:rsid w:val="343F5DDC"/>
    <w:rsid w:val="344022C1"/>
    <w:rsid w:val="344113EF"/>
    <w:rsid w:val="34426A02"/>
    <w:rsid w:val="3443AB48"/>
    <w:rsid w:val="3444797B"/>
    <w:rsid w:val="34447B2A"/>
    <w:rsid w:val="344480F7"/>
    <w:rsid w:val="3445D298"/>
    <w:rsid w:val="34466746"/>
    <w:rsid w:val="34473D80"/>
    <w:rsid w:val="3447EDB1"/>
    <w:rsid w:val="34485E43"/>
    <w:rsid w:val="3448AC1A"/>
    <w:rsid w:val="3448D0DA"/>
    <w:rsid w:val="34499219"/>
    <w:rsid w:val="344A3FBC"/>
    <w:rsid w:val="344A7380"/>
    <w:rsid w:val="344C16E2"/>
    <w:rsid w:val="344D2981"/>
    <w:rsid w:val="344D5D93"/>
    <w:rsid w:val="344DACCD"/>
    <w:rsid w:val="344E1223"/>
    <w:rsid w:val="344E7CB2"/>
    <w:rsid w:val="344ECF0A"/>
    <w:rsid w:val="344EDC14"/>
    <w:rsid w:val="344EDCF6"/>
    <w:rsid w:val="344EEDFD"/>
    <w:rsid w:val="344FE7E9"/>
    <w:rsid w:val="3450570E"/>
    <w:rsid w:val="345184B4"/>
    <w:rsid w:val="3451E704"/>
    <w:rsid w:val="3451F5B2"/>
    <w:rsid w:val="3451FDF3"/>
    <w:rsid w:val="3452147A"/>
    <w:rsid w:val="34527D4B"/>
    <w:rsid w:val="3452CA86"/>
    <w:rsid w:val="34530C57"/>
    <w:rsid w:val="34563566"/>
    <w:rsid w:val="34565AB8"/>
    <w:rsid w:val="345686C5"/>
    <w:rsid w:val="34568C38"/>
    <w:rsid w:val="34569F78"/>
    <w:rsid w:val="34577A4E"/>
    <w:rsid w:val="34579EA9"/>
    <w:rsid w:val="3457EDC3"/>
    <w:rsid w:val="34583C60"/>
    <w:rsid w:val="34596C03"/>
    <w:rsid w:val="345B3584"/>
    <w:rsid w:val="345B69BC"/>
    <w:rsid w:val="345BAC05"/>
    <w:rsid w:val="345C0526"/>
    <w:rsid w:val="345D0039"/>
    <w:rsid w:val="345D911C"/>
    <w:rsid w:val="345E9C02"/>
    <w:rsid w:val="345F4E13"/>
    <w:rsid w:val="346048BD"/>
    <w:rsid w:val="34607C47"/>
    <w:rsid w:val="3460A960"/>
    <w:rsid w:val="3460FBAB"/>
    <w:rsid w:val="34619F50"/>
    <w:rsid w:val="34641D81"/>
    <w:rsid w:val="34646138"/>
    <w:rsid w:val="3464ACEF"/>
    <w:rsid w:val="34651527"/>
    <w:rsid w:val="3465379E"/>
    <w:rsid w:val="3465E3E7"/>
    <w:rsid w:val="3466E8D7"/>
    <w:rsid w:val="3467BDE7"/>
    <w:rsid w:val="3467F035"/>
    <w:rsid w:val="346AB71B"/>
    <w:rsid w:val="346AFBF1"/>
    <w:rsid w:val="346B0DC0"/>
    <w:rsid w:val="346B506E"/>
    <w:rsid w:val="346C948E"/>
    <w:rsid w:val="346CDFD3"/>
    <w:rsid w:val="346E595E"/>
    <w:rsid w:val="346E8048"/>
    <w:rsid w:val="346F48F6"/>
    <w:rsid w:val="347000F3"/>
    <w:rsid w:val="347068F9"/>
    <w:rsid w:val="34711B11"/>
    <w:rsid w:val="34726ADB"/>
    <w:rsid w:val="34739C53"/>
    <w:rsid w:val="3473CD6D"/>
    <w:rsid w:val="34741D38"/>
    <w:rsid w:val="3474D129"/>
    <w:rsid w:val="3476411F"/>
    <w:rsid w:val="3476753B"/>
    <w:rsid w:val="3476A735"/>
    <w:rsid w:val="3477027F"/>
    <w:rsid w:val="3477868B"/>
    <w:rsid w:val="34784BDD"/>
    <w:rsid w:val="3478D464"/>
    <w:rsid w:val="3478ED6E"/>
    <w:rsid w:val="3479A725"/>
    <w:rsid w:val="347A2852"/>
    <w:rsid w:val="347A4DCC"/>
    <w:rsid w:val="347A6870"/>
    <w:rsid w:val="347A7262"/>
    <w:rsid w:val="347AB5E0"/>
    <w:rsid w:val="347AE13C"/>
    <w:rsid w:val="347B9A08"/>
    <w:rsid w:val="347C7937"/>
    <w:rsid w:val="347CF6C7"/>
    <w:rsid w:val="347D85CC"/>
    <w:rsid w:val="347DCC69"/>
    <w:rsid w:val="347DF486"/>
    <w:rsid w:val="347DFBA1"/>
    <w:rsid w:val="347E5555"/>
    <w:rsid w:val="347E76C6"/>
    <w:rsid w:val="347E99AB"/>
    <w:rsid w:val="347F1477"/>
    <w:rsid w:val="347F6977"/>
    <w:rsid w:val="347FEC7E"/>
    <w:rsid w:val="347FFA4F"/>
    <w:rsid w:val="34803DDF"/>
    <w:rsid w:val="34809BEF"/>
    <w:rsid w:val="3480A1A9"/>
    <w:rsid w:val="3480DBD1"/>
    <w:rsid w:val="3481E0C5"/>
    <w:rsid w:val="3481FBB6"/>
    <w:rsid w:val="3482516B"/>
    <w:rsid w:val="3482F5CA"/>
    <w:rsid w:val="348514FA"/>
    <w:rsid w:val="34853D20"/>
    <w:rsid w:val="34862EEF"/>
    <w:rsid w:val="3486470E"/>
    <w:rsid w:val="3486E638"/>
    <w:rsid w:val="3486E901"/>
    <w:rsid w:val="348804BC"/>
    <w:rsid w:val="34899718"/>
    <w:rsid w:val="348AC235"/>
    <w:rsid w:val="348ADFEA"/>
    <w:rsid w:val="348C5F6C"/>
    <w:rsid w:val="348C712A"/>
    <w:rsid w:val="348CEF92"/>
    <w:rsid w:val="348D0BDC"/>
    <w:rsid w:val="348DBD16"/>
    <w:rsid w:val="348E15FD"/>
    <w:rsid w:val="348E7B07"/>
    <w:rsid w:val="348EA572"/>
    <w:rsid w:val="348EB597"/>
    <w:rsid w:val="348EF1C9"/>
    <w:rsid w:val="34908CFA"/>
    <w:rsid w:val="3491A8AB"/>
    <w:rsid w:val="349219AC"/>
    <w:rsid w:val="34933D52"/>
    <w:rsid w:val="34949B3C"/>
    <w:rsid w:val="3494F5B0"/>
    <w:rsid w:val="34951168"/>
    <w:rsid w:val="3496C203"/>
    <w:rsid w:val="34975EA0"/>
    <w:rsid w:val="34984200"/>
    <w:rsid w:val="3498667D"/>
    <w:rsid w:val="349914B9"/>
    <w:rsid w:val="34996A17"/>
    <w:rsid w:val="3499FA6C"/>
    <w:rsid w:val="349A4F0B"/>
    <w:rsid w:val="349C4346"/>
    <w:rsid w:val="349CCA78"/>
    <w:rsid w:val="349E988A"/>
    <w:rsid w:val="349F03F9"/>
    <w:rsid w:val="349F0E1A"/>
    <w:rsid w:val="349F1062"/>
    <w:rsid w:val="349F46E7"/>
    <w:rsid w:val="349F5963"/>
    <w:rsid w:val="349FC666"/>
    <w:rsid w:val="349FCE47"/>
    <w:rsid w:val="34A0F02C"/>
    <w:rsid w:val="34A11C63"/>
    <w:rsid w:val="34A12F63"/>
    <w:rsid w:val="34A131AF"/>
    <w:rsid w:val="34A13D40"/>
    <w:rsid w:val="34A15A41"/>
    <w:rsid w:val="34A1AD7B"/>
    <w:rsid w:val="34A33A5D"/>
    <w:rsid w:val="34A38361"/>
    <w:rsid w:val="34A424EE"/>
    <w:rsid w:val="34A52BBE"/>
    <w:rsid w:val="34A571BF"/>
    <w:rsid w:val="34A72BDF"/>
    <w:rsid w:val="34A7529A"/>
    <w:rsid w:val="34A7B969"/>
    <w:rsid w:val="34A7DFCE"/>
    <w:rsid w:val="34A88B96"/>
    <w:rsid w:val="34A9A754"/>
    <w:rsid w:val="34AA6668"/>
    <w:rsid w:val="34AD4A6B"/>
    <w:rsid w:val="34AD6952"/>
    <w:rsid w:val="34AD6C0A"/>
    <w:rsid w:val="34AD7255"/>
    <w:rsid w:val="34ADC08D"/>
    <w:rsid w:val="34AEEB87"/>
    <w:rsid w:val="34B17986"/>
    <w:rsid w:val="34B2213B"/>
    <w:rsid w:val="34B29B3B"/>
    <w:rsid w:val="34B34BFA"/>
    <w:rsid w:val="34B3655C"/>
    <w:rsid w:val="34B36C08"/>
    <w:rsid w:val="34B3D30D"/>
    <w:rsid w:val="34B44B1B"/>
    <w:rsid w:val="34B58C50"/>
    <w:rsid w:val="34B5A25A"/>
    <w:rsid w:val="34B5DBE9"/>
    <w:rsid w:val="34B7BC9C"/>
    <w:rsid w:val="34B7F194"/>
    <w:rsid w:val="34B82697"/>
    <w:rsid w:val="34B8C326"/>
    <w:rsid w:val="34B92DD4"/>
    <w:rsid w:val="34B9ACDB"/>
    <w:rsid w:val="34B9D3F3"/>
    <w:rsid w:val="34BB5E78"/>
    <w:rsid w:val="34BB772D"/>
    <w:rsid w:val="34BB92B1"/>
    <w:rsid w:val="34BB9598"/>
    <w:rsid w:val="34BCD1DA"/>
    <w:rsid w:val="34BDD7E6"/>
    <w:rsid w:val="34BF2C90"/>
    <w:rsid w:val="34BF332E"/>
    <w:rsid w:val="34BF40E2"/>
    <w:rsid w:val="34C207BF"/>
    <w:rsid w:val="34C32382"/>
    <w:rsid w:val="34C381B9"/>
    <w:rsid w:val="34C3B9C6"/>
    <w:rsid w:val="34C3CA29"/>
    <w:rsid w:val="34C3DEFA"/>
    <w:rsid w:val="34C48F4C"/>
    <w:rsid w:val="34C5A194"/>
    <w:rsid w:val="34C880E2"/>
    <w:rsid w:val="34C8FB01"/>
    <w:rsid w:val="34CA58B3"/>
    <w:rsid w:val="34CA83EA"/>
    <w:rsid w:val="34CB0CEE"/>
    <w:rsid w:val="34CB2316"/>
    <w:rsid w:val="34CB8033"/>
    <w:rsid w:val="34CC07FE"/>
    <w:rsid w:val="34CC2151"/>
    <w:rsid w:val="34CC8C03"/>
    <w:rsid w:val="34CC9A3A"/>
    <w:rsid w:val="34CD0089"/>
    <w:rsid w:val="34CD8E38"/>
    <w:rsid w:val="34CDD85E"/>
    <w:rsid w:val="34CDEE6D"/>
    <w:rsid w:val="34CDFA33"/>
    <w:rsid w:val="34CED047"/>
    <w:rsid w:val="34CF7D06"/>
    <w:rsid w:val="34CFFE07"/>
    <w:rsid w:val="34D106C0"/>
    <w:rsid w:val="34D135E6"/>
    <w:rsid w:val="34D243CB"/>
    <w:rsid w:val="34D2CBFA"/>
    <w:rsid w:val="34D32EE3"/>
    <w:rsid w:val="34D43C17"/>
    <w:rsid w:val="34D44072"/>
    <w:rsid w:val="34D4CB97"/>
    <w:rsid w:val="34D4F1DA"/>
    <w:rsid w:val="34D52C17"/>
    <w:rsid w:val="34D54A8F"/>
    <w:rsid w:val="34D57A93"/>
    <w:rsid w:val="34D5929F"/>
    <w:rsid w:val="34D5FD45"/>
    <w:rsid w:val="34D87604"/>
    <w:rsid w:val="34D9CADF"/>
    <w:rsid w:val="34DB551E"/>
    <w:rsid w:val="34DBE0DB"/>
    <w:rsid w:val="34DC3A19"/>
    <w:rsid w:val="34DC71FA"/>
    <w:rsid w:val="34DC7BF9"/>
    <w:rsid w:val="34DD331F"/>
    <w:rsid w:val="34DD34C5"/>
    <w:rsid w:val="34DD88C2"/>
    <w:rsid w:val="34DF92C8"/>
    <w:rsid w:val="34DFC843"/>
    <w:rsid w:val="34DFD57A"/>
    <w:rsid w:val="34E050C8"/>
    <w:rsid w:val="34E0979A"/>
    <w:rsid w:val="34E14799"/>
    <w:rsid w:val="34E1E925"/>
    <w:rsid w:val="34E1F882"/>
    <w:rsid w:val="34E32F7F"/>
    <w:rsid w:val="34E3CBBC"/>
    <w:rsid w:val="34E3D4D6"/>
    <w:rsid w:val="34E3F786"/>
    <w:rsid w:val="34E3F8C6"/>
    <w:rsid w:val="34E42734"/>
    <w:rsid w:val="34E45BD7"/>
    <w:rsid w:val="34E510C0"/>
    <w:rsid w:val="34E5166F"/>
    <w:rsid w:val="34E633ED"/>
    <w:rsid w:val="34E6B3D1"/>
    <w:rsid w:val="34E89263"/>
    <w:rsid w:val="34E8B8EB"/>
    <w:rsid w:val="34E8CDCE"/>
    <w:rsid w:val="34E8DDEE"/>
    <w:rsid w:val="34E8EE68"/>
    <w:rsid w:val="34EA3D8C"/>
    <w:rsid w:val="34EB0A12"/>
    <w:rsid w:val="34EB53E5"/>
    <w:rsid w:val="34EB9DF6"/>
    <w:rsid w:val="34EBD490"/>
    <w:rsid w:val="34EF2D58"/>
    <w:rsid w:val="34F08B4F"/>
    <w:rsid w:val="34F0C450"/>
    <w:rsid w:val="34F0D3D8"/>
    <w:rsid w:val="34F113A2"/>
    <w:rsid w:val="34F123F0"/>
    <w:rsid w:val="34F18E74"/>
    <w:rsid w:val="34F1CD0E"/>
    <w:rsid w:val="34F27A54"/>
    <w:rsid w:val="34F286AD"/>
    <w:rsid w:val="34F3D035"/>
    <w:rsid w:val="34F41FA0"/>
    <w:rsid w:val="34F48AA1"/>
    <w:rsid w:val="34F52627"/>
    <w:rsid w:val="34F540DE"/>
    <w:rsid w:val="34F6C4B5"/>
    <w:rsid w:val="34F73748"/>
    <w:rsid w:val="34F73BBC"/>
    <w:rsid w:val="34F77871"/>
    <w:rsid w:val="34F8ACAB"/>
    <w:rsid w:val="34F8D01E"/>
    <w:rsid w:val="34FDA8FA"/>
    <w:rsid w:val="34FDC9F3"/>
    <w:rsid w:val="34FDDA70"/>
    <w:rsid w:val="34FE659C"/>
    <w:rsid w:val="35005178"/>
    <w:rsid w:val="3500E0A8"/>
    <w:rsid w:val="35019D41"/>
    <w:rsid w:val="3502A74B"/>
    <w:rsid w:val="35031B1D"/>
    <w:rsid w:val="3503712B"/>
    <w:rsid w:val="35042081"/>
    <w:rsid w:val="3504579A"/>
    <w:rsid w:val="3504CACB"/>
    <w:rsid w:val="3504F28D"/>
    <w:rsid w:val="3505269B"/>
    <w:rsid w:val="3505616C"/>
    <w:rsid w:val="35066513"/>
    <w:rsid w:val="35069E89"/>
    <w:rsid w:val="35073F43"/>
    <w:rsid w:val="350746EA"/>
    <w:rsid w:val="3508FCAB"/>
    <w:rsid w:val="350A3240"/>
    <w:rsid w:val="350A8D2A"/>
    <w:rsid w:val="350B055F"/>
    <w:rsid w:val="350B34D8"/>
    <w:rsid w:val="350B640A"/>
    <w:rsid w:val="350BE344"/>
    <w:rsid w:val="350CBA3C"/>
    <w:rsid w:val="350DC10A"/>
    <w:rsid w:val="350E6054"/>
    <w:rsid w:val="350ECC35"/>
    <w:rsid w:val="350F55C3"/>
    <w:rsid w:val="35105CA6"/>
    <w:rsid w:val="3510CDDB"/>
    <w:rsid w:val="3511F5A3"/>
    <w:rsid w:val="35147DE1"/>
    <w:rsid w:val="35149115"/>
    <w:rsid w:val="3514C6C8"/>
    <w:rsid w:val="351537F6"/>
    <w:rsid w:val="35159847"/>
    <w:rsid w:val="351604DA"/>
    <w:rsid w:val="3516455C"/>
    <w:rsid w:val="3517612C"/>
    <w:rsid w:val="3517B3FA"/>
    <w:rsid w:val="351814CB"/>
    <w:rsid w:val="35182DBA"/>
    <w:rsid w:val="3518AA32"/>
    <w:rsid w:val="3519352A"/>
    <w:rsid w:val="35194EF6"/>
    <w:rsid w:val="3519691D"/>
    <w:rsid w:val="351B1550"/>
    <w:rsid w:val="351B3BCE"/>
    <w:rsid w:val="351B5B82"/>
    <w:rsid w:val="351C04BC"/>
    <w:rsid w:val="351C48EB"/>
    <w:rsid w:val="351C771F"/>
    <w:rsid w:val="351C95ED"/>
    <w:rsid w:val="351D0E6A"/>
    <w:rsid w:val="351E0DA8"/>
    <w:rsid w:val="351E6AA2"/>
    <w:rsid w:val="351ED4A7"/>
    <w:rsid w:val="351F5B37"/>
    <w:rsid w:val="351FC361"/>
    <w:rsid w:val="351FE1D8"/>
    <w:rsid w:val="352033A3"/>
    <w:rsid w:val="35205D3E"/>
    <w:rsid w:val="3521159E"/>
    <w:rsid w:val="35212B30"/>
    <w:rsid w:val="35223AF2"/>
    <w:rsid w:val="35233661"/>
    <w:rsid w:val="35239DFD"/>
    <w:rsid w:val="3523AD43"/>
    <w:rsid w:val="3523B22A"/>
    <w:rsid w:val="3523C836"/>
    <w:rsid w:val="3523DF08"/>
    <w:rsid w:val="3523E4F5"/>
    <w:rsid w:val="3524993A"/>
    <w:rsid w:val="35261E73"/>
    <w:rsid w:val="35275876"/>
    <w:rsid w:val="352A4202"/>
    <w:rsid w:val="352AD884"/>
    <w:rsid w:val="352AD8EC"/>
    <w:rsid w:val="352B3816"/>
    <w:rsid w:val="352BBFAF"/>
    <w:rsid w:val="352BF382"/>
    <w:rsid w:val="352C448B"/>
    <w:rsid w:val="352C7AA3"/>
    <w:rsid w:val="352DE3E6"/>
    <w:rsid w:val="352E24D5"/>
    <w:rsid w:val="352E4677"/>
    <w:rsid w:val="352E9135"/>
    <w:rsid w:val="352F555B"/>
    <w:rsid w:val="352F75C8"/>
    <w:rsid w:val="352F9C31"/>
    <w:rsid w:val="352FBFAD"/>
    <w:rsid w:val="35316176"/>
    <w:rsid w:val="35324894"/>
    <w:rsid w:val="35326C68"/>
    <w:rsid w:val="35346195"/>
    <w:rsid w:val="35346D52"/>
    <w:rsid w:val="3534702B"/>
    <w:rsid w:val="3534B7A0"/>
    <w:rsid w:val="3534E544"/>
    <w:rsid w:val="353509BC"/>
    <w:rsid w:val="3536DC1B"/>
    <w:rsid w:val="353796C0"/>
    <w:rsid w:val="3537A919"/>
    <w:rsid w:val="3537E074"/>
    <w:rsid w:val="3537F0F9"/>
    <w:rsid w:val="35387173"/>
    <w:rsid w:val="3538EE0F"/>
    <w:rsid w:val="353A0723"/>
    <w:rsid w:val="353A464E"/>
    <w:rsid w:val="353A8BCC"/>
    <w:rsid w:val="353AE23C"/>
    <w:rsid w:val="353B555C"/>
    <w:rsid w:val="353B5F47"/>
    <w:rsid w:val="353BE883"/>
    <w:rsid w:val="353D4F63"/>
    <w:rsid w:val="353DDE83"/>
    <w:rsid w:val="353E5D12"/>
    <w:rsid w:val="353ED44A"/>
    <w:rsid w:val="3540038A"/>
    <w:rsid w:val="35411D75"/>
    <w:rsid w:val="354278BD"/>
    <w:rsid w:val="3542AD48"/>
    <w:rsid w:val="3542B811"/>
    <w:rsid w:val="3542EE47"/>
    <w:rsid w:val="35436E8D"/>
    <w:rsid w:val="3544C916"/>
    <w:rsid w:val="3544E0F8"/>
    <w:rsid w:val="35450CFB"/>
    <w:rsid w:val="3545484C"/>
    <w:rsid w:val="35467268"/>
    <w:rsid w:val="35471AB0"/>
    <w:rsid w:val="354741FB"/>
    <w:rsid w:val="3547F68E"/>
    <w:rsid w:val="35480380"/>
    <w:rsid w:val="35481177"/>
    <w:rsid w:val="3548CAE9"/>
    <w:rsid w:val="3549372B"/>
    <w:rsid w:val="35495684"/>
    <w:rsid w:val="3549FECB"/>
    <w:rsid w:val="354A860C"/>
    <w:rsid w:val="354BA019"/>
    <w:rsid w:val="354BE48C"/>
    <w:rsid w:val="354CAA8A"/>
    <w:rsid w:val="354CE196"/>
    <w:rsid w:val="354D928D"/>
    <w:rsid w:val="354DFFC8"/>
    <w:rsid w:val="3550AAFC"/>
    <w:rsid w:val="35515C09"/>
    <w:rsid w:val="35526609"/>
    <w:rsid w:val="3552EC22"/>
    <w:rsid w:val="3553F508"/>
    <w:rsid w:val="3554C489"/>
    <w:rsid w:val="35551276"/>
    <w:rsid w:val="35554462"/>
    <w:rsid w:val="3555457D"/>
    <w:rsid w:val="3557A165"/>
    <w:rsid w:val="3557E6C2"/>
    <w:rsid w:val="355800C4"/>
    <w:rsid w:val="35584F86"/>
    <w:rsid w:val="3558982A"/>
    <w:rsid w:val="355A615C"/>
    <w:rsid w:val="355A90C9"/>
    <w:rsid w:val="355AEA76"/>
    <w:rsid w:val="355B16F5"/>
    <w:rsid w:val="355D5218"/>
    <w:rsid w:val="355EB1C2"/>
    <w:rsid w:val="355F00E1"/>
    <w:rsid w:val="35602F8A"/>
    <w:rsid w:val="3561BCA6"/>
    <w:rsid w:val="3561F184"/>
    <w:rsid w:val="3562119F"/>
    <w:rsid w:val="356391AD"/>
    <w:rsid w:val="3563F1D4"/>
    <w:rsid w:val="356415C4"/>
    <w:rsid w:val="35641E1B"/>
    <w:rsid w:val="3564416C"/>
    <w:rsid w:val="35653D5C"/>
    <w:rsid w:val="356827C2"/>
    <w:rsid w:val="35684CE2"/>
    <w:rsid w:val="35693D8C"/>
    <w:rsid w:val="356941D6"/>
    <w:rsid w:val="3569F054"/>
    <w:rsid w:val="356A7BFA"/>
    <w:rsid w:val="356AC55A"/>
    <w:rsid w:val="356BB9BC"/>
    <w:rsid w:val="356C0B8E"/>
    <w:rsid w:val="356C1586"/>
    <w:rsid w:val="356C234B"/>
    <w:rsid w:val="356C6DD2"/>
    <w:rsid w:val="356C79D8"/>
    <w:rsid w:val="356E1970"/>
    <w:rsid w:val="356E1C80"/>
    <w:rsid w:val="356F2B72"/>
    <w:rsid w:val="356FB252"/>
    <w:rsid w:val="357043B0"/>
    <w:rsid w:val="3570AF6F"/>
    <w:rsid w:val="35740336"/>
    <w:rsid w:val="3574092E"/>
    <w:rsid w:val="35742E27"/>
    <w:rsid w:val="3575FECE"/>
    <w:rsid w:val="35761F96"/>
    <w:rsid w:val="357758CB"/>
    <w:rsid w:val="3577800D"/>
    <w:rsid w:val="357799A3"/>
    <w:rsid w:val="3577ECDE"/>
    <w:rsid w:val="35795661"/>
    <w:rsid w:val="35799359"/>
    <w:rsid w:val="357AD075"/>
    <w:rsid w:val="357B8598"/>
    <w:rsid w:val="357C190B"/>
    <w:rsid w:val="357C4041"/>
    <w:rsid w:val="357CC5A0"/>
    <w:rsid w:val="357D8CD1"/>
    <w:rsid w:val="357E080E"/>
    <w:rsid w:val="357EFA34"/>
    <w:rsid w:val="357F0035"/>
    <w:rsid w:val="357F42C1"/>
    <w:rsid w:val="3580C37F"/>
    <w:rsid w:val="3581A0F9"/>
    <w:rsid w:val="35824967"/>
    <w:rsid w:val="35842576"/>
    <w:rsid w:val="35844807"/>
    <w:rsid w:val="35853E96"/>
    <w:rsid w:val="35855B5B"/>
    <w:rsid w:val="35858B56"/>
    <w:rsid w:val="3585C54B"/>
    <w:rsid w:val="3585C988"/>
    <w:rsid w:val="3585FD65"/>
    <w:rsid w:val="3586168C"/>
    <w:rsid w:val="3586CFC5"/>
    <w:rsid w:val="3588184A"/>
    <w:rsid w:val="358824D6"/>
    <w:rsid w:val="3588D250"/>
    <w:rsid w:val="3588DC68"/>
    <w:rsid w:val="3589CE97"/>
    <w:rsid w:val="358A89F3"/>
    <w:rsid w:val="358B3049"/>
    <w:rsid w:val="358B87AD"/>
    <w:rsid w:val="358BE1CF"/>
    <w:rsid w:val="358D4766"/>
    <w:rsid w:val="358DFF76"/>
    <w:rsid w:val="358E6CB6"/>
    <w:rsid w:val="358E9E62"/>
    <w:rsid w:val="358F1318"/>
    <w:rsid w:val="3590EEC6"/>
    <w:rsid w:val="3591236F"/>
    <w:rsid w:val="35913C37"/>
    <w:rsid w:val="3591444D"/>
    <w:rsid w:val="35939D0C"/>
    <w:rsid w:val="3593E3E8"/>
    <w:rsid w:val="359423EA"/>
    <w:rsid w:val="359425C6"/>
    <w:rsid w:val="35949DA6"/>
    <w:rsid w:val="3594B602"/>
    <w:rsid w:val="3595C53A"/>
    <w:rsid w:val="3595F362"/>
    <w:rsid w:val="35962F08"/>
    <w:rsid w:val="35963C8C"/>
    <w:rsid w:val="3596F697"/>
    <w:rsid w:val="35984C0D"/>
    <w:rsid w:val="3598A362"/>
    <w:rsid w:val="35993A00"/>
    <w:rsid w:val="359A03F9"/>
    <w:rsid w:val="359B8D63"/>
    <w:rsid w:val="359D1FA8"/>
    <w:rsid w:val="359D31BF"/>
    <w:rsid w:val="359D4E45"/>
    <w:rsid w:val="359DBAF6"/>
    <w:rsid w:val="359DE11F"/>
    <w:rsid w:val="359E536E"/>
    <w:rsid w:val="359EAEF5"/>
    <w:rsid w:val="359EC926"/>
    <w:rsid w:val="359EE1F2"/>
    <w:rsid w:val="35A021CC"/>
    <w:rsid w:val="35A0529A"/>
    <w:rsid w:val="35A0F1D5"/>
    <w:rsid w:val="35A1A7CC"/>
    <w:rsid w:val="35A2D392"/>
    <w:rsid w:val="35A39508"/>
    <w:rsid w:val="35A55AFF"/>
    <w:rsid w:val="35A583C9"/>
    <w:rsid w:val="35A59055"/>
    <w:rsid w:val="35A6427C"/>
    <w:rsid w:val="35A66287"/>
    <w:rsid w:val="35A67F0C"/>
    <w:rsid w:val="35A68D66"/>
    <w:rsid w:val="35A736E7"/>
    <w:rsid w:val="35A7C437"/>
    <w:rsid w:val="35A8A994"/>
    <w:rsid w:val="35A9704E"/>
    <w:rsid w:val="35A98FB2"/>
    <w:rsid w:val="35AA3E16"/>
    <w:rsid w:val="35AA6DDC"/>
    <w:rsid w:val="35AAAC7E"/>
    <w:rsid w:val="35AC13EB"/>
    <w:rsid w:val="35AC1904"/>
    <w:rsid w:val="35AC52D3"/>
    <w:rsid w:val="35ACDB8D"/>
    <w:rsid w:val="35AE9E8A"/>
    <w:rsid w:val="35AEC2E8"/>
    <w:rsid w:val="35B0A2D5"/>
    <w:rsid w:val="35B0E839"/>
    <w:rsid w:val="35B12E73"/>
    <w:rsid w:val="35B25A76"/>
    <w:rsid w:val="35B34BEE"/>
    <w:rsid w:val="35B43704"/>
    <w:rsid w:val="35B46D49"/>
    <w:rsid w:val="35B4E98E"/>
    <w:rsid w:val="35B5E60F"/>
    <w:rsid w:val="35B68D75"/>
    <w:rsid w:val="35B79639"/>
    <w:rsid w:val="35B7B987"/>
    <w:rsid w:val="35B7CD67"/>
    <w:rsid w:val="35B860C2"/>
    <w:rsid w:val="35B91831"/>
    <w:rsid w:val="35B9EA2B"/>
    <w:rsid w:val="35BA945C"/>
    <w:rsid w:val="35BB29E0"/>
    <w:rsid w:val="35BB4497"/>
    <w:rsid w:val="35BBC2FC"/>
    <w:rsid w:val="35BD6EBC"/>
    <w:rsid w:val="35BDC967"/>
    <w:rsid w:val="35C0335E"/>
    <w:rsid w:val="35C03AFA"/>
    <w:rsid w:val="35C11B2D"/>
    <w:rsid w:val="35C23855"/>
    <w:rsid w:val="35C4C2BA"/>
    <w:rsid w:val="35C5C97B"/>
    <w:rsid w:val="35C5CA48"/>
    <w:rsid w:val="35C6AD3A"/>
    <w:rsid w:val="35C7622A"/>
    <w:rsid w:val="35C7A39C"/>
    <w:rsid w:val="35C7ADDF"/>
    <w:rsid w:val="35C7C7D6"/>
    <w:rsid w:val="35C82899"/>
    <w:rsid w:val="35C9037F"/>
    <w:rsid w:val="35C9AA33"/>
    <w:rsid w:val="35C9C508"/>
    <w:rsid w:val="35C9D684"/>
    <w:rsid w:val="35CA635A"/>
    <w:rsid w:val="35CC072B"/>
    <w:rsid w:val="35CCEB27"/>
    <w:rsid w:val="35CDEBC4"/>
    <w:rsid w:val="35CE4D51"/>
    <w:rsid w:val="35CE6191"/>
    <w:rsid w:val="35CE9E51"/>
    <w:rsid w:val="35CF2EBF"/>
    <w:rsid w:val="35CF35F3"/>
    <w:rsid w:val="35CF477B"/>
    <w:rsid w:val="35CFBAE1"/>
    <w:rsid w:val="35CFD185"/>
    <w:rsid w:val="35D05AED"/>
    <w:rsid w:val="35D08E1C"/>
    <w:rsid w:val="35D13454"/>
    <w:rsid w:val="35D1E384"/>
    <w:rsid w:val="35D1F85E"/>
    <w:rsid w:val="35D248FD"/>
    <w:rsid w:val="35D254DF"/>
    <w:rsid w:val="35D259AE"/>
    <w:rsid w:val="35D2872C"/>
    <w:rsid w:val="35D28886"/>
    <w:rsid w:val="35D2DE07"/>
    <w:rsid w:val="35D4B83C"/>
    <w:rsid w:val="35D4C26D"/>
    <w:rsid w:val="35D5A528"/>
    <w:rsid w:val="35D5EF7F"/>
    <w:rsid w:val="35D661C0"/>
    <w:rsid w:val="35D7CDA9"/>
    <w:rsid w:val="35D7ED60"/>
    <w:rsid w:val="35D842E6"/>
    <w:rsid w:val="35D84DBB"/>
    <w:rsid w:val="35D866A0"/>
    <w:rsid w:val="35D88B0D"/>
    <w:rsid w:val="35D8EA8B"/>
    <w:rsid w:val="35D9DA24"/>
    <w:rsid w:val="35DAA3E9"/>
    <w:rsid w:val="35DAF960"/>
    <w:rsid w:val="35DC2904"/>
    <w:rsid w:val="35DCE469"/>
    <w:rsid w:val="35DD6BAA"/>
    <w:rsid w:val="35DD8702"/>
    <w:rsid w:val="35DDDA0D"/>
    <w:rsid w:val="35DDDFBE"/>
    <w:rsid w:val="35E0DC14"/>
    <w:rsid w:val="35E1520B"/>
    <w:rsid w:val="35E1E434"/>
    <w:rsid w:val="35E2646E"/>
    <w:rsid w:val="35E295E1"/>
    <w:rsid w:val="35E2B445"/>
    <w:rsid w:val="35E3FD6E"/>
    <w:rsid w:val="35E743BC"/>
    <w:rsid w:val="35E78209"/>
    <w:rsid w:val="35E7F5F1"/>
    <w:rsid w:val="35E7FFEA"/>
    <w:rsid w:val="35E806C5"/>
    <w:rsid w:val="35E97D3A"/>
    <w:rsid w:val="35EA6003"/>
    <w:rsid w:val="35EC0224"/>
    <w:rsid w:val="35ECA04F"/>
    <w:rsid w:val="35ECC735"/>
    <w:rsid w:val="35ECE3FC"/>
    <w:rsid w:val="35EE3E67"/>
    <w:rsid w:val="35EFF014"/>
    <w:rsid w:val="35F018A2"/>
    <w:rsid w:val="35F06910"/>
    <w:rsid w:val="35F069B6"/>
    <w:rsid w:val="35F19238"/>
    <w:rsid w:val="35F21EC4"/>
    <w:rsid w:val="35F2830D"/>
    <w:rsid w:val="35F2BA8B"/>
    <w:rsid w:val="35F2D687"/>
    <w:rsid w:val="35F35D83"/>
    <w:rsid w:val="35F36D4A"/>
    <w:rsid w:val="35F4B974"/>
    <w:rsid w:val="35F57B00"/>
    <w:rsid w:val="35F60100"/>
    <w:rsid w:val="35F61328"/>
    <w:rsid w:val="35F6224F"/>
    <w:rsid w:val="35F67FAE"/>
    <w:rsid w:val="35F68560"/>
    <w:rsid w:val="35F68838"/>
    <w:rsid w:val="35F6CA79"/>
    <w:rsid w:val="35F733E7"/>
    <w:rsid w:val="35F870B1"/>
    <w:rsid w:val="35F8C615"/>
    <w:rsid w:val="35FA57F7"/>
    <w:rsid w:val="35FB2831"/>
    <w:rsid w:val="35FD6AAB"/>
    <w:rsid w:val="35FE05CF"/>
    <w:rsid w:val="35FE1B4A"/>
    <w:rsid w:val="35FF2F28"/>
    <w:rsid w:val="35FF9670"/>
    <w:rsid w:val="35FFA7EB"/>
    <w:rsid w:val="35FFFE3E"/>
    <w:rsid w:val="36004ED9"/>
    <w:rsid w:val="3603A69B"/>
    <w:rsid w:val="36046DBD"/>
    <w:rsid w:val="36051EAA"/>
    <w:rsid w:val="3605A344"/>
    <w:rsid w:val="360727C2"/>
    <w:rsid w:val="36084993"/>
    <w:rsid w:val="360BE51A"/>
    <w:rsid w:val="360FEC22"/>
    <w:rsid w:val="3610CC24"/>
    <w:rsid w:val="3610D1B7"/>
    <w:rsid w:val="36113D34"/>
    <w:rsid w:val="36130E27"/>
    <w:rsid w:val="36131649"/>
    <w:rsid w:val="3613309F"/>
    <w:rsid w:val="36135466"/>
    <w:rsid w:val="36135CF2"/>
    <w:rsid w:val="36137518"/>
    <w:rsid w:val="36184819"/>
    <w:rsid w:val="36187020"/>
    <w:rsid w:val="36191ADB"/>
    <w:rsid w:val="361BE109"/>
    <w:rsid w:val="361CDF09"/>
    <w:rsid w:val="361D62A2"/>
    <w:rsid w:val="361D8C62"/>
    <w:rsid w:val="361DEB05"/>
    <w:rsid w:val="361E16A3"/>
    <w:rsid w:val="361EAEF5"/>
    <w:rsid w:val="361F517B"/>
    <w:rsid w:val="361F7645"/>
    <w:rsid w:val="361FA4C5"/>
    <w:rsid w:val="361FEED3"/>
    <w:rsid w:val="36201E2E"/>
    <w:rsid w:val="36219591"/>
    <w:rsid w:val="362272B1"/>
    <w:rsid w:val="36238A9D"/>
    <w:rsid w:val="3623A72F"/>
    <w:rsid w:val="3624895E"/>
    <w:rsid w:val="3624CF86"/>
    <w:rsid w:val="36255AD9"/>
    <w:rsid w:val="3626E2A4"/>
    <w:rsid w:val="36293753"/>
    <w:rsid w:val="36294FF5"/>
    <w:rsid w:val="36296F19"/>
    <w:rsid w:val="362A4E9B"/>
    <w:rsid w:val="362B51B2"/>
    <w:rsid w:val="362D3A26"/>
    <w:rsid w:val="362EB688"/>
    <w:rsid w:val="362EC26C"/>
    <w:rsid w:val="362F2EE3"/>
    <w:rsid w:val="362F7CB3"/>
    <w:rsid w:val="363093C8"/>
    <w:rsid w:val="36311195"/>
    <w:rsid w:val="36329DFC"/>
    <w:rsid w:val="3632B1F8"/>
    <w:rsid w:val="363376B2"/>
    <w:rsid w:val="3634ACF4"/>
    <w:rsid w:val="3634E7FB"/>
    <w:rsid w:val="36350445"/>
    <w:rsid w:val="3635A87E"/>
    <w:rsid w:val="363609EA"/>
    <w:rsid w:val="36375A76"/>
    <w:rsid w:val="36378169"/>
    <w:rsid w:val="3637E4E0"/>
    <w:rsid w:val="36385462"/>
    <w:rsid w:val="36385868"/>
    <w:rsid w:val="36387E7A"/>
    <w:rsid w:val="3638D276"/>
    <w:rsid w:val="36398DED"/>
    <w:rsid w:val="3639D501"/>
    <w:rsid w:val="3639EBC8"/>
    <w:rsid w:val="363A6C66"/>
    <w:rsid w:val="363A7755"/>
    <w:rsid w:val="363A80B6"/>
    <w:rsid w:val="363A95D3"/>
    <w:rsid w:val="363ADB92"/>
    <w:rsid w:val="363AE1DD"/>
    <w:rsid w:val="363C0337"/>
    <w:rsid w:val="363C3DAD"/>
    <w:rsid w:val="363C71CA"/>
    <w:rsid w:val="363D672D"/>
    <w:rsid w:val="363EF56C"/>
    <w:rsid w:val="36403951"/>
    <w:rsid w:val="3640BCAB"/>
    <w:rsid w:val="36411174"/>
    <w:rsid w:val="364231F7"/>
    <w:rsid w:val="36438A56"/>
    <w:rsid w:val="3644A16A"/>
    <w:rsid w:val="36454E8D"/>
    <w:rsid w:val="3645920A"/>
    <w:rsid w:val="364689EE"/>
    <w:rsid w:val="3647EC07"/>
    <w:rsid w:val="3648A8F3"/>
    <w:rsid w:val="3648D5EC"/>
    <w:rsid w:val="364914EC"/>
    <w:rsid w:val="364940B7"/>
    <w:rsid w:val="364A2459"/>
    <w:rsid w:val="364A6959"/>
    <w:rsid w:val="364CBFE6"/>
    <w:rsid w:val="364D5AB2"/>
    <w:rsid w:val="364DD7E8"/>
    <w:rsid w:val="364E9CB3"/>
    <w:rsid w:val="364FA33E"/>
    <w:rsid w:val="36523078"/>
    <w:rsid w:val="3652B401"/>
    <w:rsid w:val="3653E2C8"/>
    <w:rsid w:val="36546C46"/>
    <w:rsid w:val="3654C627"/>
    <w:rsid w:val="36560A9F"/>
    <w:rsid w:val="365666A6"/>
    <w:rsid w:val="3656A920"/>
    <w:rsid w:val="3656AF3A"/>
    <w:rsid w:val="3657C898"/>
    <w:rsid w:val="3657D812"/>
    <w:rsid w:val="3657EBFB"/>
    <w:rsid w:val="3658F876"/>
    <w:rsid w:val="3659ABD6"/>
    <w:rsid w:val="3659E741"/>
    <w:rsid w:val="365A8DC9"/>
    <w:rsid w:val="365B690C"/>
    <w:rsid w:val="365C289E"/>
    <w:rsid w:val="365D2142"/>
    <w:rsid w:val="365D40E8"/>
    <w:rsid w:val="366133C5"/>
    <w:rsid w:val="366139E7"/>
    <w:rsid w:val="3661C925"/>
    <w:rsid w:val="3662888B"/>
    <w:rsid w:val="3662A23C"/>
    <w:rsid w:val="366330B7"/>
    <w:rsid w:val="36633BF7"/>
    <w:rsid w:val="3663AF80"/>
    <w:rsid w:val="3663AFAA"/>
    <w:rsid w:val="36645DA2"/>
    <w:rsid w:val="3665346F"/>
    <w:rsid w:val="3665380E"/>
    <w:rsid w:val="36655F1A"/>
    <w:rsid w:val="3665A2A0"/>
    <w:rsid w:val="3665DCFA"/>
    <w:rsid w:val="3666A59D"/>
    <w:rsid w:val="3666DE66"/>
    <w:rsid w:val="36676A2F"/>
    <w:rsid w:val="3667D5AD"/>
    <w:rsid w:val="3667FD28"/>
    <w:rsid w:val="36684860"/>
    <w:rsid w:val="3668D975"/>
    <w:rsid w:val="36692845"/>
    <w:rsid w:val="366967F2"/>
    <w:rsid w:val="3669E8EB"/>
    <w:rsid w:val="366A7B54"/>
    <w:rsid w:val="366A8CE4"/>
    <w:rsid w:val="366B2531"/>
    <w:rsid w:val="366B9D7D"/>
    <w:rsid w:val="366BA255"/>
    <w:rsid w:val="366CEEBE"/>
    <w:rsid w:val="366DB33E"/>
    <w:rsid w:val="366DEBEB"/>
    <w:rsid w:val="366EEBF0"/>
    <w:rsid w:val="36701DE5"/>
    <w:rsid w:val="36708C72"/>
    <w:rsid w:val="3670D632"/>
    <w:rsid w:val="36717D20"/>
    <w:rsid w:val="36718F02"/>
    <w:rsid w:val="3671FE64"/>
    <w:rsid w:val="367290E7"/>
    <w:rsid w:val="3672F2EE"/>
    <w:rsid w:val="3675741F"/>
    <w:rsid w:val="36766083"/>
    <w:rsid w:val="36777E2B"/>
    <w:rsid w:val="3678AD96"/>
    <w:rsid w:val="3679DBAB"/>
    <w:rsid w:val="367A3326"/>
    <w:rsid w:val="367AECC3"/>
    <w:rsid w:val="367B0765"/>
    <w:rsid w:val="367B205E"/>
    <w:rsid w:val="367C45B4"/>
    <w:rsid w:val="367C776F"/>
    <w:rsid w:val="367F1399"/>
    <w:rsid w:val="367F7F60"/>
    <w:rsid w:val="368016AB"/>
    <w:rsid w:val="3680E0D3"/>
    <w:rsid w:val="3681845C"/>
    <w:rsid w:val="36830B2E"/>
    <w:rsid w:val="368369FB"/>
    <w:rsid w:val="3683CE61"/>
    <w:rsid w:val="368405D0"/>
    <w:rsid w:val="36840DE4"/>
    <w:rsid w:val="36843379"/>
    <w:rsid w:val="3684F222"/>
    <w:rsid w:val="3685C0C9"/>
    <w:rsid w:val="3686F0DE"/>
    <w:rsid w:val="368743E5"/>
    <w:rsid w:val="3687857D"/>
    <w:rsid w:val="368848F6"/>
    <w:rsid w:val="3688E0A6"/>
    <w:rsid w:val="36894448"/>
    <w:rsid w:val="368AFBE2"/>
    <w:rsid w:val="368BAA3A"/>
    <w:rsid w:val="368C9DC9"/>
    <w:rsid w:val="368CAE7C"/>
    <w:rsid w:val="368CF645"/>
    <w:rsid w:val="368D78A5"/>
    <w:rsid w:val="368DE13D"/>
    <w:rsid w:val="368EAA2F"/>
    <w:rsid w:val="368EE4D1"/>
    <w:rsid w:val="368FF38D"/>
    <w:rsid w:val="369074BF"/>
    <w:rsid w:val="36910750"/>
    <w:rsid w:val="36910849"/>
    <w:rsid w:val="36916011"/>
    <w:rsid w:val="369182F6"/>
    <w:rsid w:val="36920A5A"/>
    <w:rsid w:val="369265B8"/>
    <w:rsid w:val="36928128"/>
    <w:rsid w:val="369397F4"/>
    <w:rsid w:val="3694E5F9"/>
    <w:rsid w:val="36956D17"/>
    <w:rsid w:val="3695DFFA"/>
    <w:rsid w:val="369666D5"/>
    <w:rsid w:val="3697E9B1"/>
    <w:rsid w:val="3698486E"/>
    <w:rsid w:val="369919BC"/>
    <w:rsid w:val="369923FB"/>
    <w:rsid w:val="369985BF"/>
    <w:rsid w:val="3699A96A"/>
    <w:rsid w:val="3699BA59"/>
    <w:rsid w:val="369AAB75"/>
    <w:rsid w:val="369AEE93"/>
    <w:rsid w:val="369B06CD"/>
    <w:rsid w:val="369B6A6B"/>
    <w:rsid w:val="369C5ADC"/>
    <w:rsid w:val="369D7317"/>
    <w:rsid w:val="369FC089"/>
    <w:rsid w:val="36A014BA"/>
    <w:rsid w:val="36A0647A"/>
    <w:rsid w:val="36A08FC8"/>
    <w:rsid w:val="36A174A3"/>
    <w:rsid w:val="36A2AA51"/>
    <w:rsid w:val="36A363A1"/>
    <w:rsid w:val="36A45A5A"/>
    <w:rsid w:val="36A5889C"/>
    <w:rsid w:val="36A59014"/>
    <w:rsid w:val="36A5FBE9"/>
    <w:rsid w:val="36A612C1"/>
    <w:rsid w:val="36A69A5D"/>
    <w:rsid w:val="36A70DF4"/>
    <w:rsid w:val="36A71CEA"/>
    <w:rsid w:val="36A730D6"/>
    <w:rsid w:val="36A78596"/>
    <w:rsid w:val="36A7A3AB"/>
    <w:rsid w:val="36A814B7"/>
    <w:rsid w:val="36A81A92"/>
    <w:rsid w:val="36A83EE4"/>
    <w:rsid w:val="36AA6C1B"/>
    <w:rsid w:val="36ABBF78"/>
    <w:rsid w:val="36ABD611"/>
    <w:rsid w:val="36ABDA21"/>
    <w:rsid w:val="36AC3C79"/>
    <w:rsid w:val="36ACDC8A"/>
    <w:rsid w:val="36AD5FD4"/>
    <w:rsid w:val="36AE8AB2"/>
    <w:rsid w:val="36AEA27F"/>
    <w:rsid w:val="36AEBDEC"/>
    <w:rsid w:val="36AEC586"/>
    <w:rsid w:val="36AFF85C"/>
    <w:rsid w:val="36B14C98"/>
    <w:rsid w:val="36B265A1"/>
    <w:rsid w:val="36B2788A"/>
    <w:rsid w:val="36B28C8B"/>
    <w:rsid w:val="36B2A248"/>
    <w:rsid w:val="36B44AE4"/>
    <w:rsid w:val="36B4A4E5"/>
    <w:rsid w:val="36B53B83"/>
    <w:rsid w:val="36B68DAA"/>
    <w:rsid w:val="36B6BEB7"/>
    <w:rsid w:val="36B83246"/>
    <w:rsid w:val="36BA24B3"/>
    <w:rsid w:val="36BAFD47"/>
    <w:rsid w:val="36BB22B1"/>
    <w:rsid w:val="36BC2D97"/>
    <w:rsid w:val="36BCC271"/>
    <w:rsid w:val="36BD7715"/>
    <w:rsid w:val="36BE6E5F"/>
    <w:rsid w:val="36BF709A"/>
    <w:rsid w:val="36C046FD"/>
    <w:rsid w:val="36C0A898"/>
    <w:rsid w:val="36C0B845"/>
    <w:rsid w:val="36C0E742"/>
    <w:rsid w:val="36C17659"/>
    <w:rsid w:val="36C1E3DF"/>
    <w:rsid w:val="36C29CCF"/>
    <w:rsid w:val="36C29D6F"/>
    <w:rsid w:val="36C4EEC8"/>
    <w:rsid w:val="36C519F7"/>
    <w:rsid w:val="36C6119A"/>
    <w:rsid w:val="36C62209"/>
    <w:rsid w:val="36C6A4F3"/>
    <w:rsid w:val="36C6CE9C"/>
    <w:rsid w:val="36C76D63"/>
    <w:rsid w:val="36CA4081"/>
    <w:rsid w:val="36CB825F"/>
    <w:rsid w:val="36CCD813"/>
    <w:rsid w:val="36CDFD01"/>
    <w:rsid w:val="36CE3CC9"/>
    <w:rsid w:val="36CF0989"/>
    <w:rsid w:val="36D1BC1A"/>
    <w:rsid w:val="36D41973"/>
    <w:rsid w:val="36D4E9AC"/>
    <w:rsid w:val="36D52DA0"/>
    <w:rsid w:val="36D68CC1"/>
    <w:rsid w:val="36D7FCD3"/>
    <w:rsid w:val="36D87846"/>
    <w:rsid w:val="36D9FD69"/>
    <w:rsid w:val="36DA16EC"/>
    <w:rsid w:val="36DACA16"/>
    <w:rsid w:val="36DC3FFB"/>
    <w:rsid w:val="36DC69A6"/>
    <w:rsid w:val="36DCC728"/>
    <w:rsid w:val="36DCD949"/>
    <w:rsid w:val="36DDA6CD"/>
    <w:rsid w:val="36DDFFE7"/>
    <w:rsid w:val="36DE56C4"/>
    <w:rsid w:val="36DECADE"/>
    <w:rsid w:val="36DFBB81"/>
    <w:rsid w:val="36E040BD"/>
    <w:rsid w:val="36E15887"/>
    <w:rsid w:val="36E1A369"/>
    <w:rsid w:val="36E1F25A"/>
    <w:rsid w:val="36E28F25"/>
    <w:rsid w:val="36E2C7E4"/>
    <w:rsid w:val="36E3876A"/>
    <w:rsid w:val="36E49EAC"/>
    <w:rsid w:val="36E4B832"/>
    <w:rsid w:val="36E4CC90"/>
    <w:rsid w:val="36E56179"/>
    <w:rsid w:val="36E5BD14"/>
    <w:rsid w:val="36E5D4F9"/>
    <w:rsid w:val="36E631CC"/>
    <w:rsid w:val="36E66BA2"/>
    <w:rsid w:val="36E6B390"/>
    <w:rsid w:val="36E6D7F7"/>
    <w:rsid w:val="36E6DFDA"/>
    <w:rsid w:val="36E73BF4"/>
    <w:rsid w:val="36E79155"/>
    <w:rsid w:val="36E7C8DB"/>
    <w:rsid w:val="36E8A0EF"/>
    <w:rsid w:val="36E8B9CE"/>
    <w:rsid w:val="36E9FF3C"/>
    <w:rsid w:val="36EA5391"/>
    <w:rsid w:val="36EA7240"/>
    <w:rsid w:val="36EA96E7"/>
    <w:rsid w:val="36EAFB7B"/>
    <w:rsid w:val="36EB53CA"/>
    <w:rsid w:val="36EB5A96"/>
    <w:rsid w:val="36EC7B0F"/>
    <w:rsid w:val="36EC9696"/>
    <w:rsid w:val="36ECDC14"/>
    <w:rsid w:val="36ED2866"/>
    <w:rsid w:val="36EE17D0"/>
    <w:rsid w:val="36EEF0C6"/>
    <w:rsid w:val="36EF59D9"/>
    <w:rsid w:val="36EF9A10"/>
    <w:rsid w:val="36EF9F7E"/>
    <w:rsid w:val="36EFF17D"/>
    <w:rsid w:val="36F05283"/>
    <w:rsid w:val="36F09DF1"/>
    <w:rsid w:val="36F1B5F0"/>
    <w:rsid w:val="36F1F692"/>
    <w:rsid w:val="36F2215B"/>
    <w:rsid w:val="36F22A4A"/>
    <w:rsid w:val="36F22BEC"/>
    <w:rsid w:val="36F23206"/>
    <w:rsid w:val="36F280F0"/>
    <w:rsid w:val="36F2C1CC"/>
    <w:rsid w:val="36F3D7E6"/>
    <w:rsid w:val="36F3FC17"/>
    <w:rsid w:val="36F43B45"/>
    <w:rsid w:val="36F48793"/>
    <w:rsid w:val="36F522CA"/>
    <w:rsid w:val="36F66D8A"/>
    <w:rsid w:val="36F70989"/>
    <w:rsid w:val="36F84E2F"/>
    <w:rsid w:val="36F8C37E"/>
    <w:rsid w:val="36FADCA9"/>
    <w:rsid w:val="36FB25A0"/>
    <w:rsid w:val="36FC802C"/>
    <w:rsid w:val="36FCCA3D"/>
    <w:rsid w:val="36FCDC19"/>
    <w:rsid w:val="36FD21B8"/>
    <w:rsid w:val="36FD3C11"/>
    <w:rsid w:val="36FD7992"/>
    <w:rsid w:val="36FEF533"/>
    <w:rsid w:val="36FFEE7C"/>
    <w:rsid w:val="3700BDC4"/>
    <w:rsid w:val="37034525"/>
    <w:rsid w:val="37058E15"/>
    <w:rsid w:val="37064F61"/>
    <w:rsid w:val="37064F81"/>
    <w:rsid w:val="37069BF7"/>
    <w:rsid w:val="3706B0A6"/>
    <w:rsid w:val="3706C389"/>
    <w:rsid w:val="370713E5"/>
    <w:rsid w:val="37075772"/>
    <w:rsid w:val="370764C4"/>
    <w:rsid w:val="3707ADF0"/>
    <w:rsid w:val="370830AB"/>
    <w:rsid w:val="37091937"/>
    <w:rsid w:val="3709F7F3"/>
    <w:rsid w:val="370B2AD9"/>
    <w:rsid w:val="370B6D30"/>
    <w:rsid w:val="370BF861"/>
    <w:rsid w:val="370C054E"/>
    <w:rsid w:val="370C366F"/>
    <w:rsid w:val="370C59E5"/>
    <w:rsid w:val="370CBCA4"/>
    <w:rsid w:val="370D1576"/>
    <w:rsid w:val="370D26A0"/>
    <w:rsid w:val="370D2DF8"/>
    <w:rsid w:val="370D3862"/>
    <w:rsid w:val="370D3871"/>
    <w:rsid w:val="370EC342"/>
    <w:rsid w:val="370EC425"/>
    <w:rsid w:val="370F21C2"/>
    <w:rsid w:val="370FF423"/>
    <w:rsid w:val="37108AD1"/>
    <w:rsid w:val="371123BE"/>
    <w:rsid w:val="3712BF8D"/>
    <w:rsid w:val="3713FE80"/>
    <w:rsid w:val="3714AE7E"/>
    <w:rsid w:val="3714C85D"/>
    <w:rsid w:val="3715A729"/>
    <w:rsid w:val="3715CF17"/>
    <w:rsid w:val="3715E355"/>
    <w:rsid w:val="37169E11"/>
    <w:rsid w:val="3716B183"/>
    <w:rsid w:val="3717BD7C"/>
    <w:rsid w:val="371826AE"/>
    <w:rsid w:val="371828DE"/>
    <w:rsid w:val="37189EC7"/>
    <w:rsid w:val="3718A975"/>
    <w:rsid w:val="37194A01"/>
    <w:rsid w:val="3719B339"/>
    <w:rsid w:val="371A3A09"/>
    <w:rsid w:val="371A4A4F"/>
    <w:rsid w:val="371A547E"/>
    <w:rsid w:val="371A9BAB"/>
    <w:rsid w:val="371B84A0"/>
    <w:rsid w:val="371B9FC9"/>
    <w:rsid w:val="371BAED4"/>
    <w:rsid w:val="371BBEFA"/>
    <w:rsid w:val="371C47AB"/>
    <w:rsid w:val="371F30EA"/>
    <w:rsid w:val="371F4F46"/>
    <w:rsid w:val="371F9476"/>
    <w:rsid w:val="371FBC03"/>
    <w:rsid w:val="371FD04D"/>
    <w:rsid w:val="372070F0"/>
    <w:rsid w:val="3721C260"/>
    <w:rsid w:val="3721F492"/>
    <w:rsid w:val="37228739"/>
    <w:rsid w:val="3724A099"/>
    <w:rsid w:val="372593A1"/>
    <w:rsid w:val="37265D0E"/>
    <w:rsid w:val="37272360"/>
    <w:rsid w:val="3728438D"/>
    <w:rsid w:val="372896DB"/>
    <w:rsid w:val="372A9140"/>
    <w:rsid w:val="372D213F"/>
    <w:rsid w:val="372D39A3"/>
    <w:rsid w:val="372D9ECD"/>
    <w:rsid w:val="372E9AA0"/>
    <w:rsid w:val="372FC2AE"/>
    <w:rsid w:val="373080C0"/>
    <w:rsid w:val="373159CD"/>
    <w:rsid w:val="3731F455"/>
    <w:rsid w:val="373200C3"/>
    <w:rsid w:val="3732172E"/>
    <w:rsid w:val="373221DC"/>
    <w:rsid w:val="37344C70"/>
    <w:rsid w:val="373476AB"/>
    <w:rsid w:val="37348127"/>
    <w:rsid w:val="3734F606"/>
    <w:rsid w:val="3734F61E"/>
    <w:rsid w:val="37362454"/>
    <w:rsid w:val="37367FC0"/>
    <w:rsid w:val="37396231"/>
    <w:rsid w:val="373A71B1"/>
    <w:rsid w:val="373AAD6B"/>
    <w:rsid w:val="373BE873"/>
    <w:rsid w:val="373BEEF6"/>
    <w:rsid w:val="373E8EAF"/>
    <w:rsid w:val="373EDB44"/>
    <w:rsid w:val="373F002F"/>
    <w:rsid w:val="373F11F9"/>
    <w:rsid w:val="373F644E"/>
    <w:rsid w:val="373F77C3"/>
    <w:rsid w:val="373FA006"/>
    <w:rsid w:val="373FA868"/>
    <w:rsid w:val="374038F5"/>
    <w:rsid w:val="37408649"/>
    <w:rsid w:val="3742EE66"/>
    <w:rsid w:val="3742F39F"/>
    <w:rsid w:val="37431087"/>
    <w:rsid w:val="3743B091"/>
    <w:rsid w:val="374494BF"/>
    <w:rsid w:val="3746CA50"/>
    <w:rsid w:val="37473ADF"/>
    <w:rsid w:val="3749070E"/>
    <w:rsid w:val="37490D5F"/>
    <w:rsid w:val="37496061"/>
    <w:rsid w:val="3749D740"/>
    <w:rsid w:val="374A4D1F"/>
    <w:rsid w:val="374A601F"/>
    <w:rsid w:val="374ADC59"/>
    <w:rsid w:val="374BF6B8"/>
    <w:rsid w:val="374C75CA"/>
    <w:rsid w:val="374DCE0B"/>
    <w:rsid w:val="374E7C77"/>
    <w:rsid w:val="37517124"/>
    <w:rsid w:val="37517DD7"/>
    <w:rsid w:val="37531E53"/>
    <w:rsid w:val="375338E0"/>
    <w:rsid w:val="3753BA6A"/>
    <w:rsid w:val="3753EC3F"/>
    <w:rsid w:val="3753EDC2"/>
    <w:rsid w:val="3754339F"/>
    <w:rsid w:val="3755BEC6"/>
    <w:rsid w:val="375610CC"/>
    <w:rsid w:val="3756155B"/>
    <w:rsid w:val="3757A052"/>
    <w:rsid w:val="3757FA4A"/>
    <w:rsid w:val="375858A9"/>
    <w:rsid w:val="3759081B"/>
    <w:rsid w:val="37591B58"/>
    <w:rsid w:val="37594ECB"/>
    <w:rsid w:val="375B4BAD"/>
    <w:rsid w:val="375B54D4"/>
    <w:rsid w:val="375B8CEA"/>
    <w:rsid w:val="375C86E7"/>
    <w:rsid w:val="375CC121"/>
    <w:rsid w:val="375D933C"/>
    <w:rsid w:val="375D967A"/>
    <w:rsid w:val="375E2D76"/>
    <w:rsid w:val="375E6066"/>
    <w:rsid w:val="375F0FDC"/>
    <w:rsid w:val="375F61AE"/>
    <w:rsid w:val="375FF414"/>
    <w:rsid w:val="37600646"/>
    <w:rsid w:val="376017DF"/>
    <w:rsid w:val="37604741"/>
    <w:rsid w:val="3760BA72"/>
    <w:rsid w:val="37613B8C"/>
    <w:rsid w:val="37619B90"/>
    <w:rsid w:val="3761A47D"/>
    <w:rsid w:val="3761ED31"/>
    <w:rsid w:val="3762CAB0"/>
    <w:rsid w:val="37634F03"/>
    <w:rsid w:val="3764011F"/>
    <w:rsid w:val="3764A643"/>
    <w:rsid w:val="3764E84F"/>
    <w:rsid w:val="3766527A"/>
    <w:rsid w:val="37671120"/>
    <w:rsid w:val="37677487"/>
    <w:rsid w:val="37681DE8"/>
    <w:rsid w:val="37687690"/>
    <w:rsid w:val="37693BB6"/>
    <w:rsid w:val="376A1F48"/>
    <w:rsid w:val="376B02BA"/>
    <w:rsid w:val="376BF8BF"/>
    <w:rsid w:val="376C6C78"/>
    <w:rsid w:val="376E10EE"/>
    <w:rsid w:val="376E69A2"/>
    <w:rsid w:val="376EB6A5"/>
    <w:rsid w:val="376EC109"/>
    <w:rsid w:val="3770CC7E"/>
    <w:rsid w:val="37717B15"/>
    <w:rsid w:val="37725D7C"/>
    <w:rsid w:val="3772673A"/>
    <w:rsid w:val="37732594"/>
    <w:rsid w:val="37737DD0"/>
    <w:rsid w:val="3774BDBA"/>
    <w:rsid w:val="3775BDF6"/>
    <w:rsid w:val="3777A30D"/>
    <w:rsid w:val="3777FCB5"/>
    <w:rsid w:val="37785089"/>
    <w:rsid w:val="37786C4A"/>
    <w:rsid w:val="3778C08B"/>
    <w:rsid w:val="3778F709"/>
    <w:rsid w:val="3779557B"/>
    <w:rsid w:val="377A54EB"/>
    <w:rsid w:val="377AB0F8"/>
    <w:rsid w:val="377AFDB6"/>
    <w:rsid w:val="377B956D"/>
    <w:rsid w:val="377BF63D"/>
    <w:rsid w:val="377C4340"/>
    <w:rsid w:val="377CDE2A"/>
    <w:rsid w:val="377CFDFF"/>
    <w:rsid w:val="377DD1A8"/>
    <w:rsid w:val="377E7A52"/>
    <w:rsid w:val="377E8C64"/>
    <w:rsid w:val="377EABDC"/>
    <w:rsid w:val="377ED8E2"/>
    <w:rsid w:val="377EF25D"/>
    <w:rsid w:val="377F2BA4"/>
    <w:rsid w:val="37820A84"/>
    <w:rsid w:val="3782B615"/>
    <w:rsid w:val="3782C8FA"/>
    <w:rsid w:val="3783F477"/>
    <w:rsid w:val="37845C07"/>
    <w:rsid w:val="3784D200"/>
    <w:rsid w:val="37854679"/>
    <w:rsid w:val="3785B695"/>
    <w:rsid w:val="378618F0"/>
    <w:rsid w:val="37861F7A"/>
    <w:rsid w:val="37863154"/>
    <w:rsid w:val="37873745"/>
    <w:rsid w:val="37873AF7"/>
    <w:rsid w:val="37882E14"/>
    <w:rsid w:val="37886321"/>
    <w:rsid w:val="378871F9"/>
    <w:rsid w:val="3788C8B0"/>
    <w:rsid w:val="3789A8CF"/>
    <w:rsid w:val="3789B99E"/>
    <w:rsid w:val="378A1523"/>
    <w:rsid w:val="378A4AB4"/>
    <w:rsid w:val="378AF369"/>
    <w:rsid w:val="378DC92E"/>
    <w:rsid w:val="378E752A"/>
    <w:rsid w:val="378E8286"/>
    <w:rsid w:val="378E8D66"/>
    <w:rsid w:val="378F02D4"/>
    <w:rsid w:val="378F4EEB"/>
    <w:rsid w:val="378F5962"/>
    <w:rsid w:val="3790A760"/>
    <w:rsid w:val="3790DA3B"/>
    <w:rsid w:val="3791CA4D"/>
    <w:rsid w:val="3792083E"/>
    <w:rsid w:val="37925CB9"/>
    <w:rsid w:val="37928D0B"/>
    <w:rsid w:val="3792CE2F"/>
    <w:rsid w:val="3792FFEE"/>
    <w:rsid w:val="37943857"/>
    <w:rsid w:val="37943FA0"/>
    <w:rsid w:val="3794C752"/>
    <w:rsid w:val="37953A31"/>
    <w:rsid w:val="37964730"/>
    <w:rsid w:val="37969E10"/>
    <w:rsid w:val="3796F2AB"/>
    <w:rsid w:val="379721B8"/>
    <w:rsid w:val="379741D2"/>
    <w:rsid w:val="37979101"/>
    <w:rsid w:val="3797D077"/>
    <w:rsid w:val="37986871"/>
    <w:rsid w:val="379868BA"/>
    <w:rsid w:val="379A3ECE"/>
    <w:rsid w:val="379A6593"/>
    <w:rsid w:val="379ADE2B"/>
    <w:rsid w:val="379AE366"/>
    <w:rsid w:val="379BCC18"/>
    <w:rsid w:val="379BE084"/>
    <w:rsid w:val="379C297A"/>
    <w:rsid w:val="379C9D1E"/>
    <w:rsid w:val="379DD0B2"/>
    <w:rsid w:val="379E2B45"/>
    <w:rsid w:val="379E46DE"/>
    <w:rsid w:val="379E8A94"/>
    <w:rsid w:val="379ED930"/>
    <w:rsid w:val="379F254E"/>
    <w:rsid w:val="37A00703"/>
    <w:rsid w:val="37A0EDCD"/>
    <w:rsid w:val="37A1CBC6"/>
    <w:rsid w:val="37A30F7A"/>
    <w:rsid w:val="37A32491"/>
    <w:rsid w:val="37A34EE9"/>
    <w:rsid w:val="37A5AC7A"/>
    <w:rsid w:val="37A5C50D"/>
    <w:rsid w:val="37A6D9FD"/>
    <w:rsid w:val="37A6F377"/>
    <w:rsid w:val="37A7318B"/>
    <w:rsid w:val="37A7369C"/>
    <w:rsid w:val="37A73718"/>
    <w:rsid w:val="37A76569"/>
    <w:rsid w:val="37A83BF7"/>
    <w:rsid w:val="37A85032"/>
    <w:rsid w:val="37A893BE"/>
    <w:rsid w:val="37A8F39F"/>
    <w:rsid w:val="37AAB042"/>
    <w:rsid w:val="37AAF355"/>
    <w:rsid w:val="37AB1248"/>
    <w:rsid w:val="37AB5D52"/>
    <w:rsid w:val="37AC05B2"/>
    <w:rsid w:val="37AC12FD"/>
    <w:rsid w:val="37AC4B2F"/>
    <w:rsid w:val="37AE11F7"/>
    <w:rsid w:val="37AF643A"/>
    <w:rsid w:val="37AFD83D"/>
    <w:rsid w:val="37B01111"/>
    <w:rsid w:val="37B03E72"/>
    <w:rsid w:val="37B0FCF5"/>
    <w:rsid w:val="37B1197E"/>
    <w:rsid w:val="37B22DA5"/>
    <w:rsid w:val="37B2AC4D"/>
    <w:rsid w:val="37B3009F"/>
    <w:rsid w:val="37B427A1"/>
    <w:rsid w:val="37B484E0"/>
    <w:rsid w:val="37B58DA1"/>
    <w:rsid w:val="37B5D0C3"/>
    <w:rsid w:val="37B6253B"/>
    <w:rsid w:val="37B669BC"/>
    <w:rsid w:val="37B68798"/>
    <w:rsid w:val="37B69FDC"/>
    <w:rsid w:val="37B6FB40"/>
    <w:rsid w:val="37B71563"/>
    <w:rsid w:val="37B7ADB4"/>
    <w:rsid w:val="37B7B717"/>
    <w:rsid w:val="37B7BCAE"/>
    <w:rsid w:val="37B7D188"/>
    <w:rsid w:val="37B93ACC"/>
    <w:rsid w:val="37BA1EB0"/>
    <w:rsid w:val="37BA74D3"/>
    <w:rsid w:val="37BADA42"/>
    <w:rsid w:val="37BC389C"/>
    <w:rsid w:val="37BD5578"/>
    <w:rsid w:val="37BD5E3B"/>
    <w:rsid w:val="37BDDDF3"/>
    <w:rsid w:val="37BE6275"/>
    <w:rsid w:val="37BED830"/>
    <w:rsid w:val="37BEE5B1"/>
    <w:rsid w:val="37BF194B"/>
    <w:rsid w:val="37BF8109"/>
    <w:rsid w:val="37C05D6B"/>
    <w:rsid w:val="37C12595"/>
    <w:rsid w:val="37C13213"/>
    <w:rsid w:val="37C16451"/>
    <w:rsid w:val="37C1E39F"/>
    <w:rsid w:val="37C2E1D4"/>
    <w:rsid w:val="37C33D1E"/>
    <w:rsid w:val="37C4B0D9"/>
    <w:rsid w:val="37C53636"/>
    <w:rsid w:val="37C58717"/>
    <w:rsid w:val="37C61CCA"/>
    <w:rsid w:val="37C69853"/>
    <w:rsid w:val="37C7FA14"/>
    <w:rsid w:val="37C890A5"/>
    <w:rsid w:val="37C89E94"/>
    <w:rsid w:val="37C9220E"/>
    <w:rsid w:val="37C96614"/>
    <w:rsid w:val="37C98A54"/>
    <w:rsid w:val="37CA387B"/>
    <w:rsid w:val="37CAC278"/>
    <w:rsid w:val="37CCBC3B"/>
    <w:rsid w:val="37CD289E"/>
    <w:rsid w:val="37CD4BC5"/>
    <w:rsid w:val="37CD6F41"/>
    <w:rsid w:val="37CDE0CF"/>
    <w:rsid w:val="37CE3CF6"/>
    <w:rsid w:val="37CE4F58"/>
    <w:rsid w:val="37CFD92C"/>
    <w:rsid w:val="37D03DB4"/>
    <w:rsid w:val="37D06B9F"/>
    <w:rsid w:val="37D117ED"/>
    <w:rsid w:val="37D1D22A"/>
    <w:rsid w:val="37D3187A"/>
    <w:rsid w:val="37D34A2D"/>
    <w:rsid w:val="37D45775"/>
    <w:rsid w:val="37D5101D"/>
    <w:rsid w:val="37D52EA3"/>
    <w:rsid w:val="37D53016"/>
    <w:rsid w:val="37D61F16"/>
    <w:rsid w:val="37D6B375"/>
    <w:rsid w:val="37D73178"/>
    <w:rsid w:val="37D7D215"/>
    <w:rsid w:val="37DA91BA"/>
    <w:rsid w:val="37DB29C9"/>
    <w:rsid w:val="37DBE4C5"/>
    <w:rsid w:val="37DBEF4A"/>
    <w:rsid w:val="37DC8DED"/>
    <w:rsid w:val="37DCE95B"/>
    <w:rsid w:val="37DE81A6"/>
    <w:rsid w:val="37DEBC76"/>
    <w:rsid w:val="37DED54A"/>
    <w:rsid w:val="37DEF683"/>
    <w:rsid w:val="37DF35C2"/>
    <w:rsid w:val="37DF5E94"/>
    <w:rsid w:val="37DFC7B1"/>
    <w:rsid w:val="37E01AAF"/>
    <w:rsid w:val="37E0C710"/>
    <w:rsid w:val="37E13960"/>
    <w:rsid w:val="37E270B4"/>
    <w:rsid w:val="37E288FC"/>
    <w:rsid w:val="37E29143"/>
    <w:rsid w:val="37E33B83"/>
    <w:rsid w:val="37E37DF1"/>
    <w:rsid w:val="37E3D261"/>
    <w:rsid w:val="37E402EC"/>
    <w:rsid w:val="37E413BF"/>
    <w:rsid w:val="37E42C6C"/>
    <w:rsid w:val="37E597FE"/>
    <w:rsid w:val="37E6810B"/>
    <w:rsid w:val="37E6AB40"/>
    <w:rsid w:val="37E7A1AC"/>
    <w:rsid w:val="37E979D5"/>
    <w:rsid w:val="37EA276E"/>
    <w:rsid w:val="37EA3ACB"/>
    <w:rsid w:val="37EA84CB"/>
    <w:rsid w:val="37ECBAA3"/>
    <w:rsid w:val="37ED5126"/>
    <w:rsid w:val="37EDFC66"/>
    <w:rsid w:val="37EE6DF0"/>
    <w:rsid w:val="37EE982C"/>
    <w:rsid w:val="37EF0F6B"/>
    <w:rsid w:val="37EF13CD"/>
    <w:rsid w:val="37EF6237"/>
    <w:rsid w:val="37F0AA7B"/>
    <w:rsid w:val="37F13A76"/>
    <w:rsid w:val="37F3D4A8"/>
    <w:rsid w:val="37F4C3B9"/>
    <w:rsid w:val="37F4EE07"/>
    <w:rsid w:val="37F5D440"/>
    <w:rsid w:val="37F86B24"/>
    <w:rsid w:val="37F8EED0"/>
    <w:rsid w:val="37FAFECE"/>
    <w:rsid w:val="37FB3E55"/>
    <w:rsid w:val="37FB500B"/>
    <w:rsid w:val="37FBE7D4"/>
    <w:rsid w:val="37FC311E"/>
    <w:rsid w:val="37FCBF44"/>
    <w:rsid w:val="37FCDF80"/>
    <w:rsid w:val="37FD4067"/>
    <w:rsid w:val="37FD7A81"/>
    <w:rsid w:val="37FEBFA9"/>
    <w:rsid w:val="37FEC012"/>
    <w:rsid w:val="37FFDBA5"/>
    <w:rsid w:val="3800448A"/>
    <w:rsid w:val="3801193C"/>
    <w:rsid w:val="3802AC07"/>
    <w:rsid w:val="3802CA74"/>
    <w:rsid w:val="38031D10"/>
    <w:rsid w:val="38038BF6"/>
    <w:rsid w:val="38038CCF"/>
    <w:rsid w:val="3803CAB3"/>
    <w:rsid w:val="3803ED74"/>
    <w:rsid w:val="3804220C"/>
    <w:rsid w:val="38049452"/>
    <w:rsid w:val="38057CEA"/>
    <w:rsid w:val="38064749"/>
    <w:rsid w:val="380766F6"/>
    <w:rsid w:val="3807B16E"/>
    <w:rsid w:val="3807F716"/>
    <w:rsid w:val="38083EA2"/>
    <w:rsid w:val="380870AA"/>
    <w:rsid w:val="38093EB3"/>
    <w:rsid w:val="3809F6A1"/>
    <w:rsid w:val="380B1754"/>
    <w:rsid w:val="380B91A0"/>
    <w:rsid w:val="380CB673"/>
    <w:rsid w:val="380EE1EE"/>
    <w:rsid w:val="380EEEF6"/>
    <w:rsid w:val="380F1562"/>
    <w:rsid w:val="380FC3D7"/>
    <w:rsid w:val="380FD529"/>
    <w:rsid w:val="38104339"/>
    <w:rsid w:val="381107D5"/>
    <w:rsid w:val="3811B097"/>
    <w:rsid w:val="381225D6"/>
    <w:rsid w:val="3812B208"/>
    <w:rsid w:val="381301CF"/>
    <w:rsid w:val="38131910"/>
    <w:rsid w:val="3813F6B5"/>
    <w:rsid w:val="3814A5BB"/>
    <w:rsid w:val="3814B8C2"/>
    <w:rsid w:val="3815BB98"/>
    <w:rsid w:val="3816176B"/>
    <w:rsid w:val="3816DF2E"/>
    <w:rsid w:val="3818CADD"/>
    <w:rsid w:val="38190817"/>
    <w:rsid w:val="3819164D"/>
    <w:rsid w:val="38196AD4"/>
    <w:rsid w:val="381ABEC1"/>
    <w:rsid w:val="381B18DF"/>
    <w:rsid w:val="381B27D5"/>
    <w:rsid w:val="381C61F2"/>
    <w:rsid w:val="381CE31B"/>
    <w:rsid w:val="381D4BBA"/>
    <w:rsid w:val="382028D4"/>
    <w:rsid w:val="3820982C"/>
    <w:rsid w:val="38212FB0"/>
    <w:rsid w:val="38222A15"/>
    <w:rsid w:val="38239559"/>
    <w:rsid w:val="38241BE9"/>
    <w:rsid w:val="38257C77"/>
    <w:rsid w:val="382598B7"/>
    <w:rsid w:val="3825BCF1"/>
    <w:rsid w:val="3826B4DB"/>
    <w:rsid w:val="3826BCA9"/>
    <w:rsid w:val="3827750E"/>
    <w:rsid w:val="3827DC8C"/>
    <w:rsid w:val="3828C484"/>
    <w:rsid w:val="38291AA7"/>
    <w:rsid w:val="382929D9"/>
    <w:rsid w:val="38295E27"/>
    <w:rsid w:val="3829FAB2"/>
    <w:rsid w:val="382A1DBD"/>
    <w:rsid w:val="382A5C0B"/>
    <w:rsid w:val="382AAC41"/>
    <w:rsid w:val="382C93DF"/>
    <w:rsid w:val="382DAE35"/>
    <w:rsid w:val="382ED063"/>
    <w:rsid w:val="3830BEB7"/>
    <w:rsid w:val="3831310A"/>
    <w:rsid w:val="3831369D"/>
    <w:rsid w:val="3831C4BB"/>
    <w:rsid w:val="38326804"/>
    <w:rsid w:val="3832A7A4"/>
    <w:rsid w:val="3832B9D9"/>
    <w:rsid w:val="3832BE8F"/>
    <w:rsid w:val="38336C46"/>
    <w:rsid w:val="38338AC7"/>
    <w:rsid w:val="38357793"/>
    <w:rsid w:val="38365106"/>
    <w:rsid w:val="383724F7"/>
    <w:rsid w:val="38373239"/>
    <w:rsid w:val="383774B1"/>
    <w:rsid w:val="3837E85C"/>
    <w:rsid w:val="3838E750"/>
    <w:rsid w:val="3839032C"/>
    <w:rsid w:val="383925D3"/>
    <w:rsid w:val="3839D15C"/>
    <w:rsid w:val="383A1EE0"/>
    <w:rsid w:val="383A2DD7"/>
    <w:rsid w:val="383A7FB2"/>
    <w:rsid w:val="383B3A75"/>
    <w:rsid w:val="383CB514"/>
    <w:rsid w:val="383D1AC9"/>
    <w:rsid w:val="383D61EA"/>
    <w:rsid w:val="383E3CAA"/>
    <w:rsid w:val="383E41F1"/>
    <w:rsid w:val="383FA842"/>
    <w:rsid w:val="3840B47A"/>
    <w:rsid w:val="384153EF"/>
    <w:rsid w:val="3842E830"/>
    <w:rsid w:val="38434F7C"/>
    <w:rsid w:val="38457B57"/>
    <w:rsid w:val="3845B76D"/>
    <w:rsid w:val="3845ECFA"/>
    <w:rsid w:val="38467F8D"/>
    <w:rsid w:val="3846D451"/>
    <w:rsid w:val="3847CDC8"/>
    <w:rsid w:val="384923E6"/>
    <w:rsid w:val="38499F0E"/>
    <w:rsid w:val="384A8E8D"/>
    <w:rsid w:val="384B0169"/>
    <w:rsid w:val="384B3849"/>
    <w:rsid w:val="384B7B78"/>
    <w:rsid w:val="384C8975"/>
    <w:rsid w:val="384D3283"/>
    <w:rsid w:val="384D7506"/>
    <w:rsid w:val="384E6520"/>
    <w:rsid w:val="384F9EAF"/>
    <w:rsid w:val="38515BC8"/>
    <w:rsid w:val="3851A5B7"/>
    <w:rsid w:val="385222CB"/>
    <w:rsid w:val="385283CD"/>
    <w:rsid w:val="3852E5B7"/>
    <w:rsid w:val="38531498"/>
    <w:rsid w:val="385335E1"/>
    <w:rsid w:val="38562C07"/>
    <w:rsid w:val="38572A28"/>
    <w:rsid w:val="38575C6E"/>
    <w:rsid w:val="3858E891"/>
    <w:rsid w:val="38598FB1"/>
    <w:rsid w:val="3859A557"/>
    <w:rsid w:val="385AB575"/>
    <w:rsid w:val="385AC992"/>
    <w:rsid w:val="385B454F"/>
    <w:rsid w:val="385B493A"/>
    <w:rsid w:val="385C8A73"/>
    <w:rsid w:val="385CC149"/>
    <w:rsid w:val="385CEB16"/>
    <w:rsid w:val="385E7089"/>
    <w:rsid w:val="385ED2FA"/>
    <w:rsid w:val="385ED995"/>
    <w:rsid w:val="385F0CB2"/>
    <w:rsid w:val="385F4A61"/>
    <w:rsid w:val="385F99FF"/>
    <w:rsid w:val="385F9AAA"/>
    <w:rsid w:val="38601852"/>
    <w:rsid w:val="386024B3"/>
    <w:rsid w:val="386108C6"/>
    <w:rsid w:val="38612D2A"/>
    <w:rsid w:val="386164FF"/>
    <w:rsid w:val="3861AA73"/>
    <w:rsid w:val="3861E0FE"/>
    <w:rsid w:val="386203E1"/>
    <w:rsid w:val="386366D7"/>
    <w:rsid w:val="3864D3A0"/>
    <w:rsid w:val="3864E52F"/>
    <w:rsid w:val="38651468"/>
    <w:rsid w:val="3865664A"/>
    <w:rsid w:val="386758D4"/>
    <w:rsid w:val="3867A419"/>
    <w:rsid w:val="3867F5F6"/>
    <w:rsid w:val="38684E09"/>
    <w:rsid w:val="38685DC3"/>
    <w:rsid w:val="38688C5E"/>
    <w:rsid w:val="386984C0"/>
    <w:rsid w:val="386A60C0"/>
    <w:rsid w:val="386A781D"/>
    <w:rsid w:val="386A8425"/>
    <w:rsid w:val="386A9293"/>
    <w:rsid w:val="386AC102"/>
    <w:rsid w:val="386BE20C"/>
    <w:rsid w:val="386D5708"/>
    <w:rsid w:val="386E3953"/>
    <w:rsid w:val="386E4391"/>
    <w:rsid w:val="386E5026"/>
    <w:rsid w:val="386ED627"/>
    <w:rsid w:val="386F0DCB"/>
    <w:rsid w:val="386F19DC"/>
    <w:rsid w:val="3870CD4B"/>
    <w:rsid w:val="3871566A"/>
    <w:rsid w:val="38715B31"/>
    <w:rsid w:val="3871887D"/>
    <w:rsid w:val="3871B745"/>
    <w:rsid w:val="3871E5A1"/>
    <w:rsid w:val="3872E915"/>
    <w:rsid w:val="38733385"/>
    <w:rsid w:val="3873BD3E"/>
    <w:rsid w:val="3873E08D"/>
    <w:rsid w:val="3876B07D"/>
    <w:rsid w:val="3876BCCA"/>
    <w:rsid w:val="3878148C"/>
    <w:rsid w:val="38783EC9"/>
    <w:rsid w:val="3878D786"/>
    <w:rsid w:val="387937D7"/>
    <w:rsid w:val="38795194"/>
    <w:rsid w:val="3879DEE8"/>
    <w:rsid w:val="387C76EC"/>
    <w:rsid w:val="387CCAF4"/>
    <w:rsid w:val="387D0795"/>
    <w:rsid w:val="387D0CD4"/>
    <w:rsid w:val="387E578E"/>
    <w:rsid w:val="38802612"/>
    <w:rsid w:val="388032F4"/>
    <w:rsid w:val="38803C70"/>
    <w:rsid w:val="38818C5E"/>
    <w:rsid w:val="3881B244"/>
    <w:rsid w:val="3881EA7A"/>
    <w:rsid w:val="3882F57A"/>
    <w:rsid w:val="38831D5A"/>
    <w:rsid w:val="38835178"/>
    <w:rsid w:val="38839E73"/>
    <w:rsid w:val="3883D8E6"/>
    <w:rsid w:val="3884E5F1"/>
    <w:rsid w:val="3885369D"/>
    <w:rsid w:val="38871BE8"/>
    <w:rsid w:val="38873497"/>
    <w:rsid w:val="3887E086"/>
    <w:rsid w:val="3889B118"/>
    <w:rsid w:val="3889CA0F"/>
    <w:rsid w:val="388A04BE"/>
    <w:rsid w:val="388A2A05"/>
    <w:rsid w:val="388B0F83"/>
    <w:rsid w:val="388B1344"/>
    <w:rsid w:val="388BFA20"/>
    <w:rsid w:val="388C0BA7"/>
    <w:rsid w:val="388D43AD"/>
    <w:rsid w:val="388E2866"/>
    <w:rsid w:val="388EA487"/>
    <w:rsid w:val="388F0FA0"/>
    <w:rsid w:val="388F443A"/>
    <w:rsid w:val="388F6D34"/>
    <w:rsid w:val="388FDBE3"/>
    <w:rsid w:val="388FDC0E"/>
    <w:rsid w:val="389095C5"/>
    <w:rsid w:val="38911504"/>
    <w:rsid w:val="38919CF5"/>
    <w:rsid w:val="389245C2"/>
    <w:rsid w:val="38926356"/>
    <w:rsid w:val="38940555"/>
    <w:rsid w:val="38941AF5"/>
    <w:rsid w:val="38950B28"/>
    <w:rsid w:val="3895E3C5"/>
    <w:rsid w:val="3897FF87"/>
    <w:rsid w:val="3898A385"/>
    <w:rsid w:val="389956CA"/>
    <w:rsid w:val="3899CAAB"/>
    <w:rsid w:val="389A1B74"/>
    <w:rsid w:val="389BD3CC"/>
    <w:rsid w:val="389BE2CA"/>
    <w:rsid w:val="389C2F92"/>
    <w:rsid w:val="389CBA67"/>
    <w:rsid w:val="389DC7EF"/>
    <w:rsid w:val="389DDF94"/>
    <w:rsid w:val="389F0829"/>
    <w:rsid w:val="38A02AE6"/>
    <w:rsid w:val="38A09AAB"/>
    <w:rsid w:val="38A28DC0"/>
    <w:rsid w:val="38A2E4F0"/>
    <w:rsid w:val="38A34731"/>
    <w:rsid w:val="38A452A0"/>
    <w:rsid w:val="38A4CC6B"/>
    <w:rsid w:val="38A63545"/>
    <w:rsid w:val="38A66FB9"/>
    <w:rsid w:val="38A7031F"/>
    <w:rsid w:val="38A70AB4"/>
    <w:rsid w:val="38A720C3"/>
    <w:rsid w:val="38A82BFA"/>
    <w:rsid w:val="38A8D1BD"/>
    <w:rsid w:val="38A9632C"/>
    <w:rsid w:val="38AABB0A"/>
    <w:rsid w:val="38AAFD5B"/>
    <w:rsid w:val="38ABE2C4"/>
    <w:rsid w:val="38ABFCE2"/>
    <w:rsid w:val="38AC7000"/>
    <w:rsid w:val="38ACAB4D"/>
    <w:rsid w:val="38ADB7F0"/>
    <w:rsid w:val="38AEE6C7"/>
    <w:rsid w:val="38AF6AEF"/>
    <w:rsid w:val="38AF9458"/>
    <w:rsid w:val="38B0151B"/>
    <w:rsid w:val="38B12BF9"/>
    <w:rsid w:val="38B1547A"/>
    <w:rsid w:val="38B22DD2"/>
    <w:rsid w:val="38B33CA9"/>
    <w:rsid w:val="38B3A1F1"/>
    <w:rsid w:val="38B40FF5"/>
    <w:rsid w:val="38B50847"/>
    <w:rsid w:val="38B6CD57"/>
    <w:rsid w:val="38B6F560"/>
    <w:rsid w:val="38B79975"/>
    <w:rsid w:val="38B7AE4F"/>
    <w:rsid w:val="38B7F5B5"/>
    <w:rsid w:val="38B9C109"/>
    <w:rsid w:val="38BB75A2"/>
    <w:rsid w:val="38BBB4D9"/>
    <w:rsid w:val="38BC31CC"/>
    <w:rsid w:val="38BC9802"/>
    <w:rsid w:val="38BCC7CD"/>
    <w:rsid w:val="38BE329F"/>
    <w:rsid w:val="38C0A71A"/>
    <w:rsid w:val="38C19DDE"/>
    <w:rsid w:val="38C25396"/>
    <w:rsid w:val="38C2C3C9"/>
    <w:rsid w:val="38C33AC5"/>
    <w:rsid w:val="38C3C7EA"/>
    <w:rsid w:val="38C491AE"/>
    <w:rsid w:val="38C4B3B6"/>
    <w:rsid w:val="38C4EB68"/>
    <w:rsid w:val="38C514D4"/>
    <w:rsid w:val="38C5FC68"/>
    <w:rsid w:val="38C69207"/>
    <w:rsid w:val="38C6D69F"/>
    <w:rsid w:val="38C720D1"/>
    <w:rsid w:val="38C73F95"/>
    <w:rsid w:val="38C773AB"/>
    <w:rsid w:val="38C7C25A"/>
    <w:rsid w:val="38C95E5B"/>
    <w:rsid w:val="38C9D4E6"/>
    <w:rsid w:val="38CCFF41"/>
    <w:rsid w:val="38CD6C9A"/>
    <w:rsid w:val="38CD80C9"/>
    <w:rsid w:val="38CD813A"/>
    <w:rsid w:val="38CD9B17"/>
    <w:rsid w:val="38CE0A8E"/>
    <w:rsid w:val="38CE2598"/>
    <w:rsid w:val="38CF1718"/>
    <w:rsid w:val="38CFE3CF"/>
    <w:rsid w:val="38CFEC3C"/>
    <w:rsid w:val="38D042C7"/>
    <w:rsid w:val="38D0662E"/>
    <w:rsid w:val="38D13EC5"/>
    <w:rsid w:val="38D150F4"/>
    <w:rsid w:val="38D1B271"/>
    <w:rsid w:val="38D1BB21"/>
    <w:rsid w:val="38D1C345"/>
    <w:rsid w:val="38D322E8"/>
    <w:rsid w:val="38D4AEC8"/>
    <w:rsid w:val="38D55073"/>
    <w:rsid w:val="38D574E0"/>
    <w:rsid w:val="38D6FDC8"/>
    <w:rsid w:val="38D73009"/>
    <w:rsid w:val="38D7BA24"/>
    <w:rsid w:val="38D83307"/>
    <w:rsid w:val="38D99778"/>
    <w:rsid w:val="38DA5AAA"/>
    <w:rsid w:val="38DA7207"/>
    <w:rsid w:val="38DA9512"/>
    <w:rsid w:val="38DAAF92"/>
    <w:rsid w:val="38DAEEB3"/>
    <w:rsid w:val="38DB381D"/>
    <w:rsid w:val="38DB8CB4"/>
    <w:rsid w:val="38DB9897"/>
    <w:rsid w:val="38DC08D7"/>
    <w:rsid w:val="38DCC978"/>
    <w:rsid w:val="38DCF676"/>
    <w:rsid w:val="38DD52C7"/>
    <w:rsid w:val="38DD6467"/>
    <w:rsid w:val="38DD70E9"/>
    <w:rsid w:val="38DD96F6"/>
    <w:rsid w:val="38DE0203"/>
    <w:rsid w:val="38DE648B"/>
    <w:rsid w:val="38DE6835"/>
    <w:rsid w:val="38DE6C74"/>
    <w:rsid w:val="38DE7F5D"/>
    <w:rsid w:val="38DE88EB"/>
    <w:rsid w:val="38DF4B83"/>
    <w:rsid w:val="38DF8BA6"/>
    <w:rsid w:val="38E08EA7"/>
    <w:rsid w:val="38E0C27C"/>
    <w:rsid w:val="38E0F198"/>
    <w:rsid w:val="38E3937D"/>
    <w:rsid w:val="38E3F99D"/>
    <w:rsid w:val="38E4B062"/>
    <w:rsid w:val="38E4FB73"/>
    <w:rsid w:val="38E55DA8"/>
    <w:rsid w:val="38E6B022"/>
    <w:rsid w:val="38E83447"/>
    <w:rsid w:val="38E894B1"/>
    <w:rsid w:val="38E90E87"/>
    <w:rsid w:val="38EA0A56"/>
    <w:rsid w:val="38EAE230"/>
    <w:rsid w:val="38EC3624"/>
    <w:rsid w:val="38ECFE40"/>
    <w:rsid w:val="38EEE343"/>
    <w:rsid w:val="38EEED91"/>
    <w:rsid w:val="38F07237"/>
    <w:rsid w:val="38F081B6"/>
    <w:rsid w:val="38F10445"/>
    <w:rsid w:val="38F124AF"/>
    <w:rsid w:val="38F237CA"/>
    <w:rsid w:val="38F26331"/>
    <w:rsid w:val="38F2804E"/>
    <w:rsid w:val="38F35AAC"/>
    <w:rsid w:val="38F3BFC6"/>
    <w:rsid w:val="38F50F3E"/>
    <w:rsid w:val="38F59CA0"/>
    <w:rsid w:val="38F5C58E"/>
    <w:rsid w:val="38F62D78"/>
    <w:rsid w:val="38F70346"/>
    <w:rsid w:val="38F861F8"/>
    <w:rsid w:val="38F94239"/>
    <w:rsid w:val="38F9A313"/>
    <w:rsid w:val="38FA278B"/>
    <w:rsid w:val="38FA6252"/>
    <w:rsid w:val="38FA651C"/>
    <w:rsid w:val="38FAA7EF"/>
    <w:rsid w:val="38FB9E86"/>
    <w:rsid w:val="38FBAEF4"/>
    <w:rsid w:val="38FBF34B"/>
    <w:rsid w:val="38FCA0D6"/>
    <w:rsid w:val="38FD2838"/>
    <w:rsid w:val="38FD43DB"/>
    <w:rsid w:val="38FD51FA"/>
    <w:rsid w:val="38FD5F27"/>
    <w:rsid w:val="38FE5A5C"/>
    <w:rsid w:val="38FE5DA0"/>
    <w:rsid w:val="38FFEF11"/>
    <w:rsid w:val="3900F2BE"/>
    <w:rsid w:val="390128FE"/>
    <w:rsid w:val="39019574"/>
    <w:rsid w:val="39021202"/>
    <w:rsid w:val="3902758E"/>
    <w:rsid w:val="3902A764"/>
    <w:rsid w:val="39039BB4"/>
    <w:rsid w:val="3903CB48"/>
    <w:rsid w:val="3904B28C"/>
    <w:rsid w:val="3904E7F2"/>
    <w:rsid w:val="39051BC0"/>
    <w:rsid w:val="3906533C"/>
    <w:rsid w:val="390880D9"/>
    <w:rsid w:val="39094685"/>
    <w:rsid w:val="390952B1"/>
    <w:rsid w:val="390B6073"/>
    <w:rsid w:val="390D28FB"/>
    <w:rsid w:val="390D3CBA"/>
    <w:rsid w:val="390EA32E"/>
    <w:rsid w:val="390EA99C"/>
    <w:rsid w:val="390EE6D7"/>
    <w:rsid w:val="39108B4D"/>
    <w:rsid w:val="39113AD0"/>
    <w:rsid w:val="3912275F"/>
    <w:rsid w:val="3914469F"/>
    <w:rsid w:val="3914AA2A"/>
    <w:rsid w:val="39158F57"/>
    <w:rsid w:val="39162564"/>
    <w:rsid w:val="3916388D"/>
    <w:rsid w:val="3916C232"/>
    <w:rsid w:val="39183C2D"/>
    <w:rsid w:val="39199C2E"/>
    <w:rsid w:val="3919B5D6"/>
    <w:rsid w:val="3919C099"/>
    <w:rsid w:val="391A3C71"/>
    <w:rsid w:val="391A573C"/>
    <w:rsid w:val="391AF96E"/>
    <w:rsid w:val="391B7F71"/>
    <w:rsid w:val="391BF3FD"/>
    <w:rsid w:val="391DA50E"/>
    <w:rsid w:val="391E300B"/>
    <w:rsid w:val="391EA873"/>
    <w:rsid w:val="39216A86"/>
    <w:rsid w:val="39223D71"/>
    <w:rsid w:val="3922C440"/>
    <w:rsid w:val="3922CEE0"/>
    <w:rsid w:val="39231A63"/>
    <w:rsid w:val="39233826"/>
    <w:rsid w:val="39236870"/>
    <w:rsid w:val="39248A94"/>
    <w:rsid w:val="3924A29B"/>
    <w:rsid w:val="392504D7"/>
    <w:rsid w:val="39253F37"/>
    <w:rsid w:val="392585B8"/>
    <w:rsid w:val="3925D650"/>
    <w:rsid w:val="39272B68"/>
    <w:rsid w:val="39273A2D"/>
    <w:rsid w:val="392757D1"/>
    <w:rsid w:val="392815FE"/>
    <w:rsid w:val="39281E4F"/>
    <w:rsid w:val="3929D08C"/>
    <w:rsid w:val="392A0CC1"/>
    <w:rsid w:val="392A4B96"/>
    <w:rsid w:val="392A9B35"/>
    <w:rsid w:val="392BD0EF"/>
    <w:rsid w:val="392D02F3"/>
    <w:rsid w:val="392D6559"/>
    <w:rsid w:val="392EA2CD"/>
    <w:rsid w:val="392F04F8"/>
    <w:rsid w:val="393191B5"/>
    <w:rsid w:val="39329DF6"/>
    <w:rsid w:val="3933FF1C"/>
    <w:rsid w:val="39346B88"/>
    <w:rsid w:val="39351B29"/>
    <w:rsid w:val="393538F6"/>
    <w:rsid w:val="3935B716"/>
    <w:rsid w:val="39363499"/>
    <w:rsid w:val="3936566A"/>
    <w:rsid w:val="39366B6E"/>
    <w:rsid w:val="393673A8"/>
    <w:rsid w:val="393797E3"/>
    <w:rsid w:val="3937C4AA"/>
    <w:rsid w:val="3938A333"/>
    <w:rsid w:val="3938B05A"/>
    <w:rsid w:val="3938EA64"/>
    <w:rsid w:val="3939B7DB"/>
    <w:rsid w:val="3939EA0A"/>
    <w:rsid w:val="3939F86A"/>
    <w:rsid w:val="393A3CC7"/>
    <w:rsid w:val="393A8969"/>
    <w:rsid w:val="393B29FB"/>
    <w:rsid w:val="393C1E03"/>
    <w:rsid w:val="393C80AE"/>
    <w:rsid w:val="393CA702"/>
    <w:rsid w:val="393D6AC6"/>
    <w:rsid w:val="393D6C8B"/>
    <w:rsid w:val="393E0DA4"/>
    <w:rsid w:val="393E762F"/>
    <w:rsid w:val="393F7DA6"/>
    <w:rsid w:val="393FFB97"/>
    <w:rsid w:val="39406B9A"/>
    <w:rsid w:val="39408212"/>
    <w:rsid w:val="3940BE73"/>
    <w:rsid w:val="39410ADE"/>
    <w:rsid w:val="3942B4F9"/>
    <w:rsid w:val="39436808"/>
    <w:rsid w:val="394412BC"/>
    <w:rsid w:val="3944172D"/>
    <w:rsid w:val="39443FC8"/>
    <w:rsid w:val="39449190"/>
    <w:rsid w:val="3944A60A"/>
    <w:rsid w:val="394541E0"/>
    <w:rsid w:val="39455E1B"/>
    <w:rsid w:val="3945898D"/>
    <w:rsid w:val="39462608"/>
    <w:rsid w:val="39465F1E"/>
    <w:rsid w:val="39466E55"/>
    <w:rsid w:val="3946ACB6"/>
    <w:rsid w:val="3947B71A"/>
    <w:rsid w:val="3947CEEE"/>
    <w:rsid w:val="39499B8B"/>
    <w:rsid w:val="394A95E3"/>
    <w:rsid w:val="394BD42F"/>
    <w:rsid w:val="394CBBC8"/>
    <w:rsid w:val="394E6FFC"/>
    <w:rsid w:val="394F0BA7"/>
    <w:rsid w:val="39500AB3"/>
    <w:rsid w:val="3950D942"/>
    <w:rsid w:val="3950F3BE"/>
    <w:rsid w:val="39510760"/>
    <w:rsid w:val="39525203"/>
    <w:rsid w:val="3952B4EA"/>
    <w:rsid w:val="3952E08E"/>
    <w:rsid w:val="3953A5CB"/>
    <w:rsid w:val="3953D00A"/>
    <w:rsid w:val="3953EE25"/>
    <w:rsid w:val="3954A02A"/>
    <w:rsid w:val="3954A2C3"/>
    <w:rsid w:val="3954EC4C"/>
    <w:rsid w:val="3955851C"/>
    <w:rsid w:val="3955E297"/>
    <w:rsid w:val="3955F1F5"/>
    <w:rsid w:val="3956259C"/>
    <w:rsid w:val="3956397B"/>
    <w:rsid w:val="39567DE1"/>
    <w:rsid w:val="395866D7"/>
    <w:rsid w:val="3958B472"/>
    <w:rsid w:val="3958F6F2"/>
    <w:rsid w:val="395A2F96"/>
    <w:rsid w:val="395ACA58"/>
    <w:rsid w:val="395ADE09"/>
    <w:rsid w:val="395B5C37"/>
    <w:rsid w:val="395BB752"/>
    <w:rsid w:val="395BC2C8"/>
    <w:rsid w:val="395C93F9"/>
    <w:rsid w:val="395CA971"/>
    <w:rsid w:val="395D32E5"/>
    <w:rsid w:val="395DD668"/>
    <w:rsid w:val="395DE108"/>
    <w:rsid w:val="395E1334"/>
    <w:rsid w:val="395E310A"/>
    <w:rsid w:val="395E4068"/>
    <w:rsid w:val="395F2DF2"/>
    <w:rsid w:val="395FD4E6"/>
    <w:rsid w:val="395FE678"/>
    <w:rsid w:val="3961AA44"/>
    <w:rsid w:val="39624B22"/>
    <w:rsid w:val="3962C985"/>
    <w:rsid w:val="3963D103"/>
    <w:rsid w:val="39650999"/>
    <w:rsid w:val="39655BFB"/>
    <w:rsid w:val="39657449"/>
    <w:rsid w:val="39657CFA"/>
    <w:rsid w:val="3965AF2B"/>
    <w:rsid w:val="396639E9"/>
    <w:rsid w:val="39668BC1"/>
    <w:rsid w:val="3966B60C"/>
    <w:rsid w:val="3966F7DB"/>
    <w:rsid w:val="39678D9E"/>
    <w:rsid w:val="3967BEFF"/>
    <w:rsid w:val="3967F6C2"/>
    <w:rsid w:val="3968AF4C"/>
    <w:rsid w:val="396901FE"/>
    <w:rsid w:val="396903CD"/>
    <w:rsid w:val="396A5C16"/>
    <w:rsid w:val="396B6D35"/>
    <w:rsid w:val="396B8B77"/>
    <w:rsid w:val="396D8D16"/>
    <w:rsid w:val="396DE03C"/>
    <w:rsid w:val="396E31CE"/>
    <w:rsid w:val="396E91DF"/>
    <w:rsid w:val="396EB16E"/>
    <w:rsid w:val="396F2599"/>
    <w:rsid w:val="396F41F9"/>
    <w:rsid w:val="397008D6"/>
    <w:rsid w:val="39700B49"/>
    <w:rsid w:val="39702F4F"/>
    <w:rsid w:val="39705673"/>
    <w:rsid w:val="39714C34"/>
    <w:rsid w:val="39714EF9"/>
    <w:rsid w:val="397167D2"/>
    <w:rsid w:val="3972805F"/>
    <w:rsid w:val="3972E736"/>
    <w:rsid w:val="397355EB"/>
    <w:rsid w:val="397453B8"/>
    <w:rsid w:val="39747AF6"/>
    <w:rsid w:val="3974885F"/>
    <w:rsid w:val="39749AE0"/>
    <w:rsid w:val="3974A191"/>
    <w:rsid w:val="3974F6BC"/>
    <w:rsid w:val="39750438"/>
    <w:rsid w:val="3975684D"/>
    <w:rsid w:val="3975BF68"/>
    <w:rsid w:val="3975CAD0"/>
    <w:rsid w:val="39761D55"/>
    <w:rsid w:val="39764C3A"/>
    <w:rsid w:val="39769BAD"/>
    <w:rsid w:val="3977CF00"/>
    <w:rsid w:val="397A37B6"/>
    <w:rsid w:val="397C2B6D"/>
    <w:rsid w:val="397C395C"/>
    <w:rsid w:val="397D5AB7"/>
    <w:rsid w:val="397DE1DE"/>
    <w:rsid w:val="397E5980"/>
    <w:rsid w:val="397F5C0B"/>
    <w:rsid w:val="3980A122"/>
    <w:rsid w:val="39818A47"/>
    <w:rsid w:val="39818CFE"/>
    <w:rsid w:val="39819F53"/>
    <w:rsid w:val="39820A85"/>
    <w:rsid w:val="3982D56B"/>
    <w:rsid w:val="398362CE"/>
    <w:rsid w:val="3983DD3F"/>
    <w:rsid w:val="39841C27"/>
    <w:rsid w:val="39841D16"/>
    <w:rsid w:val="39849279"/>
    <w:rsid w:val="398496DE"/>
    <w:rsid w:val="3984A187"/>
    <w:rsid w:val="39851834"/>
    <w:rsid w:val="3985404A"/>
    <w:rsid w:val="39872E71"/>
    <w:rsid w:val="39874980"/>
    <w:rsid w:val="3987B416"/>
    <w:rsid w:val="3987BB1F"/>
    <w:rsid w:val="39890B68"/>
    <w:rsid w:val="398A2609"/>
    <w:rsid w:val="398A607F"/>
    <w:rsid w:val="398AAF9E"/>
    <w:rsid w:val="398B34F2"/>
    <w:rsid w:val="398BE097"/>
    <w:rsid w:val="398D83BB"/>
    <w:rsid w:val="398E03B7"/>
    <w:rsid w:val="398E153A"/>
    <w:rsid w:val="398E6005"/>
    <w:rsid w:val="39908CBB"/>
    <w:rsid w:val="3990C0ED"/>
    <w:rsid w:val="3991FCAD"/>
    <w:rsid w:val="3992FBBC"/>
    <w:rsid w:val="39933294"/>
    <w:rsid w:val="3993C257"/>
    <w:rsid w:val="39944BAF"/>
    <w:rsid w:val="3994DD71"/>
    <w:rsid w:val="3995C9F4"/>
    <w:rsid w:val="3995F1B5"/>
    <w:rsid w:val="39969F53"/>
    <w:rsid w:val="3997B59A"/>
    <w:rsid w:val="3997D252"/>
    <w:rsid w:val="3997E439"/>
    <w:rsid w:val="39984745"/>
    <w:rsid w:val="3998BFD7"/>
    <w:rsid w:val="399A91BD"/>
    <w:rsid w:val="399AA15F"/>
    <w:rsid w:val="399AA2D4"/>
    <w:rsid w:val="399BDB93"/>
    <w:rsid w:val="399C1CD3"/>
    <w:rsid w:val="399C363F"/>
    <w:rsid w:val="399CD048"/>
    <w:rsid w:val="399CD727"/>
    <w:rsid w:val="399D59D1"/>
    <w:rsid w:val="399DA351"/>
    <w:rsid w:val="399DC7F1"/>
    <w:rsid w:val="399FA29A"/>
    <w:rsid w:val="399FC33E"/>
    <w:rsid w:val="39A3D8B1"/>
    <w:rsid w:val="39A44D3B"/>
    <w:rsid w:val="39A551EE"/>
    <w:rsid w:val="39A59F61"/>
    <w:rsid w:val="39A6248C"/>
    <w:rsid w:val="39A68F65"/>
    <w:rsid w:val="39A6F3FB"/>
    <w:rsid w:val="39A72BC6"/>
    <w:rsid w:val="39A7923C"/>
    <w:rsid w:val="39A8836C"/>
    <w:rsid w:val="39A8E8E5"/>
    <w:rsid w:val="39AA390A"/>
    <w:rsid w:val="39AC8AB4"/>
    <w:rsid w:val="39AC991C"/>
    <w:rsid w:val="39AD1C98"/>
    <w:rsid w:val="39AF20B8"/>
    <w:rsid w:val="39AFCC74"/>
    <w:rsid w:val="39B0304D"/>
    <w:rsid w:val="39B08923"/>
    <w:rsid w:val="39B0922C"/>
    <w:rsid w:val="39B264F6"/>
    <w:rsid w:val="39B2A6B6"/>
    <w:rsid w:val="39B35A5C"/>
    <w:rsid w:val="39B36635"/>
    <w:rsid w:val="39B3F530"/>
    <w:rsid w:val="39B450DC"/>
    <w:rsid w:val="39B6840A"/>
    <w:rsid w:val="39B6B688"/>
    <w:rsid w:val="39B6D611"/>
    <w:rsid w:val="39B6FEFB"/>
    <w:rsid w:val="39B78795"/>
    <w:rsid w:val="39B7C72E"/>
    <w:rsid w:val="39B8F937"/>
    <w:rsid w:val="39B90D65"/>
    <w:rsid w:val="39B93DAF"/>
    <w:rsid w:val="39B945F9"/>
    <w:rsid w:val="39BA22E4"/>
    <w:rsid w:val="39BA3EF8"/>
    <w:rsid w:val="39BABD22"/>
    <w:rsid w:val="39BCC72E"/>
    <w:rsid w:val="39BD1280"/>
    <w:rsid w:val="39BD47FB"/>
    <w:rsid w:val="39BDBA01"/>
    <w:rsid w:val="39BDDF5C"/>
    <w:rsid w:val="39BF0409"/>
    <w:rsid w:val="39C04022"/>
    <w:rsid w:val="39C0761E"/>
    <w:rsid w:val="39C13725"/>
    <w:rsid w:val="39C23513"/>
    <w:rsid w:val="39C26A84"/>
    <w:rsid w:val="39C31CBF"/>
    <w:rsid w:val="39C3EF0C"/>
    <w:rsid w:val="39C484C5"/>
    <w:rsid w:val="39C48B8F"/>
    <w:rsid w:val="39C49E4C"/>
    <w:rsid w:val="39C4BAAB"/>
    <w:rsid w:val="39C57680"/>
    <w:rsid w:val="39C667FA"/>
    <w:rsid w:val="39C6A9C6"/>
    <w:rsid w:val="39C70C6C"/>
    <w:rsid w:val="39C778E5"/>
    <w:rsid w:val="39C89F0F"/>
    <w:rsid w:val="39C8E5E8"/>
    <w:rsid w:val="39C995E1"/>
    <w:rsid w:val="39C9E4D4"/>
    <w:rsid w:val="39CA0C5B"/>
    <w:rsid w:val="39CABD36"/>
    <w:rsid w:val="39CB2429"/>
    <w:rsid w:val="39CB2C65"/>
    <w:rsid w:val="39CBDCC6"/>
    <w:rsid w:val="39CC21DB"/>
    <w:rsid w:val="39CCFCA4"/>
    <w:rsid w:val="39CD0F86"/>
    <w:rsid w:val="39CDC92F"/>
    <w:rsid w:val="39CDE243"/>
    <w:rsid w:val="39CE4885"/>
    <w:rsid w:val="39CED370"/>
    <w:rsid w:val="39CEFA4E"/>
    <w:rsid w:val="39CF0455"/>
    <w:rsid w:val="39CF223E"/>
    <w:rsid w:val="39CFFE05"/>
    <w:rsid w:val="39D03E43"/>
    <w:rsid w:val="39D0415A"/>
    <w:rsid w:val="39D08C4C"/>
    <w:rsid w:val="39D09558"/>
    <w:rsid w:val="39D0A0C4"/>
    <w:rsid w:val="39D11B5F"/>
    <w:rsid w:val="39D1FC91"/>
    <w:rsid w:val="39D2486F"/>
    <w:rsid w:val="39D2526E"/>
    <w:rsid w:val="39D26BA8"/>
    <w:rsid w:val="39D30582"/>
    <w:rsid w:val="39D31494"/>
    <w:rsid w:val="39D34853"/>
    <w:rsid w:val="39D348B5"/>
    <w:rsid w:val="39D4362C"/>
    <w:rsid w:val="39D49557"/>
    <w:rsid w:val="39D4DCBB"/>
    <w:rsid w:val="39D79D99"/>
    <w:rsid w:val="39D7B723"/>
    <w:rsid w:val="39DAAD9D"/>
    <w:rsid w:val="39DBE4FE"/>
    <w:rsid w:val="39DE0C28"/>
    <w:rsid w:val="39DEEF47"/>
    <w:rsid w:val="39DFF495"/>
    <w:rsid w:val="39E035C7"/>
    <w:rsid w:val="39E0598A"/>
    <w:rsid w:val="39E115CC"/>
    <w:rsid w:val="39E1D446"/>
    <w:rsid w:val="39E20CDD"/>
    <w:rsid w:val="39E230BB"/>
    <w:rsid w:val="39E284AF"/>
    <w:rsid w:val="39E38A82"/>
    <w:rsid w:val="39E4C119"/>
    <w:rsid w:val="39E4CAEB"/>
    <w:rsid w:val="39E5395A"/>
    <w:rsid w:val="39E668AA"/>
    <w:rsid w:val="39E8AE45"/>
    <w:rsid w:val="39E9647E"/>
    <w:rsid w:val="39E9C93A"/>
    <w:rsid w:val="39EA7E47"/>
    <w:rsid w:val="39EAA753"/>
    <w:rsid w:val="39EAB9AA"/>
    <w:rsid w:val="39EAC127"/>
    <w:rsid w:val="39EAEDA9"/>
    <w:rsid w:val="39ED4C7B"/>
    <w:rsid w:val="39ED5029"/>
    <w:rsid w:val="39ED7799"/>
    <w:rsid w:val="39ED78FC"/>
    <w:rsid w:val="39EDACEA"/>
    <w:rsid w:val="39EE2332"/>
    <w:rsid w:val="39F003CC"/>
    <w:rsid w:val="39F11635"/>
    <w:rsid w:val="39F1D820"/>
    <w:rsid w:val="39F20A62"/>
    <w:rsid w:val="39F25FAA"/>
    <w:rsid w:val="39F42B5D"/>
    <w:rsid w:val="39F55609"/>
    <w:rsid w:val="39F5FE7B"/>
    <w:rsid w:val="39F6C359"/>
    <w:rsid w:val="39F73603"/>
    <w:rsid w:val="39F7C648"/>
    <w:rsid w:val="39F84752"/>
    <w:rsid w:val="39F90DD1"/>
    <w:rsid w:val="39F94716"/>
    <w:rsid w:val="39FAABDA"/>
    <w:rsid w:val="39FBCA27"/>
    <w:rsid w:val="39FD7539"/>
    <w:rsid w:val="39FDA74B"/>
    <w:rsid w:val="39FE451C"/>
    <w:rsid w:val="39FE692E"/>
    <w:rsid w:val="3A0035E5"/>
    <w:rsid w:val="3A009F2F"/>
    <w:rsid w:val="3A011D37"/>
    <w:rsid w:val="3A013646"/>
    <w:rsid w:val="3A019901"/>
    <w:rsid w:val="3A020684"/>
    <w:rsid w:val="3A02C08D"/>
    <w:rsid w:val="3A043E71"/>
    <w:rsid w:val="3A04AB42"/>
    <w:rsid w:val="3A04CF5E"/>
    <w:rsid w:val="3A05ECC0"/>
    <w:rsid w:val="3A065A75"/>
    <w:rsid w:val="3A06A5FF"/>
    <w:rsid w:val="3A072E77"/>
    <w:rsid w:val="3A073B49"/>
    <w:rsid w:val="3A079699"/>
    <w:rsid w:val="3A08704C"/>
    <w:rsid w:val="3A08D0F5"/>
    <w:rsid w:val="3A0DF100"/>
    <w:rsid w:val="3A0F0E56"/>
    <w:rsid w:val="3A0F5A22"/>
    <w:rsid w:val="3A0FD669"/>
    <w:rsid w:val="3A1045FA"/>
    <w:rsid w:val="3A115EB4"/>
    <w:rsid w:val="3A127B27"/>
    <w:rsid w:val="3A12C91F"/>
    <w:rsid w:val="3A12E59B"/>
    <w:rsid w:val="3A139F91"/>
    <w:rsid w:val="3A14544B"/>
    <w:rsid w:val="3A148168"/>
    <w:rsid w:val="3A14A9ED"/>
    <w:rsid w:val="3A15B628"/>
    <w:rsid w:val="3A167D96"/>
    <w:rsid w:val="3A18587A"/>
    <w:rsid w:val="3A1877F3"/>
    <w:rsid w:val="3A18A097"/>
    <w:rsid w:val="3A18FB25"/>
    <w:rsid w:val="3A18FF50"/>
    <w:rsid w:val="3A191911"/>
    <w:rsid w:val="3A196D3A"/>
    <w:rsid w:val="3A1972F8"/>
    <w:rsid w:val="3A19A640"/>
    <w:rsid w:val="3A19B17A"/>
    <w:rsid w:val="3A1AF6AF"/>
    <w:rsid w:val="3A1B3D86"/>
    <w:rsid w:val="3A1C4B98"/>
    <w:rsid w:val="3A1CF67C"/>
    <w:rsid w:val="3A1EB3B4"/>
    <w:rsid w:val="3A1F2357"/>
    <w:rsid w:val="3A1F468C"/>
    <w:rsid w:val="3A1F6AD5"/>
    <w:rsid w:val="3A1F8131"/>
    <w:rsid w:val="3A1FB5A3"/>
    <w:rsid w:val="3A209E7F"/>
    <w:rsid w:val="3A20A482"/>
    <w:rsid w:val="3A20DD49"/>
    <w:rsid w:val="3A21741B"/>
    <w:rsid w:val="3A21F1C5"/>
    <w:rsid w:val="3A2213C4"/>
    <w:rsid w:val="3A22ABA9"/>
    <w:rsid w:val="3A22B312"/>
    <w:rsid w:val="3A22D2E7"/>
    <w:rsid w:val="3A234956"/>
    <w:rsid w:val="3A23619C"/>
    <w:rsid w:val="3A23EFE2"/>
    <w:rsid w:val="3A244A87"/>
    <w:rsid w:val="3A248649"/>
    <w:rsid w:val="3A25611D"/>
    <w:rsid w:val="3A25BA64"/>
    <w:rsid w:val="3A25E243"/>
    <w:rsid w:val="3A2663F0"/>
    <w:rsid w:val="3A2765EB"/>
    <w:rsid w:val="3A285733"/>
    <w:rsid w:val="3A28DEFD"/>
    <w:rsid w:val="3A29EB8F"/>
    <w:rsid w:val="3A2B6A91"/>
    <w:rsid w:val="3A2B7660"/>
    <w:rsid w:val="3A2C3D3C"/>
    <w:rsid w:val="3A2D4DBE"/>
    <w:rsid w:val="3A2ECDDF"/>
    <w:rsid w:val="3A2EFF59"/>
    <w:rsid w:val="3A2F834D"/>
    <w:rsid w:val="3A2F8E76"/>
    <w:rsid w:val="3A30103F"/>
    <w:rsid w:val="3A303761"/>
    <w:rsid w:val="3A30DE22"/>
    <w:rsid w:val="3A31BEE8"/>
    <w:rsid w:val="3A31BEF4"/>
    <w:rsid w:val="3A31F8B0"/>
    <w:rsid w:val="3A32166B"/>
    <w:rsid w:val="3A323A33"/>
    <w:rsid w:val="3A32CF57"/>
    <w:rsid w:val="3A3352A5"/>
    <w:rsid w:val="3A338612"/>
    <w:rsid w:val="3A33A284"/>
    <w:rsid w:val="3A34081C"/>
    <w:rsid w:val="3A34752D"/>
    <w:rsid w:val="3A34D36C"/>
    <w:rsid w:val="3A367828"/>
    <w:rsid w:val="3A37177A"/>
    <w:rsid w:val="3A3758AF"/>
    <w:rsid w:val="3A37CE8C"/>
    <w:rsid w:val="3A38F4A5"/>
    <w:rsid w:val="3A390F96"/>
    <w:rsid w:val="3A39B059"/>
    <w:rsid w:val="3A3A40B1"/>
    <w:rsid w:val="3A3AAA30"/>
    <w:rsid w:val="3A3BB1C4"/>
    <w:rsid w:val="3A3BC42C"/>
    <w:rsid w:val="3A3BE1F2"/>
    <w:rsid w:val="3A3D4AE5"/>
    <w:rsid w:val="3A3E1359"/>
    <w:rsid w:val="3A3F6924"/>
    <w:rsid w:val="3A3FC1F3"/>
    <w:rsid w:val="3A411057"/>
    <w:rsid w:val="3A411462"/>
    <w:rsid w:val="3A411AA7"/>
    <w:rsid w:val="3A41314B"/>
    <w:rsid w:val="3A418DAF"/>
    <w:rsid w:val="3A420A42"/>
    <w:rsid w:val="3A435EBA"/>
    <w:rsid w:val="3A43927F"/>
    <w:rsid w:val="3A448717"/>
    <w:rsid w:val="3A4700E5"/>
    <w:rsid w:val="3A477DD0"/>
    <w:rsid w:val="3A49255A"/>
    <w:rsid w:val="3A496EE9"/>
    <w:rsid w:val="3A4A2B5D"/>
    <w:rsid w:val="3A4A7CF6"/>
    <w:rsid w:val="3A4ABA5C"/>
    <w:rsid w:val="3A4AFE13"/>
    <w:rsid w:val="3A4C0B78"/>
    <w:rsid w:val="3A4C3BF6"/>
    <w:rsid w:val="3A4D0C7B"/>
    <w:rsid w:val="3A4D7088"/>
    <w:rsid w:val="3A4DA24C"/>
    <w:rsid w:val="3A4DCB81"/>
    <w:rsid w:val="3A4DDD11"/>
    <w:rsid w:val="3A4F434E"/>
    <w:rsid w:val="3A4F5522"/>
    <w:rsid w:val="3A4FFFE6"/>
    <w:rsid w:val="3A50D335"/>
    <w:rsid w:val="3A5165CE"/>
    <w:rsid w:val="3A51999C"/>
    <w:rsid w:val="3A51D4F3"/>
    <w:rsid w:val="3A522069"/>
    <w:rsid w:val="3A5232E0"/>
    <w:rsid w:val="3A53A2F2"/>
    <w:rsid w:val="3A53A808"/>
    <w:rsid w:val="3A53E749"/>
    <w:rsid w:val="3A544CCF"/>
    <w:rsid w:val="3A548092"/>
    <w:rsid w:val="3A553571"/>
    <w:rsid w:val="3A55CA75"/>
    <w:rsid w:val="3A59395E"/>
    <w:rsid w:val="3A59C10F"/>
    <w:rsid w:val="3A5A3194"/>
    <w:rsid w:val="3A5C05BD"/>
    <w:rsid w:val="3A5C20F4"/>
    <w:rsid w:val="3A5CE980"/>
    <w:rsid w:val="3A5D4D42"/>
    <w:rsid w:val="3A5D809B"/>
    <w:rsid w:val="3A5DD293"/>
    <w:rsid w:val="3A5ECD18"/>
    <w:rsid w:val="3A5F920E"/>
    <w:rsid w:val="3A5FC603"/>
    <w:rsid w:val="3A5FD689"/>
    <w:rsid w:val="3A601323"/>
    <w:rsid w:val="3A60832D"/>
    <w:rsid w:val="3A60D85A"/>
    <w:rsid w:val="3A615BF0"/>
    <w:rsid w:val="3A6200F6"/>
    <w:rsid w:val="3A623CED"/>
    <w:rsid w:val="3A62E332"/>
    <w:rsid w:val="3A62FB61"/>
    <w:rsid w:val="3A647BED"/>
    <w:rsid w:val="3A658856"/>
    <w:rsid w:val="3A65D6B5"/>
    <w:rsid w:val="3A668376"/>
    <w:rsid w:val="3A66BD2F"/>
    <w:rsid w:val="3A66CB3A"/>
    <w:rsid w:val="3A66D921"/>
    <w:rsid w:val="3A676370"/>
    <w:rsid w:val="3A67A158"/>
    <w:rsid w:val="3A67D99C"/>
    <w:rsid w:val="3A68D917"/>
    <w:rsid w:val="3A690AD4"/>
    <w:rsid w:val="3A69CE41"/>
    <w:rsid w:val="3A69D447"/>
    <w:rsid w:val="3A6A9686"/>
    <w:rsid w:val="3A6C1614"/>
    <w:rsid w:val="3A6C2956"/>
    <w:rsid w:val="3A6E468D"/>
    <w:rsid w:val="3A6E7618"/>
    <w:rsid w:val="3A6E76C4"/>
    <w:rsid w:val="3A6F3F98"/>
    <w:rsid w:val="3A6FFEED"/>
    <w:rsid w:val="3A7073B2"/>
    <w:rsid w:val="3A71317B"/>
    <w:rsid w:val="3A715FB6"/>
    <w:rsid w:val="3A71B803"/>
    <w:rsid w:val="3A71DE36"/>
    <w:rsid w:val="3A723050"/>
    <w:rsid w:val="3A724BE2"/>
    <w:rsid w:val="3A7301B6"/>
    <w:rsid w:val="3A7329E0"/>
    <w:rsid w:val="3A735FCB"/>
    <w:rsid w:val="3A739E4E"/>
    <w:rsid w:val="3A73B028"/>
    <w:rsid w:val="3A73B8C0"/>
    <w:rsid w:val="3A7470FF"/>
    <w:rsid w:val="3A747E28"/>
    <w:rsid w:val="3A749669"/>
    <w:rsid w:val="3A7503D7"/>
    <w:rsid w:val="3A755789"/>
    <w:rsid w:val="3A76C09D"/>
    <w:rsid w:val="3A76D960"/>
    <w:rsid w:val="3A76E213"/>
    <w:rsid w:val="3A779968"/>
    <w:rsid w:val="3A77D444"/>
    <w:rsid w:val="3A78C4C4"/>
    <w:rsid w:val="3A790929"/>
    <w:rsid w:val="3A793FC1"/>
    <w:rsid w:val="3A7B79E2"/>
    <w:rsid w:val="3A7C4678"/>
    <w:rsid w:val="3A7D0613"/>
    <w:rsid w:val="3A7D3D5D"/>
    <w:rsid w:val="3A7DCCB6"/>
    <w:rsid w:val="3A7EA667"/>
    <w:rsid w:val="3A801F79"/>
    <w:rsid w:val="3A80AAE3"/>
    <w:rsid w:val="3A80FF52"/>
    <w:rsid w:val="3A81248C"/>
    <w:rsid w:val="3A81570B"/>
    <w:rsid w:val="3A82AFD0"/>
    <w:rsid w:val="3A8327C4"/>
    <w:rsid w:val="3A832D4E"/>
    <w:rsid w:val="3A838EB2"/>
    <w:rsid w:val="3A839C23"/>
    <w:rsid w:val="3A83BD38"/>
    <w:rsid w:val="3A84B6CB"/>
    <w:rsid w:val="3A84D2A3"/>
    <w:rsid w:val="3A854FC9"/>
    <w:rsid w:val="3A856328"/>
    <w:rsid w:val="3A86D328"/>
    <w:rsid w:val="3A871C3D"/>
    <w:rsid w:val="3A88D4E3"/>
    <w:rsid w:val="3A88E11F"/>
    <w:rsid w:val="3A88FA9A"/>
    <w:rsid w:val="3A89622A"/>
    <w:rsid w:val="3A8A4E2C"/>
    <w:rsid w:val="3A8A5258"/>
    <w:rsid w:val="3A8B190A"/>
    <w:rsid w:val="3A8C4902"/>
    <w:rsid w:val="3A8CCFEF"/>
    <w:rsid w:val="3A8DDD38"/>
    <w:rsid w:val="3A8DFCE8"/>
    <w:rsid w:val="3A8F7561"/>
    <w:rsid w:val="3A8FBD91"/>
    <w:rsid w:val="3A901ABD"/>
    <w:rsid w:val="3A9037CA"/>
    <w:rsid w:val="3A905C8C"/>
    <w:rsid w:val="3A906841"/>
    <w:rsid w:val="3A90B296"/>
    <w:rsid w:val="3A90E9ED"/>
    <w:rsid w:val="3A9207D1"/>
    <w:rsid w:val="3A925DB6"/>
    <w:rsid w:val="3A92FEDA"/>
    <w:rsid w:val="3A930E58"/>
    <w:rsid w:val="3A93F7D9"/>
    <w:rsid w:val="3A945228"/>
    <w:rsid w:val="3A94C0DD"/>
    <w:rsid w:val="3A954656"/>
    <w:rsid w:val="3A956A4D"/>
    <w:rsid w:val="3A95CCD9"/>
    <w:rsid w:val="3A977299"/>
    <w:rsid w:val="3A97D65C"/>
    <w:rsid w:val="3A980FCF"/>
    <w:rsid w:val="3A989535"/>
    <w:rsid w:val="3A98E30F"/>
    <w:rsid w:val="3A98F73A"/>
    <w:rsid w:val="3A9909D6"/>
    <w:rsid w:val="3A9936F9"/>
    <w:rsid w:val="3A9BDF81"/>
    <w:rsid w:val="3A9C2368"/>
    <w:rsid w:val="3A9CAF4B"/>
    <w:rsid w:val="3A9CB9FF"/>
    <w:rsid w:val="3A9CC62F"/>
    <w:rsid w:val="3A9CE0AD"/>
    <w:rsid w:val="3A9D6887"/>
    <w:rsid w:val="3A9E02DE"/>
    <w:rsid w:val="3A9EE6D0"/>
    <w:rsid w:val="3AA07307"/>
    <w:rsid w:val="3AA0A3C8"/>
    <w:rsid w:val="3AA1740B"/>
    <w:rsid w:val="3AA2B43A"/>
    <w:rsid w:val="3AA32C6F"/>
    <w:rsid w:val="3AA4330E"/>
    <w:rsid w:val="3AA80D5C"/>
    <w:rsid w:val="3AA82172"/>
    <w:rsid w:val="3AA87F99"/>
    <w:rsid w:val="3AA94EF0"/>
    <w:rsid w:val="3AA9C782"/>
    <w:rsid w:val="3AAA891F"/>
    <w:rsid w:val="3AABC856"/>
    <w:rsid w:val="3AAC5BAE"/>
    <w:rsid w:val="3AAC5E7C"/>
    <w:rsid w:val="3AAC6FF9"/>
    <w:rsid w:val="3AACB664"/>
    <w:rsid w:val="3AACD79A"/>
    <w:rsid w:val="3AAD3549"/>
    <w:rsid w:val="3AAD767E"/>
    <w:rsid w:val="3AADA0E8"/>
    <w:rsid w:val="3AADA9C2"/>
    <w:rsid w:val="3AADBF33"/>
    <w:rsid w:val="3AADDDF1"/>
    <w:rsid w:val="3AAE0570"/>
    <w:rsid w:val="3AAEE42E"/>
    <w:rsid w:val="3AAF44F7"/>
    <w:rsid w:val="3AB0289E"/>
    <w:rsid w:val="3AB029E0"/>
    <w:rsid w:val="3AB0BD1C"/>
    <w:rsid w:val="3AB0C0CB"/>
    <w:rsid w:val="3AB17017"/>
    <w:rsid w:val="3AB22CE7"/>
    <w:rsid w:val="3AB2810B"/>
    <w:rsid w:val="3AB45B2C"/>
    <w:rsid w:val="3AB54167"/>
    <w:rsid w:val="3AB61717"/>
    <w:rsid w:val="3AB6FD7A"/>
    <w:rsid w:val="3AB785EC"/>
    <w:rsid w:val="3AB939B9"/>
    <w:rsid w:val="3AB9542B"/>
    <w:rsid w:val="3AB99F37"/>
    <w:rsid w:val="3AB9D92F"/>
    <w:rsid w:val="3AB9DDAE"/>
    <w:rsid w:val="3ABA0EE4"/>
    <w:rsid w:val="3ABA528A"/>
    <w:rsid w:val="3ABA757E"/>
    <w:rsid w:val="3ABB0FBD"/>
    <w:rsid w:val="3ABB53AB"/>
    <w:rsid w:val="3ABC0456"/>
    <w:rsid w:val="3ABC5D2D"/>
    <w:rsid w:val="3ABC9B19"/>
    <w:rsid w:val="3ABD7A78"/>
    <w:rsid w:val="3ABEEB60"/>
    <w:rsid w:val="3ABFEB21"/>
    <w:rsid w:val="3AC0BA40"/>
    <w:rsid w:val="3AC11481"/>
    <w:rsid w:val="3AC14649"/>
    <w:rsid w:val="3AC14E8D"/>
    <w:rsid w:val="3AC18529"/>
    <w:rsid w:val="3AC19097"/>
    <w:rsid w:val="3AC196FE"/>
    <w:rsid w:val="3AC29E3A"/>
    <w:rsid w:val="3AC2CF17"/>
    <w:rsid w:val="3AC396B8"/>
    <w:rsid w:val="3AC438B4"/>
    <w:rsid w:val="3AC4DD77"/>
    <w:rsid w:val="3AC72F47"/>
    <w:rsid w:val="3AC73AC7"/>
    <w:rsid w:val="3AC75846"/>
    <w:rsid w:val="3AC77AE4"/>
    <w:rsid w:val="3AC78FA4"/>
    <w:rsid w:val="3AC7A8F2"/>
    <w:rsid w:val="3AC861B2"/>
    <w:rsid w:val="3AC92EB0"/>
    <w:rsid w:val="3AC98DD7"/>
    <w:rsid w:val="3AC99559"/>
    <w:rsid w:val="3ACAA8CD"/>
    <w:rsid w:val="3ACB138E"/>
    <w:rsid w:val="3ACC50A9"/>
    <w:rsid w:val="3ACD129E"/>
    <w:rsid w:val="3ACD307B"/>
    <w:rsid w:val="3AD04B45"/>
    <w:rsid w:val="3AD072CB"/>
    <w:rsid w:val="3AD09361"/>
    <w:rsid w:val="3AD1168A"/>
    <w:rsid w:val="3AD12E92"/>
    <w:rsid w:val="3AD17105"/>
    <w:rsid w:val="3AD1D050"/>
    <w:rsid w:val="3AD284EF"/>
    <w:rsid w:val="3AD2A734"/>
    <w:rsid w:val="3AD2EB6E"/>
    <w:rsid w:val="3AD30CA7"/>
    <w:rsid w:val="3AD399F9"/>
    <w:rsid w:val="3AD4CAD2"/>
    <w:rsid w:val="3AD53F09"/>
    <w:rsid w:val="3AD55FF1"/>
    <w:rsid w:val="3AD5CFA6"/>
    <w:rsid w:val="3AD5F6C0"/>
    <w:rsid w:val="3AD68AD4"/>
    <w:rsid w:val="3AD69139"/>
    <w:rsid w:val="3AD6A9E3"/>
    <w:rsid w:val="3AD7FDEA"/>
    <w:rsid w:val="3AD874C8"/>
    <w:rsid w:val="3AD8B70A"/>
    <w:rsid w:val="3AD95DD5"/>
    <w:rsid w:val="3AD987F8"/>
    <w:rsid w:val="3ADBF2B8"/>
    <w:rsid w:val="3ADC11A9"/>
    <w:rsid w:val="3ADC3392"/>
    <w:rsid w:val="3ADC48AA"/>
    <w:rsid w:val="3ADC5DB1"/>
    <w:rsid w:val="3ADD3505"/>
    <w:rsid w:val="3ADD6EA5"/>
    <w:rsid w:val="3ADDD5BB"/>
    <w:rsid w:val="3ADE198C"/>
    <w:rsid w:val="3ADFA64B"/>
    <w:rsid w:val="3AE04CBA"/>
    <w:rsid w:val="3AE06FC1"/>
    <w:rsid w:val="3AE08AAA"/>
    <w:rsid w:val="3AE0E613"/>
    <w:rsid w:val="3AE15FB5"/>
    <w:rsid w:val="3AE32C18"/>
    <w:rsid w:val="3AE46A90"/>
    <w:rsid w:val="3AE584E8"/>
    <w:rsid w:val="3AE59611"/>
    <w:rsid w:val="3AE5DC99"/>
    <w:rsid w:val="3AE75E65"/>
    <w:rsid w:val="3AE7E9E8"/>
    <w:rsid w:val="3AE83B39"/>
    <w:rsid w:val="3AE9703F"/>
    <w:rsid w:val="3AE99100"/>
    <w:rsid w:val="3AE9C547"/>
    <w:rsid w:val="3AEA9989"/>
    <w:rsid w:val="3AEBFBB5"/>
    <w:rsid w:val="3AED1482"/>
    <w:rsid w:val="3AED4404"/>
    <w:rsid w:val="3AED7DCB"/>
    <w:rsid w:val="3AEEEFD2"/>
    <w:rsid w:val="3AEF07E4"/>
    <w:rsid w:val="3AEF5EA6"/>
    <w:rsid w:val="3AEF8123"/>
    <w:rsid w:val="3AEF8237"/>
    <w:rsid w:val="3AF00519"/>
    <w:rsid w:val="3AF02C5A"/>
    <w:rsid w:val="3AF03C05"/>
    <w:rsid w:val="3AF1EBAB"/>
    <w:rsid w:val="3AF33751"/>
    <w:rsid w:val="3AF39FAD"/>
    <w:rsid w:val="3AF4A6FA"/>
    <w:rsid w:val="3AF6E082"/>
    <w:rsid w:val="3AF76F36"/>
    <w:rsid w:val="3AF920F3"/>
    <w:rsid w:val="3AF9DF1D"/>
    <w:rsid w:val="3AFA31DB"/>
    <w:rsid w:val="3AFA8463"/>
    <w:rsid w:val="3AFAAFC9"/>
    <w:rsid w:val="3AFB2464"/>
    <w:rsid w:val="3AFB99B8"/>
    <w:rsid w:val="3AFE45D2"/>
    <w:rsid w:val="3AFECD69"/>
    <w:rsid w:val="3AFF569E"/>
    <w:rsid w:val="3B01CAFB"/>
    <w:rsid w:val="3B01E570"/>
    <w:rsid w:val="3B01F802"/>
    <w:rsid w:val="3B029BFF"/>
    <w:rsid w:val="3B02FA49"/>
    <w:rsid w:val="3B03C20B"/>
    <w:rsid w:val="3B04C6B8"/>
    <w:rsid w:val="3B052D4D"/>
    <w:rsid w:val="3B0556AE"/>
    <w:rsid w:val="3B0581AA"/>
    <w:rsid w:val="3B06D82D"/>
    <w:rsid w:val="3B092129"/>
    <w:rsid w:val="3B0963BD"/>
    <w:rsid w:val="3B097162"/>
    <w:rsid w:val="3B09A038"/>
    <w:rsid w:val="3B0AF06E"/>
    <w:rsid w:val="3B0AFB74"/>
    <w:rsid w:val="3B0BC34A"/>
    <w:rsid w:val="3B0C8759"/>
    <w:rsid w:val="3B0C9321"/>
    <w:rsid w:val="3B0DAD30"/>
    <w:rsid w:val="3B0FC54E"/>
    <w:rsid w:val="3B10EEB3"/>
    <w:rsid w:val="3B117450"/>
    <w:rsid w:val="3B11A9AF"/>
    <w:rsid w:val="3B11E90B"/>
    <w:rsid w:val="3B14BBCB"/>
    <w:rsid w:val="3B1561A7"/>
    <w:rsid w:val="3B156E9C"/>
    <w:rsid w:val="3B159313"/>
    <w:rsid w:val="3B15B7DA"/>
    <w:rsid w:val="3B165554"/>
    <w:rsid w:val="3B16EF63"/>
    <w:rsid w:val="3B173142"/>
    <w:rsid w:val="3B17AE38"/>
    <w:rsid w:val="3B17C3F1"/>
    <w:rsid w:val="3B181250"/>
    <w:rsid w:val="3B184253"/>
    <w:rsid w:val="3B189ABF"/>
    <w:rsid w:val="3B1A2CFC"/>
    <w:rsid w:val="3B1A97AA"/>
    <w:rsid w:val="3B1B5ECB"/>
    <w:rsid w:val="3B1B7D3C"/>
    <w:rsid w:val="3B1C0E1C"/>
    <w:rsid w:val="3B1C8884"/>
    <w:rsid w:val="3B1EABDF"/>
    <w:rsid w:val="3B1ECD7F"/>
    <w:rsid w:val="3B1F5E09"/>
    <w:rsid w:val="3B1F6B22"/>
    <w:rsid w:val="3B1F869A"/>
    <w:rsid w:val="3B2085EE"/>
    <w:rsid w:val="3B21595E"/>
    <w:rsid w:val="3B221D3A"/>
    <w:rsid w:val="3B2226F3"/>
    <w:rsid w:val="3B225F5F"/>
    <w:rsid w:val="3B22C7B3"/>
    <w:rsid w:val="3B232730"/>
    <w:rsid w:val="3B23F675"/>
    <w:rsid w:val="3B24147D"/>
    <w:rsid w:val="3B261685"/>
    <w:rsid w:val="3B264C80"/>
    <w:rsid w:val="3B2685CD"/>
    <w:rsid w:val="3B26DCB9"/>
    <w:rsid w:val="3B26E875"/>
    <w:rsid w:val="3B2723BA"/>
    <w:rsid w:val="3B2729D6"/>
    <w:rsid w:val="3B27AF7E"/>
    <w:rsid w:val="3B2987F1"/>
    <w:rsid w:val="3B2A2845"/>
    <w:rsid w:val="3B2C86D0"/>
    <w:rsid w:val="3B2C9C67"/>
    <w:rsid w:val="3B2C9F75"/>
    <w:rsid w:val="3B2CFE90"/>
    <w:rsid w:val="3B2D7B6B"/>
    <w:rsid w:val="3B2DF654"/>
    <w:rsid w:val="3B2E8523"/>
    <w:rsid w:val="3B301AAE"/>
    <w:rsid w:val="3B305074"/>
    <w:rsid w:val="3B3265DA"/>
    <w:rsid w:val="3B32DC41"/>
    <w:rsid w:val="3B344DF5"/>
    <w:rsid w:val="3B34B9E2"/>
    <w:rsid w:val="3B34D10D"/>
    <w:rsid w:val="3B34EBD3"/>
    <w:rsid w:val="3B34EEF4"/>
    <w:rsid w:val="3B355EAA"/>
    <w:rsid w:val="3B356E22"/>
    <w:rsid w:val="3B35E530"/>
    <w:rsid w:val="3B3608A8"/>
    <w:rsid w:val="3B36454C"/>
    <w:rsid w:val="3B36C4C1"/>
    <w:rsid w:val="3B3803EC"/>
    <w:rsid w:val="3B382220"/>
    <w:rsid w:val="3B389816"/>
    <w:rsid w:val="3B396597"/>
    <w:rsid w:val="3B3A05A7"/>
    <w:rsid w:val="3B3BD96B"/>
    <w:rsid w:val="3B3C02B5"/>
    <w:rsid w:val="3B3C852F"/>
    <w:rsid w:val="3B3D5B44"/>
    <w:rsid w:val="3B3D98E8"/>
    <w:rsid w:val="3B3DCAF9"/>
    <w:rsid w:val="3B3E0A48"/>
    <w:rsid w:val="3B3EDC09"/>
    <w:rsid w:val="3B4010BC"/>
    <w:rsid w:val="3B407EA5"/>
    <w:rsid w:val="3B410699"/>
    <w:rsid w:val="3B4169ED"/>
    <w:rsid w:val="3B41FE8C"/>
    <w:rsid w:val="3B428C62"/>
    <w:rsid w:val="3B42C079"/>
    <w:rsid w:val="3B42D269"/>
    <w:rsid w:val="3B432D57"/>
    <w:rsid w:val="3B43AB80"/>
    <w:rsid w:val="3B452CBA"/>
    <w:rsid w:val="3B45A7A6"/>
    <w:rsid w:val="3B46A824"/>
    <w:rsid w:val="3B46E429"/>
    <w:rsid w:val="3B472CC9"/>
    <w:rsid w:val="3B472FEA"/>
    <w:rsid w:val="3B477E85"/>
    <w:rsid w:val="3B48452D"/>
    <w:rsid w:val="3B485831"/>
    <w:rsid w:val="3B48CC33"/>
    <w:rsid w:val="3B4A8A99"/>
    <w:rsid w:val="3B4CE437"/>
    <w:rsid w:val="3B4EB8D0"/>
    <w:rsid w:val="3B4F79D2"/>
    <w:rsid w:val="3B50A1E6"/>
    <w:rsid w:val="3B5233A3"/>
    <w:rsid w:val="3B527085"/>
    <w:rsid w:val="3B53762A"/>
    <w:rsid w:val="3B5392EB"/>
    <w:rsid w:val="3B554694"/>
    <w:rsid w:val="3B5602AA"/>
    <w:rsid w:val="3B561021"/>
    <w:rsid w:val="3B565D55"/>
    <w:rsid w:val="3B59C7C9"/>
    <w:rsid w:val="3B5AD9FC"/>
    <w:rsid w:val="3B5B4F2F"/>
    <w:rsid w:val="3B5B71A5"/>
    <w:rsid w:val="3B5B9AA6"/>
    <w:rsid w:val="3B5BE384"/>
    <w:rsid w:val="3B5BEE59"/>
    <w:rsid w:val="3B5C706B"/>
    <w:rsid w:val="3B5CAA74"/>
    <w:rsid w:val="3B5D4240"/>
    <w:rsid w:val="3B5DDBB5"/>
    <w:rsid w:val="3B5F0DC0"/>
    <w:rsid w:val="3B5FA2FE"/>
    <w:rsid w:val="3B5FB6CA"/>
    <w:rsid w:val="3B5FC66E"/>
    <w:rsid w:val="3B602D73"/>
    <w:rsid w:val="3B604DF1"/>
    <w:rsid w:val="3B611418"/>
    <w:rsid w:val="3B63403A"/>
    <w:rsid w:val="3B64B71A"/>
    <w:rsid w:val="3B64BB8B"/>
    <w:rsid w:val="3B64FD25"/>
    <w:rsid w:val="3B6562BF"/>
    <w:rsid w:val="3B658ABD"/>
    <w:rsid w:val="3B659ABA"/>
    <w:rsid w:val="3B6740F9"/>
    <w:rsid w:val="3B679145"/>
    <w:rsid w:val="3B6809E7"/>
    <w:rsid w:val="3B681455"/>
    <w:rsid w:val="3B682861"/>
    <w:rsid w:val="3B682D92"/>
    <w:rsid w:val="3B6869FA"/>
    <w:rsid w:val="3B6A0B6C"/>
    <w:rsid w:val="3B6D41E5"/>
    <w:rsid w:val="3B6DF2CC"/>
    <w:rsid w:val="3B6E3CA1"/>
    <w:rsid w:val="3B6E6C18"/>
    <w:rsid w:val="3B6E9DA2"/>
    <w:rsid w:val="3B6ED468"/>
    <w:rsid w:val="3B6F1C03"/>
    <w:rsid w:val="3B70F60D"/>
    <w:rsid w:val="3B71B22F"/>
    <w:rsid w:val="3B733FA7"/>
    <w:rsid w:val="3B751D05"/>
    <w:rsid w:val="3B752B49"/>
    <w:rsid w:val="3B7541C9"/>
    <w:rsid w:val="3B755611"/>
    <w:rsid w:val="3B75CD8E"/>
    <w:rsid w:val="3B75D88B"/>
    <w:rsid w:val="3B77985A"/>
    <w:rsid w:val="3B77F0C4"/>
    <w:rsid w:val="3B787E65"/>
    <w:rsid w:val="3B78BD46"/>
    <w:rsid w:val="3B7A5AAD"/>
    <w:rsid w:val="3B7ADA22"/>
    <w:rsid w:val="3B7B29D0"/>
    <w:rsid w:val="3B7B8F6A"/>
    <w:rsid w:val="3B7C1EFC"/>
    <w:rsid w:val="3B7C5FAD"/>
    <w:rsid w:val="3B7F5061"/>
    <w:rsid w:val="3B803662"/>
    <w:rsid w:val="3B813FD0"/>
    <w:rsid w:val="3B8235CD"/>
    <w:rsid w:val="3B82CA61"/>
    <w:rsid w:val="3B8328BD"/>
    <w:rsid w:val="3B834B27"/>
    <w:rsid w:val="3B83A97A"/>
    <w:rsid w:val="3B849C1C"/>
    <w:rsid w:val="3B853BA9"/>
    <w:rsid w:val="3B862548"/>
    <w:rsid w:val="3B868015"/>
    <w:rsid w:val="3B87C78F"/>
    <w:rsid w:val="3B886D0C"/>
    <w:rsid w:val="3B89B405"/>
    <w:rsid w:val="3B89E1B0"/>
    <w:rsid w:val="3B8AE2E2"/>
    <w:rsid w:val="3B8B7AEA"/>
    <w:rsid w:val="3B8C10E1"/>
    <w:rsid w:val="3B8F3A0F"/>
    <w:rsid w:val="3B8F922E"/>
    <w:rsid w:val="3B8FF56A"/>
    <w:rsid w:val="3B904BE6"/>
    <w:rsid w:val="3B9150A2"/>
    <w:rsid w:val="3B91A075"/>
    <w:rsid w:val="3B91D2E7"/>
    <w:rsid w:val="3B926D9B"/>
    <w:rsid w:val="3B9281D4"/>
    <w:rsid w:val="3B92B9B8"/>
    <w:rsid w:val="3B932440"/>
    <w:rsid w:val="3B93D6F9"/>
    <w:rsid w:val="3B952195"/>
    <w:rsid w:val="3B96273B"/>
    <w:rsid w:val="3B96F276"/>
    <w:rsid w:val="3B972EDA"/>
    <w:rsid w:val="3B9907D7"/>
    <w:rsid w:val="3B992954"/>
    <w:rsid w:val="3B99F6FA"/>
    <w:rsid w:val="3B99F7FD"/>
    <w:rsid w:val="3B9A75CA"/>
    <w:rsid w:val="3B9A8D03"/>
    <w:rsid w:val="3B9BAD20"/>
    <w:rsid w:val="3B9BD24A"/>
    <w:rsid w:val="3B9DE627"/>
    <w:rsid w:val="3B9E0729"/>
    <w:rsid w:val="3B9E76DE"/>
    <w:rsid w:val="3B9F446D"/>
    <w:rsid w:val="3BA12722"/>
    <w:rsid w:val="3BA1ADEC"/>
    <w:rsid w:val="3BA1BF02"/>
    <w:rsid w:val="3BA1C173"/>
    <w:rsid w:val="3BA346AF"/>
    <w:rsid w:val="3BA3D23D"/>
    <w:rsid w:val="3BA424F5"/>
    <w:rsid w:val="3BA4A074"/>
    <w:rsid w:val="3BA4E5B7"/>
    <w:rsid w:val="3BA51907"/>
    <w:rsid w:val="3BA60DBA"/>
    <w:rsid w:val="3BA63148"/>
    <w:rsid w:val="3BA6B7DE"/>
    <w:rsid w:val="3BA7391D"/>
    <w:rsid w:val="3BA809E0"/>
    <w:rsid w:val="3BA84072"/>
    <w:rsid w:val="3BA8B779"/>
    <w:rsid w:val="3BA9000A"/>
    <w:rsid w:val="3BA913B9"/>
    <w:rsid w:val="3BA9A4BB"/>
    <w:rsid w:val="3BAA2AC1"/>
    <w:rsid w:val="3BAAC1B0"/>
    <w:rsid w:val="3BAAE47B"/>
    <w:rsid w:val="3BAB67C1"/>
    <w:rsid w:val="3BAC2B0A"/>
    <w:rsid w:val="3BAC41EF"/>
    <w:rsid w:val="3BACD7A6"/>
    <w:rsid w:val="3BACDB4F"/>
    <w:rsid w:val="3BAE0C98"/>
    <w:rsid w:val="3BAF0C8D"/>
    <w:rsid w:val="3BAFEC96"/>
    <w:rsid w:val="3BB11A4E"/>
    <w:rsid w:val="3BB19509"/>
    <w:rsid w:val="3BB3F0F4"/>
    <w:rsid w:val="3BB40E38"/>
    <w:rsid w:val="3BB42A24"/>
    <w:rsid w:val="3BB42C62"/>
    <w:rsid w:val="3BB43628"/>
    <w:rsid w:val="3BB4CF22"/>
    <w:rsid w:val="3BB4E547"/>
    <w:rsid w:val="3BB54EF0"/>
    <w:rsid w:val="3BB56ADC"/>
    <w:rsid w:val="3BB5A9E3"/>
    <w:rsid w:val="3BB70C13"/>
    <w:rsid w:val="3BB78FE8"/>
    <w:rsid w:val="3BB7B864"/>
    <w:rsid w:val="3BB7CC5C"/>
    <w:rsid w:val="3BB84BAA"/>
    <w:rsid w:val="3BB896DF"/>
    <w:rsid w:val="3BB9098F"/>
    <w:rsid w:val="3BB99DEA"/>
    <w:rsid w:val="3BB9F0F5"/>
    <w:rsid w:val="3BBA4FBA"/>
    <w:rsid w:val="3BBAA728"/>
    <w:rsid w:val="3BBC98D2"/>
    <w:rsid w:val="3BBDF27B"/>
    <w:rsid w:val="3BBE7CF8"/>
    <w:rsid w:val="3BBF1FF5"/>
    <w:rsid w:val="3BBF6D7B"/>
    <w:rsid w:val="3BC0A4EA"/>
    <w:rsid w:val="3BC0C237"/>
    <w:rsid w:val="3BC1A580"/>
    <w:rsid w:val="3BC1DB67"/>
    <w:rsid w:val="3BC2F678"/>
    <w:rsid w:val="3BC32B0E"/>
    <w:rsid w:val="3BC3FD45"/>
    <w:rsid w:val="3BC404B9"/>
    <w:rsid w:val="3BC448E6"/>
    <w:rsid w:val="3BC4CEA3"/>
    <w:rsid w:val="3BC559A4"/>
    <w:rsid w:val="3BC6EF27"/>
    <w:rsid w:val="3BC70891"/>
    <w:rsid w:val="3BC72846"/>
    <w:rsid w:val="3BC732DE"/>
    <w:rsid w:val="3BC8171D"/>
    <w:rsid w:val="3BC90168"/>
    <w:rsid w:val="3BC9525A"/>
    <w:rsid w:val="3BC960A9"/>
    <w:rsid w:val="3BCA6F1A"/>
    <w:rsid w:val="3BCB77E5"/>
    <w:rsid w:val="3BCBF482"/>
    <w:rsid w:val="3BCC3A63"/>
    <w:rsid w:val="3BCD4F0C"/>
    <w:rsid w:val="3BCD6FFB"/>
    <w:rsid w:val="3BCDC927"/>
    <w:rsid w:val="3BCEFEB5"/>
    <w:rsid w:val="3BCF4ADF"/>
    <w:rsid w:val="3BD01C41"/>
    <w:rsid w:val="3BD06822"/>
    <w:rsid w:val="3BD0A1F9"/>
    <w:rsid w:val="3BD14656"/>
    <w:rsid w:val="3BD1B087"/>
    <w:rsid w:val="3BD1EA40"/>
    <w:rsid w:val="3BD3B510"/>
    <w:rsid w:val="3BD46FA0"/>
    <w:rsid w:val="3BD4AB3A"/>
    <w:rsid w:val="3BD4E091"/>
    <w:rsid w:val="3BD50867"/>
    <w:rsid w:val="3BD564C2"/>
    <w:rsid w:val="3BD5D9F8"/>
    <w:rsid w:val="3BD664F5"/>
    <w:rsid w:val="3BD67824"/>
    <w:rsid w:val="3BD6B862"/>
    <w:rsid w:val="3BD71BDB"/>
    <w:rsid w:val="3BD7B738"/>
    <w:rsid w:val="3BD7F0D8"/>
    <w:rsid w:val="3BD903DE"/>
    <w:rsid w:val="3BD9CA34"/>
    <w:rsid w:val="3BDA288D"/>
    <w:rsid w:val="3BDA6A85"/>
    <w:rsid w:val="3BDACCC5"/>
    <w:rsid w:val="3BDAFB94"/>
    <w:rsid w:val="3BDB4004"/>
    <w:rsid w:val="3BDBAD6F"/>
    <w:rsid w:val="3BDC47F6"/>
    <w:rsid w:val="3BDC8A9D"/>
    <w:rsid w:val="3BDD5AF4"/>
    <w:rsid w:val="3BDE4B25"/>
    <w:rsid w:val="3BDE55E2"/>
    <w:rsid w:val="3BE032F9"/>
    <w:rsid w:val="3BE09057"/>
    <w:rsid w:val="3BE124B1"/>
    <w:rsid w:val="3BE192A9"/>
    <w:rsid w:val="3BE1E39F"/>
    <w:rsid w:val="3BE24518"/>
    <w:rsid w:val="3BE24A11"/>
    <w:rsid w:val="3BE2F096"/>
    <w:rsid w:val="3BE2F5C1"/>
    <w:rsid w:val="3BE2FA8B"/>
    <w:rsid w:val="3BE41115"/>
    <w:rsid w:val="3BE68C30"/>
    <w:rsid w:val="3BE6CFF8"/>
    <w:rsid w:val="3BE885CA"/>
    <w:rsid w:val="3BE935ED"/>
    <w:rsid w:val="3BE98699"/>
    <w:rsid w:val="3BEA11C2"/>
    <w:rsid w:val="3BEBE2F8"/>
    <w:rsid w:val="3BEBFA0C"/>
    <w:rsid w:val="3BEE41C0"/>
    <w:rsid w:val="3BEF1987"/>
    <w:rsid w:val="3BEFB61B"/>
    <w:rsid w:val="3BEFD32E"/>
    <w:rsid w:val="3BF097DC"/>
    <w:rsid w:val="3BF13C4D"/>
    <w:rsid w:val="3BF1D8C4"/>
    <w:rsid w:val="3BF2C0E1"/>
    <w:rsid w:val="3BF5EBC8"/>
    <w:rsid w:val="3BF67141"/>
    <w:rsid w:val="3BF6839B"/>
    <w:rsid w:val="3BF70018"/>
    <w:rsid w:val="3BF7C222"/>
    <w:rsid w:val="3BF7C853"/>
    <w:rsid w:val="3BF7D427"/>
    <w:rsid w:val="3BF8094E"/>
    <w:rsid w:val="3BF811A6"/>
    <w:rsid w:val="3BF8D2AD"/>
    <w:rsid w:val="3BF8F71B"/>
    <w:rsid w:val="3BF967AF"/>
    <w:rsid w:val="3BF97268"/>
    <w:rsid w:val="3BF9727D"/>
    <w:rsid w:val="3BF9D259"/>
    <w:rsid w:val="3BF9ED64"/>
    <w:rsid w:val="3BFA0539"/>
    <w:rsid w:val="3BFA5996"/>
    <w:rsid w:val="3BFA783B"/>
    <w:rsid w:val="3BFA79E3"/>
    <w:rsid w:val="3BFABE00"/>
    <w:rsid w:val="3BFBB8E0"/>
    <w:rsid w:val="3BFBDAE4"/>
    <w:rsid w:val="3BFDCD5A"/>
    <w:rsid w:val="3BFE25D6"/>
    <w:rsid w:val="3BFE6165"/>
    <w:rsid w:val="3BFE9014"/>
    <w:rsid w:val="3BFF19ED"/>
    <w:rsid w:val="3BFF4AA7"/>
    <w:rsid w:val="3BFF761D"/>
    <w:rsid w:val="3BFF9018"/>
    <w:rsid w:val="3C0011CF"/>
    <w:rsid w:val="3C00F3E6"/>
    <w:rsid w:val="3C02066E"/>
    <w:rsid w:val="3C02B5FE"/>
    <w:rsid w:val="3C0434B9"/>
    <w:rsid w:val="3C0456E3"/>
    <w:rsid w:val="3C052534"/>
    <w:rsid w:val="3C055681"/>
    <w:rsid w:val="3C062A59"/>
    <w:rsid w:val="3C066898"/>
    <w:rsid w:val="3C069505"/>
    <w:rsid w:val="3C06AF06"/>
    <w:rsid w:val="3C06E3DE"/>
    <w:rsid w:val="3C0708E7"/>
    <w:rsid w:val="3C077762"/>
    <w:rsid w:val="3C07BD85"/>
    <w:rsid w:val="3C081EB0"/>
    <w:rsid w:val="3C0842FC"/>
    <w:rsid w:val="3C0896C1"/>
    <w:rsid w:val="3C09DA65"/>
    <w:rsid w:val="3C09EBBB"/>
    <w:rsid w:val="3C0A48AD"/>
    <w:rsid w:val="3C0B19F7"/>
    <w:rsid w:val="3C0B2506"/>
    <w:rsid w:val="3C0C9CFF"/>
    <w:rsid w:val="3C0D1860"/>
    <w:rsid w:val="3C0D5ACE"/>
    <w:rsid w:val="3C104A50"/>
    <w:rsid w:val="3C107006"/>
    <w:rsid w:val="3C1196E5"/>
    <w:rsid w:val="3C126329"/>
    <w:rsid w:val="3C12649C"/>
    <w:rsid w:val="3C128803"/>
    <w:rsid w:val="3C12E4F6"/>
    <w:rsid w:val="3C13753E"/>
    <w:rsid w:val="3C158DEB"/>
    <w:rsid w:val="3C1616A4"/>
    <w:rsid w:val="3C16958D"/>
    <w:rsid w:val="3C16CB80"/>
    <w:rsid w:val="3C173186"/>
    <w:rsid w:val="3C174338"/>
    <w:rsid w:val="3C18170D"/>
    <w:rsid w:val="3C185274"/>
    <w:rsid w:val="3C1AE612"/>
    <w:rsid w:val="3C1BC332"/>
    <w:rsid w:val="3C1BCB10"/>
    <w:rsid w:val="3C1BF23A"/>
    <w:rsid w:val="3C1C2D21"/>
    <w:rsid w:val="3C1CE73F"/>
    <w:rsid w:val="3C1D0112"/>
    <w:rsid w:val="3C1D6A7E"/>
    <w:rsid w:val="3C1D6B04"/>
    <w:rsid w:val="3C1E66E7"/>
    <w:rsid w:val="3C1E709F"/>
    <w:rsid w:val="3C1E7210"/>
    <w:rsid w:val="3C1E9C13"/>
    <w:rsid w:val="3C1ECB94"/>
    <w:rsid w:val="3C1F6B4D"/>
    <w:rsid w:val="3C2015BF"/>
    <w:rsid w:val="3C20950D"/>
    <w:rsid w:val="3C2169CA"/>
    <w:rsid w:val="3C222BEE"/>
    <w:rsid w:val="3C2230E4"/>
    <w:rsid w:val="3C224EE7"/>
    <w:rsid w:val="3C227DC4"/>
    <w:rsid w:val="3C22E6A0"/>
    <w:rsid w:val="3C2350F9"/>
    <w:rsid w:val="3C236F84"/>
    <w:rsid w:val="3C23BAFB"/>
    <w:rsid w:val="3C24219C"/>
    <w:rsid w:val="3C244C7D"/>
    <w:rsid w:val="3C246D40"/>
    <w:rsid w:val="3C249CB7"/>
    <w:rsid w:val="3C24F040"/>
    <w:rsid w:val="3C253DD9"/>
    <w:rsid w:val="3C25C59C"/>
    <w:rsid w:val="3C265F40"/>
    <w:rsid w:val="3C266CAA"/>
    <w:rsid w:val="3C2805F6"/>
    <w:rsid w:val="3C287ACF"/>
    <w:rsid w:val="3C291884"/>
    <w:rsid w:val="3C29219D"/>
    <w:rsid w:val="3C2950C4"/>
    <w:rsid w:val="3C29B3E4"/>
    <w:rsid w:val="3C2A124E"/>
    <w:rsid w:val="3C2A236E"/>
    <w:rsid w:val="3C2AA24D"/>
    <w:rsid w:val="3C2BB15E"/>
    <w:rsid w:val="3C2BD3E0"/>
    <w:rsid w:val="3C2BDBBE"/>
    <w:rsid w:val="3C2CA575"/>
    <w:rsid w:val="3C2D4B65"/>
    <w:rsid w:val="3C2D6B3E"/>
    <w:rsid w:val="3C2D9751"/>
    <w:rsid w:val="3C2E08F8"/>
    <w:rsid w:val="3C2F579C"/>
    <w:rsid w:val="3C303B62"/>
    <w:rsid w:val="3C305DD7"/>
    <w:rsid w:val="3C30DDCA"/>
    <w:rsid w:val="3C33F082"/>
    <w:rsid w:val="3C34870C"/>
    <w:rsid w:val="3C3494DE"/>
    <w:rsid w:val="3C34C8E1"/>
    <w:rsid w:val="3C353794"/>
    <w:rsid w:val="3C357666"/>
    <w:rsid w:val="3C357A33"/>
    <w:rsid w:val="3C35BA99"/>
    <w:rsid w:val="3C38461B"/>
    <w:rsid w:val="3C38DD1A"/>
    <w:rsid w:val="3C38F0EA"/>
    <w:rsid w:val="3C3927AC"/>
    <w:rsid w:val="3C39A0E1"/>
    <w:rsid w:val="3C3A9DFA"/>
    <w:rsid w:val="3C3B4ECF"/>
    <w:rsid w:val="3C3C37E2"/>
    <w:rsid w:val="3C3D2ED8"/>
    <w:rsid w:val="3C3ED847"/>
    <w:rsid w:val="3C40A00B"/>
    <w:rsid w:val="3C411192"/>
    <w:rsid w:val="3C413D41"/>
    <w:rsid w:val="3C418FC6"/>
    <w:rsid w:val="3C41AF73"/>
    <w:rsid w:val="3C42F13A"/>
    <w:rsid w:val="3C43F61C"/>
    <w:rsid w:val="3C440AAE"/>
    <w:rsid w:val="3C4415A9"/>
    <w:rsid w:val="3C4472F5"/>
    <w:rsid w:val="3C44CC1B"/>
    <w:rsid w:val="3C44EFA5"/>
    <w:rsid w:val="3C4546B7"/>
    <w:rsid w:val="3C457C4D"/>
    <w:rsid w:val="3C457CE7"/>
    <w:rsid w:val="3C465466"/>
    <w:rsid w:val="3C4686F3"/>
    <w:rsid w:val="3C46D912"/>
    <w:rsid w:val="3C471EC5"/>
    <w:rsid w:val="3C475973"/>
    <w:rsid w:val="3C48D597"/>
    <w:rsid w:val="3C48E2B8"/>
    <w:rsid w:val="3C49EBD0"/>
    <w:rsid w:val="3C4A7395"/>
    <w:rsid w:val="3C4A831C"/>
    <w:rsid w:val="3C4AB6D7"/>
    <w:rsid w:val="3C4BFB6E"/>
    <w:rsid w:val="3C4C30F0"/>
    <w:rsid w:val="3C4C7B95"/>
    <w:rsid w:val="3C4CD59B"/>
    <w:rsid w:val="3C4E35D8"/>
    <w:rsid w:val="3C4E6950"/>
    <w:rsid w:val="3C5026B6"/>
    <w:rsid w:val="3C5028ED"/>
    <w:rsid w:val="3C5043F9"/>
    <w:rsid w:val="3C505EC3"/>
    <w:rsid w:val="3C50839E"/>
    <w:rsid w:val="3C519D21"/>
    <w:rsid w:val="3C52683C"/>
    <w:rsid w:val="3C52D590"/>
    <w:rsid w:val="3C52FC97"/>
    <w:rsid w:val="3C538B9A"/>
    <w:rsid w:val="3C53DD53"/>
    <w:rsid w:val="3C54557F"/>
    <w:rsid w:val="3C54DC1F"/>
    <w:rsid w:val="3C55240A"/>
    <w:rsid w:val="3C552452"/>
    <w:rsid w:val="3C5674F8"/>
    <w:rsid w:val="3C56D9D8"/>
    <w:rsid w:val="3C56EFF8"/>
    <w:rsid w:val="3C576456"/>
    <w:rsid w:val="3C57ACB1"/>
    <w:rsid w:val="3C588DC4"/>
    <w:rsid w:val="3C590E2F"/>
    <w:rsid w:val="3C59522C"/>
    <w:rsid w:val="3C59A389"/>
    <w:rsid w:val="3C59F1BA"/>
    <w:rsid w:val="3C5A9CC2"/>
    <w:rsid w:val="3C5BACE8"/>
    <w:rsid w:val="3C5C3C5A"/>
    <w:rsid w:val="3C5E52E6"/>
    <w:rsid w:val="3C5EA50C"/>
    <w:rsid w:val="3C5F609F"/>
    <w:rsid w:val="3C5F9C68"/>
    <w:rsid w:val="3C5F9C93"/>
    <w:rsid w:val="3C5F9EC3"/>
    <w:rsid w:val="3C602F4E"/>
    <w:rsid w:val="3C609154"/>
    <w:rsid w:val="3C60E006"/>
    <w:rsid w:val="3C613A62"/>
    <w:rsid w:val="3C61A1D8"/>
    <w:rsid w:val="3C625986"/>
    <w:rsid w:val="3C62BA5E"/>
    <w:rsid w:val="3C642759"/>
    <w:rsid w:val="3C643709"/>
    <w:rsid w:val="3C644D9A"/>
    <w:rsid w:val="3C650861"/>
    <w:rsid w:val="3C6565B3"/>
    <w:rsid w:val="3C6606B2"/>
    <w:rsid w:val="3C67301A"/>
    <w:rsid w:val="3C67578F"/>
    <w:rsid w:val="3C6774D8"/>
    <w:rsid w:val="3C67C3A2"/>
    <w:rsid w:val="3C67FFCA"/>
    <w:rsid w:val="3C68C62F"/>
    <w:rsid w:val="3C6984D6"/>
    <w:rsid w:val="3C6A5F89"/>
    <w:rsid w:val="3C6A897A"/>
    <w:rsid w:val="3C6B3FCD"/>
    <w:rsid w:val="3C6BF174"/>
    <w:rsid w:val="3C6C0D90"/>
    <w:rsid w:val="3C6C1A21"/>
    <w:rsid w:val="3C6C701F"/>
    <w:rsid w:val="3C6C9CDF"/>
    <w:rsid w:val="3C6CF004"/>
    <w:rsid w:val="3C6DEA48"/>
    <w:rsid w:val="3C6E7548"/>
    <w:rsid w:val="3C6EAF0B"/>
    <w:rsid w:val="3C6EB767"/>
    <w:rsid w:val="3C6EE57C"/>
    <w:rsid w:val="3C6F3703"/>
    <w:rsid w:val="3C6F4171"/>
    <w:rsid w:val="3C717D4F"/>
    <w:rsid w:val="3C719040"/>
    <w:rsid w:val="3C7193E0"/>
    <w:rsid w:val="3C71A074"/>
    <w:rsid w:val="3C73D4C3"/>
    <w:rsid w:val="3C7655FF"/>
    <w:rsid w:val="3C767F6B"/>
    <w:rsid w:val="3C76D4D2"/>
    <w:rsid w:val="3C76DBDE"/>
    <w:rsid w:val="3C786476"/>
    <w:rsid w:val="3C79DE52"/>
    <w:rsid w:val="3C7C08C2"/>
    <w:rsid w:val="3C7C63C1"/>
    <w:rsid w:val="3C7CECC3"/>
    <w:rsid w:val="3C7D1A39"/>
    <w:rsid w:val="3C7DD1C7"/>
    <w:rsid w:val="3C7EC25A"/>
    <w:rsid w:val="3C7FBE1A"/>
    <w:rsid w:val="3C807C8E"/>
    <w:rsid w:val="3C80BD12"/>
    <w:rsid w:val="3C80DBF0"/>
    <w:rsid w:val="3C810C3C"/>
    <w:rsid w:val="3C810D66"/>
    <w:rsid w:val="3C81309D"/>
    <w:rsid w:val="3C81AC71"/>
    <w:rsid w:val="3C81CDC3"/>
    <w:rsid w:val="3C82253B"/>
    <w:rsid w:val="3C82D5A6"/>
    <w:rsid w:val="3C82EB25"/>
    <w:rsid w:val="3C8389FC"/>
    <w:rsid w:val="3C84C412"/>
    <w:rsid w:val="3C84E8F5"/>
    <w:rsid w:val="3C858CAF"/>
    <w:rsid w:val="3C85F476"/>
    <w:rsid w:val="3C85F71A"/>
    <w:rsid w:val="3C861D2D"/>
    <w:rsid w:val="3C8634F5"/>
    <w:rsid w:val="3C86959A"/>
    <w:rsid w:val="3C8846EB"/>
    <w:rsid w:val="3C88C022"/>
    <w:rsid w:val="3C894553"/>
    <w:rsid w:val="3C89B515"/>
    <w:rsid w:val="3C8C91E9"/>
    <w:rsid w:val="3C8D343B"/>
    <w:rsid w:val="3C8D9B9D"/>
    <w:rsid w:val="3C8D9FD4"/>
    <w:rsid w:val="3C8E1096"/>
    <w:rsid w:val="3C8ED7F0"/>
    <w:rsid w:val="3C8F43BA"/>
    <w:rsid w:val="3C8F9278"/>
    <w:rsid w:val="3C903BD9"/>
    <w:rsid w:val="3C90ED35"/>
    <w:rsid w:val="3C922752"/>
    <w:rsid w:val="3C929715"/>
    <w:rsid w:val="3C92C94B"/>
    <w:rsid w:val="3C93DA5F"/>
    <w:rsid w:val="3C9665E1"/>
    <w:rsid w:val="3C96D94C"/>
    <w:rsid w:val="3C976C40"/>
    <w:rsid w:val="3C978D99"/>
    <w:rsid w:val="3C97F6E8"/>
    <w:rsid w:val="3C9884F1"/>
    <w:rsid w:val="3C989F6A"/>
    <w:rsid w:val="3C994656"/>
    <w:rsid w:val="3C9AA3B8"/>
    <w:rsid w:val="3C9AD7C6"/>
    <w:rsid w:val="3C9C61D2"/>
    <w:rsid w:val="3C9CC03B"/>
    <w:rsid w:val="3C9DC694"/>
    <w:rsid w:val="3C9E3291"/>
    <w:rsid w:val="3C9E89C0"/>
    <w:rsid w:val="3C9EE2F6"/>
    <w:rsid w:val="3C9EE872"/>
    <w:rsid w:val="3C9F21AD"/>
    <w:rsid w:val="3C9FD601"/>
    <w:rsid w:val="3CA0E7D9"/>
    <w:rsid w:val="3CA1326E"/>
    <w:rsid w:val="3CA22C26"/>
    <w:rsid w:val="3CA26E16"/>
    <w:rsid w:val="3CA31802"/>
    <w:rsid w:val="3CA34A76"/>
    <w:rsid w:val="3CA3BD22"/>
    <w:rsid w:val="3CA3C83B"/>
    <w:rsid w:val="3CA3DC0D"/>
    <w:rsid w:val="3CA3FD2C"/>
    <w:rsid w:val="3CA4FC9F"/>
    <w:rsid w:val="3CA4FED5"/>
    <w:rsid w:val="3CA50545"/>
    <w:rsid w:val="3CA5946A"/>
    <w:rsid w:val="3CA5D58E"/>
    <w:rsid w:val="3CA6BB50"/>
    <w:rsid w:val="3CA712B0"/>
    <w:rsid w:val="3CA746F0"/>
    <w:rsid w:val="3CA7895D"/>
    <w:rsid w:val="3CA7F192"/>
    <w:rsid w:val="3CA8A00F"/>
    <w:rsid w:val="3CA9302F"/>
    <w:rsid w:val="3CA9560D"/>
    <w:rsid w:val="3CA995C6"/>
    <w:rsid w:val="3CA9F1AC"/>
    <w:rsid w:val="3CAA93A9"/>
    <w:rsid w:val="3CAC0299"/>
    <w:rsid w:val="3CACD50A"/>
    <w:rsid w:val="3CAEBC78"/>
    <w:rsid w:val="3CAFBF00"/>
    <w:rsid w:val="3CB1A293"/>
    <w:rsid w:val="3CB1C1E3"/>
    <w:rsid w:val="3CB20E90"/>
    <w:rsid w:val="3CB2E732"/>
    <w:rsid w:val="3CB31A22"/>
    <w:rsid w:val="3CB33469"/>
    <w:rsid w:val="3CB36798"/>
    <w:rsid w:val="3CB371F4"/>
    <w:rsid w:val="3CB43093"/>
    <w:rsid w:val="3CB48993"/>
    <w:rsid w:val="3CB4C971"/>
    <w:rsid w:val="3CB5146C"/>
    <w:rsid w:val="3CB5AE38"/>
    <w:rsid w:val="3CB800BC"/>
    <w:rsid w:val="3CB848DE"/>
    <w:rsid w:val="3CB9CCEC"/>
    <w:rsid w:val="3CBA675F"/>
    <w:rsid w:val="3CBAD34F"/>
    <w:rsid w:val="3CBB2538"/>
    <w:rsid w:val="3CBC5EA7"/>
    <w:rsid w:val="3CBD3388"/>
    <w:rsid w:val="3CBD3C1B"/>
    <w:rsid w:val="3CBD6496"/>
    <w:rsid w:val="3CBDB836"/>
    <w:rsid w:val="3CBEC240"/>
    <w:rsid w:val="3CBF705F"/>
    <w:rsid w:val="3CC0222D"/>
    <w:rsid w:val="3CC0AA71"/>
    <w:rsid w:val="3CC1183E"/>
    <w:rsid w:val="3CC1636F"/>
    <w:rsid w:val="3CC23FDA"/>
    <w:rsid w:val="3CC35CA8"/>
    <w:rsid w:val="3CC60C81"/>
    <w:rsid w:val="3CC62B0C"/>
    <w:rsid w:val="3CC6F04B"/>
    <w:rsid w:val="3CC7C6AE"/>
    <w:rsid w:val="3CC7EF7C"/>
    <w:rsid w:val="3CC82060"/>
    <w:rsid w:val="3CC83764"/>
    <w:rsid w:val="3CC94FD2"/>
    <w:rsid w:val="3CC9661F"/>
    <w:rsid w:val="3CC9A738"/>
    <w:rsid w:val="3CC9FF0D"/>
    <w:rsid w:val="3CCA63CB"/>
    <w:rsid w:val="3CCAFC09"/>
    <w:rsid w:val="3CCB1F40"/>
    <w:rsid w:val="3CCB43C2"/>
    <w:rsid w:val="3CCB93B7"/>
    <w:rsid w:val="3CCC3F33"/>
    <w:rsid w:val="3CCC9D32"/>
    <w:rsid w:val="3CCCAE86"/>
    <w:rsid w:val="3CCCB737"/>
    <w:rsid w:val="3CCDF22A"/>
    <w:rsid w:val="3CCE68E6"/>
    <w:rsid w:val="3CCF4700"/>
    <w:rsid w:val="3CCFEACD"/>
    <w:rsid w:val="3CD091A1"/>
    <w:rsid w:val="3CD16A72"/>
    <w:rsid w:val="3CD2CDAF"/>
    <w:rsid w:val="3CD2F215"/>
    <w:rsid w:val="3CD3D502"/>
    <w:rsid w:val="3CD41417"/>
    <w:rsid w:val="3CD42BD8"/>
    <w:rsid w:val="3CD450C3"/>
    <w:rsid w:val="3CD4E914"/>
    <w:rsid w:val="3CD629B7"/>
    <w:rsid w:val="3CD62E96"/>
    <w:rsid w:val="3CD64347"/>
    <w:rsid w:val="3CD67651"/>
    <w:rsid w:val="3CD6A9E6"/>
    <w:rsid w:val="3CD6B522"/>
    <w:rsid w:val="3CD70A47"/>
    <w:rsid w:val="3CD7674B"/>
    <w:rsid w:val="3CD7AC1E"/>
    <w:rsid w:val="3CD94DC2"/>
    <w:rsid w:val="3CDAF35A"/>
    <w:rsid w:val="3CDB405B"/>
    <w:rsid w:val="3CDBE5FC"/>
    <w:rsid w:val="3CDC6377"/>
    <w:rsid w:val="3CDCF889"/>
    <w:rsid w:val="3CDE90BE"/>
    <w:rsid w:val="3CDEEED8"/>
    <w:rsid w:val="3CDF27EE"/>
    <w:rsid w:val="3CDF3183"/>
    <w:rsid w:val="3CE06DF4"/>
    <w:rsid w:val="3CE0A820"/>
    <w:rsid w:val="3CE1A1D5"/>
    <w:rsid w:val="3CE256FA"/>
    <w:rsid w:val="3CE402B7"/>
    <w:rsid w:val="3CE44113"/>
    <w:rsid w:val="3CE52083"/>
    <w:rsid w:val="3CE5BEA5"/>
    <w:rsid w:val="3CE6E92C"/>
    <w:rsid w:val="3CE8C1D5"/>
    <w:rsid w:val="3CE90EFC"/>
    <w:rsid w:val="3CE97A55"/>
    <w:rsid w:val="3CEA20B7"/>
    <w:rsid w:val="3CEBDD6A"/>
    <w:rsid w:val="3CECD308"/>
    <w:rsid w:val="3CED582F"/>
    <w:rsid w:val="3CEE0ED9"/>
    <w:rsid w:val="3CEE7227"/>
    <w:rsid w:val="3CEF0AFF"/>
    <w:rsid w:val="3CEF570F"/>
    <w:rsid w:val="3CEFE411"/>
    <w:rsid w:val="3CF07A9A"/>
    <w:rsid w:val="3CF3477F"/>
    <w:rsid w:val="3CF3E7EB"/>
    <w:rsid w:val="3CF4F7B3"/>
    <w:rsid w:val="3CF57788"/>
    <w:rsid w:val="3CF61C9D"/>
    <w:rsid w:val="3CF65127"/>
    <w:rsid w:val="3CF693BD"/>
    <w:rsid w:val="3CF75937"/>
    <w:rsid w:val="3CF77997"/>
    <w:rsid w:val="3CF79AE1"/>
    <w:rsid w:val="3CF79CE0"/>
    <w:rsid w:val="3CF88404"/>
    <w:rsid w:val="3CF88F23"/>
    <w:rsid w:val="3CF8B558"/>
    <w:rsid w:val="3CF99769"/>
    <w:rsid w:val="3CFC4440"/>
    <w:rsid w:val="3CFDCE31"/>
    <w:rsid w:val="3CFDF46C"/>
    <w:rsid w:val="3CFEBA63"/>
    <w:rsid w:val="3CFEDBC6"/>
    <w:rsid w:val="3CFEF669"/>
    <w:rsid w:val="3CFF2869"/>
    <w:rsid w:val="3CFF8EBE"/>
    <w:rsid w:val="3CFF94F7"/>
    <w:rsid w:val="3CFFD64F"/>
    <w:rsid w:val="3CFFF6E8"/>
    <w:rsid w:val="3D021887"/>
    <w:rsid w:val="3D03D280"/>
    <w:rsid w:val="3D045B6B"/>
    <w:rsid w:val="3D0686B3"/>
    <w:rsid w:val="3D06EC7D"/>
    <w:rsid w:val="3D078541"/>
    <w:rsid w:val="3D084322"/>
    <w:rsid w:val="3D08F3EC"/>
    <w:rsid w:val="3D0962FC"/>
    <w:rsid w:val="3D0A9E60"/>
    <w:rsid w:val="3D0B160A"/>
    <w:rsid w:val="3D0BA13A"/>
    <w:rsid w:val="3D0C32C9"/>
    <w:rsid w:val="3D0C3801"/>
    <w:rsid w:val="3D0CBBAF"/>
    <w:rsid w:val="3D0CD86C"/>
    <w:rsid w:val="3D0CF8D0"/>
    <w:rsid w:val="3D0D3BA5"/>
    <w:rsid w:val="3D0D8DE7"/>
    <w:rsid w:val="3D0DBA76"/>
    <w:rsid w:val="3D0FB47D"/>
    <w:rsid w:val="3D0FC0C6"/>
    <w:rsid w:val="3D10440F"/>
    <w:rsid w:val="3D10C0E8"/>
    <w:rsid w:val="3D1100D4"/>
    <w:rsid w:val="3D111C74"/>
    <w:rsid w:val="3D1164A8"/>
    <w:rsid w:val="3D11EE9D"/>
    <w:rsid w:val="3D12402B"/>
    <w:rsid w:val="3D127E20"/>
    <w:rsid w:val="3D127F7A"/>
    <w:rsid w:val="3D129683"/>
    <w:rsid w:val="3D12FCB8"/>
    <w:rsid w:val="3D133598"/>
    <w:rsid w:val="3D133F6F"/>
    <w:rsid w:val="3D13D5FE"/>
    <w:rsid w:val="3D1424E2"/>
    <w:rsid w:val="3D1445A6"/>
    <w:rsid w:val="3D146B14"/>
    <w:rsid w:val="3D149936"/>
    <w:rsid w:val="3D14EDC4"/>
    <w:rsid w:val="3D14EEB8"/>
    <w:rsid w:val="3D161D7D"/>
    <w:rsid w:val="3D169581"/>
    <w:rsid w:val="3D1717ED"/>
    <w:rsid w:val="3D173ED8"/>
    <w:rsid w:val="3D187F4A"/>
    <w:rsid w:val="3D18AA12"/>
    <w:rsid w:val="3D18CCB8"/>
    <w:rsid w:val="3D196869"/>
    <w:rsid w:val="3D1989B5"/>
    <w:rsid w:val="3D1A12AC"/>
    <w:rsid w:val="3D1A4588"/>
    <w:rsid w:val="3D1AC634"/>
    <w:rsid w:val="3D1B3080"/>
    <w:rsid w:val="3D1BF162"/>
    <w:rsid w:val="3D1C5EAB"/>
    <w:rsid w:val="3D1C7656"/>
    <w:rsid w:val="3D1C799E"/>
    <w:rsid w:val="3D1C9713"/>
    <w:rsid w:val="3D1CB5EF"/>
    <w:rsid w:val="3D1D51BC"/>
    <w:rsid w:val="3D1E5459"/>
    <w:rsid w:val="3D1E556B"/>
    <w:rsid w:val="3D20395E"/>
    <w:rsid w:val="3D20BB77"/>
    <w:rsid w:val="3D214434"/>
    <w:rsid w:val="3D216933"/>
    <w:rsid w:val="3D21BFBF"/>
    <w:rsid w:val="3D220380"/>
    <w:rsid w:val="3D22F7B5"/>
    <w:rsid w:val="3D232D0B"/>
    <w:rsid w:val="3D235023"/>
    <w:rsid w:val="3D248F98"/>
    <w:rsid w:val="3D26B6F8"/>
    <w:rsid w:val="3D28BBAA"/>
    <w:rsid w:val="3D295FBC"/>
    <w:rsid w:val="3D2985F4"/>
    <w:rsid w:val="3D2A4393"/>
    <w:rsid w:val="3D2B5670"/>
    <w:rsid w:val="3D2BCA9C"/>
    <w:rsid w:val="3D2C0746"/>
    <w:rsid w:val="3D2CB91C"/>
    <w:rsid w:val="3D2D675F"/>
    <w:rsid w:val="3D2D72B2"/>
    <w:rsid w:val="3D2D8C7F"/>
    <w:rsid w:val="3D2E38A3"/>
    <w:rsid w:val="3D2E4950"/>
    <w:rsid w:val="3D2EA7FD"/>
    <w:rsid w:val="3D2ED530"/>
    <w:rsid w:val="3D2EDA46"/>
    <w:rsid w:val="3D2F43F8"/>
    <w:rsid w:val="3D2F6F60"/>
    <w:rsid w:val="3D2F8654"/>
    <w:rsid w:val="3D309058"/>
    <w:rsid w:val="3D310902"/>
    <w:rsid w:val="3D31451E"/>
    <w:rsid w:val="3D321565"/>
    <w:rsid w:val="3D3277B7"/>
    <w:rsid w:val="3D33E7F7"/>
    <w:rsid w:val="3D355D2B"/>
    <w:rsid w:val="3D35A08B"/>
    <w:rsid w:val="3D36001E"/>
    <w:rsid w:val="3D360A92"/>
    <w:rsid w:val="3D3705D3"/>
    <w:rsid w:val="3D379BFF"/>
    <w:rsid w:val="3D379E4D"/>
    <w:rsid w:val="3D38CE32"/>
    <w:rsid w:val="3D3903C7"/>
    <w:rsid w:val="3D39B688"/>
    <w:rsid w:val="3D3A063D"/>
    <w:rsid w:val="3D3A22D1"/>
    <w:rsid w:val="3D3A4A13"/>
    <w:rsid w:val="3D3AFDFD"/>
    <w:rsid w:val="3D3B80ED"/>
    <w:rsid w:val="3D3D0C7F"/>
    <w:rsid w:val="3D3E9D90"/>
    <w:rsid w:val="3D3F31A7"/>
    <w:rsid w:val="3D3FF884"/>
    <w:rsid w:val="3D40A38C"/>
    <w:rsid w:val="3D40D634"/>
    <w:rsid w:val="3D410E12"/>
    <w:rsid w:val="3D413164"/>
    <w:rsid w:val="3D4155A6"/>
    <w:rsid w:val="3D4171B2"/>
    <w:rsid w:val="3D433F2C"/>
    <w:rsid w:val="3D441013"/>
    <w:rsid w:val="3D4496E9"/>
    <w:rsid w:val="3D44CBE4"/>
    <w:rsid w:val="3D451BAE"/>
    <w:rsid w:val="3D45921D"/>
    <w:rsid w:val="3D45BA95"/>
    <w:rsid w:val="3D45CE03"/>
    <w:rsid w:val="3D46529F"/>
    <w:rsid w:val="3D477602"/>
    <w:rsid w:val="3D479A53"/>
    <w:rsid w:val="3D482879"/>
    <w:rsid w:val="3D48535F"/>
    <w:rsid w:val="3D489A71"/>
    <w:rsid w:val="3D48C853"/>
    <w:rsid w:val="3D48F032"/>
    <w:rsid w:val="3D4916C6"/>
    <w:rsid w:val="3D498833"/>
    <w:rsid w:val="3D49E5C3"/>
    <w:rsid w:val="3D4A6B53"/>
    <w:rsid w:val="3D4A8B8B"/>
    <w:rsid w:val="3D4ADF6F"/>
    <w:rsid w:val="3D4AFD5E"/>
    <w:rsid w:val="3D4B48B8"/>
    <w:rsid w:val="3D4CAD52"/>
    <w:rsid w:val="3D4D9BA9"/>
    <w:rsid w:val="3D4E984B"/>
    <w:rsid w:val="3D4F4A08"/>
    <w:rsid w:val="3D4FB028"/>
    <w:rsid w:val="3D500193"/>
    <w:rsid w:val="3D504D9D"/>
    <w:rsid w:val="3D518471"/>
    <w:rsid w:val="3D5205DC"/>
    <w:rsid w:val="3D536578"/>
    <w:rsid w:val="3D53DA95"/>
    <w:rsid w:val="3D544884"/>
    <w:rsid w:val="3D545F03"/>
    <w:rsid w:val="3D567527"/>
    <w:rsid w:val="3D56894A"/>
    <w:rsid w:val="3D5713D1"/>
    <w:rsid w:val="3D58ABCC"/>
    <w:rsid w:val="3D590690"/>
    <w:rsid w:val="3D599038"/>
    <w:rsid w:val="3D5A69D7"/>
    <w:rsid w:val="3D5A954E"/>
    <w:rsid w:val="3D5BF9E8"/>
    <w:rsid w:val="3D5C7BF0"/>
    <w:rsid w:val="3D5CACC6"/>
    <w:rsid w:val="3D5CEB35"/>
    <w:rsid w:val="3D5E8BAF"/>
    <w:rsid w:val="3D5ED236"/>
    <w:rsid w:val="3D5F32E0"/>
    <w:rsid w:val="3D5F348F"/>
    <w:rsid w:val="3D60567D"/>
    <w:rsid w:val="3D60B2F7"/>
    <w:rsid w:val="3D617EBE"/>
    <w:rsid w:val="3D61F039"/>
    <w:rsid w:val="3D6421FD"/>
    <w:rsid w:val="3D6451CD"/>
    <w:rsid w:val="3D646226"/>
    <w:rsid w:val="3D64E652"/>
    <w:rsid w:val="3D6569A7"/>
    <w:rsid w:val="3D67BF0A"/>
    <w:rsid w:val="3D67DD8E"/>
    <w:rsid w:val="3D68C0E9"/>
    <w:rsid w:val="3D691D75"/>
    <w:rsid w:val="3D693E87"/>
    <w:rsid w:val="3D6A8EFD"/>
    <w:rsid w:val="3D6B21AD"/>
    <w:rsid w:val="3D6B275A"/>
    <w:rsid w:val="3D6B66EA"/>
    <w:rsid w:val="3D6B7173"/>
    <w:rsid w:val="3D6C17F7"/>
    <w:rsid w:val="3D6C6866"/>
    <w:rsid w:val="3D6CC347"/>
    <w:rsid w:val="3D6CCA18"/>
    <w:rsid w:val="3D6D51CA"/>
    <w:rsid w:val="3D6D51D4"/>
    <w:rsid w:val="3D6D9DA6"/>
    <w:rsid w:val="3D6DA694"/>
    <w:rsid w:val="3D6DB03B"/>
    <w:rsid w:val="3D6F52DD"/>
    <w:rsid w:val="3D6F5AE7"/>
    <w:rsid w:val="3D6F8ECB"/>
    <w:rsid w:val="3D7089EE"/>
    <w:rsid w:val="3D70C7BB"/>
    <w:rsid w:val="3D7111AE"/>
    <w:rsid w:val="3D718D54"/>
    <w:rsid w:val="3D71D7E2"/>
    <w:rsid w:val="3D732AA3"/>
    <w:rsid w:val="3D73485A"/>
    <w:rsid w:val="3D747A08"/>
    <w:rsid w:val="3D7690D6"/>
    <w:rsid w:val="3D76E089"/>
    <w:rsid w:val="3D7713BB"/>
    <w:rsid w:val="3D772D1D"/>
    <w:rsid w:val="3D773530"/>
    <w:rsid w:val="3D792F53"/>
    <w:rsid w:val="3D7A0710"/>
    <w:rsid w:val="3D7A9BCC"/>
    <w:rsid w:val="3D7ADC13"/>
    <w:rsid w:val="3D7B8B3D"/>
    <w:rsid w:val="3D7E35BC"/>
    <w:rsid w:val="3D7E83D4"/>
    <w:rsid w:val="3D7ED1E2"/>
    <w:rsid w:val="3D7EEA1A"/>
    <w:rsid w:val="3D7FAAA8"/>
    <w:rsid w:val="3D7FAB89"/>
    <w:rsid w:val="3D8048E7"/>
    <w:rsid w:val="3D81D056"/>
    <w:rsid w:val="3D820AF8"/>
    <w:rsid w:val="3D822C7A"/>
    <w:rsid w:val="3D82D248"/>
    <w:rsid w:val="3D82E8C3"/>
    <w:rsid w:val="3D843DA3"/>
    <w:rsid w:val="3D84C682"/>
    <w:rsid w:val="3D84D50C"/>
    <w:rsid w:val="3D8554E7"/>
    <w:rsid w:val="3D859B7F"/>
    <w:rsid w:val="3D85A60B"/>
    <w:rsid w:val="3D85AD53"/>
    <w:rsid w:val="3D864799"/>
    <w:rsid w:val="3D877B85"/>
    <w:rsid w:val="3D884FAC"/>
    <w:rsid w:val="3D88F428"/>
    <w:rsid w:val="3D899602"/>
    <w:rsid w:val="3D8A4757"/>
    <w:rsid w:val="3D8C4261"/>
    <w:rsid w:val="3D8C4B4F"/>
    <w:rsid w:val="3D8C57FF"/>
    <w:rsid w:val="3D8D77E2"/>
    <w:rsid w:val="3D8E9CDA"/>
    <w:rsid w:val="3D8FAE0D"/>
    <w:rsid w:val="3D8FC526"/>
    <w:rsid w:val="3D9039C7"/>
    <w:rsid w:val="3D9102EB"/>
    <w:rsid w:val="3D911A0C"/>
    <w:rsid w:val="3D918188"/>
    <w:rsid w:val="3D919939"/>
    <w:rsid w:val="3D91E3A9"/>
    <w:rsid w:val="3D921ED2"/>
    <w:rsid w:val="3D930502"/>
    <w:rsid w:val="3D93FE40"/>
    <w:rsid w:val="3D941745"/>
    <w:rsid w:val="3D953986"/>
    <w:rsid w:val="3D95485D"/>
    <w:rsid w:val="3D958076"/>
    <w:rsid w:val="3D96A144"/>
    <w:rsid w:val="3D97C961"/>
    <w:rsid w:val="3D97CB2E"/>
    <w:rsid w:val="3D98E1F4"/>
    <w:rsid w:val="3D98F24E"/>
    <w:rsid w:val="3D996918"/>
    <w:rsid w:val="3D9A2387"/>
    <w:rsid w:val="3D9A8D42"/>
    <w:rsid w:val="3D9A91F4"/>
    <w:rsid w:val="3D9AB449"/>
    <w:rsid w:val="3D9B21EE"/>
    <w:rsid w:val="3D9C3023"/>
    <w:rsid w:val="3D9C3972"/>
    <w:rsid w:val="3D9CC0B0"/>
    <w:rsid w:val="3D9DBEAA"/>
    <w:rsid w:val="3D9E2AD8"/>
    <w:rsid w:val="3D9E4801"/>
    <w:rsid w:val="3D9E5B57"/>
    <w:rsid w:val="3D9F1537"/>
    <w:rsid w:val="3D9F3498"/>
    <w:rsid w:val="3DA094C1"/>
    <w:rsid w:val="3DA1D509"/>
    <w:rsid w:val="3DA22CD9"/>
    <w:rsid w:val="3DA317C4"/>
    <w:rsid w:val="3DA36237"/>
    <w:rsid w:val="3DA3B3EA"/>
    <w:rsid w:val="3DA47AE9"/>
    <w:rsid w:val="3DA48789"/>
    <w:rsid w:val="3DA49CDB"/>
    <w:rsid w:val="3DA5E04D"/>
    <w:rsid w:val="3DA81FB9"/>
    <w:rsid w:val="3DA91CD2"/>
    <w:rsid w:val="3DA96947"/>
    <w:rsid w:val="3DAAA36E"/>
    <w:rsid w:val="3DAC5C84"/>
    <w:rsid w:val="3DACA1D0"/>
    <w:rsid w:val="3DACD705"/>
    <w:rsid w:val="3DAEFBF2"/>
    <w:rsid w:val="3DAF7506"/>
    <w:rsid w:val="3DB03564"/>
    <w:rsid w:val="3DB19EA3"/>
    <w:rsid w:val="3DB1ED4C"/>
    <w:rsid w:val="3DB2345B"/>
    <w:rsid w:val="3DB238DC"/>
    <w:rsid w:val="3DB28195"/>
    <w:rsid w:val="3DB338F6"/>
    <w:rsid w:val="3DB386CD"/>
    <w:rsid w:val="3DB3F0AF"/>
    <w:rsid w:val="3DB43C14"/>
    <w:rsid w:val="3DB4C478"/>
    <w:rsid w:val="3DB50D02"/>
    <w:rsid w:val="3DB59378"/>
    <w:rsid w:val="3DB59934"/>
    <w:rsid w:val="3DB5FC4D"/>
    <w:rsid w:val="3DB698F2"/>
    <w:rsid w:val="3DB766D5"/>
    <w:rsid w:val="3DB832AC"/>
    <w:rsid w:val="3DB87486"/>
    <w:rsid w:val="3DB8B5A4"/>
    <w:rsid w:val="3DB8C3A4"/>
    <w:rsid w:val="3DB97547"/>
    <w:rsid w:val="3DBAFA1F"/>
    <w:rsid w:val="3DBB3FFB"/>
    <w:rsid w:val="3DBB943F"/>
    <w:rsid w:val="3DBBB8E6"/>
    <w:rsid w:val="3DBC02F4"/>
    <w:rsid w:val="3DBC1224"/>
    <w:rsid w:val="3DBE5FBE"/>
    <w:rsid w:val="3DBEE46D"/>
    <w:rsid w:val="3DBF6BD5"/>
    <w:rsid w:val="3DBF6C40"/>
    <w:rsid w:val="3DBFA04A"/>
    <w:rsid w:val="3DBFBA79"/>
    <w:rsid w:val="3DC15636"/>
    <w:rsid w:val="3DC3456A"/>
    <w:rsid w:val="3DC4DB69"/>
    <w:rsid w:val="3DC55765"/>
    <w:rsid w:val="3DC65F32"/>
    <w:rsid w:val="3DC6FFE1"/>
    <w:rsid w:val="3DC72A37"/>
    <w:rsid w:val="3DC74F35"/>
    <w:rsid w:val="3DC7A153"/>
    <w:rsid w:val="3DC7E743"/>
    <w:rsid w:val="3DC802B5"/>
    <w:rsid w:val="3DC8878D"/>
    <w:rsid w:val="3DC94A4B"/>
    <w:rsid w:val="3DC990D0"/>
    <w:rsid w:val="3DCA0662"/>
    <w:rsid w:val="3DCA5BD0"/>
    <w:rsid w:val="3DCAB04F"/>
    <w:rsid w:val="3DCAF287"/>
    <w:rsid w:val="3DCB1A22"/>
    <w:rsid w:val="3DCB34AF"/>
    <w:rsid w:val="3DCB7CAF"/>
    <w:rsid w:val="3DCBBFCE"/>
    <w:rsid w:val="3DCC1D35"/>
    <w:rsid w:val="3DCC4F68"/>
    <w:rsid w:val="3DCCF95A"/>
    <w:rsid w:val="3DCD3CA4"/>
    <w:rsid w:val="3DCD43EF"/>
    <w:rsid w:val="3DCDEE0A"/>
    <w:rsid w:val="3DCE0753"/>
    <w:rsid w:val="3DCE1898"/>
    <w:rsid w:val="3DCEC7FC"/>
    <w:rsid w:val="3DCEE236"/>
    <w:rsid w:val="3DD07A69"/>
    <w:rsid w:val="3DD08E04"/>
    <w:rsid w:val="3DD0C51E"/>
    <w:rsid w:val="3DD2384F"/>
    <w:rsid w:val="3DD25818"/>
    <w:rsid w:val="3DD2B680"/>
    <w:rsid w:val="3DD2DB7C"/>
    <w:rsid w:val="3DD3234D"/>
    <w:rsid w:val="3DD36747"/>
    <w:rsid w:val="3DD37FC9"/>
    <w:rsid w:val="3DD6BCC5"/>
    <w:rsid w:val="3DD6EEC7"/>
    <w:rsid w:val="3DD79544"/>
    <w:rsid w:val="3DD8EA61"/>
    <w:rsid w:val="3DD92D89"/>
    <w:rsid w:val="3DDA1D7C"/>
    <w:rsid w:val="3DDA285F"/>
    <w:rsid w:val="3DDA4905"/>
    <w:rsid w:val="3DDA4EAC"/>
    <w:rsid w:val="3DDEF7A3"/>
    <w:rsid w:val="3DDF71D7"/>
    <w:rsid w:val="3DDFC75F"/>
    <w:rsid w:val="3DDFD867"/>
    <w:rsid w:val="3DE08B3D"/>
    <w:rsid w:val="3DE0B599"/>
    <w:rsid w:val="3DE1A5AF"/>
    <w:rsid w:val="3DE340A5"/>
    <w:rsid w:val="3DE36294"/>
    <w:rsid w:val="3DE41094"/>
    <w:rsid w:val="3DE41A72"/>
    <w:rsid w:val="3DE4D8EA"/>
    <w:rsid w:val="3DE54892"/>
    <w:rsid w:val="3DE85644"/>
    <w:rsid w:val="3DE941C6"/>
    <w:rsid w:val="3DEA9C97"/>
    <w:rsid w:val="3DEB10F2"/>
    <w:rsid w:val="3DEB4C6B"/>
    <w:rsid w:val="3DEB8D91"/>
    <w:rsid w:val="3DEBFFC1"/>
    <w:rsid w:val="3DECD3F1"/>
    <w:rsid w:val="3DEDBED2"/>
    <w:rsid w:val="3DEE2DCD"/>
    <w:rsid w:val="3DEE4214"/>
    <w:rsid w:val="3DEE4F9B"/>
    <w:rsid w:val="3DEE8194"/>
    <w:rsid w:val="3DEE8F86"/>
    <w:rsid w:val="3DEFF488"/>
    <w:rsid w:val="3DF05C98"/>
    <w:rsid w:val="3DF0693D"/>
    <w:rsid w:val="3DF0A694"/>
    <w:rsid w:val="3DF0AC80"/>
    <w:rsid w:val="3DF13503"/>
    <w:rsid w:val="3DF21E47"/>
    <w:rsid w:val="3DF23695"/>
    <w:rsid w:val="3DF25F51"/>
    <w:rsid w:val="3DF26C29"/>
    <w:rsid w:val="3DF292BB"/>
    <w:rsid w:val="3DF2BAAC"/>
    <w:rsid w:val="3DF308E9"/>
    <w:rsid w:val="3DF3890C"/>
    <w:rsid w:val="3DF5AA93"/>
    <w:rsid w:val="3DF71A50"/>
    <w:rsid w:val="3DF722E1"/>
    <w:rsid w:val="3DF79BB9"/>
    <w:rsid w:val="3DF7D049"/>
    <w:rsid w:val="3DF8C2A0"/>
    <w:rsid w:val="3DF8E116"/>
    <w:rsid w:val="3DF8E1F7"/>
    <w:rsid w:val="3DF9559F"/>
    <w:rsid w:val="3DF9A68D"/>
    <w:rsid w:val="3DF9EAC8"/>
    <w:rsid w:val="3DFA8105"/>
    <w:rsid w:val="3DFAA040"/>
    <w:rsid w:val="3DFB8547"/>
    <w:rsid w:val="3DFC5A62"/>
    <w:rsid w:val="3DFC66BA"/>
    <w:rsid w:val="3DFF8A88"/>
    <w:rsid w:val="3E0021EE"/>
    <w:rsid w:val="3E0057A7"/>
    <w:rsid w:val="3E006FAF"/>
    <w:rsid w:val="3E018756"/>
    <w:rsid w:val="3E0277E2"/>
    <w:rsid w:val="3E02A742"/>
    <w:rsid w:val="3E02F2E6"/>
    <w:rsid w:val="3E0359CE"/>
    <w:rsid w:val="3E03943C"/>
    <w:rsid w:val="3E049B29"/>
    <w:rsid w:val="3E0571C9"/>
    <w:rsid w:val="3E0697DA"/>
    <w:rsid w:val="3E06B3DA"/>
    <w:rsid w:val="3E06BDE7"/>
    <w:rsid w:val="3E083DAE"/>
    <w:rsid w:val="3E086C62"/>
    <w:rsid w:val="3E08740F"/>
    <w:rsid w:val="3E08EBD5"/>
    <w:rsid w:val="3E091CC0"/>
    <w:rsid w:val="3E0B07D3"/>
    <w:rsid w:val="3E0B2FFE"/>
    <w:rsid w:val="3E0B541A"/>
    <w:rsid w:val="3E0B7201"/>
    <w:rsid w:val="3E0BC283"/>
    <w:rsid w:val="3E0BD4A9"/>
    <w:rsid w:val="3E0CE1DD"/>
    <w:rsid w:val="3E0CF0E4"/>
    <w:rsid w:val="3E0CFB75"/>
    <w:rsid w:val="3E0F0317"/>
    <w:rsid w:val="3E0F3B59"/>
    <w:rsid w:val="3E0FD688"/>
    <w:rsid w:val="3E1003DE"/>
    <w:rsid w:val="3E1015D7"/>
    <w:rsid w:val="3E106F89"/>
    <w:rsid w:val="3E10869C"/>
    <w:rsid w:val="3E11CEFD"/>
    <w:rsid w:val="3E11F439"/>
    <w:rsid w:val="3E1268FF"/>
    <w:rsid w:val="3E144802"/>
    <w:rsid w:val="3E145EE9"/>
    <w:rsid w:val="3E14E08D"/>
    <w:rsid w:val="3E16250A"/>
    <w:rsid w:val="3E16441B"/>
    <w:rsid w:val="3E16BF8E"/>
    <w:rsid w:val="3E1783DF"/>
    <w:rsid w:val="3E1799DF"/>
    <w:rsid w:val="3E1805B1"/>
    <w:rsid w:val="3E18A2CE"/>
    <w:rsid w:val="3E1956D0"/>
    <w:rsid w:val="3E19AFF6"/>
    <w:rsid w:val="3E19CAF4"/>
    <w:rsid w:val="3E19E074"/>
    <w:rsid w:val="3E1B30E3"/>
    <w:rsid w:val="3E1C2076"/>
    <w:rsid w:val="3E1C3FB8"/>
    <w:rsid w:val="3E1C5C2D"/>
    <w:rsid w:val="3E1C68AA"/>
    <w:rsid w:val="3E1C924B"/>
    <w:rsid w:val="3E1D5CCE"/>
    <w:rsid w:val="3E1DAB14"/>
    <w:rsid w:val="3E1DCFBF"/>
    <w:rsid w:val="3E1E2880"/>
    <w:rsid w:val="3E202604"/>
    <w:rsid w:val="3E20BBB6"/>
    <w:rsid w:val="3E211A36"/>
    <w:rsid w:val="3E2240B6"/>
    <w:rsid w:val="3E226401"/>
    <w:rsid w:val="3E233C13"/>
    <w:rsid w:val="3E23AE45"/>
    <w:rsid w:val="3E23F9AB"/>
    <w:rsid w:val="3E248568"/>
    <w:rsid w:val="3E2497BC"/>
    <w:rsid w:val="3E259044"/>
    <w:rsid w:val="3E25C584"/>
    <w:rsid w:val="3E26C678"/>
    <w:rsid w:val="3E280F41"/>
    <w:rsid w:val="3E28CD01"/>
    <w:rsid w:val="3E299C4C"/>
    <w:rsid w:val="3E2AF9F3"/>
    <w:rsid w:val="3E2C225C"/>
    <w:rsid w:val="3E2C2595"/>
    <w:rsid w:val="3E2C3D1B"/>
    <w:rsid w:val="3E2C5735"/>
    <w:rsid w:val="3E2C7D9B"/>
    <w:rsid w:val="3E2E28BD"/>
    <w:rsid w:val="3E2FA0A8"/>
    <w:rsid w:val="3E3160E4"/>
    <w:rsid w:val="3E323261"/>
    <w:rsid w:val="3E32750E"/>
    <w:rsid w:val="3E32B2D3"/>
    <w:rsid w:val="3E336812"/>
    <w:rsid w:val="3E344FEA"/>
    <w:rsid w:val="3E346970"/>
    <w:rsid w:val="3E34DA94"/>
    <w:rsid w:val="3E360079"/>
    <w:rsid w:val="3E374FAD"/>
    <w:rsid w:val="3E385159"/>
    <w:rsid w:val="3E385AA6"/>
    <w:rsid w:val="3E39BDA2"/>
    <w:rsid w:val="3E3A8681"/>
    <w:rsid w:val="3E3AB4F5"/>
    <w:rsid w:val="3E3C14CF"/>
    <w:rsid w:val="3E3C2A00"/>
    <w:rsid w:val="3E3D3DA4"/>
    <w:rsid w:val="3E3E804E"/>
    <w:rsid w:val="3E3FAB3E"/>
    <w:rsid w:val="3E3FCAF9"/>
    <w:rsid w:val="3E40A669"/>
    <w:rsid w:val="3E42EA4E"/>
    <w:rsid w:val="3E450C76"/>
    <w:rsid w:val="3E458F0D"/>
    <w:rsid w:val="3E46B934"/>
    <w:rsid w:val="3E4727D4"/>
    <w:rsid w:val="3E48A8B6"/>
    <w:rsid w:val="3E490C98"/>
    <w:rsid w:val="3E495FE2"/>
    <w:rsid w:val="3E49E386"/>
    <w:rsid w:val="3E4A2B3F"/>
    <w:rsid w:val="3E4B39A6"/>
    <w:rsid w:val="3E4B7090"/>
    <w:rsid w:val="3E4C1B7E"/>
    <w:rsid w:val="3E4C5DD0"/>
    <w:rsid w:val="3E4CE46E"/>
    <w:rsid w:val="3E4D176F"/>
    <w:rsid w:val="3E4E84A3"/>
    <w:rsid w:val="3E4EF6E4"/>
    <w:rsid w:val="3E4F3C11"/>
    <w:rsid w:val="3E4FBCF7"/>
    <w:rsid w:val="3E4FE32C"/>
    <w:rsid w:val="3E500661"/>
    <w:rsid w:val="3E500699"/>
    <w:rsid w:val="3E5061E1"/>
    <w:rsid w:val="3E50F6F2"/>
    <w:rsid w:val="3E518149"/>
    <w:rsid w:val="3E527B35"/>
    <w:rsid w:val="3E528E8A"/>
    <w:rsid w:val="3E5337A3"/>
    <w:rsid w:val="3E533FFC"/>
    <w:rsid w:val="3E537B39"/>
    <w:rsid w:val="3E53EA25"/>
    <w:rsid w:val="3E53FC82"/>
    <w:rsid w:val="3E54F525"/>
    <w:rsid w:val="3E559E26"/>
    <w:rsid w:val="3E55E19B"/>
    <w:rsid w:val="3E55E522"/>
    <w:rsid w:val="3E5607AB"/>
    <w:rsid w:val="3E575076"/>
    <w:rsid w:val="3E575B79"/>
    <w:rsid w:val="3E579752"/>
    <w:rsid w:val="3E5936E4"/>
    <w:rsid w:val="3E5A4D49"/>
    <w:rsid w:val="3E5ABC05"/>
    <w:rsid w:val="3E5B375E"/>
    <w:rsid w:val="3E5BA858"/>
    <w:rsid w:val="3E5BE04D"/>
    <w:rsid w:val="3E5C2A9E"/>
    <w:rsid w:val="3E5CDB60"/>
    <w:rsid w:val="3E5E77B2"/>
    <w:rsid w:val="3E5EEB46"/>
    <w:rsid w:val="3E60687F"/>
    <w:rsid w:val="3E61175E"/>
    <w:rsid w:val="3E62C0C4"/>
    <w:rsid w:val="3E62CE25"/>
    <w:rsid w:val="3E62FFCD"/>
    <w:rsid w:val="3E642B79"/>
    <w:rsid w:val="3E663AC1"/>
    <w:rsid w:val="3E66CE1C"/>
    <w:rsid w:val="3E6700C7"/>
    <w:rsid w:val="3E6741D5"/>
    <w:rsid w:val="3E681979"/>
    <w:rsid w:val="3E68E7FD"/>
    <w:rsid w:val="3E690C79"/>
    <w:rsid w:val="3E6A2A19"/>
    <w:rsid w:val="3E6A7F53"/>
    <w:rsid w:val="3E6ACE34"/>
    <w:rsid w:val="3E6D2B1B"/>
    <w:rsid w:val="3E6E6654"/>
    <w:rsid w:val="3E6EE155"/>
    <w:rsid w:val="3E6EED5B"/>
    <w:rsid w:val="3E6FFA76"/>
    <w:rsid w:val="3E70D407"/>
    <w:rsid w:val="3E710068"/>
    <w:rsid w:val="3E712B72"/>
    <w:rsid w:val="3E71D76B"/>
    <w:rsid w:val="3E724D83"/>
    <w:rsid w:val="3E727B24"/>
    <w:rsid w:val="3E731031"/>
    <w:rsid w:val="3E731A19"/>
    <w:rsid w:val="3E7535BD"/>
    <w:rsid w:val="3E76298A"/>
    <w:rsid w:val="3E773124"/>
    <w:rsid w:val="3E775EB5"/>
    <w:rsid w:val="3E779615"/>
    <w:rsid w:val="3E779823"/>
    <w:rsid w:val="3E785E6A"/>
    <w:rsid w:val="3E78675B"/>
    <w:rsid w:val="3E78DE56"/>
    <w:rsid w:val="3E7906C7"/>
    <w:rsid w:val="3E7A8875"/>
    <w:rsid w:val="3E7B012F"/>
    <w:rsid w:val="3E7CAA78"/>
    <w:rsid w:val="3E7D8440"/>
    <w:rsid w:val="3E7E4594"/>
    <w:rsid w:val="3E7E787B"/>
    <w:rsid w:val="3E7F88FB"/>
    <w:rsid w:val="3E7F91C3"/>
    <w:rsid w:val="3E7FAED8"/>
    <w:rsid w:val="3E7FB279"/>
    <w:rsid w:val="3E7FBDD9"/>
    <w:rsid w:val="3E8000C0"/>
    <w:rsid w:val="3E807EB8"/>
    <w:rsid w:val="3E80C90E"/>
    <w:rsid w:val="3E80E567"/>
    <w:rsid w:val="3E816B0F"/>
    <w:rsid w:val="3E81A45A"/>
    <w:rsid w:val="3E824AD8"/>
    <w:rsid w:val="3E82B04E"/>
    <w:rsid w:val="3E83ED6C"/>
    <w:rsid w:val="3E83FA46"/>
    <w:rsid w:val="3E84885B"/>
    <w:rsid w:val="3E84995D"/>
    <w:rsid w:val="3E84D131"/>
    <w:rsid w:val="3E8544D5"/>
    <w:rsid w:val="3E879D5D"/>
    <w:rsid w:val="3E87E28B"/>
    <w:rsid w:val="3E88849D"/>
    <w:rsid w:val="3E88CE24"/>
    <w:rsid w:val="3E8ACF7A"/>
    <w:rsid w:val="3E8ADCD2"/>
    <w:rsid w:val="3E8B5CFB"/>
    <w:rsid w:val="3E8B6D8F"/>
    <w:rsid w:val="3E8BC84B"/>
    <w:rsid w:val="3E8BCDB7"/>
    <w:rsid w:val="3E8DE0BE"/>
    <w:rsid w:val="3E8E2C9D"/>
    <w:rsid w:val="3E8ED50F"/>
    <w:rsid w:val="3E8EF94A"/>
    <w:rsid w:val="3E8F0FBF"/>
    <w:rsid w:val="3E8F4F85"/>
    <w:rsid w:val="3E8FAA8F"/>
    <w:rsid w:val="3E8FD603"/>
    <w:rsid w:val="3E900527"/>
    <w:rsid w:val="3E90C3D7"/>
    <w:rsid w:val="3E921BE3"/>
    <w:rsid w:val="3E926ADE"/>
    <w:rsid w:val="3E928DD3"/>
    <w:rsid w:val="3E931D46"/>
    <w:rsid w:val="3E93A625"/>
    <w:rsid w:val="3E962C61"/>
    <w:rsid w:val="3E97B4EC"/>
    <w:rsid w:val="3E97EED1"/>
    <w:rsid w:val="3E980CC9"/>
    <w:rsid w:val="3E983C54"/>
    <w:rsid w:val="3E989B89"/>
    <w:rsid w:val="3E98A9DF"/>
    <w:rsid w:val="3E996E0C"/>
    <w:rsid w:val="3E999852"/>
    <w:rsid w:val="3E99E8DE"/>
    <w:rsid w:val="3E9ABC22"/>
    <w:rsid w:val="3E9BCE49"/>
    <w:rsid w:val="3E9C3369"/>
    <w:rsid w:val="3E9C4738"/>
    <w:rsid w:val="3E9C5B14"/>
    <w:rsid w:val="3E9D1CB1"/>
    <w:rsid w:val="3E9D2957"/>
    <w:rsid w:val="3E9DB8C0"/>
    <w:rsid w:val="3E9DC307"/>
    <w:rsid w:val="3E9DC638"/>
    <w:rsid w:val="3E9E5237"/>
    <w:rsid w:val="3E9EBD00"/>
    <w:rsid w:val="3E9EF8A7"/>
    <w:rsid w:val="3E9F7D2A"/>
    <w:rsid w:val="3E9F834A"/>
    <w:rsid w:val="3E9F9EB5"/>
    <w:rsid w:val="3EA05294"/>
    <w:rsid w:val="3EA0FB73"/>
    <w:rsid w:val="3EA10841"/>
    <w:rsid w:val="3EA11662"/>
    <w:rsid w:val="3EA14C70"/>
    <w:rsid w:val="3EA2C395"/>
    <w:rsid w:val="3EA2D175"/>
    <w:rsid w:val="3EA35066"/>
    <w:rsid w:val="3EA37BC9"/>
    <w:rsid w:val="3EA39874"/>
    <w:rsid w:val="3EA51D62"/>
    <w:rsid w:val="3EA53DE7"/>
    <w:rsid w:val="3EA61336"/>
    <w:rsid w:val="3EA6B8F3"/>
    <w:rsid w:val="3EA794C5"/>
    <w:rsid w:val="3EA917D1"/>
    <w:rsid w:val="3EAA248B"/>
    <w:rsid w:val="3EAA7D7D"/>
    <w:rsid w:val="3EAB662F"/>
    <w:rsid w:val="3EABFE8C"/>
    <w:rsid w:val="3EAD9225"/>
    <w:rsid w:val="3EADB0A3"/>
    <w:rsid w:val="3EAEE016"/>
    <w:rsid w:val="3EB086E8"/>
    <w:rsid w:val="3EB16CD8"/>
    <w:rsid w:val="3EB23556"/>
    <w:rsid w:val="3EB299AF"/>
    <w:rsid w:val="3EB2C332"/>
    <w:rsid w:val="3EB3FFD8"/>
    <w:rsid w:val="3EB45C37"/>
    <w:rsid w:val="3EB49EF3"/>
    <w:rsid w:val="3EB61EFF"/>
    <w:rsid w:val="3EB62418"/>
    <w:rsid w:val="3EB64874"/>
    <w:rsid w:val="3EB6D7C9"/>
    <w:rsid w:val="3EB73CCC"/>
    <w:rsid w:val="3EB7A980"/>
    <w:rsid w:val="3EB82BC9"/>
    <w:rsid w:val="3EB83086"/>
    <w:rsid w:val="3EB8B4D9"/>
    <w:rsid w:val="3EB8C5DF"/>
    <w:rsid w:val="3EB917D9"/>
    <w:rsid w:val="3EB99994"/>
    <w:rsid w:val="3EB9FDCD"/>
    <w:rsid w:val="3EBC3893"/>
    <w:rsid w:val="3EBC4D16"/>
    <w:rsid w:val="3EBC5061"/>
    <w:rsid w:val="3EBD403F"/>
    <w:rsid w:val="3EBD58EC"/>
    <w:rsid w:val="3EBDC5E7"/>
    <w:rsid w:val="3EBE32AC"/>
    <w:rsid w:val="3EBEC790"/>
    <w:rsid w:val="3EC04B2D"/>
    <w:rsid w:val="3EC06971"/>
    <w:rsid w:val="3EC080D7"/>
    <w:rsid w:val="3EC16770"/>
    <w:rsid w:val="3EC1A175"/>
    <w:rsid w:val="3EC1A3C4"/>
    <w:rsid w:val="3EC1CCEC"/>
    <w:rsid w:val="3EC1E654"/>
    <w:rsid w:val="3EC2958A"/>
    <w:rsid w:val="3EC39513"/>
    <w:rsid w:val="3EC45DB1"/>
    <w:rsid w:val="3EC76089"/>
    <w:rsid w:val="3EC788C7"/>
    <w:rsid w:val="3EC7A988"/>
    <w:rsid w:val="3EC832ED"/>
    <w:rsid w:val="3EC847AC"/>
    <w:rsid w:val="3EC870AB"/>
    <w:rsid w:val="3EC9B4ED"/>
    <w:rsid w:val="3ECA0904"/>
    <w:rsid w:val="3ECA418F"/>
    <w:rsid w:val="3ECAC1E0"/>
    <w:rsid w:val="3ECB1AA1"/>
    <w:rsid w:val="3ECB4BD7"/>
    <w:rsid w:val="3ECC7189"/>
    <w:rsid w:val="3ECD231C"/>
    <w:rsid w:val="3ECF2F07"/>
    <w:rsid w:val="3ECF92BD"/>
    <w:rsid w:val="3ECFC115"/>
    <w:rsid w:val="3ECFE440"/>
    <w:rsid w:val="3ECFEBF9"/>
    <w:rsid w:val="3ED0E6F5"/>
    <w:rsid w:val="3ED10004"/>
    <w:rsid w:val="3ED1014A"/>
    <w:rsid w:val="3ED22CFA"/>
    <w:rsid w:val="3ED291A8"/>
    <w:rsid w:val="3ED44098"/>
    <w:rsid w:val="3ED44F68"/>
    <w:rsid w:val="3ED4E771"/>
    <w:rsid w:val="3ED57E42"/>
    <w:rsid w:val="3ED586E9"/>
    <w:rsid w:val="3ED63FF4"/>
    <w:rsid w:val="3ED6CBC1"/>
    <w:rsid w:val="3ED71B12"/>
    <w:rsid w:val="3ED73CAB"/>
    <w:rsid w:val="3ED75224"/>
    <w:rsid w:val="3ED797C5"/>
    <w:rsid w:val="3ED80AA2"/>
    <w:rsid w:val="3ED84030"/>
    <w:rsid w:val="3ED94EAE"/>
    <w:rsid w:val="3ED9EB9E"/>
    <w:rsid w:val="3EDA4CA1"/>
    <w:rsid w:val="3EDB116A"/>
    <w:rsid w:val="3EDC2651"/>
    <w:rsid w:val="3EDC4405"/>
    <w:rsid w:val="3EDC7C06"/>
    <w:rsid w:val="3EDCFB61"/>
    <w:rsid w:val="3EDD7507"/>
    <w:rsid w:val="3EDE19F1"/>
    <w:rsid w:val="3EDE511C"/>
    <w:rsid w:val="3EDE9899"/>
    <w:rsid w:val="3EDF9B1C"/>
    <w:rsid w:val="3EE05543"/>
    <w:rsid w:val="3EE05784"/>
    <w:rsid w:val="3EE0BA68"/>
    <w:rsid w:val="3EE0DD1C"/>
    <w:rsid w:val="3EE0E5F2"/>
    <w:rsid w:val="3EE1457D"/>
    <w:rsid w:val="3EE1E0FE"/>
    <w:rsid w:val="3EE2CCB8"/>
    <w:rsid w:val="3EE3665B"/>
    <w:rsid w:val="3EE38081"/>
    <w:rsid w:val="3EE45CCE"/>
    <w:rsid w:val="3EE51356"/>
    <w:rsid w:val="3EE5642A"/>
    <w:rsid w:val="3EE76E35"/>
    <w:rsid w:val="3EE7FA7B"/>
    <w:rsid w:val="3EE8992A"/>
    <w:rsid w:val="3EE9D6FC"/>
    <w:rsid w:val="3EEB04B0"/>
    <w:rsid w:val="3EEB5024"/>
    <w:rsid w:val="3EEC7477"/>
    <w:rsid w:val="3EECBCBF"/>
    <w:rsid w:val="3EECED76"/>
    <w:rsid w:val="3EECFB2B"/>
    <w:rsid w:val="3EED91CA"/>
    <w:rsid w:val="3EEDB477"/>
    <w:rsid w:val="3EEE07B8"/>
    <w:rsid w:val="3EEE17CE"/>
    <w:rsid w:val="3EEEAE07"/>
    <w:rsid w:val="3EEF0BBE"/>
    <w:rsid w:val="3EEF52F5"/>
    <w:rsid w:val="3EF186FD"/>
    <w:rsid w:val="3EF19F5F"/>
    <w:rsid w:val="3EF1AC0A"/>
    <w:rsid w:val="3EF246B6"/>
    <w:rsid w:val="3EF31477"/>
    <w:rsid w:val="3EF39969"/>
    <w:rsid w:val="3EF3D923"/>
    <w:rsid w:val="3EF456FE"/>
    <w:rsid w:val="3EF5BC69"/>
    <w:rsid w:val="3EF6565B"/>
    <w:rsid w:val="3EF6BF08"/>
    <w:rsid w:val="3EF6F5DF"/>
    <w:rsid w:val="3EF71E98"/>
    <w:rsid w:val="3EF89158"/>
    <w:rsid w:val="3EFA26AE"/>
    <w:rsid w:val="3EFA497B"/>
    <w:rsid w:val="3EFB86CA"/>
    <w:rsid w:val="3EFC3C26"/>
    <w:rsid w:val="3EFC51F9"/>
    <w:rsid w:val="3EFC8689"/>
    <w:rsid w:val="3EFC9F05"/>
    <w:rsid w:val="3EFCFF39"/>
    <w:rsid w:val="3EFD0BDA"/>
    <w:rsid w:val="3EFD9E58"/>
    <w:rsid w:val="3EFDD064"/>
    <w:rsid w:val="3EFE59D5"/>
    <w:rsid w:val="3EFEC892"/>
    <w:rsid w:val="3EFEC908"/>
    <w:rsid w:val="3EFEE55C"/>
    <w:rsid w:val="3EFF1CC1"/>
    <w:rsid w:val="3EFF5E3C"/>
    <w:rsid w:val="3F00089B"/>
    <w:rsid w:val="3F00AF8B"/>
    <w:rsid w:val="3F00D4F4"/>
    <w:rsid w:val="3F01EBE7"/>
    <w:rsid w:val="3F02239B"/>
    <w:rsid w:val="3F02FB3B"/>
    <w:rsid w:val="3F0337BB"/>
    <w:rsid w:val="3F041362"/>
    <w:rsid w:val="3F0564CB"/>
    <w:rsid w:val="3F058951"/>
    <w:rsid w:val="3F05B8C7"/>
    <w:rsid w:val="3F05EC2F"/>
    <w:rsid w:val="3F06113B"/>
    <w:rsid w:val="3F06F7BB"/>
    <w:rsid w:val="3F071705"/>
    <w:rsid w:val="3F0766A7"/>
    <w:rsid w:val="3F082C79"/>
    <w:rsid w:val="3F0860B2"/>
    <w:rsid w:val="3F091C11"/>
    <w:rsid w:val="3F095D71"/>
    <w:rsid w:val="3F09AEE4"/>
    <w:rsid w:val="3F09F71F"/>
    <w:rsid w:val="3F0A0A15"/>
    <w:rsid w:val="3F0A89A8"/>
    <w:rsid w:val="3F0A9DC4"/>
    <w:rsid w:val="3F0B9AC6"/>
    <w:rsid w:val="3F0C05AF"/>
    <w:rsid w:val="3F0C48FA"/>
    <w:rsid w:val="3F0C9FD6"/>
    <w:rsid w:val="3F0D1C42"/>
    <w:rsid w:val="3F0DD4B4"/>
    <w:rsid w:val="3F0E3143"/>
    <w:rsid w:val="3F0E631A"/>
    <w:rsid w:val="3F0EDC33"/>
    <w:rsid w:val="3F0F5576"/>
    <w:rsid w:val="3F0F58F8"/>
    <w:rsid w:val="3F10616E"/>
    <w:rsid w:val="3F1135E0"/>
    <w:rsid w:val="3F116D4A"/>
    <w:rsid w:val="3F117AFD"/>
    <w:rsid w:val="3F11E3AA"/>
    <w:rsid w:val="3F129292"/>
    <w:rsid w:val="3F12C606"/>
    <w:rsid w:val="3F137098"/>
    <w:rsid w:val="3F144644"/>
    <w:rsid w:val="3F153C5C"/>
    <w:rsid w:val="3F15F2A9"/>
    <w:rsid w:val="3F160B8F"/>
    <w:rsid w:val="3F16AEB3"/>
    <w:rsid w:val="3F17CA4F"/>
    <w:rsid w:val="3F17D28C"/>
    <w:rsid w:val="3F184ED9"/>
    <w:rsid w:val="3F1898FF"/>
    <w:rsid w:val="3F18EA29"/>
    <w:rsid w:val="3F1A1061"/>
    <w:rsid w:val="3F1A791F"/>
    <w:rsid w:val="3F1AF6AC"/>
    <w:rsid w:val="3F1BA214"/>
    <w:rsid w:val="3F1DFDB0"/>
    <w:rsid w:val="3F1E399D"/>
    <w:rsid w:val="3F1F3328"/>
    <w:rsid w:val="3F1F4F29"/>
    <w:rsid w:val="3F2008DF"/>
    <w:rsid w:val="3F202715"/>
    <w:rsid w:val="3F20B18D"/>
    <w:rsid w:val="3F227F55"/>
    <w:rsid w:val="3F22C1DC"/>
    <w:rsid w:val="3F233B20"/>
    <w:rsid w:val="3F23AE07"/>
    <w:rsid w:val="3F2428BE"/>
    <w:rsid w:val="3F245ECB"/>
    <w:rsid w:val="3F255EA3"/>
    <w:rsid w:val="3F256718"/>
    <w:rsid w:val="3F2592CE"/>
    <w:rsid w:val="3F2625B8"/>
    <w:rsid w:val="3F278B8D"/>
    <w:rsid w:val="3F288052"/>
    <w:rsid w:val="3F29BA4E"/>
    <w:rsid w:val="3F29EEC5"/>
    <w:rsid w:val="3F2A41EE"/>
    <w:rsid w:val="3F2A9D00"/>
    <w:rsid w:val="3F2B8827"/>
    <w:rsid w:val="3F2CBFAD"/>
    <w:rsid w:val="3F2CD35D"/>
    <w:rsid w:val="3F2CDD9F"/>
    <w:rsid w:val="3F2D6F97"/>
    <w:rsid w:val="3F2E81F0"/>
    <w:rsid w:val="3F2E850A"/>
    <w:rsid w:val="3F2EA39A"/>
    <w:rsid w:val="3F2EC377"/>
    <w:rsid w:val="3F2F6121"/>
    <w:rsid w:val="3F310EEF"/>
    <w:rsid w:val="3F314713"/>
    <w:rsid w:val="3F31914E"/>
    <w:rsid w:val="3F3344A0"/>
    <w:rsid w:val="3F345E14"/>
    <w:rsid w:val="3F346C2E"/>
    <w:rsid w:val="3F34949B"/>
    <w:rsid w:val="3F34DFD4"/>
    <w:rsid w:val="3F356845"/>
    <w:rsid w:val="3F35B89C"/>
    <w:rsid w:val="3F363AD1"/>
    <w:rsid w:val="3F368EE1"/>
    <w:rsid w:val="3F37888F"/>
    <w:rsid w:val="3F37C5D8"/>
    <w:rsid w:val="3F382136"/>
    <w:rsid w:val="3F38D2A0"/>
    <w:rsid w:val="3F3A7615"/>
    <w:rsid w:val="3F3AC371"/>
    <w:rsid w:val="3F3B5CA2"/>
    <w:rsid w:val="3F3B78A8"/>
    <w:rsid w:val="3F3BFF7A"/>
    <w:rsid w:val="3F3C96C2"/>
    <w:rsid w:val="3F3E7441"/>
    <w:rsid w:val="3F3FE4DA"/>
    <w:rsid w:val="3F40A3EB"/>
    <w:rsid w:val="3F40B4F4"/>
    <w:rsid w:val="3F414BCB"/>
    <w:rsid w:val="3F4151A6"/>
    <w:rsid w:val="3F415E40"/>
    <w:rsid w:val="3F41B331"/>
    <w:rsid w:val="3F41BEEE"/>
    <w:rsid w:val="3F41FABB"/>
    <w:rsid w:val="3F43C77E"/>
    <w:rsid w:val="3F44A0D0"/>
    <w:rsid w:val="3F456C4F"/>
    <w:rsid w:val="3F45B89C"/>
    <w:rsid w:val="3F46ACA2"/>
    <w:rsid w:val="3F471E07"/>
    <w:rsid w:val="3F47F276"/>
    <w:rsid w:val="3F49329E"/>
    <w:rsid w:val="3F4A359A"/>
    <w:rsid w:val="3F4A540C"/>
    <w:rsid w:val="3F4ADDCD"/>
    <w:rsid w:val="3F4AE100"/>
    <w:rsid w:val="3F4AE191"/>
    <w:rsid w:val="3F4B3019"/>
    <w:rsid w:val="3F4B4038"/>
    <w:rsid w:val="3F4B7CDE"/>
    <w:rsid w:val="3F4C3A49"/>
    <w:rsid w:val="3F4CD1AB"/>
    <w:rsid w:val="3F4D6BE6"/>
    <w:rsid w:val="3F4E0A15"/>
    <w:rsid w:val="3F4EAEFD"/>
    <w:rsid w:val="3F4EF8A7"/>
    <w:rsid w:val="3F503622"/>
    <w:rsid w:val="3F506891"/>
    <w:rsid w:val="3F5093F4"/>
    <w:rsid w:val="3F50CFCC"/>
    <w:rsid w:val="3F5324CC"/>
    <w:rsid w:val="3F54EE6F"/>
    <w:rsid w:val="3F563DF8"/>
    <w:rsid w:val="3F5791C8"/>
    <w:rsid w:val="3F581008"/>
    <w:rsid w:val="3F59B7B5"/>
    <w:rsid w:val="3F5ABF4F"/>
    <w:rsid w:val="3F5C1857"/>
    <w:rsid w:val="3F5C194B"/>
    <w:rsid w:val="3F5C38DC"/>
    <w:rsid w:val="3F5CEA2F"/>
    <w:rsid w:val="3F5D329C"/>
    <w:rsid w:val="3F5D3707"/>
    <w:rsid w:val="3F5D4667"/>
    <w:rsid w:val="3F5E33FE"/>
    <w:rsid w:val="3F5EDBD0"/>
    <w:rsid w:val="3F604737"/>
    <w:rsid w:val="3F60ABCA"/>
    <w:rsid w:val="3F60AD61"/>
    <w:rsid w:val="3F618F75"/>
    <w:rsid w:val="3F61A729"/>
    <w:rsid w:val="3F6231C3"/>
    <w:rsid w:val="3F63341E"/>
    <w:rsid w:val="3F63A8BA"/>
    <w:rsid w:val="3F63D3A3"/>
    <w:rsid w:val="3F644819"/>
    <w:rsid w:val="3F651131"/>
    <w:rsid w:val="3F651A3C"/>
    <w:rsid w:val="3F65F291"/>
    <w:rsid w:val="3F6633CD"/>
    <w:rsid w:val="3F671CEE"/>
    <w:rsid w:val="3F67D83C"/>
    <w:rsid w:val="3F699ECE"/>
    <w:rsid w:val="3F6BA624"/>
    <w:rsid w:val="3F6C1971"/>
    <w:rsid w:val="3F6CC394"/>
    <w:rsid w:val="3F6CFF16"/>
    <w:rsid w:val="3F6D471D"/>
    <w:rsid w:val="3F6E1270"/>
    <w:rsid w:val="3F6E1DDC"/>
    <w:rsid w:val="3F6F1454"/>
    <w:rsid w:val="3F6F4C5D"/>
    <w:rsid w:val="3F70793E"/>
    <w:rsid w:val="3F717CA8"/>
    <w:rsid w:val="3F71A288"/>
    <w:rsid w:val="3F71BD36"/>
    <w:rsid w:val="3F7241A7"/>
    <w:rsid w:val="3F727584"/>
    <w:rsid w:val="3F7303AD"/>
    <w:rsid w:val="3F741FF2"/>
    <w:rsid w:val="3F7434E9"/>
    <w:rsid w:val="3F74705E"/>
    <w:rsid w:val="3F750454"/>
    <w:rsid w:val="3F750DDE"/>
    <w:rsid w:val="3F750E13"/>
    <w:rsid w:val="3F7529AC"/>
    <w:rsid w:val="3F75A297"/>
    <w:rsid w:val="3F763FB4"/>
    <w:rsid w:val="3F76609D"/>
    <w:rsid w:val="3F784A78"/>
    <w:rsid w:val="3F784E0E"/>
    <w:rsid w:val="3F7874D4"/>
    <w:rsid w:val="3F789A5B"/>
    <w:rsid w:val="3F79D5DA"/>
    <w:rsid w:val="3F7A784F"/>
    <w:rsid w:val="3F7C3C57"/>
    <w:rsid w:val="3F7CB03E"/>
    <w:rsid w:val="3F7CB392"/>
    <w:rsid w:val="3F7CBF7A"/>
    <w:rsid w:val="3F7D1842"/>
    <w:rsid w:val="3F7DF5F5"/>
    <w:rsid w:val="3F7F2D85"/>
    <w:rsid w:val="3F805951"/>
    <w:rsid w:val="3F80A348"/>
    <w:rsid w:val="3F8433E1"/>
    <w:rsid w:val="3F858017"/>
    <w:rsid w:val="3F85A2C8"/>
    <w:rsid w:val="3F85BC90"/>
    <w:rsid w:val="3F86CF64"/>
    <w:rsid w:val="3F879117"/>
    <w:rsid w:val="3F87BBC8"/>
    <w:rsid w:val="3F87F6AC"/>
    <w:rsid w:val="3F88861A"/>
    <w:rsid w:val="3F89D29C"/>
    <w:rsid w:val="3F8A42CF"/>
    <w:rsid w:val="3F8B5023"/>
    <w:rsid w:val="3F8C7CE1"/>
    <w:rsid w:val="3F8CAFC4"/>
    <w:rsid w:val="3F8D5AD8"/>
    <w:rsid w:val="3F8F9974"/>
    <w:rsid w:val="3F8FBCB1"/>
    <w:rsid w:val="3F910438"/>
    <w:rsid w:val="3F92AE47"/>
    <w:rsid w:val="3F92BEE8"/>
    <w:rsid w:val="3F939453"/>
    <w:rsid w:val="3F94EC90"/>
    <w:rsid w:val="3F9624FC"/>
    <w:rsid w:val="3F987CB5"/>
    <w:rsid w:val="3F98CED0"/>
    <w:rsid w:val="3F98D0B5"/>
    <w:rsid w:val="3F996407"/>
    <w:rsid w:val="3F997D23"/>
    <w:rsid w:val="3F9B85C1"/>
    <w:rsid w:val="3F9CA295"/>
    <w:rsid w:val="3F9E000A"/>
    <w:rsid w:val="3F9F60B4"/>
    <w:rsid w:val="3F9FA5C0"/>
    <w:rsid w:val="3FA02264"/>
    <w:rsid w:val="3FA14CFA"/>
    <w:rsid w:val="3FA1BF4B"/>
    <w:rsid w:val="3FA1D8ED"/>
    <w:rsid w:val="3FA20DD9"/>
    <w:rsid w:val="3FA2173B"/>
    <w:rsid w:val="3FA21A3D"/>
    <w:rsid w:val="3FA24BCA"/>
    <w:rsid w:val="3FA27B89"/>
    <w:rsid w:val="3FA2A15E"/>
    <w:rsid w:val="3FA3CAD8"/>
    <w:rsid w:val="3FA466A1"/>
    <w:rsid w:val="3FA49406"/>
    <w:rsid w:val="3FA4F31A"/>
    <w:rsid w:val="3FA82541"/>
    <w:rsid w:val="3FA888B4"/>
    <w:rsid w:val="3FA99A76"/>
    <w:rsid w:val="3FA9FAD4"/>
    <w:rsid w:val="3FAA7650"/>
    <w:rsid w:val="3FAAD096"/>
    <w:rsid w:val="3FAADA2C"/>
    <w:rsid w:val="3FAB0C14"/>
    <w:rsid w:val="3FAB24B8"/>
    <w:rsid w:val="3FAB5716"/>
    <w:rsid w:val="3FAC6536"/>
    <w:rsid w:val="3FAC6F08"/>
    <w:rsid w:val="3FAC8D5D"/>
    <w:rsid w:val="3FACEA0D"/>
    <w:rsid w:val="3FACEEAC"/>
    <w:rsid w:val="3FAD23ED"/>
    <w:rsid w:val="3FAD2C9C"/>
    <w:rsid w:val="3FADBE24"/>
    <w:rsid w:val="3FAE4F8C"/>
    <w:rsid w:val="3FAF072D"/>
    <w:rsid w:val="3FB0A707"/>
    <w:rsid w:val="3FB0B296"/>
    <w:rsid w:val="3FB2704A"/>
    <w:rsid w:val="3FB2D2F3"/>
    <w:rsid w:val="3FB4603F"/>
    <w:rsid w:val="3FB50114"/>
    <w:rsid w:val="3FB5E8C9"/>
    <w:rsid w:val="3FB6A79E"/>
    <w:rsid w:val="3FB71B93"/>
    <w:rsid w:val="3FB71F35"/>
    <w:rsid w:val="3FB7BD49"/>
    <w:rsid w:val="3FB924DE"/>
    <w:rsid w:val="3FB9AA11"/>
    <w:rsid w:val="3FBA741B"/>
    <w:rsid w:val="3FBA77ED"/>
    <w:rsid w:val="3FBB52A4"/>
    <w:rsid w:val="3FBC1DB8"/>
    <w:rsid w:val="3FBD869F"/>
    <w:rsid w:val="3FBDBCFF"/>
    <w:rsid w:val="3FBE2515"/>
    <w:rsid w:val="3FBEE3DA"/>
    <w:rsid w:val="3FC02611"/>
    <w:rsid w:val="3FC0D02F"/>
    <w:rsid w:val="3FC141DD"/>
    <w:rsid w:val="3FC14AA7"/>
    <w:rsid w:val="3FC1E0A0"/>
    <w:rsid w:val="3FC30C4A"/>
    <w:rsid w:val="3FC31927"/>
    <w:rsid w:val="3FC3A3B4"/>
    <w:rsid w:val="3FC3B28C"/>
    <w:rsid w:val="3FC685FE"/>
    <w:rsid w:val="3FC6D790"/>
    <w:rsid w:val="3FC717D0"/>
    <w:rsid w:val="3FC71DB6"/>
    <w:rsid w:val="3FC8B7DC"/>
    <w:rsid w:val="3FC8E3CB"/>
    <w:rsid w:val="3FC8EB0D"/>
    <w:rsid w:val="3FCABB07"/>
    <w:rsid w:val="3FCBAF81"/>
    <w:rsid w:val="3FCBC2CD"/>
    <w:rsid w:val="3FCBD502"/>
    <w:rsid w:val="3FCBFBD7"/>
    <w:rsid w:val="3FCC19A0"/>
    <w:rsid w:val="3FCC2031"/>
    <w:rsid w:val="3FCC28D7"/>
    <w:rsid w:val="3FCCA38A"/>
    <w:rsid w:val="3FCD3A65"/>
    <w:rsid w:val="3FCD3CCF"/>
    <w:rsid w:val="3FCD8C54"/>
    <w:rsid w:val="3FCDE4D8"/>
    <w:rsid w:val="3FCE7D88"/>
    <w:rsid w:val="3FCF849D"/>
    <w:rsid w:val="3FCF8C3B"/>
    <w:rsid w:val="3FD09BCB"/>
    <w:rsid w:val="3FD299D1"/>
    <w:rsid w:val="3FD2FE67"/>
    <w:rsid w:val="3FD36A20"/>
    <w:rsid w:val="3FD38E7B"/>
    <w:rsid w:val="3FD3C220"/>
    <w:rsid w:val="3FD4EBD2"/>
    <w:rsid w:val="3FD553AE"/>
    <w:rsid w:val="3FD5C5C3"/>
    <w:rsid w:val="3FD61AF2"/>
    <w:rsid w:val="3FD64085"/>
    <w:rsid w:val="3FD68D4A"/>
    <w:rsid w:val="3FD6A702"/>
    <w:rsid w:val="3FD84EFC"/>
    <w:rsid w:val="3FD899EC"/>
    <w:rsid w:val="3FD90D1A"/>
    <w:rsid w:val="3FD92B50"/>
    <w:rsid w:val="3FDB29D6"/>
    <w:rsid w:val="3FDE2DCD"/>
    <w:rsid w:val="3FDEEF60"/>
    <w:rsid w:val="3FDF7FE4"/>
    <w:rsid w:val="3FDFC4CF"/>
    <w:rsid w:val="3FE02D39"/>
    <w:rsid w:val="3FE0599E"/>
    <w:rsid w:val="3FE132A6"/>
    <w:rsid w:val="3FE28944"/>
    <w:rsid w:val="3FE3255C"/>
    <w:rsid w:val="3FE3C8DD"/>
    <w:rsid w:val="3FE4911E"/>
    <w:rsid w:val="3FE4D9AB"/>
    <w:rsid w:val="3FE6C002"/>
    <w:rsid w:val="3FE6DA07"/>
    <w:rsid w:val="3FE6E52D"/>
    <w:rsid w:val="3FE7141C"/>
    <w:rsid w:val="3FE7F5B0"/>
    <w:rsid w:val="3FE8D4D7"/>
    <w:rsid w:val="3FE947C1"/>
    <w:rsid w:val="3FE95AF6"/>
    <w:rsid w:val="3FE962A5"/>
    <w:rsid w:val="3FE9A4FA"/>
    <w:rsid w:val="3FE9A6CB"/>
    <w:rsid w:val="3FEA1BA7"/>
    <w:rsid w:val="3FEA48C6"/>
    <w:rsid w:val="3FEAA90D"/>
    <w:rsid w:val="3FEC03A5"/>
    <w:rsid w:val="3FEC8E61"/>
    <w:rsid w:val="3FEDD175"/>
    <w:rsid w:val="3FEDDF03"/>
    <w:rsid w:val="3FEF3819"/>
    <w:rsid w:val="3FEF96F2"/>
    <w:rsid w:val="3FEFC9A0"/>
    <w:rsid w:val="3FEFED73"/>
    <w:rsid w:val="3FF01D6F"/>
    <w:rsid w:val="3FF080C5"/>
    <w:rsid w:val="3FF0C448"/>
    <w:rsid w:val="3FF0E819"/>
    <w:rsid w:val="3FF12098"/>
    <w:rsid w:val="3FF1A5D7"/>
    <w:rsid w:val="3FF1D784"/>
    <w:rsid w:val="3FF1DA3C"/>
    <w:rsid w:val="3FF1F688"/>
    <w:rsid w:val="3FF22226"/>
    <w:rsid w:val="3FF23E99"/>
    <w:rsid w:val="3FF2A7DD"/>
    <w:rsid w:val="3FF2D79A"/>
    <w:rsid w:val="3FF41A9C"/>
    <w:rsid w:val="3FF427DF"/>
    <w:rsid w:val="3FF4BC08"/>
    <w:rsid w:val="3FF5931A"/>
    <w:rsid w:val="3FF6640D"/>
    <w:rsid w:val="3FF6AE1C"/>
    <w:rsid w:val="3FF6B266"/>
    <w:rsid w:val="3FF6F55D"/>
    <w:rsid w:val="3FF72177"/>
    <w:rsid w:val="3FF73713"/>
    <w:rsid w:val="3FF849E1"/>
    <w:rsid w:val="3FF92BB7"/>
    <w:rsid w:val="3FF9350A"/>
    <w:rsid w:val="3FFB0931"/>
    <w:rsid w:val="3FFB18AB"/>
    <w:rsid w:val="3FFB21F6"/>
    <w:rsid w:val="3FFC1A62"/>
    <w:rsid w:val="3FFC1CA8"/>
    <w:rsid w:val="3FFD33AD"/>
    <w:rsid w:val="3FFDE76F"/>
    <w:rsid w:val="3FFE614E"/>
    <w:rsid w:val="3FFF16A9"/>
    <w:rsid w:val="3FFF35A4"/>
    <w:rsid w:val="3FFFB8B5"/>
    <w:rsid w:val="4000F137"/>
    <w:rsid w:val="400108C5"/>
    <w:rsid w:val="40018D60"/>
    <w:rsid w:val="40019D7C"/>
    <w:rsid w:val="4002ED2C"/>
    <w:rsid w:val="40038F6C"/>
    <w:rsid w:val="4003F7DC"/>
    <w:rsid w:val="400430B6"/>
    <w:rsid w:val="4004A2C8"/>
    <w:rsid w:val="40053B0D"/>
    <w:rsid w:val="4005A458"/>
    <w:rsid w:val="4006BC83"/>
    <w:rsid w:val="40086608"/>
    <w:rsid w:val="4008E11C"/>
    <w:rsid w:val="400A8798"/>
    <w:rsid w:val="400B6138"/>
    <w:rsid w:val="400E0804"/>
    <w:rsid w:val="400E56D5"/>
    <w:rsid w:val="400E5917"/>
    <w:rsid w:val="400E8070"/>
    <w:rsid w:val="4010C41A"/>
    <w:rsid w:val="40115DBB"/>
    <w:rsid w:val="4011D07D"/>
    <w:rsid w:val="401270A4"/>
    <w:rsid w:val="401332BB"/>
    <w:rsid w:val="40134476"/>
    <w:rsid w:val="40139B72"/>
    <w:rsid w:val="4013AB65"/>
    <w:rsid w:val="4014B4D5"/>
    <w:rsid w:val="4014F03D"/>
    <w:rsid w:val="40154DBA"/>
    <w:rsid w:val="401669C7"/>
    <w:rsid w:val="4016C8DF"/>
    <w:rsid w:val="4016C9FD"/>
    <w:rsid w:val="4017610C"/>
    <w:rsid w:val="40176C93"/>
    <w:rsid w:val="4019D7D3"/>
    <w:rsid w:val="4019E8FB"/>
    <w:rsid w:val="401A48DC"/>
    <w:rsid w:val="401A4B08"/>
    <w:rsid w:val="401A9338"/>
    <w:rsid w:val="401B33E5"/>
    <w:rsid w:val="401B36D5"/>
    <w:rsid w:val="401BDC95"/>
    <w:rsid w:val="401CF009"/>
    <w:rsid w:val="401DA38F"/>
    <w:rsid w:val="401DC69F"/>
    <w:rsid w:val="401E53D9"/>
    <w:rsid w:val="401F1E97"/>
    <w:rsid w:val="4023040D"/>
    <w:rsid w:val="402334E3"/>
    <w:rsid w:val="4023508A"/>
    <w:rsid w:val="4023ECEB"/>
    <w:rsid w:val="4024A6AF"/>
    <w:rsid w:val="402555F8"/>
    <w:rsid w:val="4025DEF8"/>
    <w:rsid w:val="4025E75A"/>
    <w:rsid w:val="4026263F"/>
    <w:rsid w:val="40266430"/>
    <w:rsid w:val="4026A4D4"/>
    <w:rsid w:val="4026D6E1"/>
    <w:rsid w:val="4026E703"/>
    <w:rsid w:val="402708C9"/>
    <w:rsid w:val="40273429"/>
    <w:rsid w:val="402789F7"/>
    <w:rsid w:val="4027DC1B"/>
    <w:rsid w:val="40280355"/>
    <w:rsid w:val="4028203E"/>
    <w:rsid w:val="4029250C"/>
    <w:rsid w:val="40294615"/>
    <w:rsid w:val="402958F3"/>
    <w:rsid w:val="402A1515"/>
    <w:rsid w:val="402A4624"/>
    <w:rsid w:val="402A6913"/>
    <w:rsid w:val="402C52CA"/>
    <w:rsid w:val="402C9581"/>
    <w:rsid w:val="402D9380"/>
    <w:rsid w:val="402DDA5F"/>
    <w:rsid w:val="402E8D40"/>
    <w:rsid w:val="402EE860"/>
    <w:rsid w:val="402F3D15"/>
    <w:rsid w:val="403091CC"/>
    <w:rsid w:val="4031393E"/>
    <w:rsid w:val="403241F9"/>
    <w:rsid w:val="4032D4BE"/>
    <w:rsid w:val="403358DA"/>
    <w:rsid w:val="40343D46"/>
    <w:rsid w:val="40357894"/>
    <w:rsid w:val="40362F40"/>
    <w:rsid w:val="40370630"/>
    <w:rsid w:val="40376810"/>
    <w:rsid w:val="4037D075"/>
    <w:rsid w:val="40382E70"/>
    <w:rsid w:val="40389714"/>
    <w:rsid w:val="4038A4EF"/>
    <w:rsid w:val="403985E0"/>
    <w:rsid w:val="403A4896"/>
    <w:rsid w:val="403A4D20"/>
    <w:rsid w:val="403AB596"/>
    <w:rsid w:val="403AC9EF"/>
    <w:rsid w:val="403B6B7C"/>
    <w:rsid w:val="403B8638"/>
    <w:rsid w:val="403CDC42"/>
    <w:rsid w:val="403E82AD"/>
    <w:rsid w:val="403EC290"/>
    <w:rsid w:val="403EE186"/>
    <w:rsid w:val="403EE42A"/>
    <w:rsid w:val="403F7200"/>
    <w:rsid w:val="403FBA9D"/>
    <w:rsid w:val="404019D5"/>
    <w:rsid w:val="40404E6F"/>
    <w:rsid w:val="4040AD1D"/>
    <w:rsid w:val="4040B6F7"/>
    <w:rsid w:val="4040DCA4"/>
    <w:rsid w:val="40412AB5"/>
    <w:rsid w:val="4041B915"/>
    <w:rsid w:val="404249F5"/>
    <w:rsid w:val="404309A2"/>
    <w:rsid w:val="40439D9D"/>
    <w:rsid w:val="404490B9"/>
    <w:rsid w:val="40449126"/>
    <w:rsid w:val="40451E72"/>
    <w:rsid w:val="4045A5CA"/>
    <w:rsid w:val="4045DC88"/>
    <w:rsid w:val="4045F652"/>
    <w:rsid w:val="40480082"/>
    <w:rsid w:val="40495698"/>
    <w:rsid w:val="4049FE74"/>
    <w:rsid w:val="404AD09A"/>
    <w:rsid w:val="404AEEBF"/>
    <w:rsid w:val="404BA932"/>
    <w:rsid w:val="404C41C2"/>
    <w:rsid w:val="404C5CF1"/>
    <w:rsid w:val="404D6CE7"/>
    <w:rsid w:val="404F482F"/>
    <w:rsid w:val="404F58EF"/>
    <w:rsid w:val="404FC00E"/>
    <w:rsid w:val="4050D21C"/>
    <w:rsid w:val="40537593"/>
    <w:rsid w:val="4053A644"/>
    <w:rsid w:val="4053BAE4"/>
    <w:rsid w:val="4053E2DF"/>
    <w:rsid w:val="4054025D"/>
    <w:rsid w:val="4054469D"/>
    <w:rsid w:val="40546331"/>
    <w:rsid w:val="40548BBA"/>
    <w:rsid w:val="4054EA0D"/>
    <w:rsid w:val="40570FFC"/>
    <w:rsid w:val="405724F8"/>
    <w:rsid w:val="4057628A"/>
    <w:rsid w:val="40577F82"/>
    <w:rsid w:val="4058F2F4"/>
    <w:rsid w:val="40596988"/>
    <w:rsid w:val="405A139E"/>
    <w:rsid w:val="405AC8EA"/>
    <w:rsid w:val="405B7C95"/>
    <w:rsid w:val="405BACD9"/>
    <w:rsid w:val="405C530A"/>
    <w:rsid w:val="405C850B"/>
    <w:rsid w:val="405C87F8"/>
    <w:rsid w:val="405D1F73"/>
    <w:rsid w:val="405D2C75"/>
    <w:rsid w:val="405D404F"/>
    <w:rsid w:val="405D5776"/>
    <w:rsid w:val="405F7463"/>
    <w:rsid w:val="40605FD3"/>
    <w:rsid w:val="4060E6D3"/>
    <w:rsid w:val="40627ADC"/>
    <w:rsid w:val="406355C0"/>
    <w:rsid w:val="40638437"/>
    <w:rsid w:val="4063B3CC"/>
    <w:rsid w:val="406481FE"/>
    <w:rsid w:val="40666ADB"/>
    <w:rsid w:val="4066A0C5"/>
    <w:rsid w:val="4066F07F"/>
    <w:rsid w:val="4067B5BA"/>
    <w:rsid w:val="40684461"/>
    <w:rsid w:val="40685FF2"/>
    <w:rsid w:val="40688809"/>
    <w:rsid w:val="406894C4"/>
    <w:rsid w:val="4069431B"/>
    <w:rsid w:val="40696447"/>
    <w:rsid w:val="4069947A"/>
    <w:rsid w:val="406AF415"/>
    <w:rsid w:val="406BBE01"/>
    <w:rsid w:val="406C089D"/>
    <w:rsid w:val="406C6209"/>
    <w:rsid w:val="406C622B"/>
    <w:rsid w:val="406C6A48"/>
    <w:rsid w:val="406D4525"/>
    <w:rsid w:val="406ED032"/>
    <w:rsid w:val="406F8006"/>
    <w:rsid w:val="406FD6BB"/>
    <w:rsid w:val="40711F0D"/>
    <w:rsid w:val="4071854D"/>
    <w:rsid w:val="4072B04B"/>
    <w:rsid w:val="4072BC78"/>
    <w:rsid w:val="4072E5EB"/>
    <w:rsid w:val="4072FB05"/>
    <w:rsid w:val="4073802B"/>
    <w:rsid w:val="407382CC"/>
    <w:rsid w:val="407393CA"/>
    <w:rsid w:val="4073A3C8"/>
    <w:rsid w:val="4073FC88"/>
    <w:rsid w:val="4074393A"/>
    <w:rsid w:val="407464F9"/>
    <w:rsid w:val="407472BC"/>
    <w:rsid w:val="40751E32"/>
    <w:rsid w:val="407678E4"/>
    <w:rsid w:val="4077296B"/>
    <w:rsid w:val="40778989"/>
    <w:rsid w:val="4077DAB9"/>
    <w:rsid w:val="40784F40"/>
    <w:rsid w:val="40785F33"/>
    <w:rsid w:val="407917AA"/>
    <w:rsid w:val="407A3450"/>
    <w:rsid w:val="407A7D7A"/>
    <w:rsid w:val="407BC8BB"/>
    <w:rsid w:val="407DC8D4"/>
    <w:rsid w:val="407E9870"/>
    <w:rsid w:val="407EAD8B"/>
    <w:rsid w:val="407FE279"/>
    <w:rsid w:val="408064EE"/>
    <w:rsid w:val="4080CA86"/>
    <w:rsid w:val="40810B7B"/>
    <w:rsid w:val="4081891D"/>
    <w:rsid w:val="4081B96F"/>
    <w:rsid w:val="408250EF"/>
    <w:rsid w:val="4082CB6D"/>
    <w:rsid w:val="4082D598"/>
    <w:rsid w:val="4083A211"/>
    <w:rsid w:val="4084406B"/>
    <w:rsid w:val="40851068"/>
    <w:rsid w:val="408590B1"/>
    <w:rsid w:val="4085E196"/>
    <w:rsid w:val="4085FF27"/>
    <w:rsid w:val="4086379B"/>
    <w:rsid w:val="408655D4"/>
    <w:rsid w:val="40875CAE"/>
    <w:rsid w:val="4087D456"/>
    <w:rsid w:val="4089BBF7"/>
    <w:rsid w:val="4089F8FF"/>
    <w:rsid w:val="408AFD65"/>
    <w:rsid w:val="408BF075"/>
    <w:rsid w:val="408D4EBC"/>
    <w:rsid w:val="408D5B9C"/>
    <w:rsid w:val="408E267A"/>
    <w:rsid w:val="408E36A8"/>
    <w:rsid w:val="408EA329"/>
    <w:rsid w:val="408EF400"/>
    <w:rsid w:val="408F441B"/>
    <w:rsid w:val="408FD967"/>
    <w:rsid w:val="40907C51"/>
    <w:rsid w:val="40916D29"/>
    <w:rsid w:val="40917BF7"/>
    <w:rsid w:val="4091863E"/>
    <w:rsid w:val="4091C8F4"/>
    <w:rsid w:val="4091F272"/>
    <w:rsid w:val="40928FCC"/>
    <w:rsid w:val="4092990B"/>
    <w:rsid w:val="40940667"/>
    <w:rsid w:val="40947BAB"/>
    <w:rsid w:val="4095383A"/>
    <w:rsid w:val="40973BFC"/>
    <w:rsid w:val="40979922"/>
    <w:rsid w:val="4097BDD0"/>
    <w:rsid w:val="40987C79"/>
    <w:rsid w:val="40989209"/>
    <w:rsid w:val="4098B6D0"/>
    <w:rsid w:val="409913B6"/>
    <w:rsid w:val="409937AC"/>
    <w:rsid w:val="4099A121"/>
    <w:rsid w:val="409A01AB"/>
    <w:rsid w:val="409A5645"/>
    <w:rsid w:val="409A62FA"/>
    <w:rsid w:val="409AA2D8"/>
    <w:rsid w:val="409B5ACA"/>
    <w:rsid w:val="409B724B"/>
    <w:rsid w:val="409DB937"/>
    <w:rsid w:val="409DF3F6"/>
    <w:rsid w:val="409E03A9"/>
    <w:rsid w:val="409EE1C7"/>
    <w:rsid w:val="40A01B80"/>
    <w:rsid w:val="40A03A66"/>
    <w:rsid w:val="40A0CB6F"/>
    <w:rsid w:val="40A164B2"/>
    <w:rsid w:val="40A17192"/>
    <w:rsid w:val="40A1D797"/>
    <w:rsid w:val="40A1DCF8"/>
    <w:rsid w:val="40A2C047"/>
    <w:rsid w:val="40A4F80F"/>
    <w:rsid w:val="40A5100D"/>
    <w:rsid w:val="40A54E1B"/>
    <w:rsid w:val="40A55C3D"/>
    <w:rsid w:val="40A601D6"/>
    <w:rsid w:val="40A629EC"/>
    <w:rsid w:val="40A63B4B"/>
    <w:rsid w:val="40A6988E"/>
    <w:rsid w:val="40A6E5E9"/>
    <w:rsid w:val="40A73BF0"/>
    <w:rsid w:val="40A7B870"/>
    <w:rsid w:val="40A9979F"/>
    <w:rsid w:val="40AA67D9"/>
    <w:rsid w:val="40AA7CBB"/>
    <w:rsid w:val="40AAB093"/>
    <w:rsid w:val="40ABC471"/>
    <w:rsid w:val="40ABEEB5"/>
    <w:rsid w:val="40ABF7D8"/>
    <w:rsid w:val="40AC34CB"/>
    <w:rsid w:val="40AD6750"/>
    <w:rsid w:val="40ADB97A"/>
    <w:rsid w:val="40ADC6E0"/>
    <w:rsid w:val="40AE304E"/>
    <w:rsid w:val="40AE8CA3"/>
    <w:rsid w:val="40AE9D2A"/>
    <w:rsid w:val="40AEBD6D"/>
    <w:rsid w:val="40AF01A9"/>
    <w:rsid w:val="40AF04B3"/>
    <w:rsid w:val="40AF192F"/>
    <w:rsid w:val="40AF49DC"/>
    <w:rsid w:val="40B09E51"/>
    <w:rsid w:val="40B0AEC9"/>
    <w:rsid w:val="40B123B3"/>
    <w:rsid w:val="40B14A12"/>
    <w:rsid w:val="40B1509F"/>
    <w:rsid w:val="40B189F0"/>
    <w:rsid w:val="40B30FAD"/>
    <w:rsid w:val="40B4382D"/>
    <w:rsid w:val="40B53D99"/>
    <w:rsid w:val="40B53E91"/>
    <w:rsid w:val="40B5AEB7"/>
    <w:rsid w:val="40B5E52F"/>
    <w:rsid w:val="40B69E8D"/>
    <w:rsid w:val="40B6A54C"/>
    <w:rsid w:val="40B74794"/>
    <w:rsid w:val="40B784FB"/>
    <w:rsid w:val="40B84165"/>
    <w:rsid w:val="40B85C29"/>
    <w:rsid w:val="40B8937D"/>
    <w:rsid w:val="40BAA5D9"/>
    <w:rsid w:val="40BADE56"/>
    <w:rsid w:val="40BB0BEA"/>
    <w:rsid w:val="40BB212B"/>
    <w:rsid w:val="40BC31A5"/>
    <w:rsid w:val="40BC8AAD"/>
    <w:rsid w:val="40BCC43D"/>
    <w:rsid w:val="40BDD44A"/>
    <w:rsid w:val="40BE8569"/>
    <w:rsid w:val="40BFA22F"/>
    <w:rsid w:val="40BFCDC2"/>
    <w:rsid w:val="40C006B7"/>
    <w:rsid w:val="40C02BAD"/>
    <w:rsid w:val="40C12D26"/>
    <w:rsid w:val="40C2E230"/>
    <w:rsid w:val="40C2E847"/>
    <w:rsid w:val="40C3E3B7"/>
    <w:rsid w:val="40C41787"/>
    <w:rsid w:val="40C4204A"/>
    <w:rsid w:val="40C43079"/>
    <w:rsid w:val="40C4C184"/>
    <w:rsid w:val="40C5221C"/>
    <w:rsid w:val="40C5C3BA"/>
    <w:rsid w:val="40C60D06"/>
    <w:rsid w:val="40C6295C"/>
    <w:rsid w:val="40C65B4F"/>
    <w:rsid w:val="40C73A01"/>
    <w:rsid w:val="40C7447E"/>
    <w:rsid w:val="40C7B585"/>
    <w:rsid w:val="40C7CEA0"/>
    <w:rsid w:val="40CA7681"/>
    <w:rsid w:val="40CA98E0"/>
    <w:rsid w:val="40CAFBE3"/>
    <w:rsid w:val="40CC2FC0"/>
    <w:rsid w:val="40CCFC10"/>
    <w:rsid w:val="40CE3954"/>
    <w:rsid w:val="40CFD1E5"/>
    <w:rsid w:val="40D0DD50"/>
    <w:rsid w:val="40D0F29A"/>
    <w:rsid w:val="40D167BC"/>
    <w:rsid w:val="40D242F6"/>
    <w:rsid w:val="40D3D4EE"/>
    <w:rsid w:val="40D44905"/>
    <w:rsid w:val="40D48232"/>
    <w:rsid w:val="40D48CB9"/>
    <w:rsid w:val="40D49927"/>
    <w:rsid w:val="40D4F903"/>
    <w:rsid w:val="40D6045D"/>
    <w:rsid w:val="40D6609E"/>
    <w:rsid w:val="40D6B4A7"/>
    <w:rsid w:val="40D74DAC"/>
    <w:rsid w:val="40D774CA"/>
    <w:rsid w:val="40D7F6DF"/>
    <w:rsid w:val="40D81FF4"/>
    <w:rsid w:val="40D82FD2"/>
    <w:rsid w:val="40D9009E"/>
    <w:rsid w:val="40D92683"/>
    <w:rsid w:val="40D92F6D"/>
    <w:rsid w:val="40D97AE3"/>
    <w:rsid w:val="40D98CCE"/>
    <w:rsid w:val="40D9A96E"/>
    <w:rsid w:val="40DB685B"/>
    <w:rsid w:val="40DC7979"/>
    <w:rsid w:val="40DCBEC3"/>
    <w:rsid w:val="40DE30AF"/>
    <w:rsid w:val="40DE8704"/>
    <w:rsid w:val="40DED70D"/>
    <w:rsid w:val="40E00F74"/>
    <w:rsid w:val="40E06DA0"/>
    <w:rsid w:val="40E0B8A8"/>
    <w:rsid w:val="40E22784"/>
    <w:rsid w:val="40E43BB3"/>
    <w:rsid w:val="40E523C2"/>
    <w:rsid w:val="40E5D4B7"/>
    <w:rsid w:val="40E60DD4"/>
    <w:rsid w:val="40E718B7"/>
    <w:rsid w:val="40E73BFF"/>
    <w:rsid w:val="40E9BCE5"/>
    <w:rsid w:val="40EA33B8"/>
    <w:rsid w:val="40EA5E6A"/>
    <w:rsid w:val="40EA7D97"/>
    <w:rsid w:val="40EB828F"/>
    <w:rsid w:val="40EC63C7"/>
    <w:rsid w:val="40EC65EA"/>
    <w:rsid w:val="40EC66A3"/>
    <w:rsid w:val="40EC978E"/>
    <w:rsid w:val="40ECA14E"/>
    <w:rsid w:val="40ECC0C7"/>
    <w:rsid w:val="40ECDDD6"/>
    <w:rsid w:val="40ECE7CD"/>
    <w:rsid w:val="40ED1B9F"/>
    <w:rsid w:val="40ED99DD"/>
    <w:rsid w:val="40EE86D5"/>
    <w:rsid w:val="40EEA198"/>
    <w:rsid w:val="40EF9CEA"/>
    <w:rsid w:val="40EFCDE3"/>
    <w:rsid w:val="40EFD427"/>
    <w:rsid w:val="40F03FCD"/>
    <w:rsid w:val="40F0C39B"/>
    <w:rsid w:val="40F0F51D"/>
    <w:rsid w:val="40F1B2F8"/>
    <w:rsid w:val="40F26948"/>
    <w:rsid w:val="40F2790B"/>
    <w:rsid w:val="40F2B769"/>
    <w:rsid w:val="40F35119"/>
    <w:rsid w:val="40F371E7"/>
    <w:rsid w:val="40F43447"/>
    <w:rsid w:val="40F4F488"/>
    <w:rsid w:val="40F59606"/>
    <w:rsid w:val="40F6185E"/>
    <w:rsid w:val="40F69541"/>
    <w:rsid w:val="40F76C17"/>
    <w:rsid w:val="40F794E3"/>
    <w:rsid w:val="40F79C64"/>
    <w:rsid w:val="40F92FF5"/>
    <w:rsid w:val="40F9473A"/>
    <w:rsid w:val="40F9E354"/>
    <w:rsid w:val="40FA6C2A"/>
    <w:rsid w:val="40FB89F1"/>
    <w:rsid w:val="40FDAB41"/>
    <w:rsid w:val="40FE0962"/>
    <w:rsid w:val="40FE317F"/>
    <w:rsid w:val="40FEC2EA"/>
    <w:rsid w:val="410035C5"/>
    <w:rsid w:val="4101C91A"/>
    <w:rsid w:val="4101CEFC"/>
    <w:rsid w:val="4102060B"/>
    <w:rsid w:val="410299B9"/>
    <w:rsid w:val="41030AD6"/>
    <w:rsid w:val="41031C27"/>
    <w:rsid w:val="41039A10"/>
    <w:rsid w:val="41039F7C"/>
    <w:rsid w:val="410443FD"/>
    <w:rsid w:val="410462D6"/>
    <w:rsid w:val="41050201"/>
    <w:rsid w:val="41050C15"/>
    <w:rsid w:val="41051906"/>
    <w:rsid w:val="410565FC"/>
    <w:rsid w:val="4105EE27"/>
    <w:rsid w:val="4105F12E"/>
    <w:rsid w:val="4106B4EA"/>
    <w:rsid w:val="41080E0F"/>
    <w:rsid w:val="410864E3"/>
    <w:rsid w:val="410AA0B6"/>
    <w:rsid w:val="410B64F5"/>
    <w:rsid w:val="410BA7CD"/>
    <w:rsid w:val="410BF330"/>
    <w:rsid w:val="410C561D"/>
    <w:rsid w:val="410C68A1"/>
    <w:rsid w:val="410CD849"/>
    <w:rsid w:val="410E8F1C"/>
    <w:rsid w:val="410FF537"/>
    <w:rsid w:val="41108C3B"/>
    <w:rsid w:val="4110A3EB"/>
    <w:rsid w:val="41126952"/>
    <w:rsid w:val="41139E12"/>
    <w:rsid w:val="4113B6B8"/>
    <w:rsid w:val="41149F91"/>
    <w:rsid w:val="4114D3E4"/>
    <w:rsid w:val="4116402E"/>
    <w:rsid w:val="411687C1"/>
    <w:rsid w:val="4116A57A"/>
    <w:rsid w:val="4116D587"/>
    <w:rsid w:val="4117CCA8"/>
    <w:rsid w:val="41182971"/>
    <w:rsid w:val="4118E052"/>
    <w:rsid w:val="41197151"/>
    <w:rsid w:val="4119A997"/>
    <w:rsid w:val="4119B2C2"/>
    <w:rsid w:val="4119E52A"/>
    <w:rsid w:val="4119F909"/>
    <w:rsid w:val="411A3136"/>
    <w:rsid w:val="411A862D"/>
    <w:rsid w:val="411AE396"/>
    <w:rsid w:val="411B05B0"/>
    <w:rsid w:val="411B7A4D"/>
    <w:rsid w:val="411B85B1"/>
    <w:rsid w:val="411C7B3E"/>
    <w:rsid w:val="411DDD83"/>
    <w:rsid w:val="411DE5C7"/>
    <w:rsid w:val="411E73CF"/>
    <w:rsid w:val="411F7769"/>
    <w:rsid w:val="412012BC"/>
    <w:rsid w:val="4120952E"/>
    <w:rsid w:val="4120E015"/>
    <w:rsid w:val="412134F9"/>
    <w:rsid w:val="412159C7"/>
    <w:rsid w:val="41218FE6"/>
    <w:rsid w:val="4122FA5E"/>
    <w:rsid w:val="41231144"/>
    <w:rsid w:val="41231D1C"/>
    <w:rsid w:val="41247752"/>
    <w:rsid w:val="41247A4A"/>
    <w:rsid w:val="412481C0"/>
    <w:rsid w:val="4124EADE"/>
    <w:rsid w:val="41251A1A"/>
    <w:rsid w:val="4125B8A1"/>
    <w:rsid w:val="4125C07F"/>
    <w:rsid w:val="41265E3C"/>
    <w:rsid w:val="41272DC0"/>
    <w:rsid w:val="41274AE3"/>
    <w:rsid w:val="41289077"/>
    <w:rsid w:val="4128D7F4"/>
    <w:rsid w:val="4128E10C"/>
    <w:rsid w:val="4129A2EA"/>
    <w:rsid w:val="412A8662"/>
    <w:rsid w:val="412D0AF1"/>
    <w:rsid w:val="412E8288"/>
    <w:rsid w:val="412F7AB8"/>
    <w:rsid w:val="41305254"/>
    <w:rsid w:val="4130B8D5"/>
    <w:rsid w:val="4131EF83"/>
    <w:rsid w:val="41321200"/>
    <w:rsid w:val="41326309"/>
    <w:rsid w:val="4132B7B7"/>
    <w:rsid w:val="41333213"/>
    <w:rsid w:val="4133544E"/>
    <w:rsid w:val="41337B78"/>
    <w:rsid w:val="41341594"/>
    <w:rsid w:val="41349C7A"/>
    <w:rsid w:val="4134D535"/>
    <w:rsid w:val="41352667"/>
    <w:rsid w:val="413644A4"/>
    <w:rsid w:val="41365A6D"/>
    <w:rsid w:val="4136BC1E"/>
    <w:rsid w:val="4136D244"/>
    <w:rsid w:val="4136EB86"/>
    <w:rsid w:val="4136FCA1"/>
    <w:rsid w:val="41374334"/>
    <w:rsid w:val="41380D97"/>
    <w:rsid w:val="4138C27B"/>
    <w:rsid w:val="4139A303"/>
    <w:rsid w:val="413B66FF"/>
    <w:rsid w:val="413CAB72"/>
    <w:rsid w:val="413CB895"/>
    <w:rsid w:val="413D447F"/>
    <w:rsid w:val="413D522C"/>
    <w:rsid w:val="413DA590"/>
    <w:rsid w:val="413DE30C"/>
    <w:rsid w:val="413E19EB"/>
    <w:rsid w:val="413E8AE9"/>
    <w:rsid w:val="413F3F90"/>
    <w:rsid w:val="41401402"/>
    <w:rsid w:val="41403E6A"/>
    <w:rsid w:val="4141307C"/>
    <w:rsid w:val="41426E09"/>
    <w:rsid w:val="414301AB"/>
    <w:rsid w:val="41431EB4"/>
    <w:rsid w:val="4144BEBA"/>
    <w:rsid w:val="4144DC55"/>
    <w:rsid w:val="4145BEF7"/>
    <w:rsid w:val="414749D2"/>
    <w:rsid w:val="4147EF0F"/>
    <w:rsid w:val="41481574"/>
    <w:rsid w:val="41484474"/>
    <w:rsid w:val="41486819"/>
    <w:rsid w:val="41488DF9"/>
    <w:rsid w:val="41492C78"/>
    <w:rsid w:val="414936C4"/>
    <w:rsid w:val="414A25A4"/>
    <w:rsid w:val="414B343C"/>
    <w:rsid w:val="414B34D6"/>
    <w:rsid w:val="414C76C5"/>
    <w:rsid w:val="414C9AC7"/>
    <w:rsid w:val="414D1963"/>
    <w:rsid w:val="414D5755"/>
    <w:rsid w:val="414DE32D"/>
    <w:rsid w:val="414DFF29"/>
    <w:rsid w:val="414E13BA"/>
    <w:rsid w:val="414E68A3"/>
    <w:rsid w:val="414ED5EE"/>
    <w:rsid w:val="415023CF"/>
    <w:rsid w:val="41507D73"/>
    <w:rsid w:val="415092EB"/>
    <w:rsid w:val="4150D3FF"/>
    <w:rsid w:val="4150E116"/>
    <w:rsid w:val="41518D74"/>
    <w:rsid w:val="415321D3"/>
    <w:rsid w:val="41548D1D"/>
    <w:rsid w:val="41549FCF"/>
    <w:rsid w:val="4154A3EF"/>
    <w:rsid w:val="4155B178"/>
    <w:rsid w:val="41568A62"/>
    <w:rsid w:val="415815EC"/>
    <w:rsid w:val="415832FF"/>
    <w:rsid w:val="4159071C"/>
    <w:rsid w:val="4159843C"/>
    <w:rsid w:val="41599E58"/>
    <w:rsid w:val="4159AC07"/>
    <w:rsid w:val="4159F023"/>
    <w:rsid w:val="415A16E7"/>
    <w:rsid w:val="415AED75"/>
    <w:rsid w:val="415B7838"/>
    <w:rsid w:val="415BF43E"/>
    <w:rsid w:val="415D1952"/>
    <w:rsid w:val="415DA7AB"/>
    <w:rsid w:val="415DFEE8"/>
    <w:rsid w:val="415E3389"/>
    <w:rsid w:val="415E5ED4"/>
    <w:rsid w:val="415F23B7"/>
    <w:rsid w:val="416153E2"/>
    <w:rsid w:val="41619455"/>
    <w:rsid w:val="41621266"/>
    <w:rsid w:val="41626908"/>
    <w:rsid w:val="41629682"/>
    <w:rsid w:val="4162C034"/>
    <w:rsid w:val="41633A5C"/>
    <w:rsid w:val="41650DFE"/>
    <w:rsid w:val="41673A00"/>
    <w:rsid w:val="41683EE3"/>
    <w:rsid w:val="4168E907"/>
    <w:rsid w:val="416970C0"/>
    <w:rsid w:val="416990EF"/>
    <w:rsid w:val="416AA999"/>
    <w:rsid w:val="416AD585"/>
    <w:rsid w:val="416B0A1D"/>
    <w:rsid w:val="416B3204"/>
    <w:rsid w:val="416CAFC1"/>
    <w:rsid w:val="416D945D"/>
    <w:rsid w:val="416E3370"/>
    <w:rsid w:val="416EB14E"/>
    <w:rsid w:val="416F8D81"/>
    <w:rsid w:val="417018C0"/>
    <w:rsid w:val="41701D87"/>
    <w:rsid w:val="41703A5F"/>
    <w:rsid w:val="4170FBCC"/>
    <w:rsid w:val="417191E3"/>
    <w:rsid w:val="417201F3"/>
    <w:rsid w:val="4172950D"/>
    <w:rsid w:val="4172D704"/>
    <w:rsid w:val="4173C90F"/>
    <w:rsid w:val="4173EE3C"/>
    <w:rsid w:val="4174B7E4"/>
    <w:rsid w:val="41752416"/>
    <w:rsid w:val="41755C23"/>
    <w:rsid w:val="4177806A"/>
    <w:rsid w:val="4177C32B"/>
    <w:rsid w:val="41783731"/>
    <w:rsid w:val="41793554"/>
    <w:rsid w:val="41795863"/>
    <w:rsid w:val="41797A84"/>
    <w:rsid w:val="417C7928"/>
    <w:rsid w:val="417C9A2E"/>
    <w:rsid w:val="417CAAB7"/>
    <w:rsid w:val="417D7EC2"/>
    <w:rsid w:val="417DF2C0"/>
    <w:rsid w:val="417E00B4"/>
    <w:rsid w:val="417F08D8"/>
    <w:rsid w:val="417F89A2"/>
    <w:rsid w:val="417FED12"/>
    <w:rsid w:val="41804633"/>
    <w:rsid w:val="418091F9"/>
    <w:rsid w:val="418181D6"/>
    <w:rsid w:val="4181D543"/>
    <w:rsid w:val="4182B3E0"/>
    <w:rsid w:val="4182B58E"/>
    <w:rsid w:val="4183238B"/>
    <w:rsid w:val="41834538"/>
    <w:rsid w:val="41838835"/>
    <w:rsid w:val="4183C3DA"/>
    <w:rsid w:val="418582DC"/>
    <w:rsid w:val="418600FD"/>
    <w:rsid w:val="41864C3A"/>
    <w:rsid w:val="41871469"/>
    <w:rsid w:val="41875DB9"/>
    <w:rsid w:val="4187F569"/>
    <w:rsid w:val="4188B4A5"/>
    <w:rsid w:val="41899002"/>
    <w:rsid w:val="418B1872"/>
    <w:rsid w:val="418B34CB"/>
    <w:rsid w:val="418CA310"/>
    <w:rsid w:val="418D5B71"/>
    <w:rsid w:val="418DA793"/>
    <w:rsid w:val="418DAB86"/>
    <w:rsid w:val="418F2FFB"/>
    <w:rsid w:val="41900B0B"/>
    <w:rsid w:val="41902CA7"/>
    <w:rsid w:val="4190718E"/>
    <w:rsid w:val="4190B941"/>
    <w:rsid w:val="4190FFEE"/>
    <w:rsid w:val="4191D72E"/>
    <w:rsid w:val="4191EE6B"/>
    <w:rsid w:val="41931FE1"/>
    <w:rsid w:val="4193BCB9"/>
    <w:rsid w:val="4195DC0E"/>
    <w:rsid w:val="4197F8CA"/>
    <w:rsid w:val="41987D3F"/>
    <w:rsid w:val="4198B43B"/>
    <w:rsid w:val="41993CFE"/>
    <w:rsid w:val="4199C0B2"/>
    <w:rsid w:val="419A5A92"/>
    <w:rsid w:val="419C668C"/>
    <w:rsid w:val="419D911A"/>
    <w:rsid w:val="419F2F62"/>
    <w:rsid w:val="419F39D2"/>
    <w:rsid w:val="419FE112"/>
    <w:rsid w:val="41A0CF99"/>
    <w:rsid w:val="41A0D394"/>
    <w:rsid w:val="41A11B01"/>
    <w:rsid w:val="41A2D6B8"/>
    <w:rsid w:val="41A328C1"/>
    <w:rsid w:val="41A3C5BB"/>
    <w:rsid w:val="41A45E09"/>
    <w:rsid w:val="41A474C4"/>
    <w:rsid w:val="41A4D195"/>
    <w:rsid w:val="41A4E92A"/>
    <w:rsid w:val="41A55E05"/>
    <w:rsid w:val="41A5750F"/>
    <w:rsid w:val="41A580E3"/>
    <w:rsid w:val="41A5CF33"/>
    <w:rsid w:val="41A5D1E8"/>
    <w:rsid w:val="41A5E9DB"/>
    <w:rsid w:val="41A7125A"/>
    <w:rsid w:val="41A7AF72"/>
    <w:rsid w:val="41A7B0E1"/>
    <w:rsid w:val="41A7E22D"/>
    <w:rsid w:val="41A8A571"/>
    <w:rsid w:val="41AA0001"/>
    <w:rsid w:val="41AA03D4"/>
    <w:rsid w:val="41AA440D"/>
    <w:rsid w:val="41AA6F58"/>
    <w:rsid w:val="41ABE29F"/>
    <w:rsid w:val="41ACD5E0"/>
    <w:rsid w:val="41AEA16A"/>
    <w:rsid w:val="41AFFF0F"/>
    <w:rsid w:val="41B00BF4"/>
    <w:rsid w:val="41B0BA4D"/>
    <w:rsid w:val="41B19C8F"/>
    <w:rsid w:val="41B342CC"/>
    <w:rsid w:val="41B56E26"/>
    <w:rsid w:val="41B5A2F4"/>
    <w:rsid w:val="41B664AC"/>
    <w:rsid w:val="41B68FAB"/>
    <w:rsid w:val="41B74C00"/>
    <w:rsid w:val="41B7E5F3"/>
    <w:rsid w:val="41B87089"/>
    <w:rsid w:val="41B92C9E"/>
    <w:rsid w:val="41B9E113"/>
    <w:rsid w:val="41BB944E"/>
    <w:rsid w:val="41BBE4E1"/>
    <w:rsid w:val="41BC5BDC"/>
    <w:rsid w:val="41BC7569"/>
    <w:rsid w:val="41BD4DA5"/>
    <w:rsid w:val="41BDA028"/>
    <w:rsid w:val="41BDCFA5"/>
    <w:rsid w:val="41BEF6B7"/>
    <w:rsid w:val="41BF86C8"/>
    <w:rsid w:val="41BFF065"/>
    <w:rsid w:val="41C0232B"/>
    <w:rsid w:val="41C11FBA"/>
    <w:rsid w:val="41C12F94"/>
    <w:rsid w:val="41C22F0B"/>
    <w:rsid w:val="41C296C1"/>
    <w:rsid w:val="41C30795"/>
    <w:rsid w:val="41C33439"/>
    <w:rsid w:val="41C35487"/>
    <w:rsid w:val="41C3EA6F"/>
    <w:rsid w:val="41C46507"/>
    <w:rsid w:val="41C4C6C2"/>
    <w:rsid w:val="41C50208"/>
    <w:rsid w:val="41C563F2"/>
    <w:rsid w:val="41C656FB"/>
    <w:rsid w:val="41C6FD45"/>
    <w:rsid w:val="41C74935"/>
    <w:rsid w:val="41C776C5"/>
    <w:rsid w:val="41C8675B"/>
    <w:rsid w:val="41C9EE95"/>
    <w:rsid w:val="41CB1593"/>
    <w:rsid w:val="41CBCB51"/>
    <w:rsid w:val="41CC069F"/>
    <w:rsid w:val="41CC2801"/>
    <w:rsid w:val="41CCB16F"/>
    <w:rsid w:val="41CD32C8"/>
    <w:rsid w:val="41CD337B"/>
    <w:rsid w:val="41CD9949"/>
    <w:rsid w:val="41CE7AA2"/>
    <w:rsid w:val="41CE84ED"/>
    <w:rsid w:val="41CE8CAD"/>
    <w:rsid w:val="41CEBE48"/>
    <w:rsid w:val="41D08FA2"/>
    <w:rsid w:val="41D0DC23"/>
    <w:rsid w:val="41D1B067"/>
    <w:rsid w:val="41D2204F"/>
    <w:rsid w:val="41D2A5B1"/>
    <w:rsid w:val="41D2EEB0"/>
    <w:rsid w:val="41D34489"/>
    <w:rsid w:val="41D41400"/>
    <w:rsid w:val="41D43B25"/>
    <w:rsid w:val="41D49D88"/>
    <w:rsid w:val="41D4DDEF"/>
    <w:rsid w:val="41D5AA5D"/>
    <w:rsid w:val="41D641DD"/>
    <w:rsid w:val="41D6550B"/>
    <w:rsid w:val="41D80035"/>
    <w:rsid w:val="41D8A5F5"/>
    <w:rsid w:val="41DAFE1E"/>
    <w:rsid w:val="41DB16C4"/>
    <w:rsid w:val="41DD0BA9"/>
    <w:rsid w:val="41DF2B5A"/>
    <w:rsid w:val="41E032F1"/>
    <w:rsid w:val="41E1E3B2"/>
    <w:rsid w:val="41E218A8"/>
    <w:rsid w:val="41E25534"/>
    <w:rsid w:val="41E26F77"/>
    <w:rsid w:val="41E3A908"/>
    <w:rsid w:val="41E4D7CF"/>
    <w:rsid w:val="41E58460"/>
    <w:rsid w:val="41E58D32"/>
    <w:rsid w:val="41E5DA8B"/>
    <w:rsid w:val="41E62D70"/>
    <w:rsid w:val="41E6B91B"/>
    <w:rsid w:val="41E87B3A"/>
    <w:rsid w:val="41E8FA6E"/>
    <w:rsid w:val="41E9AEC2"/>
    <w:rsid w:val="41E9CFF4"/>
    <w:rsid w:val="41EA101A"/>
    <w:rsid w:val="41EA7BC4"/>
    <w:rsid w:val="41EA95D8"/>
    <w:rsid w:val="41EADF57"/>
    <w:rsid w:val="41EB3FE6"/>
    <w:rsid w:val="41EC04EE"/>
    <w:rsid w:val="41EC8FAB"/>
    <w:rsid w:val="41ECD2CB"/>
    <w:rsid w:val="41ED3B3B"/>
    <w:rsid w:val="41EEFACE"/>
    <w:rsid w:val="41EF3F20"/>
    <w:rsid w:val="41EF5165"/>
    <w:rsid w:val="41EF5F91"/>
    <w:rsid w:val="41EFCE8D"/>
    <w:rsid w:val="41EFE22B"/>
    <w:rsid w:val="41F0430B"/>
    <w:rsid w:val="41F123BB"/>
    <w:rsid w:val="41F18458"/>
    <w:rsid w:val="41F2003E"/>
    <w:rsid w:val="41F22156"/>
    <w:rsid w:val="41F43575"/>
    <w:rsid w:val="41F45479"/>
    <w:rsid w:val="41F49647"/>
    <w:rsid w:val="41F4B4D8"/>
    <w:rsid w:val="41F4EBFC"/>
    <w:rsid w:val="41F5177F"/>
    <w:rsid w:val="41F524E5"/>
    <w:rsid w:val="41F5CE3E"/>
    <w:rsid w:val="41F60EB2"/>
    <w:rsid w:val="41F63CF0"/>
    <w:rsid w:val="41F640E0"/>
    <w:rsid w:val="41F650B6"/>
    <w:rsid w:val="41F7FC97"/>
    <w:rsid w:val="41F7FE03"/>
    <w:rsid w:val="41F9693F"/>
    <w:rsid w:val="41F99FE1"/>
    <w:rsid w:val="41FA5672"/>
    <w:rsid w:val="41FAD51F"/>
    <w:rsid w:val="41FB29F1"/>
    <w:rsid w:val="41FB9EBF"/>
    <w:rsid w:val="41FBCA09"/>
    <w:rsid w:val="41FCCF75"/>
    <w:rsid w:val="41FCE2FB"/>
    <w:rsid w:val="41FDFF3C"/>
    <w:rsid w:val="41FE01D3"/>
    <w:rsid w:val="41FE2ABF"/>
    <w:rsid w:val="41FE9D85"/>
    <w:rsid w:val="41FEAB37"/>
    <w:rsid w:val="41FF1195"/>
    <w:rsid w:val="41FF380D"/>
    <w:rsid w:val="4200464E"/>
    <w:rsid w:val="4200B80C"/>
    <w:rsid w:val="4201A1F5"/>
    <w:rsid w:val="4202BE42"/>
    <w:rsid w:val="4202EB1B"/>
    <w:rsid w:val="42048B62"/>
    <w:rsid w:val="4205A3A0"/>
    <w:rsid w:val="4207BBEA"/>
    <w:rsid w:val="4207CD61"/>
    <w:rsid w:val="4207D0DF"/>
    <w:rsid w:val="42080661"/>
    <w:rsid w:val="420927DD"/>
    <w:rsid w:val="4209A96B"/>
    <w:rsid w:val="420A61AB"/>
    <w:rsid w:val="420A7D83"/>
    <w:rsid w:val="420C38A8"/>
    <w:rsid w:val="420D5EDC"/>
    <w:rsid w:val="420DE6EE"/>
    <w:rsid w:val="420E3A4A"/>
    <w:rsid w:val="420E5876"/>
    <w:rsid w:val="420E58D8"/>
    <w:rsid w:val="420E8420"/>
    <w:rsid w:val="420EFCF5"/>
    <w:rsid w:val="420F0CA7"/>
    <w:rsid w:val="420F511E"/>
    <w:rsid w:val="420FA463"/>
    <w:rsid w:val="42114076"/>
    <w:rsid w:val="4211FD1A"/>
    <w:rsid w:val="42128A4F"/>
    <w:rsid w:val="42129D20"/>
    <w:rsid w:val="4212AC5D"/>
    <w:rsid w:val="42134763"/>
    <w:rsid w:val="42137251"/>
    <w:rsid w:val="421407E8"/>
    <w:rsid w:val="42144A0E"/>
    <w:rsid w:val="421589E7"/>
    <w:rsid w:val="42159AB4"/>
    <w:rsid w:val="4215D27F"/>
    <w:rsid w:val="421659E4"/>
    <w:rsid w:val="42170B57"/>
    <w:rsid w:val="42175153"/>
    <w:rsid w:val="42177418"/>
    <w:rsid w:val="4217848B"/>
    <w:rsid w:val="421831AF"/>
    <w:rsid w:val="42186C3D"/>
    <w:rsid w:val="421A288C"/>
    <w:rsid w:val="421ABBA5"/>
    <w:rsid w:val="421B00E9"/>
    <w:rsid w:val="421B2A1E"/>
    <w:rsid w:val="421DF935"/>
    <w:rsid w:val="421F69C4"/>
    <w:rsid w:val="421FCBB3"/>
    <w:rsid w:val="42202A82"/>
    <w:rsid w:val="422180C3"/>
    <w:rsid w:val="4222C4C6"/>
    <w:rsid w:val="4222F190"/>
    <w:rsid w:val="4223085A"/>
    <w:rsid w:val="4223A72B"/>
    <w:rsid w:val="422533B0"/>
    <w:rsid w:val="42261C94"/>
    <w:rsid w:val="42262064"/>
    <w:rsid w:val="42268126"/>
    <w:rsid w:val="42272003"/>
    <w:rsid w:val="42276AC0"/>
    <w:rsid w:val="422839EC"/>
    <w:rsid w:val="4228B9FD"/>
    <w:rsid w:val="4228FEE6"/>
    <w:rsid w:val="422C5693"/>
    <w:rsid w:val="422D569F"/>
    <w:rsid w:val="422D5AB6"/>
    <w:rsid w:val="42314897"/>
    <w:rsid w:val="423232E9"/>
    <w:rsid w:val="42330DF3"/>
    <w:rsid w:val="423359DE"/>
    <w:rsid w:val="42338075"/>
    <w:rsid w:val="42339F92"/>
    <w:rsid w:val="4233E816"/>
    <w:rsid w:val="42342433"/>
    <w:rsid w:val="4234C4EE"/>
    <w:rsid w:val="42355532"/>
    <w:rsid w:val="4236179D"/>
    <w:rsid w:val="4236F357"/>
    <w:rsid w:val="4236FCCC"/>
    <w:rsid w:val="42393E8D"/>
    <w:rsid w:val="42394E28"/>
    <w:rsid w:val="42396C87"/>
    <w:rsid w:val="4239C3C5"/>
    <w:rsid w:val="4239C6BE"/>
    <w:rsid w:val="423AB2A0"/>
    <w:rsid w:val="423AB8F8"/>
    <w:rsid w:val="423B8840"/>
    <w:rsid w:val="423BF03E"/>
    <w:rsid w:val="423D0275"/>
    <w:rsid w:val="423E0B40"/>
    <w:rsid w:val="423F46A0"/>
    <w:rsid w:val="423F521A"/>
    <w:rsid w:val="4240A995"/>
    <w:rsid w:val="4241AAD5"/>
    <w:rsid w:val="42433243"/>
    <w:rsid w:val="4243A84C"/>
    <w:rsid w:val="424441E2"/>
    <w:rsid w:val="4245DD7A"/>
    <w:rsid w:val="42467CF5"/>
    <w:rsid w:val="42475B8A"/>
    <w:rsid w:val="42487374"/>
    <w:rsid w:val="42499C67"/>
    <w:rsid w:val="4249D3CD"/>
    <w:rsid w:val="424A98B8"/>
    <w:rsid w:val="424B49D9"/>
    <w:rsid w:val="424BF60A"/>
    <w:rsid w:val="424CDFA6"/>
    <w:rsid w:val="424D5F6C"/>
    <w:rsid w:val="424D6901"/>
    <w:rsid w:val="424E16CE"/>
    <w:rsid w:val="424EACF8"/>
    <w:rsid w:val="424EB33B"/>
    <w:rsid w:val="424EC368"/>
    <w:rsid w:val="424ED672"/>
    <w:rsid w:val="424F3F31"/>
    <w:rsid w:val="424F67D1"/>
    <w:rsid w:val="424F78EC"/>
    <w:rsid w:val="424FCF8F"/>
    <w:rsid w:val="42510448"/>
    <w:rsid w:val="4251B647"/>
    <w:rsid w:val="42529CF9"/>
    <w:rsid w:val="4252DF40"/>
    <w:rsid w:val="4252EFA4"/>
    <w:rsid w:val="425449A9"/>
    <w:rsid w:val="42547C24"/>
    <w:rsid w:val="4254A80F"/>
    <w:rsid w:val="4254B9FA"/>
    <w:rsid w:val="42550D8C"/>
    <w:rsid w:val="4257805A"/>
    <w:rsid w:val="425832A1"/>
    <w:rsid w:val="4259198D"/>
    <w:rsid w:val="42593971"/>
    <w:rsid w:val="42594EA3"/>
    <w:rsid w:val="4259D047"/>
    <w:rsid w:val="425B8C18"/>
    <w:rsid w:val="425CF86E"/>
    <w:rsid w:val="425E80F7"/>
    <w:rsid w:val="425F1151"/>
    <w:rsid w:val="425F3FC5"/>
    <w:rsid w:val="425FA7E6"/>
    <w:rsid w:val="426059B3"/>
    <w:rsid w:val="4260F648"/>
    <w:rsid w:val="42618B5A"/>
    <w:rsid w:val="42625C5C"/>
    <w:rsid w:val="4262EB7B"/>
    <w:rsid w:val="42637C89"/>
    <w:rsid w:val="4264D178"/>
    <w:rsid w:val="42667FB6"/>
    <w:rsid w:val="42677E6F"/>
    <w:rsid w:val="4267B1AA"/>
    <w:rsid w:val="42690533"/>
    <w:rsid w:val="426A2429"/>
    <w:rsid w:val="426BBCF4"/>
    <w:rsid w:val="426BC9E7"/>
    <w:rsid w:val="426D6BCA"/>
    <w:rsid w:val="426EDE16"/>
    <w:rsid w:val="426FDC8F"/>
    <w:rsid w:val="42701258"/>
    <w:rsid w:val="427050D4"/>
    <w:rsid w:val="4270F325"/>
    <w:rsid w:val="42710A3E"/>
    <w:rsid w:val="42713FA4"/>
    <w:rsid w:val="4272C5B7"/>
    <w:rsid w:val="42738387"/>
    <w:rsid w:val="4274BF22"/>
    <w:rsid w:val="4274C236"/>
    <w:rsid w:val="4275A621"/>
    <w:rsid w:val="42767A46"/>
    <w:rsid w:val="4276D1E2"/>
    <w:rsid w:val="42772AEB"/>
    <w:rsid w:val="42777851"/>
    <w:rsid w:val="4277CA77"/>
    <w:rsid w:val="427866FE"/>
    <w:rsid w:val="42787387"/>
    <w:rsid w:val="4279502C"/>
    <w:rsid w:val="4279571F"/>
    <w:rsid w:val="42796DC4"/>
    <w:rsid w:val="427A1D76"/>
    <w:rsid w:val="427A5A4A"/>
    <w:rsid w:val="427B7095"/>
    <w:rsid w:val="427C0CCA"/>
    <w:rsid w:val="427C52CA"/>
    <w:rsid w:val="427F1944"/>
    <w:rsid w:val="427F43CE"/>
    <w:rsid w:val="427F9DAC"/>
    <w:rsid w:val="42802842"/>
    <w:rsid w:val="42807445"/>
    <w:rsid w:val="42819510"/>
    <w:rsid w:val="4282AC57"/>
    <w:rsid w:val="4282F862"/>
    <w:rsid w:val="42834F0B"/>
    <w:rsid w:val="42838536"/>
    <w:rsid w:val="4283D159"/>
    <w:rsid w:val="428450CD"/>
    <w:rsid w:val="42851C6F"/>
    <w:rsid w:val="42853B93"/>
    <w:rsid w:val="42857E56"/>
    <w:rsid w:val="42869A59"/>
    <w:rsid w:val="42889BD9"/>
    <w:rsid w:val="428B04B6"/>
    <w:rsid w:val="428BBC23"/>
    <w:rsid w:val="428BC83E"/>
    <w:rsid w:val="428C2E84"/>
    <w:rsid w:val="428D3279"/>
    <w:rsid w:val="428DA4DB"/>
    <w:rsid w:val="428DDDF4"/>
    <w:rsid w:val="428DE4EF"/>
    <w:rsid w:val="428E61C5"/>
    <w:rsid w:val="428FD563"/>
    <w:rsid w:val="42905127"/>
    <w:rsid w:val="42908A8C"/>
    <w:rsid w:val="42912C4B"/>
    <w:rsid w:val="4291CD4E"/>
    <w:rsid w:val="4292A8CE"/>
    <w:rsid w:val="42948877"/>
    <w:rsid w:val="4294B0F2"/>
    <w:rsid w:val="42958DD6"/>
    <w:rsid w:val="429598FD"/>
    <w:rsid w:val="4295C634"/>
    <w:rsid w:val="4295F1E9"/>
    <w:rsid w:val="4296BB55"/>
    <w:rsid w:val="42973D50"/>
    <w:rsid w:val="42981BBA"/>
    <w:rsid w:val="4298719C"/>
    <w:rsid w:val="429A560D"/>
    <w:rsid w:val="429AAA55"/>
    <w:rsid w:val="429AAAFA"/>
    <w:rsid w:val="429ACB38"/>
    <w:rsid w:val="429AEDF3"/>
    <w:rsid w:val="429BA7C9"/>
    <w:rsid w:val="429C061A"/>
    <w:rsid w:val="429C70E8"/>
    <w:rsid w:val="429CDF61"/>
    <w:rsid w:val="429D6C77"/>
    <w:rsid w:val="42A0383E"/>
    <w:rsid w:val="42A1C948"/>
    <w:rsid w:val="42A248A5"/>
    <w:rsid w:val="42A2C7A3"/>
    <w:rsid w:val="42A552E8"/>
    <w:rsid w:val="42A7FFF9"/>
    <w:rsid w:val="42A82446"/>
    <w:rsid w:val="42A93981"/>
    <w:rsid w:val="42AB269E"/>
    <w:rsid w:val="42AC08C0"/>
    <w:rsid w:val="42AC705C"/>
    <w:rsid w:val="42AC89D8"/>
    <w:rsid w:val="42ACE2F6"/>
    <w:rsid w:val="42ACFC48"/>
    <w:rsid w:val="42AD2678"/>
    <w:rsid w:val="42ADED31"/>
    <w:rsid w:val="42AE5272"/>
    <w:rsid w:val="42AF0CE1"/>
    <w:rsid w:val="42B06732"/>
    <w:rsid w:val="42B1CC5A"/>
    <w:rsid w:val="42B1F1F8"/>
    <w:rsid w:val="42B3451A"/>
    <w:rsid w:val="42B4D6ED"/>
    <w:rsid w:val="42B62ABD"/>
    <w:rsid w:val="42B79CCC"/>
    <w:rsid w:val="42B7C022"/>
    <w:rsid w:val="42B7C855"/>
    <w:rsid w:val="42B7F7CA"/>
    <w:rsid w:val="42B93866"/>
    <w:rsid w:val="42BA4510"/>
    <w:rsid w:val="42BAD918"/>
    <w:rsid w:val="42BADB89"/>
    <w:rsid w:val="42BC067A"/>
    <w:rsid w:val="42BDB141"/>
    <w:rsid w:val="42BE03F3"/>
    <w:rsid w:val="42BE71C8"/>
    <w:rsid w:val="42BED4F6"/>
    <w:rsid w:val="42BF870E"/>
    <w:rsid w:val="42BFCF87"/>
    <w:rsid w:val="42C02E95"/>
    <w:rsid w:val="42C086DB"/>
    <w:rsid w:val="42C0C512"/>
    <w:rsid w:val="42C1B361"/>
    <w:rsid w:val="42C1D191"/>
    <w:rsid w:val="42C22E05"/>
    <w:rsid w:val="42C420A0"/>
    <w:rsid w:val="42C48A68"/>
    <w:rsid w:val="42C74D72"/>
    <w:rsid w:val="42C75021"/>
    <w:rsid w:val="42C7608A"/>
    <w:rsid w:val="42C7C0E2"/>
    <w:rsid w:val="42C8EE48"/>
    <w:rsid w:val="42C97952"/>
    <w:rsid w:val="42C999B4"/>
    <w:rsid w:val="42CA4C4E"/>
    <w:rsid w:val="42CA4C95"/>
    <w:rsid w:val="42CA9A73"/>
    <w:rsid w:val="42CBBA47"/>
    <w:rsid w:val="42CBD454"/>
    <w:rsid w:val="42CC15B2"/>
    <w:rsid w:val="42CC33B2"/>
    <w:rsid w:val="42CEAB42"/>
    <w:rsid w:val="42CED25C"/>
    <w:rsid w:val="42CEDF4F"/>
    <w:rsid w:val="42CF3E9E"/>
    <w:rsid w:val="42CF6AD8"/>
    <w:rsid w:val="42D11CA1"/>
    <w:rsid w:val="42D1F71C"/>
    <w:rsid w:val="42D25A2B"/>
    <w:rsid w:val="42D3029C"/>
    <w:rsid w:val="42D37290"/>
    <w:rsid w:val="42D433E4"/>
    <w:rsid w:val="42D47D5C"/>
    <w:rsid w:val="42D4D310"/>
    <w:rsid w:val="42D60CD5"/>
    <w:rsid w:val="42D771F0"/>
    <w:rsid w:val="42D99414"/>
    <w:rsid w:val="42DA3F58"/>
    <w:rsid w:val="42DB3123"/>
    <w:rsid w:val="42DB573C"/>
    <w:rsid w:val="42DBBD72"/>
    <w:rsid w:val="42DC942A"/>
    <w:rsid w:val="42DCFAB0"/>
    <w:rsid w:val="42DD4CEB"/>
    <w:rsid w:val="42DD531B"/>
    <w:rsid w:val="42DDCAE4"/>
    <w:rsid w:val="42DDF1AA"/>
    <w:rsid w:val="42DECDFA"/>
    <w:rsid w:val="42DEDD4B"/>
    <w:rsid w:val="42DF9DC0"/>
    <w:rsid w:val="42E07D01"/>
    <w:rsid w:val="42E2159D"/>
    <w:rsid w:val="42E2B476"/>
    <w:rsid w:val="42E3247F"/>
    <w:rsid w:val="42E39D20"/>
    <w:rsid w:val="42E41827"/>
    <w:rsid w:val="42E502E6"/>
    <w:rsid w:val="42E60BCD"/>
    <w:rsid w:val="42E6A90C"/>
    <w:rsid w:val="42E71824"/>
    <w:rsid w:val="42E785E7"/>
    <w:rsid w:val="42E7E96E"/>
    <w:rsid w:val="42E9063A"/>
    <w:rsid w:val="42E9CF8A"/>
    <w:rsid w:val="42EA60F1"/>
    <w:rsid w:val="42EAB5E1"/>
    <w:rsid w:val="42EAEA77"/>
    <w:rsid w:val="42EB1751"/>
    <w:rsid w:val="42EC530E"/>
    <w:rsid w:val="42ECA833"/>
    <w:rsid w:val="42EDBDB8"/>
    <w:rsid w:val="42EEE651"/>
    <w:rsid w:val="42EF9BBE"/>
    <w:rsid w:val="42EFA675"/>
    <w:rsid w:val="42F0C9D7"/>
    <w:rsid w:val="42F10DC2"/>
    <w:rsid w:val="42F1A7FF"/>
    <w:rsid w:val="42F2544C"/>
    <w:rsid w:val="42F2807D"/>
    <w:rsid w:val="42F30BC8"/>
    <w:rsid w:val="42F3A165"/>
    <w:rsid w:val="42F3DB5E"/>
    <w:rsid w:val="42F40E46"/>
    <w:rsid w:val="42F4BB92"/>
    <w:rsid w:val="42F54267"/>
    <w:rsid w:val="42F5598F"/>
    <w:rsid w:val="42F6461C"/>
    <w:rsid w:val="42F6A27E"/>
    <w:rsid w:val="42F6AF80"/>
    <w:rsid w:val="42F7B969"/>
    <w:rsid w:val="42F84FAD"/>
    <w:rsid w:val="42F9B23A"/>
    <w:rsid w:val="42FA20D0"/>
    <w:rsid w:val="42FB26FA"/>
    <w:rsid w:val="42FB95E9"/>
    <w:rsid w:val="42FC9BE6"/>
    <w:rsid w:val="42FDE1E6"/>
    <w:rsid w:val="42FF2D6B"/>
    <w:rsid w:val="430031B5"/>
    <w:rsid w:val="43004195"/>
    <w:rsid w:val="43009692"/>
    <w:rsid w:val="430233D6"/>
    <w:rsid w:val="43027A0D"/>
    <w:rsid w:val="4302BC2A"/>
    <w:rsid w:val="4302D781"/>
    <w:rsid w:val="4303C255"/>
    <w:rsid w:val="43041EA1"/>
    <w:rsid w:val="430446CB"/>
    <w:rsid w:val="4305267B"/>
    <w:rsid w:val="43057306"/>
    <w:rsid w:val="4305989D"/>
    <w:rsid w:val="4305DE03"/>
    <w:rsid w:val="43061E76"/>
    <w:rsid w:val="4306E5BD"/>
    <w:rsid w:val="4308D533"/>
    <w:rsid w:val="43090008"/>
    <w:rsid w:val="43098745"/>
    <w:rsid w:val="4309D429"/>
    <w:rsid w:val="430A455A"/>
    <w:rsid w:val="430AA1AD"/>
    <w:rsid w:val="430B78B4"/>
    <w:rsid w:val="430CCDB3"/>
    <w:rsid w:val="430FF18E"/>
    <w:rsid w:val="43100841"/>
    <w:rsid w:val="4310D059"/>
    <w:rsid w:val="43116DAA"/>
    <w:rsid w:val="43119ADE"/>
    <w:rsid w:val="43126237"/>
    <w:rsid w:val="43128CF9"/>
    <w:rsid w:val="431414C9"/>
    <w:rsid w:val="431443BE"/>
    <w:rsid w:val="4315209B"/>
    <w:rsid w:val="43153BEA"/>
    <w:rsid w:val="43158E15"/>
    <w:rsid w:val="4315F9AB"/>
    <w:rsid w:val="43169487"/>
    <w:rsid w:val="4316C2A1"/>
    <w:rsid w:val="4316DFF4"/>
    <w:rsid w:val="431936A7"/>
    <w:rsid w:val="431AE689"/>
    <w:rsid w:val="431B6871"/>
    <w:rsid w:val="431BBF2C"/>
    <w:rsid w:val="431CA46D"/>
    <w:rsid w:val="431F530E"/>
    <w:rsid w:val="431FD4A2"/>
    <w:rsid w:val="431FF2B0"/>
    <w:rsid w:val="4320C092"/>
    <w:rsid w:val="43231E7E"/>
    <w:rsid w:val="43242AAC"/>
    <w:rsid w:val="43256C37"/>
    <w:rsid w:val="4326AE05"/>
    <w:rsid w:val="43274B84"/>
    <w:rsid w:val="43275DD3"/>
    <w:rsid w:val="4327FBA0"/>
    <w:rsid w:val="4328A6A5"/>
    <w:rsid w:val="43296E44"/>
    <w:rsid w:val="4329827B"/>
    <w:rsid w:val="432AA2A0"/>
    <w:rsid w:val="432ACEED"/>
    <w:rsid w:val="432B5BE6"/>
    <w:rsid w:val="432BBFF9"/>
    <w:rsid w:val="432C37B5"/>
    <w:rsid w:val="432C6AA3"/>
    <w:rsid w:val="432D6734"/>
    <w:rsid w:val="432D899A"/>
    <w:rsid w:val="432EC756"/>
    <w:rsid w:val="432F8342"/>
    <w:rsid w:val="432FBF7C"/>
    <w:rsid w:val="432FF147"/>
    <w:rsid w:val="433020D2"/>
    <w:rsid w:val="43308B00"/>
    <w:rsid w:val="43315E76"/>
    <w:rsid w:val="4331BEC9"/>
    <w:rsid w:val="43328494"/>
    <w:rsid w:val="4332B924"/>
    <w:rsid w:val="4334178E"/>
    <w:rsid w:val="4334752A"/>
    <w:rsid w:val="4336F599"/>
    <w:rsid w:val="4337F2FD"/>
    <w:rsid w:val="43385610"/>
    <w:rsid w:val="43385F72"/>
    <w:rsid w:val="43394A80"/>
    <w:rsid w:val="43399BE8"/>
    <w:rsid w:val="433B06E8"/>
    <w:rsid w:val="433B301E"/>
    <w:rsid w:val="433E0758"/>
    <w:rsid w:val="433E487F"/>
    <w:rsid w:val="433F7701"/>
    <w:rsid w:val="433F7E82"/>
    <w:rsid w:val="433F87F8"/>
    <w:rsid w:val="434027F5"/>
    <w:rsid w:val="43404FF9"/>
    <w:rsid w:val="43407F9D"/>
    <w:rsid w:val="43413DFA"/>
    <w:rsid w:val="43416D50"/>
    <w:rsid w:val="4341894A"/>
    <w:rsid w:val="4341D293"/>
    <w:rsid w:val="4343EEB4"/>
    <w:rsid w:val="4344740E"/>
    <w:rsid w:val="4345A15A"/>
    <w:rsid w:val="4346090E"/>
    <w:rsid w:val="43462E11"/>
    <w:rsid w:val="434674E4"/>
    <w:rsid w:val="4346AB1E"/>
    <w:rsid w:val="4346E1F6"/>
    <w:rsid w:val="43476B66"/>
    <w:rsid w:val="4349543C"/>
    <w:rsid w:val="4349CDDD"/>
    <w:rsid w:val="4349F3DB"/>
    <w:rsid w:val="434AD521"/>
    <w:rsid w:val="434B0493"/>
    <w:rsid w:val="434BD544"/>
    <w:rsid w:val="434C0CCB"/>
    <w:rsid w:val="434C5399"/>
    <w:rsid w:val="434C9208"/>
    <w:rsid w:val="434C9652"/>
    <w:rsid w:val="434D68E6"/>
    <w:rsid w:val="434D93DC"/>
    <w:rsid w:val="434F2AC4"/>
    <w:rsid w:val="434F4D10"/>
    <w:rsid w:val="43506330"/>
    <w:rsid w:val="4352E1FE"/>
    <w:rsid w:val="4352E897"/>
    <w:rsid w:val="43537FCB"/>
    <w:rsid w:val="43539F49"/>
    <w:rsid w:val="4353FE72"/>
    <w:rsid w:val="4354592E"/>
    <w:rsid w:val="4354599D"/>
    <w:rsid w:val="435498E6"/>
    <w:rsid w:val="435499D1"/>
    <w:rsid w:val="4354A991"/>
    <w:rsid w:val="43552F0E"/>
    <w:rsid w:val="43555CD6"/>
    <w:rsid w:val="435603C4"/>
    <w:rsid w:val="43566492"/>
    <w:rsid w:val="435759F5"/>
    <w:rsid w:val="43576B69"/>
    <w:rsid w:val="4357B065"/>
    <w:rsid w:val="4357E6B3"/>
    <w:rsid w:val="43582460"/>
    <w:rsid w:val="43584E09"/>
    <w:rsid w:val="435A7E30"/>
    <w:rsid w:val="435A95C1"/>
    <w:rsid w:val="435B57EF"/>
    <w:rsid w:val="435C4317"/>
    <w:rsid w:val="435C48DF"/>
    <w:rsid w:val="435CBF51"/>
    <w:rsid w:val="435D1BD5"/>
    <w:rsid w:val="435D9685"/>
    <w:rsid w:val="435DC5C6"/>
    <w:rsid w:val="435E455B"/>
    <w:rsid w:val="435E824D"/>
    <w:rsid w:val="435F84EF"/>
    <w:rsid w:val="4360E556"/>
    <w:rsid w:val="43614DE2"/>
    <w:rsid w:val="4361A56E"/>
    <w:rsid w:val="4362AE06"/>
    <w:rsid w:val="4362F859"/>
    <w:rsid w:val="436313E0"/>
    <w:rsid w:val="4364E8DF"/>
    <w:rsid w:val="43669726"/>
    <w:rsid w:val="43673007"/>
    <w:rsid w:val="4368258A"/>
    <w:rsid w:val="4368310F"/>
    <w:rsid w:val="4368B498"/>
    <w:rsid w:val="4368D27B"/>
    <w:rsid w:val="43692E64"/>
    <w:rsid w:val="436931F9"/>
    <w:rsid w:val="4369DC9B"/>
    <w:rsid w:val="4369DE42"/>
    <w:rsid w:val="4369FC01"/>
    <w:rsid w:val="436AB996"/>
    <w:rsid w:val="436B579C"/>
    <w:rsid w:val="436B8F9B"/>
    <w:rsid w:val="436CB53B"/>
    <w:rsid w:val="436D21FF"/>
    <w:rsid w:val="436EF472"/>
    <w:rsid w:val="436F38DA"/>
    <w:rsid w:val="436FB3DD"/>
    <w:rsid w:val="4371C4D4"/>
    <w:rsid w:val="4371D2CC"/>
    <w:rsid w:val="4371EF78"/>
    <w:rsid w:val="43726C63"/>
    <w:rsid w:val="4372B142"/>
    <w:rsid w:val="4373F00D"/>
    <w:rsid w:val="43744E3E"/>
    <w:rsid w:val="4374C7E8"/>
    <w:rsid w:val="437555B8"/>
    <w:rsid w:val="4376DAC8"/>
    <w:rsid w:val="4377D50F"/>
    <w:rsid w:val="4377E2E7"/>
    <w:rsid w:val="4377EE54"/>
    <w:rsid w:val="43783727"/>
    <w:rsid w:val="43789C6E"/>
    <w:rsid w:val="43799BBA"/>
    <w:rsid w:val="4379C432"/>
    <w:rsid w:val="4379D431"/>
    <w:rsid w:val="437B9823"/>
    <w:rsid w:val="437CCE2D"/>
    <w:rsid w:val="437CFDC5"/>
    <w:rsid w:val="437D9AB0"/>
    <w:rsid w:val="437E1E51"/>
    <w:rsid w:val="437EB8E6"/>
    <w:rsid w:val="437EC7A9"/>
    <w:rsid w:val="437F2F50"/>
    <w:rsid w:val="437F4E0E"/>
    <w:rsid w:val="437FB4ED"/>
    <w:rsid w:val="437FCB89"/>
    <w:rsid w:val="4381164C"/>
    <w:rsid w:val="43813157"/>
    <w:rsid w:val="4381C22C"/>
    <w:rsid w:val="4381D508"/>
    <w:rsid w:val="43823C20"/>
    <w:rsid w:val="4382786E"/>
    <w:rsid w:val="438463D7"/>
    <w:rsid w:val="43846F99"/>
    <w:rsid w:val="4386C75F"/>
    <w:rsid w:val="438790EE"/>
    <w:rsid w:val="438792F4"/>
    <w:rsid w:val="43887DD5"/>
    <w:rsid w:val="4388F778"/>
    <w:rsid w:val="43892802"/>
    <w:rsid w:val="4389A211"/>
    <w:rsid w:val="438A1B11"/>
    <w:rsid w:val="438B6FD3"/>
    <w:rsid w:val="438C1823"/>
    <w:rsid w:val="438C65A4"/>
    <w:rsid w:val="438C8B87"/>
    <w:rsid w:val="438CD123"/>
    <w:rsid w:val="438E9269"/>
    <w:rsid w:val="438F4B0F"/>
    <w:rsid w:val="4390B860"/>
    <w:rsid w:val="4390E237"/>
    <w:rsid w:val="439121CA"/>
    <w:rsid w:val="43921B2B"/>
    <w:rsid w:val="439238DF"/>
    <w:rsid w:val="43924B67"/>
    <w:rsid w:val="4392B2FC"/>
    <w:rsid w:val="43935F4A"/>
    <w:rsid w:val="4393EF3E"/>
    <w:rsid w:val="4394019E"/>
    <w:rsid w:val="4394B4AF"/>
    <w:rsid w:val="43969B55"/>
    <w:rsid w:val="4396B97A"/>
    <w:rsid w:val="43972F7B"/>
    <w:rsid w:val="43978B68"/>
    <w:rsid w:val="43983C21"/>
    <w:rsid w:val="43987907"/>
    <w:rsid w:val="4398C7B1"/>
    <w:rsid w:val="4398FC20"/>
    <w:rsid w:val="43990452"/>
    <w:rsid w:val="4399BF69"/>
    <w:rsid w:val="439A7A89"/>
    <w:rsid w:val="439B4A5D"/>
    <w:rsid w:val="439B9A7C"/>
    <w:rsid w:val="439BCE5A"/>
    <w:rsid w:val="439C7B8A"/>
    <w:rsid w:val="439CBEAC"/>
    <w:rsid w:val="439F084F"/>
    <w:rsid w:val="439FBC9B"/>
    <w:rsid w:val="43A0E72E"/>
    <w:rsid w:val="43A22446"/>
    <w:rsid w:val="43A31A37"/>
    <w:rsid w:val="43A35704"/>
    <w:rsid w:val="43A3F222"/>
    <w:rsid w:val="43A4095B"/>
    <w:rsid w:val="43A40B88"/>
    <w:rsid w:val="43A43076"/>
    <w:rsid w:val="43A48F2F"/>
    <w:rsid w:val="43A4C67F"/>
    <w:rsid w:val="43A5A676"/>
    <w:rsid w:val="43A62877"/>
    <w:rsid w:val="43A6BDA2"/>
    <w:rsid w:val="43A6F74C"/>
    <w:rsid w:val="43A778B5"/>
    <w:rsid w:val="43A792C2"/>
    <w:rsid w:val="43A7A736"/>
    <w:rsid w:val="43A7BB9C"/>
    <w:rsid w:val="43A88706"/>
    <w:rsid w:val="43A8ABB3"/>
    <w:rsid w:val="43A8B993"/>
    <w:rsid w:val="43A8E00B"/>
    <w:rsid w:val="43A92E99"/>
    <w:rsid w:val="43A98C36"/>
    <w:rsid w:val="43A9A3DA"/>
    <w:rsid w:val="43A9D04C"/>
    <w:rsid w:val="43A9DB1D"/>
    <w:rsid w:val="43AA0FF3"/>
    <w:rsid w:val="43AA3543"/>
    <w:rsid w:val="43AB0F0F"/>
    <w:rsid w:val="43AD6888"/>
    <w:rsid w:val="43AE8BAD"/>
    <w:rsid w:val="43AF184E"/>
    <w:rsid w:val="43B09A35"/>
    <w:rsid w:val="43B138B7"/>
    <w:rsid w:val="43B3893D"/>
    <w:rsid w:val="43B45EB0"/>
    <w:rsid w:val="43B54040"/>
    <w:rsid w:val="43B5E9F5"/>
    <w:rsid w:val="43B6F66E"/>
    <w:rsid w:val="43B7424F"/>
    <w:rsid w:val="43B742F2"/>
    <w:rsid w:val="43B755CD"/>
    <w:rsid w:val="43B86484"/>
    <w:rsid w:val="43B87D80"/>
    <w:rsid w:val="43B8A0E3"/>
    <w:rsid w:val="43B90B60"/>
    <w:rsid w:val="43B90D29"/>
    <w:rsid w:val="43BABC79"/>
    <w:rsid w:val="43BAF410"/>
    <w:rsid w:val="43BBD360"/>
    <w:rsid w:val="43BBE3A9"/>
    <w:rsid w:val="43BC15DE"/>
    <w:rsid w:val="43BC501D"/>
    <w:rsid w:val="43BCD382"/>
    <w:rsid w:val="43BDF294"/>
    <w:rsid w:val="43BE6FF2"/>
    <w:rsid w:val="43C11D65"/>
    <w:rsid w:val="43C21E1B"/>
    <w:rsid w:val="43C24858"/>
    <w:rsid w:val="43C34D19"/>
    <w:rsid w:val="43C52D81"/>
    <w:rsid w:val="43C6D664"/>
    <w:rsid w:val="43C6D7F1"/>
    <w:rsid w:val="43C77B50"/>
    <w:rsid w:val="43C813D9"/>
    <w:rsid w:val="43C81603"/>
    <w:rsid w:val="43C81A74"/>
    <w:rsid w:val="43C84F2B"/>
    <w:rsid w:val="43C9B8F3"/>
    <w:rsid w:val="43CAC3B3"/>
    <w:rsid w:val="43CAE1D5"/>
    <w:rsid w:val="43CCDC17"/>
    <w:rsid w:val="43CD2124"/>
    <w:rsid w:val="43CD9386"/>
    <w:rsid w:val="43CDB150"/>
    <w:rsid w:val="43CDDC60"/>
    <w:rsid w:val="43CE947B"/>
    <w:rsid w:val="43CFADD1"/>
    <w:rsid w:val="43CFD344"/>
    <w:rsid w:val="43CFEAC5"/>
    <w:rsid w:val="43D01C34"/>
    <w:rsid w:val="43D0209D"/>
    <w:rsid w:val="43D08099"/>
    <w:rsid w:val="43D17ED1"/>
    <w:rsid w:val="43D210FC"/>
    <w:rsid w:val="43D2242E"/>
    <w:rsid w:val="43D32A25"/>
    <w:rsid w:val="43D3D61B"/>
    <w:rsid w:val="43D4AA7D"/>
    <w:rsid w:val="43D4B1A6"/>
    <w:rsid w:val="43D4B5B8"/>
    <w:rsid w:val="43D4CC3C"/>
    <w:rsid w:val="43D58EE0"/>
    <w:rsid w:val="43D70D13"/>
    <w:rsid w:val="43D71044"/>
    <w:rsid w:val="43D7DF31"/>
    <w:rsid w:val="43D82008"/>
    <w:rsid w:val="43D8DBD5"/>
    <w:rsid w:val="43D95D52"/>
    <w:rsid w:val="43D97F25"/>
    <w:rsid w:val="43D9A4B1"/>
    <w:rsid w:val="43DAFC9B"/>
    <w:rsid w:val="43DB180D"/>
    <w:rsid w:val="43DB4C0A"/>
    <w:rsid w:val="43DB4E04"/>
    <w:rsid w:val="43DBFF9B"/>
    <w:rsid w:val="43DC260E"/>
    <w:rsid w:val="43DC2B85"/>
    <w:rsid w:val="43DCD0F7"/>
    <w:rsid w:val="43DCFC25"/>
    <w:rsid w:val="43DEF430"/>
    <w:rsid w:val="43DF3ADC"/>
    <w:rsid w:val="43DF6CF3"/>
    <w:rsid w:val="43DFBF77"/>
    <w:rsid w:val="43E06B77"/>
    <w:rsid w:val="43E1A786"/>
    <w:rsid w:val="43E1C060"/>
    <w:rsid w:val="43E1EEF3"/>
    <w:rsid w:val="43E2CFD5"/>
    <w:rsid w:val="43E2D2B8"/>
    <w:rsid w:val="43E34208"/>
    <w:rsid w:val="43E3AB26"/>
    <w:rsid w:val="43E3F285"/>
    <w:rsid w:val="43E42A08"/>
    <w:rsid w:val="43E4E522"/>
    <w:rsid w:val="43E4E790"/>
    <w:rsid w:val="43E65F97"/>
    <w:rsid w:val="43E66CE5"/>
    <w:rsid w:val="43E72B73"/>
    <w:rsid w:val="43E79189"/>
    <w:rsid w:val="43E7B6A8"/>
    <w:rsid w:val="43E80DDF"/>
    <w:rsid w:val="43EB0648"/>
    <w:rsid w:val="43EB26AE"/>
    <w:rsid w:val="43EBBFB9"/>
    <w:rsid w:val="43EC6D75"/>
    <w:rsid w:val="43EC8108"/>
    <w:rsid w:val="43EE8673"/>
    <w:rsid w:val="43EE9CB5"/>
    <w:rsid w:val="43EF37E4"/>
    <w:rsid w:val="43EFB1BF"/>
    <w:rsid w:val="43F0DA20"/>
    <w:rsid w:val="43F1CDF8"/>
    <w:rsid w:val="43F21DAE"/>
    <w:rsid w:val="43F23E02"/>
    <w:rsid w:val="43F356F0"/>
    <w:rsid w:val="43F36D3A"/>
    <w:rsid w:val="43F534A0"/>
    <w:rsid w:val="43F5574F"/>
    <w:rsid w:val="43F67414"/>
    <w:rsid w:val="43F7E1BF"/>
    <w:rsid w:val="43F7FD81"/>
    <w:rsid w:val="43F802FC"/>
    <w:rsid w:val="43F84957"/>
    <w:rsid w:val="43F89831"/>
    <w:rsid w:val="43F93DAE"/>
    <w:rsid w:val="43FA41D6"/>
    <w:rsid w:val="43FA895E"/>
    <w:rsid w:val="43FAF255"/>
    <w:rsid w:val="43FB76D6"/>
    <w:rsid w:val="43FC1FE9"/>
    <w:rsid w:val="43FC316B"/>
    <w:rsid w:val="43FC6687"/>
    <w:rsid w:val="43FCF845"/>
    <w:rsid w:val="43FD7641"/>
    <w:rsid w:val="43FDAC49"/>
    <w:rsid w:val="43FDDBC1"/>
    <w:rsid w:val="43FEA3DF"/>
    <w:rsid w:val="43FFC256"/>
    <w:rsid w:val="43FFDF1B"/>
    <w:rsid w:val="44009374"/>
    <w:rsid w:val="44013C0F"/>
    <w:rsid w:val="440191C6"/>
    <w:rsid w:val="44023632"/>
    <w:rsid w:val="440327A3"/>
    <w:rsid w:val="44034B95"/>
    <w:rsid w:val="4404070B"/>
    <w:rsid w:val="44041362"/>
    <w:rsid w:val="4404339F"/>
    <w:rsid w:val="4404573B"/>
    <w:rsid w:val="4404D17E"/>
    <w:rsid w:val="44053A2F"/>
    <w:rsid w:val="4405A6B5"/>
    <w:rsid w:val="440643D7"/>
    <w:rsid w:val="440700E2"/>
    <w:rsid w:val="440733A5"/>
    <w:rsid w:val="440791E1"/>
    <w:rsid w:val="4407C9D4"/>
    <w:rsid w:val="4407F52B"/>
    <w:rsid w:val="4408D180"/>
    <w:rsid w:val="44099DFE"/>
    <w:rsid w:val="440A6789"/>
    <w:rsid w:val="440A88A7"/>
    <w:rsid w:val="440A9FC3"/>
    <w:rsid w:val="440AB86F"/>
    <w:rsid w:val="440B99C0"/>
    <w:rsid w:val="440BB4D1"/>
    <w:rsid w:val="440BE1E7"/>
    <w:rsid w:val="440C070D"/>
    <w:rsid w:val="440C74C9"/>
    <w:rsid w:val="440C8404"/>
    <w:rsid w:val="440CDC77"/>
    <w:rsid w:val="440DA7E0"/>
    <w:rsid w:val="440E5873"/>
    <w:rsid w:val="440ED9B8"/>
    <w:rsid w:val="440FECC3"/>
    <w:rsid w:val="4410A576"/>
    <w:rsid w:val="44113E0F"/>
    <w:rsid w:val="44114EA9"/>
    <w:rsid w:val="44129793"/>
    <w:rsid w:val="4412CA98"/>
    <w:rsid w:val="44132655"/>
    <w:rsid w:val="4413DAF7"/>
    <w:rsid w:val="44142C8D"/>
    <w:rsid w:val="44148066"/>
    <w:rsid w:val="44155378"/>
    <w:rsid w:val="4415C0CD"/>
    <w:rsid w:val="4415E553"/>
    <w:rsid w:val="44165699"/>
    <w:rsid w:val="4416A3B4"/>
    <w:rsid w:val="44179370"/>
    <w:rsid w:val="4417DEFC"/>
    <w:rsid w:val="4418267A"/>
    <w:rsid w:val="4418FFF1"/>
    <w:rsid w:val="4419D6E5"/>
    <w:rsid w:val="441B4C84"/>
    <w:rsid w:val="441B5E8F"/>
    <w:rsid w:val="441B6E0D"/>
    <w:rsid w:val="441CCB54"/>
    <w:rsid w:val="441D3E41"/>
    <w:rsid w:val="441FFCD8"/>
    <w:rsid w:val="44200C77"/>
    <w:rsid w:val="4421AE66"/>
    <w:rsid w:val="44239DE5"/>
    <w:rsid w:val="4425D739"/>
    <w:rsid w:val="4425F557"/>
    <w:rsid w:val="44260E7E"/>
    <w:rsid w:val="44261E8D"/>
    <w:rsid w:val="44273BD2"/>
    <w:rsid w:val="4427846B"/>
    <w:rsid w:val="442964BB"/>
    <w:rsid w:val="442978F6"/>
    <w:rsid w:val="442A1C36"/>
    <w:rsid w:val="442A5EF2"/>
    <w:rsid w:val="442B7365"/>
    <w:rsid w:val="442BF906"/>
    <w:rsid w:val="442CB3DB"/>
    <w:rsid w:val="442CD217"/>
    <w:rsid w:val="442CDB72"/>
    <w:rsid w:val="442D3681"/>
    <w:rsid w:val="442D8838"/>
    <w:rsid w:val="442EDD1C"/>
    <w:rsid w:val="442FA14D"/>
    <w:rsid w:val="44307912"/>
    <w:rsid w:val="4430DA34"/>
    <w:rsid w:val="443288F6"/>
    <w:rsid w:val="4433A96A"/>
    <w:rsid w:val="4433CCED"/>
    <w:rsid w:val="4433F5DA"/>
    <w:rsid w:val="4434914C"/>
    <w:rsid w:val="4434D961"/>
    <w:rsid w:val="4435C323"/>
    <w:rsid w:val="4435F170"/>
    <w:rsid w:val="443724D3"/>
    <w:rsid w:val="4438BE2A"/>
    <w:rsid w:val="443AE4C6"/>
    <w:rsid w:val="443B8CA9"/>
    <w:rsid w:val="443C969F"/>
    <w:rsid w:val="443CBBFE"/>
    <w:rsid w:val="443DAC22"/>
    <w:rsid w:val="443DD3AF"/>
    <w:rsid w:val="443DE221"/>
    <w:rsid w:val="443DEDCA"/>
    <w:rsid w:val="443E36CE"/>
    <w:rsid w:val="443EA3DF"/>
    <w:rsid w:val="443ECE87"/>
    <w:rsid w:val="443ED604"/>
    <w:rsid w:val="443F5886"/>
    <w:rsid w:val="44422E1B"/>
    <w:rsid w:val="4442F700"/>
    <w:rsid w:val="44430DCD"/>
    <w:rsid w:val="44434AC9"/>
    <w:rsid w:val="44445164"/>
    <w:rsid w:val="44449B51"/>
    <w:rsid w:val="4444B9F5"/>
    <w:rsid w:val="44463227"/>
    <w:rsid w:val="44464C22"/>
    <w:rsid w:val="44470921"/>
    <w:rsid w:val="44473834"/>
    <w:rsid w:val="4447907C"/>
    <w:rsid w:val="44485452"/>
    <w:rsid w:val="4448B1C3"/>
    <w:rsid w:val="444A3324"/>
    <w:rsid w:val="444AD600"/>
    <w:rsid w:val="444ADE27"/>
    <w:rsid w:val="444B03B1"/>
    <w:rsid w:val="444B55CC"/>
    <w:rsid w:val="444B63FB"/>
    <w:rsid w:val="444BC092"/>
    <w:rsid w:val="444BD5A5"/>
    <w:rsid w:val="444C2B42"/>
    <w:rsid w:val="444C4B22"/>
    <w:rsid w:val="444D1072"/>
    <w:rsid w:val="444D5F5F"/>
    <w:rsid w:val="444D82BC"/>
    <w:rsid w:val="444DDC23"/>
    <w:rsid w:val="444DE628"/>
    <w:rsid w:val="444FEF61"/>
    <w:rsid w:val="44501815"/>
    <w:rsid w:val="4451EA58"/>
    <w:rsid w:val="44530320"/>
    <w:rsid w:val="44531238"/>
    <w:rsid w:val="445398C0"/>
    <w:rsid w:val="4453AD51"/>
    <w:rsid w:val="4453F06E"/>
    <w:rsid w:val="4454A2D9"/>
    <w:rsid w:val="44556C57"/>
    <w:rsid w:val="44559F3A"/>
    <w:rsid w:val="4455B4AA"/>
    <w:rsid w:val="4455EC0F"/>
    <w:rsid w:val="44565AF8"/>
    <w:rsid w:val="44571484"/>
    <w:rsid w:val="44575A1E"/>
    <w:rsid w:val="4458A1BC"/>
    <w:rsid w:val="4458F20E"/>
    <w:rsid w:val="4459D04B"/>
    <w:rsid w:val="445A100E"/>
    <w:rsid w:val="445B3039"/>
    <w:rsid w:val="445CCC8B"/>
    <w:rsid w:val="445D27E1"/>
    <w:rsid w:val="445D2816"/>
    <w:rsid w:val="445DAB24"/>
    <w:rsid w:val="445E366C"/>
    <w:rsid w:val="445EDD92"/>
    <w:rsid w:val="445FCD3D"/>
    <w:rsid w:val="4461B1FB"/>
    <w:rsid w:val="446253C5"/>
    <w:rsid w:val="44627C8C"/>
    <w:rsid w:val="44629DA2"/>
    <w:rsid w:val="4462FCC5"/>
    <w:rsid w:val="44639B46"/>
    <w:rsid w:val="4463A9DF"/>
    <w:rsid w:val="4464433B"/>
    <w:rsid w:val="4464BA4D"/>
    <w:rsid w:val="4464BDC1"/>
    <w:rsid w:val="44653506"/>
    <w:rsid w:val="4465DBD9"/>
    <w:rsid w:val="446614FD"/>
    <w:rsid w:val="44662F00"/>
    <w:rsid w:val="4466DE84"/>
    <w:rsid w:val="4467F146"/>
    <w:rsid w:val="44680487"/>
    <w:rsid w:val="4468474A"/>
    <w:rsid w:val="4468EC73"/>
    <w:rsid w:val="4469DDCE"/>
    <w:rsid w:val="446A9ACA"/>
    <w:rsid w:val="446AADBC"/>
    <w:rsid w:val="446B20F4"/>
    <w:rsid w:val="446B71E2"/>
    <w:rsid w:val="446B7D78"/>
    <w:rsid w:val="446BD799"/>
    <w:rsid w:val="446C8DC0"/>
    <w:rsid w:val="446CB630"/>
    <w:rsid w:val="446D2A12"/>
    <w:rsid w:val="446E4C25"/>
    <w:rsid w:val="446E6C92"/>
    <w:rsid w:val="446F07A7"/>
    <w:rsid w:val="446F68C2"/>
    <w:rsid w:val="446FAC7E"/>
    <w:rsid w:val="44700912"/>
    <w:rsid w:val="4470265D"/>
    <w:rsid w:val="4470E2DF"/>
    <w:rsid w:val="4471BB38"/>
    <w:rsid w:val="4472A8B3"/>
    <w:rsid w:val="44732AD7"/>
    <w:rsid w:val="447332A1"/>
    <w:rsid w:val="4473F2E4"/>
    <w:rsid w:val="44743315"/>
    <w:rsid w:val="44754D72"/>
    <w:rsid w:val="4476186E"/>
    <w:rsid w:val="4477D116"/>
    <w:rsid w:val="44782F32"/>
    <w:rsid w:val="4478F8D1"/>
    <w:rsid w:val="4478FD09"/>
    <w:rsid w:val="4479F3EC"/>
    <w:rsid w:val="447A03DF"/>
    <w:rsid w:val="447B8BC8"/>
    <w:rsid w:val="447CFCC0"/>
    <w:rsid w:val="447D6419"/>
    <w:rsid w:val="447E0F1B"/>
    <w:rsid w:val="447E4A97"/>
    <w:rsid w:val="447FFD13"/>
    <w:rsid w:val="44801FDC"/>
    <w:rsid w:val="448066F3"/>
    <w:rsid w:val="44808ABC"/>
    <w:rsid w:val="4480B629"/>
    <w:rsid w:val="4480B7DA"/>
    <w:rsid w:val="44817D2D"/>
    <w:rsid w:val="4481D499"/>
    <w:rsid w:val="4481DE92"/>
    <w:rsid w:val="4481E0AC"/>
    <w:rsid w:val="44828F9B"/>
    <w:rsid w:val="4482F0BB"/>
    <w:rsid w:val="44835B1D"/>
    <w:rsid w:val="4484182F"/>
    <w:rsid w:val="4484F923"/>
    <w:rsid w:val="448532E8"/>
    <w:rsid w:val="4485E57B"/>
    <w:rsid w:val="4485FBF0"/>
    <w:rsid w:val="4485FCD3"/>
    <w:rsid w:val="44865A6C"/>
    <w:rsid w:val="4486897C"/>
    <w:rsid w:val="4486CB17"/>
    <w:rsid w:val="44879E4D"/>
    <w:rsid w:val="4487B6B9"/>
    <w:rsid w:val="44886C06"/>
    <w:rsid w:val="4488DA17"/>
    <w:rsid w:val="448ABA12"/>
    <w:rsid w:val="448D6C8A"/>
    <w:rsid w:val="448DD8F0"/>
    <w:rsid w:val="448E464C"/>
    <w:rsid w:val="4490C497"/>
    <w:rsid w:val="4491CCAD"/>
    <w:rsid w:val="4491DF1A"/>
    <w:rsid w:val="4491F1BF"/>
    <w:rsid w:val="44922D7F"/>
    <w:rsid w:val="44930750"/>
    <w:rsid w:val="44931CA1"/>
    <w:rsid w:val="4493A243"/>
    <w:rsid w:val="44949B8D"/>
    <w:rsid w:val="4494D534"/>
    <w:rsid w:val="449711BC"/>
    <w:rsid w:val="44990373"/>
    <w:rsid w:val="449B12FE"/>
    <w:rsid w:val="449B83A9"/>
    <w:rsid w:val="449CACDD"/>
    <w:rsid w:val="449D9859"/>
    <w:rsid w:val="449E1022"/>
    <w:rsid w:val="449E5F21"/>
    <w:rsid w:val="449F4F5B"/>
    <w:rsid w:val="449F5FA0"/>
    <w:rsid w:val="44A233A9"/>
    <w:rsid w:val="44A271E2"/>
    <w:rsid w:val="44A39AAF"/>
    <w:rsid w:val="44A4F93E"/>
    <w:rsid w:val="44A53BAF"/>
    <w:rsid w:val="44A5F851"/>
    <w:rsid w:val="44A61C92"/>
    <w:rsid w:val="44A62F84"/>
    <w:rsid w:val="44A6718F"/>
    <w:rsid w:val="44A69749"/>
    <w:rsid w:val="44A78941"/>
    <w:rsid w:val="44A7DACC"/>
    <w:rsid w:val="44A9EE5B"/>
    <w:rsid w:val="44AA3DD6"/>
    <w:rsid w:val="44AA6BC3"/>
    <w:rsid w:val="44AA7C5C"/>
    <w:rsid w:val="44AAB961"/>
    <w:rsid w:val="44AB183F"/>
    <w:rsid w:val="44AB1916"/>
    <w:rsid w:val="44AB482E"/>
    <w:rsid w:val="44AB6CFD"/>
    <w:rsid w:val="44AB8760"/>
    <w:rsid w:val="44ABD227"/>
    <w:rsid w:val="44AC1BE1"/>
    <w:rsid w:val="44AC60E5"/>
    <w:rsid w:val="44ACDCDA"/>
    <w:rsid w:val="44ADD74F"/>
    <w:rsid w:val="44AEAD5D"/>
    <w:rsid w:val="44AECED4"/>
    <w:rsid w:val="44AEF085"/>
    <w:rsid w:val="44AF471C"/>
    <w:rsid w:val="44B09F6B"/>
    <w:rsid w:val="44B0A688"/>
    <w:rsid w:val="44B0AD37"/>
    <w:rsid w:val="44B16617"/>
    <w:rsid w:val="44B166B3"/>
    <w:rsid w:val="44B1DDCC"/>
    <w:rsid w:val="44B222C8"/>
    <w:rsid w:val="44B22A7E"/>
    <w:rsid w:val="44B2ABD1"/>
    <w:rsid w:val="44B3DBD4"/>
    <w:rsid w:val="44B58B7F"/>
    <w:rsid w:val="44B5CCFD"/>
    <w:rsid w:val="44B5EEF2"/>
    <w:rsid w:val="44B6A5D3"/>
    <w:rsid w:val="44B6D65F"/>
    <w:rsid w:val="44B75D8C"/>
    <w:rsid w:val="44B762FC"/>
    <w:rsid w:val="44B78556"/>
    <w:rsid w:val="44B7D540"/>
    <w:rsid w:val="44B8162C"/>
    <w:rsid w:val="44B8C323"/>
    <w:rsid w:val="44B8F0B9"/>
    <w:rsid w:val="44B93F04"/>
    <w:rsid w:val="44BBB3DE"/>
    <w:rsid w:val="44BC12B7"/>
    <w:rsid w:val="44BE11F6"/>
    <w:rsid w:val="44BF7AAF"/>
    <w:rsid w:val="44C02651"/>
    <w:rsid w:val="44C0634F"/>
    <w:rsid w:val="44C10870"/>
    <w:rsid w:val="44C183CD"/>
    <w:rsid w:val="44C1886B"/>
    <w:rsid w:val="44C39001"/>
    <w:rsid w:val="44C39506"/>
    <w:rsid w:val="44C44470"/>
    <w:rsid w:val="44C5A55B"/>
    <w:rsid w:val="44C5D556"/>
    <w:rsid w:val="44C5E468"/>
    <w:rsid w:val="44C61720"/>
    <w:rsid w:val="44C64716"/>
    <w:rsid w:val="44C66B27"/>
    <w:rsid w:val="44C86418"/>
    <w:rsid w:val="44C87CA0"/>
    <w:rsid w:val="44C8C868"/>
    <w:rsid w:val="44CB065F"/>
    <w:rsid w:val="44CB13F7"/>
    <w:rsid w:val="44CB4399"/>
    <w:rsid w:val="44CB4AD2"/>
    <w:rsid w:val="44CB7964"/>
    <w:rsid w:val="44CBBB46"/>
    <w:rsid w:val="44CC7EB6"/>
    <w:rsid w:val="44CD57E7"/>
    <w:rsid w:val="44CDB0A0"/>
    <w:rsid w:val="44CEB3C3"/>
    <w:rsid w:val="44CF7E7D"/>
    <w:rsid w:val="44CF8BC3"/>
    <w:rsid w:val="44CF9462"/>
    <w:rsid w:val="44D052F1"/>
    <w:rsid w:val="44D24ED5"/>
    <w:rsid w:val="44D319B8"/>
    <w:rsid w:val="44D362F6"/>
    <w:rsid w:val="44D44EDC"/>
    <w:rsid w:val="44D47723"/>
    <w:rsid w:val="44D4AC09"/>
    <w:rsid w:val="44D578B9"/>
    <w:rsid w:val="44D5D4FE"/>
    <w:rsid w:val="44D92C92"/>
    <w:rsid w:val="44D94A2F"/>
    <w:rsid w:val="44D95710"/>
    <w:rsid w:val="44D9ECF1"/>
    <w:rsid w:val="44DA0EDA"/>
    <w:rsid w:val="44DB0CF3"/>
    <w:rsid w:val="44DC3036"/>
    <w:rsid w:val="44DC3AE5"/>
    <w:rsid w:val="44DED2F1"/>
    <w:rsid w:val="44DF7CB4"/>
    <w:rsid w:val="44DF82EF"/>
    <w:rsid w:val="44E04C24"/>
    <w:rsid w:val="44E17FF8"/>
    <w:rsid w:val="44E188CF"/>
    <w:rsid w:val="44E1CE23"/>
    <w:rsid w:val="44E239DD"/>
    <w:rsid w:val="44E26004"/>
    <w:rsid w:val="44E26076"/>
    <w:rsid w:val="44E54A46"/>
    <w:rsid w:val="44E62980"/>
    <w:rsid w:val="44E71752"/>
    <w:rsid w:val="44E76B01"/>
    <w:rsid w:val="44E779E5"/>
    <w:rsid w:val="44E977C1"/>
    <w:rsid w:val="44EA06B3"/>
    <w:rsid w:val="44EC65A6"/>
    <w:rsid w:val="44ECB86E"/>
    <w:rsid w:val="44ED80CC"/>
    <w:rsid w:val="44EE435C"/>
    <w:rsid w:val="44EEB62C"/>
    <w:rsid w:val="44EFE9DF"/>
    <w:rsid w:val="44F15087"/>
    <w:rsid w:val="44F47175"/>
    <w:rsid w:val="44F4C579"/>
    <w:rsid w:val="44F55D9E"/>
    <w:rsid w:val="44F566EF"/>
    <w:rsid w:val="44F5852C"/>
    <w:rsid w:val="44F63635"/>
    <w:rsid w:val="44F63D76"/>
    <w:rsid w:val="44F66F1C"/>
    <w:rsid w:val="44F6E2DE"/>
    <w:rsid w:val="44F6E329"/>
    <w:rsid w:val="44F77137"/>
    <w:rsid w:val="44F80494"/>
    <w:rsid w:val="44F908FD"/>
    <w:rsid w:val="44F94E63"/>
    <w:rsid w:val="44F9C154"/>
    <w:rsid w:val="44FA0DEA"/>
    <w:rsid w:val="44FA5F8D"/>
    <w:rsid w:val="44FD1009"/>
    <w:rsid w:val="44FDCC3A"/>
    <w:rsid w:val="44FE1611"/>
    <w:rsid w:val="44FE3D61"/>
    <w:rsid w:val="44FE459F"/>
    <w:rsid w:val="44FE82E2"/>
    <w:rsid w:val="44FEC40C"/>
    <w:rsid w:val="44FF9914"/>
    <w:rsid w:val="45001025"/>
    <w:rsid w:val="45010F98"/>
    <w:rsid w:val="450134A5"/>
    <w:rsid w:val="45029678"/>
    <w:rsid w:val="45036937"/>
    <w:rsid w:val="45036CD0"/>
    <w:rsid w:val="45044105"/>
    <w:rsid w:val="450450D5"/>
    <w:rsid w:val="45046540"/>
    <w:rsid w:val="4504FEC5"/>
    <w:rsid w:val="4505AE6D"/>
    <w:rsid w:val="45062DDB"/>
    <w:rsid w:val="45072790"/>
    <w:rsid w:val="450755F8"/>
    <w:rsid w:val="45076F41"/>
    <w:rsid w:val="45081290"/>
    <w:rsid w:val="4508E7E6"/>
    <w:rsid w:val="450916EF"/>
    <w:rsid w:val="45091B11"/>
    <w:rsid w:val="4509442F"/>
    <w:rsid w:val="450A7CA1"/>
    <w:rsid w:val="450ADE69"/>
    <w:rsid w:val="450CD75C"/>
    <w:rsid w:val="450CEC4B"/>
    <w:rsid w:val="450F094C"/>
    <w:rsid w:val="450FB211"/>
    <w:rsid w:val="4511C9F5"/>
    <w:rsid w:val="4512EC22"/>
    <w:rsid w:val="45143A68"/>
    <w:rsid w:val="45150976"/>
    <w:rsid w:val="4515A686"/>
    <w:rsid w:val="4515B431"/>
    <w:rsid w:val="45161334"/>
    <w:rsid w:val="45161810"/>
    <w:rsid w:val="4516399C"/>
    <w:rsid w:val="45168DDD"/>
    <w:rsid w:val="4516F719"/>
    <w:rsid w:val="4516FBA2"/>
    <w:rsid w:val="45172F40"/>
    <w:rsid w:val="4517BB11"/>
    <w:rsid w:val="45184DDE"/>
    <w:rsid w:val="45185CF7"/>
    <w:rsid w:val="45186F71"/>
    <w:rsid w:val="451A4517"/>
    <w:rsid w:val="451C5BCF"/>
    <w:rsid w:val="451C6A97"/>
    <w:rsid w:val="451C8605"/>
    <w:rsid w:val="451D3CAA"/>
    <w:rsid w:val="451E277A"/>
    <w:rsid w:val="451F46AF"/>
    <w:rsid w:val="4520510C"/>
    <w:rsid w:val="452053FC"/>
    <w:rsid w:val="45216CD4"/>
    <w:rsid w:val="45220290"/>
    <w:rsid w:val="45242A12"/>
    <w:rsid w:val="45249E05"/>
    <w:rsid w:val="4525ECDC"/>
    <w:rsid w:val="45267B18"/>
    <w:rsid w:val="45271CC3"/>
    <w:rsid w:val="45273766"/>
    <w:rsid w:val="452752B0"/>
    <w:rsid w:val="45277A0F"/>
    <w:rsid w:val="4527D3C4"/>
    <w:rsid w:val="452852B6"/>
    <w:rsid w:val="4528A122"/>
    <w:rsid w:val="452A8FF3"/>
    <w:rsid w:val="452C5AD1"/>
    <w:rsid w:val="452CDBD3"/>
    <w:rsid w:val="452E031F"/>
    <w:rsid w:val="452EA9F7"/>
    <w:rsid w:val="452F8615"/>
    <w:rsid w:val="45306E0F"/>
    <w:rsid w:val="45315599"/>
    <w:rsid w:val="4532FA14"/>
    <w:rsid w:val="4533AC12"/>
    <w:rsid w:val="4533CB3F"/>
    <w:rsid w:val="453448FE"/>
    <w:rsid w:val="4536BAF1"/>
    <w:rsid w:val="4537D6B6"/>
    <w:rsid w:val="45380C2B"/>
    <w:rsid w:val="45398D0E"/>
    <w:rsid w:val="4539B4A2"/>
    <w:rsid w:val="4539DD4F"/>
    <w:rsid w:val="4539F6ED"/>
    <w:rsid w:val="453A5F31"/>
    <w:rsid w:val="453B4823"/>
    <w:rsid w:val="453B78A8"/>
    <w:rsid w:val="453C7238"/>
    <w:rsid w:val="453CA82D"/>
    <w:rsid w:val="453D30E1"/>
    <w:rsid w:val="453D9DCA"/>
    <w:rsid w:val="453ECDB5"/>
    <w:rsid w:val="453F4D07"/>
    <w:rsid w:val="453F54A7"/>
    <w:rsid w:val="453F5615"/>
    <w:rsid w:val="45405DD2"/>
    <w:rsid w:val="4540E678"/>
    <w:rsid w:val="45411C61"/>
    <w:rsid w:val="454290A3"/>
    <w:rsid w:val="4543785F"/>
    <w:rsid w:val="4543C6F0"/>
    <w:rsid w:val="4544C86D"/>
    <w:rsid w:val="4544D4BE"/>
    <w:rsid w:val="4544F6F5"/>
    <w:rsid w:val="45475AC5"/>
    <w:rsid w:val="4547C039"/>
    <w:rsid w:val="4548289D"/>
    <w:rsid w:val="45493F12"/>
    <w:rsid w:val="45497C1D"/>
    <w:rsid w:val="4549E552"/>
    <w:rsid w:val="4549FD9F"/>
    <w:rsid w:val="454AE4EB"/>
    <w:rsid w:val="454B2087"/>
    <w:rsid w:val="454B32B8"/>
    <w:rsid w:val="454B75D8"/>
    <w:rsid w:val="454C39BC"/>
    <w:rsid w:val="454CF844"/>
    <w:rsid w:val="454D13B1"/>
    <w:rsid w:val="454D2993"/>
    <w:rsid w:val="454D67E9"/>
    <w:rsid w:val="454E7194"/>
    <w:rsid w:val="454EED8B"/>
    <w:rsid w:val="45506674"/>
    <w:rsid w:val="4550BD27"/>
    <w:rsid w:val="4550C830"/>
    <w:rsid w:val="4551708D"/>
    <w:rsid w:val="4551DB87"/>
    <w:rsid w:val="4551E40B"/>
    <w:rsid w:val="4551ED90"/>
    <w:rsid w:val="4553B304"/>
    <w:rsid w:val="45540471"/>
    <w:rsid w:val="455525C5"/>
    <w:rsid w:val="4555F8F8"/>
    <w:rsid w:val="45561ABC"/>
    <w:rsid w:val="45562AA1"/>
    <w:rsid w:val="45564F21"/>
    <w:rsid w:val="45565690"/>
    <w:rsid w:val="45567EE7"/>
    <w:rsid w:val="4556E5D5"/>
    <w:rsid w:val="45576D6F"/>
    <w:rsid w:val="45576E99"/>
    <w:rsid w:val="4557FA9A"/>
    <w:rsid w:val="45581B6A"/>
    <w:rsid w:val="4558FBF3"/>
    <w:rsid w:val="45594E86"/>
    <w:rsid w:val="4559C7DF"/>
    <w:rsid w:val="4559DFA2"/>
    <w:rsid w:val="455A55F1"/>
    <w:rsid w:val="455C27F5"/>
    <w:rsid w:val="455C4CFD"/>
    <w:rsid w:val="455CBA27"/>
    <w:rsid w:val="455DB999"/>
    <w:rsid w:val="455DDEE3"/>
    <w:rsid w:val="455DE897"/>
    <w:rsid w:val="455E86D9"/>
    <w:rsid w:val="455F1B81"/>
    <w:rsid w:val="455F9802"/>
    <w:rsid w:val="456041A4"/>
    <w:rsid w:val="45609A74"/>
    <w:rsid w:val="4560AC99"/>
    <w:rsid w:val="45612888"/>
    <w:rsid w:val="45616995"/>
    <w:rsid w:val="4561B2C7"/>
    <w:rsid w:val="4561BD5B"/>
    <w:rsid w:val="45624C0A"/>
    <w:rsid w:val="45626B79"/>
    <w:rsid w:val="45637AD8"/>
    <w:rsid w:val="4563ACAD"/>
    <w:rsid w:val="45641376"/>
    <w:rsid w:val="45645AC0"/>
    <w:rsid w:val="456499A4"/>
    <w:rsid w:val="456550F7"/>
    <w:rsid w:val="4565F862"/>
    <w:rsid w:val="45683DFF"/>
    <w:rsid w:val="45684292"/>
    <w:rsid w:val="45697E33"/>
    <w:rsid w:val="45698067"/>
    <w:rsid w:val="456AD091"/>
    <w:rsid w:val="456B1D84"/>
    <w:rsid w:val="456B56E5"/>
    <w:rsid w:val="456BA170"/>
    <w:rsid w:val="456BEDFE"/>
    <w:rsid w:val="456C25A1"/>
    <w:rsid w:val="456D85FC"/>
    <w:rsid w:val="456E9D01"/>
    <w:rsid w:val="456FB325"/>
    <w:rsid w:val="4570678A"/>
    <w:rsid w:val="4570DEEA"/>
    <w:rsid w:val="457151CB"/>
    <w:rsid w:val="45723F43"/>
    <w:rsid w:val="45725D40"/>
    <w:rsid w:val="4572D410"/>
    <w:rsid w:val="457329B2"/>
    <w:rsid w:val="457376EE"/>
    <w:rsid w:val="4573F51B"/>
    <w:rsid w:val="4575A0CD"/>
    <w:rsid w:val="4577B787"/>
    <w:rsid w:val="45786FAE"/>
    <w:rsid w:val="457A65B4"/>
    <w:rsid w:val="457B1C69"/>
    <w:rsid w:val="457D459D"/>
    <w:rsid w:val="457DBA76"/>
    <w:rsid w:val="457E6981"/>
    <w:rsid w:val="45819500"/>
    <w:rsid w:val="4582F366"/>
    <w:rsid w:val="458496B3"/>
    <w:rsid w:val="45857E75"/>
    <w:rsid w:val="458631FC"/>
    <w:rsid w:val="45864C8F"/>
    <w:rsid w:val="45875373"/>
    <w:rsid w:val="4587E5EF"/>
    <w:rsid w:val="4587EB62"/>
    <w:rsid w:val="4587FAC2"/>
    <w:rsid w:val="45882A6F"/>
    <w:rsid w:val="45889B36"/>
    <w:rsid w:val="45898C69"/>
    <w:rsid w:val="458A61B5"/>
    <w:rsid w:val="458B3F64"/>
    <w:rsid w:val="458BD9AC"/>
    <w:rsid w:val="458CEC2F"/>
    <w:rsid w:val="458D89A3"/>
    <w:rsid w:val="458DE021"/>
    <w:rsid w:val="458EC780"/>
    <w:rsid w:val="45900480"/>
    <w:rsid w:val="4590CCBC"/>
    <w:rsid w:val="459116CC"/>
    <w:rsid w:val="4591CD73"/>
    <w:rsid w:val="45922A08"/>
    <w:rsid w:val="4593FA89"/>
    <w:rsid w:val="459534C5"/>
    <w:rsid w:val="45963F2E"/>
    <w:rsid w:val="45964C89"/>
    <w:rsid w:val="4596A084"/>
    <w:rsid w:val="4597D5EC"/>
    <w:rsid w:val="45982659"/>
    <w:rsid w:val="459845CF"/>
    <w:rsid w:val="4598A16E"/>
    <w:rsid w:val="4599C423"/>
    <w:rsid w:val="4599D55C"/>
    <w:rsid w:val="459B9BD6"/>
    <w:rsid w:val="459CB169"/>
    <w:rsid w:val="459CD585"/>
    <w:rsid w:val="459D12B1"/>
    <w:rsid w:val="459FDD69"/>
    <w:rsid w:val="459FE44F"/>
    <w:rsid w:val="45A0FBB6"/>
    <w:rsid w:val="45A173C1"/>
    <w:rsid w:val="45A2F1CB"/>
    <w:rsid w:val="45A2FE57"/>
    <w:rsid w:val="45A33AA5"/>
    <w:rsid w:val="45A42666"/>
    <w:rsid w:val="45A4D54F"/>
    <w:rsid w:val="45A5E952"/>
    <w:rsid w:val="45A7FF6E"/>
    <w:rsid w:val="45A97910"/>
    <w:rsid w:val="45A9CD64"/>
    <w:rsid w:val="45AA569E"/>
    <w:rsid w:val="45AB90CC"/>
    <w:rsid w:val="45ACC1D4"/>
    <w:rsid w:val="45AD2208"/>
    <w:rsid w:val="45AD3D70"/>
    <w:rsid w:val="45AE1173"/>
    <w:rsid w:val="45AEB980"/>
    <w:rsid w:val="45AF3955"/>
    <w:rsid w:val="45B0B7DE"/>
    <w:rsid w:val="45B16669"/>
    <w:rsid w:val="45B1D490"/>
    <w:rsid w:val="45B20EA5"/>
    <w:rsid w:val="45B2BCB2"/>
    <w:rsid w:val="45B2EE8C"/>
    <w:rsid w:val="45B32CEC"/>
    <w:rsid w:val="45B49DD5"/>
    <w:rsid w:val="45B4CABE"/>
    <w:rsid w:val="45B5D6AA"/>
    <w:rsid w:val="45B5ECE0"/>
    <w:rsid w:val="45B675BB"/>
    <w:rsid w:val="45B67C59"/>
    <w:rsid w:val="45B6B0CC"/>
    <w:rsid w:val="45B6C181"/>
    <w:rsid w:val="45B70050"/>
    <w:rsid w:val="45B7F9AE"/>
    <w:rsid w:val="45B95ADF"/>
    <w:rsid w:val="45B98511"/>
    <w:rsid w:val="45B9BB7E"/>
    <w:rsid w:val="45B9D868"/>
    <w:rsid w:val="45BA42CA"/>
    <w:rsid w:val="45BA48EB"/>
    <w:rsid w:val="45BA5105"/>
    <w:rsid w:val="45BA56EB"/>
    <w:rsid w:val="45BA6037"/>
    <w:rsid w:val="45BA6F3E"/>
    <w:rsid w:val="45BA9539"/>
    <w:rsid w:val="45BAFCC9"/>
    <w:rsid w:val="45BB56E0"/>
    <w:rsid w:val="45BC701D"/>
    <w:rsid w:val="45BDB749"/>
    <w:rsid w:val="45BDC99F"/>
    <w:rsid w:val="45BED4B0"/>
    <w:rsid w:val="45C02D48"/>
    <w:rsid w:val="45C0457A"/>
    <w:rsid w:val="45C0ACEE"/>
    <w:rsid w:val="45C0FDB0"/>
    <w:rsid w:val="45C1AF36"/>
    <w:rsid w:val="45C26621"/>
    <w:rsid w:val="45C31511"/>
    <w:rsid w:val="45C32368"/>
    <w:rsid w:val="45C38837"/>
    <w:rsid w:val="45C3FA94"/>
    <w:rsid w:val="45C4769F"/>
    <w:rsid w:val="45C4DD33"/>
    <w:rsid w:val="45C64469"/>
    <w:rsid w:val="45C669DD"/>
    <w:rsid w:val="45C75F8F"/>
    <w:rsid w:val="45C7FF15"/>
    <w:rsid w:val="45CB266D"/>
    <w:rsid w:val="45CB46C2"/>
    <w:rsid w:val="45CB6544"/>
    <w:rsid w:val="45CBC3F0"/>
    <w:rsid w:val="45CCCD30"/>
    <w:rsid w:val="45CDE871"/>
    <w:rsid w:val="45CE0107"/>
    <w:rsid w:val="45CF527F"/>
    <w:rsid w:val="45D065C2"/>
    <w:rsid w:val="45D1E826"/>
    <w:rsid w:val="45D1F195"/>
    <w:rsid w:val="45D299E8"/>
    <w:rsid w:val="45D2C965"/>
    <w:rsid w:val="45D2FB26"/>
    <w:rsid w:val="45D33EB5"/>
    <w:rsid w:val="45D3CAA4"/>
    <w:rsid w:val="45D51137"/>
    <w:rsid w:val="45D7CEAB"/>
    <w:rsid w:val="45D7F7D1"/>
    <w:rsid w:val="45D86207"/>
    <w:rsid w:val="45D93A1B"/>
    <w:rsid w:val="45D991FF"/>
    <w:rsid w:val="45DABA03"/>
    <w:rsid w:val="45DB0536"/>
    <w:rsid w:val="45DB81BD"/>
    <w:rsid w:val="45DC52A3"/>
    <w:rsid w:val="45DC5517"/>
    <w:rsid w:val="45E21980"/>
    <w:rsid w:val="45E24454"/>
    <w:rsid w:val="45E33D73"/>
    <w:rsid w:val="45E38D97"/>
    <w:rsid w:val="45E3E1E5"/>
    <w:rsid w:val="45E4695D"/>
    <w:rsid w:val="45E5316D"/>
    <w:rsid w:val="45E602A5"/>
    <w:rsid w:val="45E63705"/>
    <w:rsid w:val="45E6766C"/>
    <w:rsid w:val="45E7973C"/>
    <w:rsid w:val="45E862A5"/>
    <w:rsid w:val="45E8C689"/>
    <w:rsid w:val="45E962E0"/>
    <w:rsid w:val="45E968C5"/>
    <w:rsid w:val="45EAC613"/>
    <w:rsid w:val="45EB19C2"/>
    <w:rsid w:val="45EB4733"/>
    <w:rsid w:val="45EC6302"/>
    <w:rsid w:val="45EC8FE4"/>
    <w:rsid w:val="45ECA851"/>
    <w:rsid w:val="45ECACE6"/>
    <w:rsid w:val="45ECBBCD"/>
    <w:rsid w:val="45ED67A1"/>
    <w:rsid w:val="45EDCEF1"/>
    <w:rsid w:val="45EE18ED"/>
    <w:rsid w:val="45EE1A90"/>
    <w:rsid w:val="45EE267B"/>
    <w:rsid w:val="45EE32AB"/>
    <w:rsid w:val="45F03192"/>
    <w:rsid w:val="45F05777"/>
    <w:rsid w:val="45F10850"/>
    <w:rsid w:val="45F29620"/>
    <w:rsid w:val="45F39F09"/>
    <w:rsid w:val="45F3E97D"/>
    <w:rsid w:val="45F46D55"/>
    <w:rsid w:val="45F51387"/>
    <w:rsid w:val="45F57CF7"/>
    <w:rsid w:val="45F57E73"/>
    <w:rsid w:val="45F648F9"/>
    <w:rsid w:val="45F69974"/>
    <w:rsid w:val="45F7DD11"/>
    <w:rsid w:val="45F7E23F"/>
    <w:rsid w:val="45F832B1"/>
    <w:rsid w:val="45F8D6F1"/>
    <w:rsid w:val="45F8FAFD"/>
    <w:rsid w:val="45F92F76"/>
    <w:rsid w:val="45FA1ED3"/>
    <w:rsid w:val="45FB36E6"/>
    <w:rsid w:val="45FC474D"/>
    <w:rsid w:val="45FDF31C"/>
    <w:rsid w:val="45FF99F1"/>
    <w:rsid w:val="46019FEF"/>
    <w:rsid w:val="4601D5D6"/>
    <w:rsid w:val="460223FB"/>
    <w:rsid w:val="4602CCC9"/>
    <w:rsid w:val="46032DC0"/>
    <w:rsid w:val="46059ACE"/>
    <w:rsid w:val="460604EB"/>
    <w:rsid w:val="4606BCD8"/>
    <w:rsid w:val="460760B0"/>
    <w:rsid w:val="46076E52"/>
    <w:rsid w:val="46093AD8"/>
    <w:rsid w:val="460A9431"/>
    <w:rsid w:val="460AE2F5"/>
    <w:rsid w:val="460B4A87"/>
    <w:rsid w:val="460C06AC"/>
    <w:rsid w:val="460C1AAD"/>
    <w:rsid w:val="460D048C"/>
    <w:rsid w:val="460D54E5"/>
    <w:rsid w:val="460E8955"/>
    <w:rsid w:val="460F02E2"/>
    <w:rsid w:val="461023C8"/>
    <w:rsid w:val="46108456"/>
    <w:rsid w:val="46124C8B"/>
    <w:rsid w:val="4612C7C3"/>
    <w:rsid w:val="4612ECC0"/>
    <w:rsid w:val="4612FBB1"/>
    <w:rsid w:val="46135E37"/>
    <w:rsid w:val="461376EC"/>
    <w:rsid w:val="4613CD85"/>
    <w:rsid w:val="46141716"/>
    <w:rsid w:val="4614C537"/>
    <w:rsid w:val="46150186"/>
    <w:rsid w:val="461591A2"/>
    <w:rsid w:val="46169474"/>
    <w:rsid w:val="4617EA04"/>
    <w:rsid w:val="4619640D"/>
    <w:rsid w:val="461AB88B"/>
    <w:rsid w:val="461B0D12"/>
    <w:rsid w:val="461B150D"/>
    <w:rsid w:val="461B6C69"/>
    <w:rsid w:val="461BEFDC"/>
    <w:rsid w:val="461CCD28"/>
    <w:rsid w:val="461D6C5F"/>
    <w:rsid w:val="461D9E7D"/>
    <w:rsid w:val="461EF9CE"/>
    <w:rsid w:val="461F321D"/>
    <w:rsid w:val="46206A18"/>
    <w:rsid w:val="4622A16E"/>
    <w:rsid w:val="462370B4"/>
    <w:rsid w:val="4623EE96"/>
    <w:rsid w:val="4623FECC"/>
    <w:rsid w:val="462570A8"/>
    <w:rsid w:val="46261116"/>
    <w:rsid w:val="4626E083"/>
    <w:rsid w:val="4627347F"/>
    <w:rsid w:val="4627C69F"/>
    <w:rsid w:val="46285E39"/>
    <w:rsid w:val="4628D8BC"/>
    <w:rsid w:val="462950AB"/>
    <w:rsid w:val="4629C135"/>
    <w:rsid w:val="462ABAFA"/>
    <w:rsid w:val="462AC1CA"/>
    <w:rsid w:val="462AD825"/>
    <w:rsid w:val="462B3154"/>
    <w:rsid w:val="462CD3EA"/>
    <w:rsid w:val="462E93C2"/>
    <w:rsid w:val="46309EEC"/>
    <w:rsid w:val="4630AE9C"/>
    <w:rsid w:val="4630FAD0"/>
    <w:rsid w:val="46312C7C"/>
    <w:rsid w:val="463135DE"/>
    <w:rsid w:val="46315767"/>
    <w:rsid w:val="463177EE"/>
    <w:rsid w:val="4631F0EA"/>
    <w:rsid w:val="463235C0"/>
    <w:rsid w:val="4633F0D2"/>
    <w:rsid w:val="46358E13"/>
    <w:rsid w:val="46360DAB"/>
    <w:rsid w:val="46370C6D"/>
    <w:rsid w:val="4639CF5B"/>
    <w:rsid w:val="463A6F0E"/>
    <w:rsid w:val="463B6665"/>
    <w:rsid w:val="463BBF75"/>
    <w:rsid w:val="463CD8C9"/>
    <w:rsid w:val="463DC558"/>
    <w:rsid w:val="463E05D4"/>
    <w:rsid w:val="463E72FD"/>
    <w:rsid w:val="463E9AAB"/>
    <w:rsid w:val="463EA9FC"/>
    <w:rsid w:val="463EC621"/>
    <w:rsid w:val="463EF4FA"/>
    <w:rsid w:val="4641148F"/>
    <w:rsid w:val="46414E26"/>
    <w:rsid w:val="46415FB7"/>
    <w:rsid w:val="4641B2FB"/>
    <w:rsid w:val="46426E94"/>
    <w:rsid w:val="4642AF8F"/>
    <w:rsid w:val="46439725"/>
    <w:rsid w:val="4643FF09"/>
    <w:rsid w:val="46445053"/>
    <w:rsid w:val="4644818F"/>
    <w:rsid w:val="4644A8D2"/>
    <w:rsid w:val="46451084"/>
    <w:rsid w:val="4645A196"/>
    <w:rsid w:val="4646CC27"/>
    <w:rsid w:val="4646EA07"/>
    <w:rsid w:val="464775B3"/>
    <w:rsid w:val="4647E2E6"/>
    <w:rsid w:val="4648FE8D"/>
    <w:rsid w:val="464977D5"/>
    <w:rsid w:val="4649DB43"/>
    <w:rsid w:val="464C1099"/>
    <w:rsid w:val="464D72BD"/>
    <w:rsid w:val="464E6718"/>
    <w:rsid w:val="464E6C0F"/>
    <w:rsid w:val="46501549"/>
    <w:rsid w:val="46515453"/>
    <w:rsid w:val="4651613C"/>
    <w:rsid w:val="46518749"/>
    <w:rsid w:val="465256C9"/>
    <w:rsid w:val="46528356"/>
    <w:rsid w:val="4653EE6E"/>
    <w:rsid w:val="4654282E"/>
    <w:rsid w:val="4654A8DF"/>
    <w:rsid w:val="4657B5BB"/>
    <w:rsid w:val="465859E1"/>
    <w:rsid w:val="46587000"/>
    <w:rsid w:val="4658D15A"/>
    <w:rsid w:val="46599C10"/>
    <w:rsid w:val="465A411D"/>
    <w:rsid w:val="465AA2CE"/>
    <w:rsid w:val="465DF30D"/>
    <w:rsid w:val="465EC87A"/>
    <w:rsid w:val="465F8CC4"/>
    <w:rsid w:val="4660538C"/>
    <w:rsid w:val="466213A2"/>
    <w:rsid w:val="46628E02"/>
    <w:rsid w:val="4662DFDA"/>
    <w:rsid w:val="46631875"/>
    <w:rsid w:val="4663222F"/>
    <w:rsid w:val="46644819"/>
    <w:rsid w:val="466483E0"/>
    <w:rsid w:val="4664D137"/>
    <w:rsid w:val="4665A07E"/>
    <w:rsid w:val="46676B6A"/>
    <w:rsid w:val="4668BD50"/>
    <w:rsid w:val="4668DD4F"/>
    <w:rsid w:val="4669DF5F"/>
    <w:rsid w:val="4669F65F"/>
    <w:rsid w:val="466B01E7"/>
    <w:rsid w:val="466C0B86"/>
    <w:rsid w:val="466C7493"/>
    <w:rsid w:val="466C9EBE"/>
    <w:rsid w:val="466DB0F8"/>
    <w:rsid w:val="466DBAD1"/>
    <w:rsid w:val="466DF460"/>
    <w:rsid w:val="466E5A17"/>
    <w:rsid w:val="46703293"/>
    <w:rsid w:val="46704F14"/>
    <w:rsid w:val="4670A656"/>
    <w:rsid w:val="4671693F"/>
    <w:rsid w:val="46722B91"/>
    <w:rsid w:val="467266DC"/>
    <w:rsid w:val="4672A2D2"/>
    <w:rsid w:val="4672C262"/>
    <w:rsid w:val="4672D949"/>
    <w:rsid w:val="4673D5C1"/>
    <w:rsid w:val="4673E10E"/>
    <w:rsid w:val="4674B19B"/>
    <w:rsid w:val="46751F0F"/>
    <w:rsid w:val="46763929"/>
    <w:rsid w:val="46770E81"/>
    <w:rsid w:val="4677374C"/>
    <w:rsid w:val="46775D7C"/>
    <w:rsid w:val="46783551"/>
    <w:rsid w:val="4678DBD7"/>
    <w:rsid w:val="4679B908"/>
    <w:rsid w:val="467B3169"/>
    <w:rsid w:val="467B770A"/>
    <w:rsid w:val="467D0160"/>
    <w:rsid w:val="467D24D4"/>
    <w:rsid w:val="467DB0AD"/>
    <w:rsid w:val="467E4D72"/>
    <w:rsid w:val="467EC2B5"/>
    <w:rsid w:val="467F6D63"/>
    <w:rsid w:val="467FD8B4"/>
    <w:rsid w:val="467FE6D2"/>
    <w:rsid w:val="46805365"/>
    <w:rsid w:val="46808033"/>
    <w:rsid w:val="4680A534"/>
    <w:rsid w:val="4681604F"/>
    <w:rsid w:val="4681BA82"/>
    <w:rsid w:val="46827CA9"/>
    <w:rsid w:val="46836B8C"/>
    <w:rsid w:val="468473CD"/>
    <w:rsid w:val="4684B899"/>
    <w:rsid w:val="4684E902"/>
    <w:rsid w:val="468521F1"/>
    <w:rsid w:val="46852A77"/>
    <w:rsid w:val="4686406B"/>
    <w:rsid w:val="46865373"/>
    <w:rsid w:val="4686BEC0"/>
    <w:rsid w:val="4686E3CA"/>
    <w:rsid w:val="4686E978"/>
    <w:rsid w:val="468736BE"/>
    <w:rsid w:val="468752A1"/>
    <w:rsid w:val="4688507A"/>
    <w:rsid w:val="4688907F"/>
    <w:rsid w:val="46889C98"/>
    <w:rsid w:val="4688C78E"/>
    <w:rsid w:val="46896419"/>
    <w:rsid w:val="4689641B"/>
    <w:rsid w:val="46897E91"/>
    <w:rsid w:val="46898496"/>
    <w:rsid w:val="468A1BE7"/>
    <w:rsid w:val="468A55A5"/>
    <w:rsid w:val="468AB0E9"/>
    <w:rsid w:val="468B7A61"/>
    <w:rsid w:val="468D56E5"/>
    <w:rsid w:val="468DCE92"/>
    <w:rsid w:val="468DEA62"/>
    <w:rsid w:val="468E3AB8"/>
    <w:rsid w:val="468F12B6"/>
    <w:rsid w:val="468F4B61"/>
    <w:rsid w:val="468F9ECD"/>
    <w:rsid w:val="468FE9E8"/>
    <w:rsid w:val="4690BE63"/>
    <w:rsid w:val="4690F171"/>
    <w:rsid w:val="46913077"/>
    <w:rsid w:val="46917F28"/>
    <w:rsid w:val="4691A17F"/>
    <w:rsid w:val="4691BCC9"/>
    <w:rsid w:val="46921BDF"/>
    <w:rsid w:val="469367BB"/>
    <w:rsid w:val="46941EB6"/>
    <w:rsid w:val="469496E8"/>
    <w:rsid w:val="46951C3A"/>
    <w:rsid w:val="4695F945"/>
    <w:rsid w:val="469641B5"/>
    <w:rsid w:val="46977E33"/>
    <w:rsid w:val="4697DC3F"/>
    <w:rsid w:val="469AD02B"/>
    <w:rsid w:val="469B991F"/>
    <w:rsid w:val="469CD80E"/>
    <w:rsid w:val="469DD191"/>
    <w:rsid w:val="469DE743"/>
    <w:rsid w:val="469F5FBD"/>
    <w:rsid w:val="469F9AE0"/>
    <w:rsid w:val="46A08A0A"/>
    <w:rsid w:val="46A08AD2"/>
    <w:rsid w:val="46A08EFC"/>
    <w:rsid w:val="46A14720"/>
    <w:rsid w:val="46A25F3B"/>
    <w:rsid w:val="46A2EA15"/>
    <w:rsid w:val="46A3E180"/>
    <w:rsid w:val="46A476A3"/>
    <w:rsid w:val="46A495D3"/>
    <w:rsid w:val="46A4A095"/>
    <w:rsid w:val="46A4A814"/>
    <w:rsid w:val="46A4B1C8"/>
    <w:rsid w:val="46A4FB49"/>
    <w:rsid w:val="46A59CA9"/>
    <w:rsid w:val="46A6CBDC"/>
    <w:rsid w:val="46A7045F"/>
    <w:rsid w:val="46A70BA3"/>
    <w:rsid w:val="46A7FD26"/>
    <w:rsid w:val="46A81AF0"/>
    <w:rsid w:val="46A8519D"/>
    <w:rsid w:val="46A9619D"/>
    <w:rsid w:val="46A9B7E9"/>
    <w:rsid w:val="46A9D1DE"/>
    <w:rsid w:val="46AA2D14"/>
    <w:rsid w:val="46AA465E"/>
    <w:rsid w:val="46AB1FFC"/>
    <w:rsid w:val="46ABB13A"/>
    <w:rsid w:val="46AC024C"/>
    <w:rsid w:val="46AC68EB"/>
    <w:rsid w:val="46ACA1D8"/>
    <w:rsid w:val="46ADEFA8"/>
    <w:rsid w:val="46AE0F79"/>
    <w:rsid w:val="46AE44AF"/>
    <w:rsid w:val="46B01361"/>
    <w:rsid w:val="46B0CDA3"/>
    <w:rsid w:val="46B3CE90"/>
    <w:rsid w:val="46B3FBA4"/>
    <w:rsid w:val="46B3FF91"/>
    <w:rsid w:val="46B47C6D"/>
    <w:rsid w:val="46B4AD66"/>
    <w:rsid w:val="46B4D22A"/>
    <w:rsid w:val="46B4D255"/>
    <w:rsid w:val="46B61269"/>
    <w:rsid w:val="46B61648"/>
    <w:rsid w:val="46B6B6E8"/>
    <w:rsid w:val="46B6E4BF"/>
    <w:rsid w:val="46B6F800"/>
    <w:rsid w:val="46B70EFF"/>
    <w:rsid w:val="46B7EE81"/>
    <w:rsid w:val="46B84791"/>
    <w:rsid w:val="46B8B626"/>
    <w:rsid w:val="46BAF74F"/>
    <w:rsid w:val="46BB5FD0"/>
    <w:rsid w:val="46BD90F7"/>
    <w:rsid w:val="46BD9C1F"/>
    <w:rsid w:val="46BEF7BE"/>
    <w:rsid w:val="46BF0417"/>
    <w:rsid w:val="46C0A501"/>
    <w:rsid w:val="46C0E85B"/>
    <w:rsid w:val="46C0EAD6"/>
    <w:rsid w:val="46C126C1"/>
    <w:rsid w:val="46C1D10A"/>
    <w:rsid w:val="46C21359"/>
    <w:rsid w:val="46C248A4"/>
    <w:rsid w:val="46C2EF5B"/>
    <w:rsid w:val="46C4D789"/>
    <w:rsid w:val="46C4EB27"/>
    <w:rsid w:val="46C55E0F"/>
    <w:rsid w:val="46C5E3F7"/>
    <w:rsid w:val="46C65A57"/>
    <w:rsid w:val="46C76614"/>
    <w:rsid w:val="46C7E6BC"/>
    <w:rsid w:val="46CA08E3"/>
    <w:rsid w:val="46CA3C08"/>
    <w:rsid w:val="46CA91AD"/>
    <w:rsid w:val="46CADC49"/>
    <w:rsid w:val="46CBD098"/>
    <w:rsid w:val="46CCA980"/>
    <w:rsid w:val="46CE19C1"/>
    <w:rsid w:val="46D151D8"/>
    <w:rsid w:val="46D19ACF"/>
    <w:rsid w:val="46D1A56C"/>
    <w:rsid w:val="46D1C9C6"/>
    <w:rsid w:val="46D202F4"/>
    <w:rsid w:val="46D214A3"/>
    <w:rsid w:val="46D218E1"/>
    <w:rsid w:val="46D251F0"/>
    <w:rsid w:val="46D2EE2B"/>
    <w:rsid w:val="46D3952F"/>
    <w:rsid w:val="46D5B817"/>
    <w:rsid w:val="46D60FE0"/>
    <w:rsid w:val="46D71720"/>
    <w:rsid w:val="46D879DD"/>
    <w:rsid w:val="46D8BFE4"/>
    <w:rsid w:val="46DABC3D"/>
    <w:rsid w:val="46DAF7E0"/>
    <w:rsid w:val="46DB28E2"/>
    <w:rsid w:val="46DBF40E"/>
    <w:rsid w:val="46DC278C"/>
    <w:rsid w:val="46DC6B84"/>
    <w:rsid w:val="46DCB2EA"/>
    <w:rsid w:val="46DCCC7D"/>
    <w:rsid w:val="46DD6A62"/>
    <w:rsid w:val="46DDCC7B"/>
    <w:rsid w:val="46DECF01"/>
    <w:rsid w:val="46E03259"/>
    <w:rsid w:val="46E1A0DA"/>
    <w:rsid w:val="46E1F54F"/>
    <w:rsid w:val="46E2C02D"/>
    <w:rsid w:val="46E3D2FB"/>
    <w:rsid w:val="46E3DF86"/>
    <w:rsid w:val="46E49709"/>
    <w:rsid w:val="46E49725"/>
    <w:rsid w:val="46E4A0C7"/>
    <w:rsid w:val="46E4AF37"/>
    <w:rsid w:val="46E5616E"/>
    <w:rsid w:val="46E5BCA1"/>
    <w:rsid w:val="46E5C478"/>
    <w:rsid w:val="46E6AD59"/>
    <w:rsid w:val="46E6E72A"/>
    <w:rsid w:val="46E6F1BD"/>
    <w:rsid w:val="46E7711C"/>
    <w:rsid w:val="46E7B67E"/>
    <w:rsid w:val="46E95EB6"/>
    <w:rsid w:val="46E9A723"/>
    <w:rsid w:val="46EB1C29"/>
    <w:rsid w:val="46EB508F"/>
    <w:rsid w:val="46ECFF01"/>
    <w:rsid w:val="46EDFB56"/>
    <w:rsid w:val="46EE11A0"/>
    <w:rsid w:val="46EE1B9C"/>
    <w:rsid w:val="46EEBE36"/>
    <w:rsid w:val="46F15635"/>
    <w:rsid w:val="46F1C04B"/>
    <w:rsid w:val="46F2C63F"/>
    <w:rsid w:val="46F38DA5"/>
    <w:rsid w:val="46F40454"/>
    <w:rsid w:val="46F40F22"/>
    <w:rsid w:val="46F46969"/>
    <w:rsid w:val="46F484AA"/>
    <w:rsid w:val="46F4AC0F"/>
    <w:rsid w:val="46F5E7AF"/>
    <w:rsid w:val="46F69BA6"/>
    <w:rsid w:val="46F6E4D8"/>
    <w:rsid w:val="46F6FA5B"/>
    <w:rsid w:val="46F750A7"/>
    <w:rsid w:val="46F7A772"/>
    <w:rsid w:val="46F84C05"/>
    <w:rsid w:val="46F88C42"/>
    <w:rsid w:val="46F94802"/>
    <w:rsid w:val="46FA93FD"/>
    <w:rsid w:val="46FB69F2"/>
    <w:rsid w:val="46FC2B1C"/>
    <w:rsid w:val="46FD3B29"/>
    <w:rsid w:val="46FD442A"/>
    <w:rsid w:val="46FE408D"/>
    <w:rsid w:val="46FE7C36"/>
    <w:rsid w:val="46FE8343"/>
    <w:rsid w:val="46FEA0A4"/>
    <w:rsid w:val="46FFC122"/>
    <w:rsid w:val="470004D9"/>
    <w:rsid w:val="4700142E"/>
    <w:rsid w:val="4700C3BF"/>
    <w:rsid w:val="47014CE1"/>
    <w:rsid w:val="47014F4D"/>
    <w:rsid w:val="4701829F"/>
    <w:rsid w:val="4701E3E5"/>
    <w:rsid w:val="4702D2C6"/>
    <w:rsid w:val="4703904C"/>
    <w:rsid w:val="47053376"/>
    <w:rsid w:val="470543CD"/>
    <w:rsid w:val="4705ABB2"/>
    <w:rsid w:val="47060031"/>
    <w:rsid w:val="470646C4"/>
    <w:rsid w:val="470653FD"/>
    <w:rsid w:val="4706AE66"/>
    <w:rsid w:val="4707083B"/>
    <w:rsid w:val="4707114F"/>
    <w:rsid w:val="4707922E"/>
    <w:rsid w:val="470794B4"/>
    <w:rsid w:val="4707D633"/>
    <w:rsid w:val="4707F1A6"/>
    <w:rsid w:val="4707F203"/>
    <w:rsid w:val="4707F448"/>
    <w:rsid w:val="470805C8"/>
    <w:rsid w:val="470A2678"/>
    <w:rsid w:val="470A2D64"/>
    <w:rsid w:val="470AC4AA"/>
    <w:rsid w:val="470AEB25"/>
    <w:rsid w:val="470B4DD4"/>
    <w:rsid w:val="470BC2BB"/>
    <w:rsid w:val="470C810C"/>
    <w:rsid w:val="470CD2CF"/>
    <w:rsid w:val="470CEC82"/>
    <w:rsid w:val="470D61FB"/>
    <w:rsid w:val="470E0519"/>
    <w:rsid w:val="470E9381"/>
    <w:rsid w:val="470ED759"/>
    <w:rsid w:val="470F59D1"/>
    <w:rsid w:val="470FCF2E"/>
    <w:rsid w:val="47104CF8"/>
    <w:rsid w:val="471100C9"/>
    <w:rsid w:val="47112D97"/>
    <w:rsid w:val="4712E5C4"/>
    <w:rsid w:val="4712F79E"/>
    <w:rsid w:val="47130671"/>
    <w:rsid w:val="47133522"/>
    <w:rsid w:val="4714DD25"/>
    <w:rsid w:val="4716C946"/>
    <w:rsid w:val="4716EA51"/>
    <w:rsid w:val="471738A0"/>
    <w:rsid w:val="47178258"/>
    <w:rsid w:val="4718B31D"/>
    <w:rsid w:val="4718B60F"/>
    <w:rsid w:val="471A4499"/>
    <w:rsid w:val="471CE711"/>
    <w:rsid w:val="471D2C7D"/>
    <w:rsid w:val="471DD1FA"/>
    <w:rsid w:val="471E7C30"/>
    <w:rsid w:val="471EBD47"/>
    <w:rsid w:val="47229E19"/>
    <w:rsid w:val="47246C77"/>
    <w:rsid w:val="4724FD49"/>
    <w:rsid w:val="47254221"/>
    <w:rsid w:val="4725EA69"/>
    <w:rsid w:val="472640F6"/>
    <w:rsid w:val="47271081"/>
    <w:rsid w:val="47271FAD"/>
    <w:rsid w:val="472796AB"/>
    <w:rsid w:val="47282465"/>
    <w:rsid w:val="4728474C"/>
    <w:rsid w:val="4728719C"/>
    <w:rsid w:val="472899F5"/>
    <w:rsid w:val="4728CFA4"/>
    <w:rsid w:val="47293916"/>
    <w:rsid w:val="47294E63"/>
    <w:rsid w:val="472A008D"/>
    <w:rsid w:val="472A2251"/>
    <w:rsid w:val="472A3640"/>
    <w:rsid w:val="472AC4D3"/>
    <w:rsid w:val="472B0D1B"/>
    <w:rsid w:val="472C9F8E"/>
    <w:rsid w:val="472CD50F"/>
    <w:rsid w:val="472D4EF9"/>
    <w:rsid w:val="472D6A28"/>
    <w:rsid w:val="472D9DB6"/>
    <w:rsid w:val="472DBAC0"/>
    <w:rsid w:val="472DEAFF"/>
    <w:rsid w:val="472DFF88"/>
    <w:rsid w:val="472E29C0"/>
    <w:rsid w:val="472E65F6"/>
    <w:rsid w:val="472F8AB1"/>
    <w:rsid w:val="472F9644"/>
    <w:rsid w:val="472FEAAD"/>
    <w:rsid w:val="472FF053"/>
    <w:rsid w:val="47302C58"/>
    <w:rsid w:val="47308FFB"/>
    <w:rsid w:val="47310141"/>
    <w:rsid w:val="473113C4"/>
    <w:rsid w:val="47324917"/>
    <w:rsid w:val="47351D54"/>
    <w:rsid w:val="47356F1B"/>
    <w:rsid w:val="47370EFF"/>
    <w:rsid w:val="47371234"/>
    <w:rsid w:val="47377FDD"/>
    <w:rsid w:val="4737B2B3"/>
    <w:rsid w:val="47386DDE"/>
    <w:rsid w:val="47390DC2"/>
    <w:rsid w:val="47399EB3"/>
    <w:rsid w:val="473A55FC"/>
    <w:rsid w:val="473BF056"/>
    <w:rsid w:val="473C3587"/>
    <w:rsid w:val="473D6300"/>
    <w:rsid w:val="473D6434"/>
    <w:rsid w:val="473DC0CD"/>
    <w:rsid w:val="473DE3EA"/>
    <w:rsid w:val="47401BB5"/>
    <w:rsid w:val="4740371F"/>
    <w:rsid w:val="47411625"/>
    <w:rsid w:val="4741B78C"/>
    <w:rsid w:val="474280C6"/>
    <w:rsid w:val="47436EA0"/>
    <w:rsid w:val="47438468"/>
    <w:rsid w:val="4743B3E5"/>
    <w:rsid w:val="4744C5F7"/>
    <w:rsid w:val="47458061"/>
    <w:rsid w:val="4746BAD0"/>
    <w:rsid w:val="4746BD02"/>
    <w:rsid w:val="4748A900"/>
    <w:rsid w:val="4748F5C6"/>
    <w:rsid w:val="47490B9F"/>
    <w:rsid w:val="474921D5"/>
    <w:rsid w:val="47493F89"/>
    <w:rsid w:val="474999A4"/>
    <w:rsid w:val="4749B596"/>
    <w:rsid w:val="4749F1B9"/>
    <w:rsid w:val="474A9EC6"/>
    <w:rsid w:val="474AAB44"/>
    <w:rsid w:val="474B4376"/>
    <w:rsid w:val="474BA5AC"/>
    <w:rsid w:val="474C92BA"/>
    <w:rsid w:val="474E33AE"/>
    <w:rsid w:val="474EBF7D"/>
    <w:rsid w:val="474F1763"/>
    <w:rsid w:val="474F4E9A"/>
    <w:rsid w:val="474F526C"/>
    <w:rsid w:val="474F57CC"/>
    <w:rsid w:val="474F693E"/>
    <w:rsid w:val="474F9915"/>
    <w:rsid w:val="4753BC05"/>
    <w:rsid w:val="4753E203"/>
    <w:rsid w:val="475565F1"/>
    <w:rsid w:val="4755840D"/>
    <w:rsid w:val="47576A19"/>
    <w:rsid w:val="4757AA3B"/>
    <w:rsid w:val="4757E79F"/>
    <w:rsid w:val="4758F10D"/>
    <w:rsid w:val="4758F1FA"/>
    <w:rsid w:val="4759498A"/>
    <w:rsid w:val="4759A246"/>
    <w:rsid w:val="475ADCF5"/>
    <w:rsid w:val="475AF445"/>
    <w:rsid w:val="475BCF4E"/>
    <w:rsid w:val="475D3F17"/>
    <w:rsid w:val="475D9B4C"/>
    <w:rsid w:val="475F4832"/>
    <w:rsid w:val="4760A3D4"/>
    <w:rsid w:val="4760FD61"/>
    <w:rsid w:val="476141EA"/>
    <w:rsid w:val="4761466D"/>
    <w:rsid w:val="4761E3EE"/>
    <w:rsid w:val="4762737B"/>
    <w:rsid w:val="4762DC3C"/>
    <w:rsid w:val="476308AA"/>
    <w:rsid w:val="47633752"/>
    <w:rsid w:val="476378B8"/>
    <w:rsid w:val="476450AD"/>
    <w:rsid w:val="476507D8"/>
    <w:rsid w:val="47654A6F"/>
    <w:rsid w:val="4766905E"/>
    <w:rsid w:val="4766B773"/>
    <w:rsid w:val="4766C659"/>
    <w:rsid w:val="4767CFCF"/>
    <w:rsid w:val="47692600"/>
    <w:rsid w:val="4769288C"/>
    <w:rsid w:val="476B1EB7"/>
    <w:rsid w:val="476B82B8"/>
    <w:rsid w:val="476B98DA"/>
    <w:rsid w:val="476CB563"/>
    <w:rsid w:val="476D919D"/>
    <w:rsid w:val="476DBF87"/>
    <w:rsid w:val="476EA5DF"/>
    <w:rsid w:val="476F0A16"/>
    <w:rsid w:val="47704034"/>
    <w:rsid w:val="47705218"/>
    <w:rsid w:val="4770732E"/>
    <w:rsid w:val="47710416"/>
    <w:rsid w:val="4771E3A8"/>
    <w:rsid w:val="47722AD0"/>
    <w:rsid w:val="47723858"/>
    <w:rsid w:val="4772BD2C"/>
    <w:rsid w:val="477300D0"/>
    <w:rsid w:val="4773865E"/>
    <w:rsid w:val="4773C224"/>
    <w:rsid w:val="47743B2C"/>
    <w:rsid w:val="47748D67"/>
    <w:rsid w:val="477518C7"/>
    <w:rsid w:val="477697A6"/>
    <w:rsid w:val="4776C8BB"/>
    <w:rsid w:val="4776CA57"/>
    <w:rsid w:val="477744CF"/>
    <w:rsid w:val="47778DCA"/>
    <w:rsid w:val="477841E2"/>
    <w:rsid w:val="47784F8E"/>
    <w:rsid w:val="477866F0"/>
    <w:rsid w:val="4778B4D9"/>
    <w:rsid w:val="4779C30F"/>
    <w:rsid w:val="477A53BF"/>
    <w:rsid w:val="477B13A1"/>
    <w:rsid w:val="477B8F9D"/>
    <w:rsid w:val="477BFAC9"/>
    <w:rsid w:val="477C3964"/>
    <w:rsid w:val="477E1600"/>
    <w:rsid w:val="477E3A9F"/>
    <w:rsid w:val="477EAA25"/>
    <w:rsid w:val="477F283C"/>
    <w:rsid w:val="4780CBD1"/>
    <w:rsid w:val="47812538"/>
    <w:rsid w:val="4781F8DD"/>
    <w:rsid w:val="4785AC35"/>
    <w:rsid w:val="4785D651"/>
    <w:rsid w:val="47865732"/>
    <w:rsid w:val="4786BB93"/>
    <w:rsid w:val="4786D4FD"/>
    <w:rsid w:val="47870D39"/>
    <w:rsid w:val="47873261"/>
    <w:rsid w:val="478786F9"/>
    <w:rsid w:val="4787C71F"/>
    <w:rsid w:val="4787C7F3"/>
    <w:rsid w:val="4787C9F9"/>
    <w:rsid w:val="47887896"/>
    <w:rsid w:val="4788BA63"/>
    <w:rsid w:val="47892508"/>
    <w:rsid w:val="47896421"/>
    <w:rsid w:val="478988B2"/>
    <w:rsid w:val="478A3DF6"/>
    <w:rsid w:val="478A4413"/>
    <w:rsid w:val="478AC2FC"/>
    <w:rsid w:val="478AC9B6"/>
    <w:rsid w:val="478C60AE"/>
    <w:rsid w:val="478C7E89"/>
    <w:rsid w:val="478CA370"/>
    <w:rsid w:val="478CD8BF"/>
    <w:rsid w:val="478D04AD"/>
    <w:rsid w:val="478D8084"/>
    <w:rsid w:val="478D923C"/>
    <w:rsid w:val="478DD7BA"/>
    <w:rsid w:val="478E08CF"/>
    <w:rsid w:val="478E40E2"/>
    <w:rsid w:val="478E686C"/>
    <w:rsid w:val="478E8B67"/>
    <w:rsid w:val="478E9A60"/>
    <w:rsid w:val="478E9E85"/>
    <w:rsid w:val="478FE4AC"/>
    <w:rsid w:val="47900FBC"/>
    <w:rsid w:val="47917C9D"/>
    <w:rsid w:val="4792DFC1"/>
    <w:rsid w:val="47931D8E"/>
    <w:rsid w:val="47933463"/>
    <w:rsid w:val="479361B7"/>
    <w:rsid w:val="4793C7C8"/>
    <w:rsid w:val="4794B065"/>
    <w:rsid w:val="4795058B"/>
    <w:rsid w:val="4795A06D"/>
    <w:rsid w:val="4795CB18"/>
    <w:rsid w:val="47963195"/>
    <w:rsid w:val="47963353"/>
    <w:rsid w:val="4796A9E1"/>
    <w:rsid w:val="479756BF"/>
    <w:rsid w:val="4798DF54"/>
    <w:rsid w:val="4799306E"/>
    <w:rsid w:val="47997E54"/>
    <w:rsid w:val="4799D44C"/>
    <w:rsid w:val="479A491E"/>
    <w:rsid w:val="479BC43A"/>
    <w:rsid w:val="479C4C75"/>
    <w:rsid w:val="479C9117"/>
    <w:rsid w:val="479CEDB9"/>
    <w:rsid w:val="479D4E5C"/>
    <w:rsid w:val="479DA25D"/>
    <w:rsid w:val="479DB70C"/>
    <w:rsid w:val="479E22F4"/>
    <w:rsid w:val="47A09EAE"/>
    <w:rsid w:val="47A0C369"/>
    <w:rsid w:val="47A0D27A"/>
    <w:rsid w:val="47A23449"/>
    <w:rsid w:val="47A3D9D2"/>
    <w:rsid w:val="47A40023"/>
    <w:rsid w:val="47A462AA"/>
    <w:rsid w:val="47A4E4D5"/>
    <w:rsid w:val="47A5E5D2"/>
    <w:rsid w:val="47A62838"/>
    <w:rsid w:val="47A63EDD"/>
    <w:rsid w:val="47A6504A"/>
    <w:rsid w:val="47A65BE0"/>
    <w:rsid w:val="47A66505"/>
    <w:rsid w:val="47A6A7BF"/>
    <w:rsid w:val="47A787F4"/>
    <w:rsid w:val="47A83A3E"/>
    <w:rsid w:val="47A885B0"/>
    <w:rsid w:val="47A90096"/>
    <w:rsid w:val="47A9A5C8"/>
    <w:rsid w:val="47A9DC10"/>
    <w:rsid w:val="47AA0036"/>
    <w:rsid w:val="47AA85C7"/>
    <w:rsid w:val="47AAA2F5"/>
    <w:rsid w:val="47AAF98C"/>
    <w:rsid w:val="47AB0138"/>
    <w:rsid w:val="47AB37CE"/>
    <w:rsid w:val="47AB9669"/>
    <w:rsid w:val="47AC05BE"/>
    <w:rsid w:val="47ACB422"/>
    <w:rsid w:val="47AD2ABA"/>
    <w:rsid w:val="47AD67B8"/>
    <w:rsid w:val="47AD6B05"/>
    <w:rsid w:val="47AD9904"/>
    <w:rsid w:val="47AE3734"/>
    <w:rsid w:val="47AF55D8"/>
    <w:rsid w:val="47B0030D"/>
    <w:rsid w:val="47B01707"/>
    <w:rsid w:val="47B02DAA"/>
    <w:rsid w:val="47B04F82"/>
    <w:rsid w:val="47B06E77"/>
    <w:rsid w:val="47B0BE2C"/>
    <w:rsid w:val="47B16B85"/>
    <w:rsid w:val="47B23F21"/>
    <w:rsid w:val="47B2C823"/>
    <w:rsid w:val="47B2FE63"/>
    <w:rsid w:val="47B33998"/>
    <w:rsid w:val="47B360B7"/>
    <w:rsid w:val="47B3B2DA"/>
    <w:rsid w:val="47B50473"/>
    <w:rsid w:val="47B55011"/>
    <w:rsid w:val="47B57717"/>
    <w:rsid w:val="47B58126"/>
    <w:rsid w:val="47B5D8E0"/>
    <w:rsid w:val="47B5EC15"/>
    <w:rsid w:val="47B5F57D"/>
    <w:rsid w:val="47B678F1"/>
    <w:rsid w:val="47B71527"/>
    <w:rsid w:val="47B82D3F"/>
    <w:rsid w:val="47B85932"/>
    <w:rsid w:val="47B8E1CE"/>
    <w:rsid w:val="47B97EC1"/>
    <w:rsid w:val="47BA5F8E"/>
    <w:rsid w:val="47BAA5EA"/>
    <w:rsid w:val="47BAAAAC"/>
    <w:rsid w:val="47BACCD4"/>
    <w:rsid w:val="47BBD1DE"/>
    <w:rsid w:val="47BC5B07"/>
    <w:rsid w:val="47BC85EA"/>
    <w:rsid w:val="47BD2F4F"/>
    <w:rsid w:val="47BD9184"/>
    <w:rsid w:val="47BDB319"/>
    <w:rsid w:val="47BDE2B4"/>
    <w:rsid w:val="47BEF616"/>
    <w:rsid w:val="47BF3376"/>
    <w:rsid w:val="47BFAFD2"/>
    <w:rsid w:val="47BFCCE0"/>
    <w:rsid w:val="47BFD883"/>
    <w:rsid w:val="47C0D03D"/>
    <w:rsid w:val="47C16A35"/>
    <w:rsid w:val="47C29840"/>
    <w:rsid w:val="47C2A667"/>
    <w:rsid w:val="47C4682E"/>
    <w:rsid w:val="47C48126"/>
    <w:rsid w:val="47C54909"/>
    <w:rsid w:val="47C76794"/>
    <w:rsid w:val="47C87D05"/>
    <w:rsid w:val="47C8A056"/>
    <w:rsid w:val="47C94C38"/>
    <w:rsid w:val="47C9A836"/>
    <w:rsid w:val="47C9E7F3"/>
    <w:rsid w:val="47C9F3FA"/>
    <w:rsid w:val="47CBB65F"/>
    <w:rsid w:val="47CBD3AB"/>
    <w:rsid w:val="47CC87D9"/>
    <w:rsid w:val="47CCF556"/>
    <w:rsid w:val="47CD38B2"/>
    <w:rsid w:val="47CD5907"/>
    <w:rsid w:val="47CDA823"/>
    <w:rsid w:val="47CDCCFC"/>
    <w:rsid w:val="47CE9F1C"/>
    <w:rsid w:val="47CF0A32"/>
    <w:rsid w:val="47CFC7FC"/>
    <w:rsid w:val="47D03379"/>
    <w:rsid w:val="47D0D0CC"/>
    <w:rsid w:val="47D0E06A"/>
    <w:rsid w:val="47D11602"/>
    <w:rsid w:val="47D1C0F7"/>
    <w:rsid w:val="47D1EBC4"/>
    <w:rsid w:val="47D21979"/>
    <w:rsid w:val="47D35070"/>
    <w:rsid w:val="47D380D4"/>
    <w:rsid w:val="47D40B5A"/>
    <w:rsid w:val="47D46308"/>
    <w:rsid w:val="47D4BCC1"/>
    <w:rsid w:val="47D6A8E5"/>
    <w:rsid w:val="47D7455B"/>
    <w:rsid w:val="47D771C0"/>
    <w:rsid w:val="47D7F2EC"/>
    <w:rsid w:val="47D8771B"/>
    <w:rsid w:val="47DA3C22"/>
    <w:rsid w:val="47DC2B90"/>
    <w:rsid w:val="47DCC31E"/>
    <w:rsid w:val="47DCF905"/>
    <w:rsid w:val="47DCFD09"/>
    <w:rsid w:val="47DD33B5"/>
    <w:rsid w:val="47DDD7F3"/>
    <w:rsid w:val="47DE0F9C"/>
    <w:rsid w:val="47DE875F"/>
    <w:rsid w:val="47DEC3C2"/>
    <w:rsid w:val="47DFA168"/>
    <w:rsid w:val="47E04102"/>
    <w:rsid w:val="47E1CAE1"/>
    <w:rsid w:val="47E23B85"/>
    <w:rsid w:val="47E24C69"/>
    <w:rsid w:val="47E38DEF"/>
    <w:rsid w:val="47E42819"/>
    <w:rsid w:val="47E43F3D"/>
    <w:rsid w:val="47E46758"/>
    <w:rsid w:val="47E4B68B"/>
    <w:rsid w:val="47E64D46"/>
    <w:rsid w:val="47E6DD32"/>
    <w:rsid w:val="47E707D6"/>
    <w:rsid w:val="47E7F197"/>
    <w:rsid w:val="47E83E8E"/>
    <w:rsid w:val="47E850B1"/>
    <w:rsid w:val="47E880FC"/>
    <w:rsid w:val="47E8C797"/>
    <w:rsid w:val="47EA7DC6"/>
    <w:rsid w:val="47EAB61F"/>
    <w:rsid w:val="47EB5483"/>
    <w:rsid w:val="47EBA071"/>
    <w:rsid w:val="47EBFECD"/>
    <w:rsid w:val="47ECB51C"/>
    <w:rsid w:val="47ED0140"/>
    <w:rsid w:val="47EED971"/>
    <w:rsid w:val="47EEE0D5"/>
    <w:rsid w:val="47EFE166"/>
    <w:rsid w:val="47F0CA24"/>
    <w:rsid w:val="47F1AC53"/>
    <w:rsid w:val="47F22254"/>
    <w:rsid w:val="47F24305"/>
    <w:rsid w:val="47F24D70"/>
    <w:rsid w:val="47F28DCE"/>
    <w:rsid w:val="47F2D2B1"/>
    <w:rsid w:val="47F3DA3B"/>
    <w:rsid w:val="47F44BF9"/>
    <w:rsid w:val="47F5A4D9"/>
    <w:rsid w:val="47F5BAF2"/>
    <w:rsid w:val="47F67ED3"/>
    <w:rsid w:val="47F752EE"/>
    <w:rsid w:val="47F8176A"/>
    <w:rsid w:val="47F829D8"/>
    <w:rsid w:val="47F8AFF6"/>
    <w:rsid w:val="47F91E53"/>
    <w:rsid w:val="47F93F16"/>
    <w:rsid w:val="47F98CF0"/>
    <w:rsid w:val="47FA3790"/>
    <w:rsid w:val="47FAB48B"/>
    <w:rsid w:val="47FB9A1A"/>
    <w:rsid w:val="47FBA371"/>
    <w:rsid w:val="47FC76A7"/>
    <w:rsid w:val="47FCD2CF"/>
    <w:rsid w:val="47FD8973"/>
    <w:rsid w:val="47FD99F8"/>
    <w:rsid w:val="47FEAC21"/>
    <w:rsid w:val="47FF01EC"/>
    <w:rsid w:val="47FF72DA"/>
    <w:rsid w:val="48001FBE"/>
    <w:rsid w:val="48006FE6"/>
    <w:rsid w:val="48008AAE"/>
    <w:rsid w:val="48014BB2"/>
    <w:rsid w:val="4801C095"/>
    <w:rsid w:val="480260F5"/>
    <w:rsid w:val="480271AD"/>
    <w:rsid w:val="4802F871"/>
    <w:rsid w:val="48030859"/>
    <w:rsid w:val="48033997"/>
    <w:rsid w:val="48038E8C"/>
    <w:rsid w:val="4803B0C9"/>
    <w:rsid w:val="48055FED"/>
    <w:rsid w:val="48056B67"/>
    <w:rsid w:val="480599E0"/>
    <w:rsid w:val="4805C111"/>
    <w:rsid w:val="480677FD"/>
    <w:rsid w:val="4806A8D4"/>
    <w:rsid w:val="4806F082"/>
    <w:rsid w:val="48074114"/>
    <w:rsid w:val="480A7A1C"/>
    <w:rsid w:val="480A853D"/>
    <w:rsid w:val="480AB53D"/>
    <w:rsid w:val="480D0849"/>
    <w:rsid w:val="480EBB2A"/>
    <w:rsid w:val="480F1115"/>
    <w:rsid w:val="481045D6"/>
    <w:rsid w:val="48106D47"/>
    <w:rsid w:val="481086CB"/>
    <w:rsid w:val="481200A8"/>
    <w:rsid w:val="4812350E"/>
    <w:rsid w:val="48128A05"/>
    <w:rsid w:val="4813BDC5"/>
    <w:rsid w:val="4813EE76"/>
    <w:rsid w:val="4813F892"/>
    <w:rsid w:val="48145F02"/>
    <w:rsid w:val="481556D2"/>
    <w:rsid w:val="48168480"/>
    <w:rsid w:val="481713FC"/>
    <w:rsid w:val="48175DE1"/>
    <w:rsid w:val="481AFA0C"/>
    <w:rsid w:val="481B1362"/>
    <w:rsid w:val="481B7F3B"/>
    <w:rsid w:val="481B8FF7"/>
    <w:rsid w:val="481CC3D0"/>
    <w:rsid w:val="481CF588"/>
    <w:rsid w:val="481CF937"/>
    <w:rsid w:val="481D8FEC"/>
    <w:rsid w:val="4820ADB8"/>
    <w:rsid w:val="4821CF7E"/>
    <w:rsid w:val="4822A07B"/>
    <w:rsid w:val="48232F02"/>
    <w:rsid w:val="48240182"/>
    <w:rsid w:val="48250BBC"/>
    <w:rsid w:val="482547C0"/>
    <w:rsid w:val="4825A26B"/>
    <w:rsid w:val="482678EA"/>
    <w:rsid w:val="4826C2A6"/>
    <w:rsid w:val="4826D086"/>
    <w:rsid w:val="4826E17E"/>
    <w:rsid w:val="4827557B"/>
    <w:rsid w:val="4827CF1D"/>
    <w:rsid w:val="482AF279"/>
    <w:rsid w:val="482AFCC6"/>
    <w:rsid w:val="482C605C"/>
    <w:rsid w:val="482CD1F9"/>
    <w:rsid w:val="482CD84D"/>
    <w:rsid w:val="482D1ADD"/>
    <w:rsid w:val="482D206A"/>
    <w:rsid w:val="482DB14E"/>
    <w:rsid w:val="482DCB12"/>
    <w:rsid w:val="482F55D0"/>
    <w:rsid w:val="482F5F7E"/>
    <w:rsid w:val="482FBEB7"/>
    <w:rsid w:val="483026CD"/>
    <w:rsid w:val="4830C363"/>
    <w:rsid w:val="48312A22"/>
    <w:rsid w:val="48313B6A"/>
    <w:rsid w:val="48314C11"/>
    <w:rsid w:val="48318712"/>
    <w:rsid w:val="4831A886"/>
    <w:rsid w:val="48321A4C"/>
    <w:rsid w:val="48327E25"/>
    <w:rsid w:val="48338B67"/>
    <w:rsid w:val="4833F103"/>
    <w:rsid w:val="48349F4F"/>
    <w:rsid w:val="4835AA4A"/>
    <w:rsid w:val="48366F39"/>
    <w:rsid w:val="4836986B"/>
    <w:rsid w:val="4836A1BD"/>
    <w:rsid w:val="4836D7A7"/>
    <w:rsid w:val="4836FC3B"/>
    <w:rsid w:val="4838ABCB"/>
    <w:rsid w:val="4838B64F"/>
    <w:rsid w:val="4838B86D"/>
    <w:rsid w:val="48393627"/>
    <w:rsid w:val="48395C05"/>
    <w:rsid w:val="48395D73"/>
    <w:rsid w:val="4839B3BD"/>
    <w:rsid w:val="483A7B03"/>
    <w:rsid w:val="483DEFF9"/>
    <w:rsid w:val="483EF9EB"/>
    <w:rsid w:val="4840EA15"/>
    <w:rsid w:val="48410B14"/>
    <w:rsid w:val="4841AD66"/>
    <w:rsid w:val="48423CBF"/>
    <w:rsid w:val="4842E0D6"/>
    <w:rsid w:val="4845D239"/>
    <w:rsid w:val="4846EFC2"/>
    <w:rsid w:val="484727B4"/>
    <w:rsid w:val="48475BD8"/>
    <w:rsid w:val="4847CB30"/>
    <w:rsid w:val="4847D587"/>
    <w:rsid w:val="484857DA"/>
    <w:rsid w:val="48485F09"/>
    <w:rsid w:val="484921B2"/>
    <w:rsid w:val="484921F7"/>
    <w:rsid w:val="484B0F17"/>
    <w:rsid w:val="484B2A33"/>
    <w:rsid w:val="484BAF3A"/>
    <w:rsid w:val="484C7419"/>
    <w:rsid w:val="484C9C76"/>
    <w:rsid w:val="484CEF30"/>
    <w:rsid w:val="484CF819"/>
    <w:rsid w:val="484DB138"/>
    <w:rsid w:val="484DE8A8"/>
    <w:rsid w:val="484EB532"/>
    <w:rsid w:val="484EEE29"/>
    <w:rsid w:val="48506964"/>
    <w:rsid w:val="4850E786"/>
    <w:rsid w:val="4851096F"/>
    <w:rsid w:val="48518933"/>
    <w:rsid w:val="4851ABCB"/>
    <w:rsid w:val="4852CF67"/>
    <w:rsid w:val="485338E7"/>
    <w:rsid w:val="48542FBB"/>
    <w:rsid w:val="48544260"/>
    <w:rsid w:val="48548D36"/>
    <w:rsid w:val="48551906"/>
    <w:rsid w:val="48577CD5"/>
    <w:rsid w:val="48592956"/>
    <w:rsid w:val="485A8343"/>
    <w:rsid w:val="485A8D43"/>
    <w:rsid w:val="485AC916"/>
    <w:rsid w:val="485E1DE6"/>
    <w:rsid w:val="485E6434"/>
    <w:rsid w:val="485EC1EB"/>
    <w:rsid w:val="48600041"/>
    <w:rsid w:val="4860030C"/>
    <w:rsid w:val="48620351"/>
    <w:rsid w:val="486237E9"/>
    <w:rsid w:val="4862BB67"/>
    <w:rsid w:val="48638213"/>
    <w:rsid w:val="4863954C"/>
    <w:rsid w:val="4863C9D3"/>
    <w:rsid w:val="4863F52E"/>
    <w:rsid w:val="48642696"/>
    <w:rsid w:val="4865188C"/>
    <w:rsid w:val="48655F58"/>
    <w:rsid w:val="48678581"/>
    <w:rsid w:val="4867924D"/>
    <w:rsid w:val="4868041C"/>
    <w:rsid w:val="486A01E1"/>
    <w:rsid w:val="486A6BC8"/>
    <w:rsid w:val="486AF6F0"/>
    <w:rsid w:val="486C272E"/>
    <w:rsid w:val="486C9CBC"/>
    <w:rsid w:val="486D6F8F"/>
    <w:rsid w:val="487087B6"/>
    <w:rsid w:val="48716BB5"/>
    <w:rsid w:val="4871986D"/>
    <w:rsid w:val="4871CCFD"/>
    <w:rsid w:val="487213D8"/>
    <w:rsid w:val="4872B16E"/>
    <w:rsid w:val="4872B1EE"/>
    <w:rsid w:val="487458DE"/>
    <w:rsid w:val="487584C6"/>
    <w:rsid w:val="48758BB4"/>
    <w:rsid w:val="4875C9CD"/>
    <w:rsid w:val="487651C4"/>
    <w:rsid w:val="487898E7"/>
    <w:rsid w:val="4878CC99"/>
    <w:rsid w:val="48793307"/>
    <w:rsid w:val="48795358"/>
    <w:rsid w:val="487A4E9B"/>
    <w:rsid w:val="487AA628"/>
    <w:rsid w:val="487B8937"/>
    <w:rsid w:val="487B8A42"/>
    <w:rsid w:val="487C76CF"/>
    <w:rsid w:val="487D38FE"/>
    <w:rsid w:val="487DB922"/>
    <w:rsid w:val="487FD970"/>
    <w:rsid w:val="488046F1"/>
    <w:rsid w:val="48805647"/>
    <w:rsid w:val="488119EB"/>
    <w:rsid w:val="4881EE41"/>
    <w:rsid w:val="4882400D"/>
    <w:rsid w:val="48832B47"/>
    <w:rsid w:val="4883A038"/>
    <w:rsid w:val="4883AC04"/>
    <w:rsid w:val="48841033"/>
    <w:rsid w:val="4885D8C9"/>
    <w:rsid w:val="48861956"/>
    <w:rsid w:val="4886B8C6"/>
    <w:rsid w:val="4887761C"/>
    <w:rsid w:val="48889B9C"/>
    <w:rsid w:val="48891CC0"/>
    <w:rsid w:val="48893EDF"/>
    <w:rsid w:val="48896323"/>
    <w:rsid w:val="4889B874"/>
    <w:rsid w:val="488A136C"/>
    <w:rsid w:val="488A407E"/>
    <w:rsid w:val="488A6792"/>
    <w:rsid w:val="488AEB06"/>
    <w:rsid w:val="488AF939"/>
    <w:rsid w:val="488B677E"/>
    <w:rsid w:val="488BC231"/>
    <w:rsid w:val="488BD75F"/>
    <w:rsid w:val="488C1D01"/>
    <w:rsid w:val="488CCA1D"/>
    <w:rsid w:val="488D69CA"/>
    <w:rsid w:val="488D7A0E"/>
    <w:rsid w:val="488D7C5E"/>
    <w:rsid w:val="488D8047"/>
    <w:rsid w:val="488DB72D"/>
    <w:rsid w:val="488DE7EA"/>
    <w:rsid w:val="488DED7B"/>
    <w:rsid w:val="488DEE3B"/>
    <w:rsid w:val="488F31CB"/>
    <w:rsid w:val="488F65F5"/>
    <w:rsid w:val="488FBD23"/>
    <w:rsid w:val="48908FD4"/>
    <w:rsid w:val="48909B0B"/>
    <w:rsid w:val="48925624"/>
    <w:rsid w:val="4892D8B7"/>
    <w:rsid w:val="4893967E"/>
    <w:rsid w:val="489412FB"/>
    <w:rsid w:val="48942C19"/>
    <w:rsid w:val="4894558F"/>
    <w:rsid w:val="4894E5C3"/>
    <w:rsid w:val="489578F1"/>
    <w:rsid w:val="4895D1F0"/>
    <w:rsid w:val="4895E944"/>
    <w:rsid w:val="4895EDEE"/>
    <w:rsid w:val="4896A602"/>
    <w:rsid w:val="48974125"/>
    <w:rsid w:val="489745D0"/>
    <w:rsid w:val="4898231D"/>
    <w:rsid w:val="4898A738"/>
    <w:rsid w:val="4899B67E"/>
    <w:rsid w:val="4899FDC4"/>
    <w:rsid w:val="489A730C"/>
    <w:rsid w:val="489C5360"/>
    <w:rsid w:val="489C5F3A"/>
    <w:rsid w:val="489CEDF7"/>
    <w:rsid w:val="489DFB31"/>
    <w:rsid w:val="489E0490"/>
    <w:rsid w:val="489E3A88"/>
    <w:rsid w:val="489EFA6D"/>
    <w:rsid w:val="48A15289"/>
    <w:rsid w:val="48A165F6"/>
    <w:rsid w:val="48A188DC"/>
    <w:rsid w:val="48A25A79"/>
    <w:rsid w:val="48A2BFE1"/>
    <w:rsid w:val="48A33D51"/>
    <w:rsid w:val="48A3DEC4"/>
    <w:rsid w:val="48A3DFC3"/>
    <w:rsid w:val="48A41230"/>
    <w:rsid w:val="48A48C28"/>
    <w:rsid w:val="48A51489"/>
    <w:rsid w:val="48A55E72"/>
    <w:rsid w:val="48A5E506"/>
    <w:rsid w:val="48A61253"/>
    <w:rsid w:val="48A6E94C"/>
    <w:rsid w:val="48A70B8E"/>
    <w:rsid w:val="48A76EB1"/>
    <w:rsid w:val="48A79849"/>
    <w:rsid w:val="48A7BB06"/>
    <w:rsid w:val="48A7E943"/>
    <w:rsid w:val="48A94631"/>
    <w:rsid w:val="48A96FCE"/>
    <w:rsid w:val="48A9DFFC"/>
    <w:rsid w:val="48AA4C88"/>
    <w:rsid w:val="48AAC917"/>
    <w:rsid w:val="48AC56D5"/>
    <w:rsid w:val="48ACA60C"/>
    <w:rsid w:val="48AD28F7"/>
    <w:rsid w:val="48AD2DAF"/>
    <w:rsid w:val="48AE2A54"/>
    <w:rsid w:val="48AEE696"/>
    <w:rsid w:val="48AFC4C0"/>
    <w:rsid w:val="48AFE496"/>
    <w:rsid w:val="48B057A8"/>
    <w:rsid w:val="48B27C28"/>
    <w:rsid w:val="48B39709"/>
    <w:rsid w:val="48B3C880"/>
    <w:rsid w:val="48B3F0CD"/>
    <w:rsid w:val="48B659FC"/>
    <w:rsid w:val="48B88F47"/>
    <w:rsid w:val="48B929DB"/>
    <w:rsid w:val="48BA7253"/>
    <w:rsid w:val="48BAB7AB"/>
    <w:rsid w:val="48BB9788"/>
    <w:rsid w:val="48BD834A"/>
    <w:rsid w:val="48BDD55B"/>
    <w:rsid w:val="48BE405F"/>
    <w:rsid w:val="48BE85E2"/>
    <w:rsid w:val="48BEEF9E"/>
    <w:rsid w:val="48BF0EF5"/>
    <w:rsid w:val="48BF5241"/>
    <w:rsid w:val="48BFA884"/>
    <w:rsid w:val="48C07A14"/>
    <w:rsid w:val="48C0892C"/>
    <w:rsid w:val="48C0FE34"/>
    <w:rsid w:val="48C17DC0"/>
    <w:rsid w:val="48C19078"/>
    <w:rsid w:val="48C2763A"/>
    <w:rsid w:val="48C4A831"/>
    <w:rsid w:val="48C60E16"/>
    <w:rsid w:val="48C68060"/>
    <w:rsid w:val="48C70348"/>
    <w:rsid w:val="48C703F2"/>
    <w:rsid w:val="48C71CDB"/>
    <w:rsid w:val="48C750BF"/>
    <w:rsid w:val="48C7FB22"/>
    <w:rsid w:val="48C803BF"/>
    <w:rsid w:val="48C878D7"/>
    <w:rsid w:val="48C8D937"/>
    <w:rsid w:val="48C9953C"/>
    <w:rsid w:val="48C9B909"/>
    <w:rsid w:val="48C9C920"/>
    <w:rsid w:val="48C9CF69"/>
    <w:rsid w:val="48C9EFEE"/>
    <w:rsid w:val="48CA69C1"/>
    <w:rsid w:val="48CBE901"/>
    <w:rsid w:val="48CC415E"/>
    <w:rsid w:val="48CCA4D6"/>
    <w:rsid w:val="48CD18E8"/>
    <w:rsid w:val="48CD4A93"/>
    <w:rsid w:val="48CDAC6A"/>
    <w:rsid w:val="48CDDDB1"/>
    <w:rsid w:val="48CE1412"/>
    <w:rsid w:val="48CE7631"/>
    <w:rsid w:val="48CF815F"/>
    <w:rsid w:val="48D12E70"/>
    <w:rsid w:val="48D18655"/>
    <w:rsid w:val="48D1A551"/>
    <w:rsid w:val="48D3B782"/>
    <w:rsid w:val="48D40374"/>
    <w:rsid w:val="48D414E3"/>
    <w:rsid w:val="48D4C596"/>
    <w:rsid w:val="48D4FD35"/>
    <w:rsid w:val="48D51958"/>
    <w:rsid w:val="48D5FC7E"/>
    <w:rsid w:val="48D60D89"/>
    <w:rsid w:val="48D6C791"/>
    <w:rsid w:val="48D6EF33"/>
    <w:rsid w:val="48D738EA"/>
    <w:rsid w:val="48D79E8A"/>
    <w:rsid w:val="48D7D97E"/>
    <w:rsid w:val="48D9B5B7"/>
    <w:rsid w:val="48DA6B52"/>
    <w:rsid w:val="48DB9566"/>
    <w:rsid w:val="48DBC84D"/>
    <w:rsid w:val="48DDB3CE"/>
    <w:rsid w:val="48DE14AF"/>
    <w:rsid w:val="48DE3E32"/>
    <w:rsid w:val="48DECEA9"/>
    <w:rsid w:val="48DEDE2D"/>
    <w:rsid w:val="48DF5E65"/>
    <w:rsid w:val="48DFFD1D"/>
    <w:rsid w:val="48E14BFE"/>
    <w:rsid w:val="48E1A875"/>
    <w:rsid w:val="48E200E7"/>
    <w:rsid w:val="48E20B4A"/>
    <w:rsid w:val="48E24ABB"/>
    <w:rsid w:val="48E37D3B"/>
    <w:rsid w:val="48E3B5DF"/>
    <w:rsid w:val="48E3BD93"/>
    <w:rsid w:val="48E3C1B3"/>
    <w:rsid w:val="48E3C786"/>
    <w:rsid w:val="48E44ED3"/>
    <w:rsid w:val="48E4BFCC"/>
    <w:rsid w:val="48E4CCBB"/>
    <w:rsid w:val="48E50949"/>
    <w:rsid w:val="48E52D22"/>
    <w:rsid w:val="48E62A0F"/>
    <w:rsid w:val="48E63BA6"/>
    <w:rsid w:val="48E67D9E"/>
    <w:rsid w:val="48E70EC5"/>
    <w:rsid w:val="48E7DC8C"/>
    <w:rsid w:val="48E7F978"/>
    <w:rsid w:val="48E818BC"/>
    <w:rsid w:val="48E842FA"/>
    <w:rsid w:val="48E87C84"/>
    <w:rsid w:val="48EA6A1E"/>
    <w:rsid w:val="48EAF34C"/>
    <w:rsid w:val="48EB0F34"/>
    <w:rsid w:val="48EB87CF"/>
    <w:rsid w:val="48EC792C"/>
    <w:rsid w:val="48ECAA7C"/>
    <w:rsid w:val="48ED21FA"/>
    <w:rsid w:val="48EDC739"/>
    <w:rsid w:val="48EF0957"/>
    <w:rsid w:val="48EF62A3"/>
    <w:rsid w:val="48EF813C"/>
    <w:rsid w:val="48EF86B4"/>
    <w:rsid w:val="48F065F3"/>
    <w:rsid w:val="48F0B103"/>
    <w:rsid w:val="48F14DE3"/>
    <w:rsid w:val="48F1D54C"/>
    <w:rsid w:val="48F29864"/>
    <w:rsid w:val="48F2E30C"/>
    <w:rsid w:val="48F33C30"/>
    <w:rsid w:val="48F3E001"/>
    <w:rsid w:val="48F41237"/>
    <w:rsid w:val="48F4F343"/>
    <w:rsid w:val="48F5C534"/>
    <w:rsid w:val="48F5ECD9"/>
    <w:rsid w:val="48F690FB"/>
    <w:rsid w:val="48F6AD58"/>
    <w:rsid w:val="48F6BE81"/>
    <w:rsid w:val="48F7AC43"/>
    <w:rsid w:val="48F896E2"/>
    <w:rsid w:val="48F90B7C"/>
    <w:rsid w:val="48F971B9"/>
    <w:rsid w:val="48FAF285"/>
    <w:rsid w:val="48FB6AE9"/>
    <w:rsid w:val="48FC089E"/>
    <w:rsid w:val="48FC9A95"/>
    <w:rsid w:val="48FDD11B"/>
    <w:rsid w:val="48FE59C2"/>
    <w:rsid w:val="48FE9D6A"/>
    <w:rsid w:val="48FEE745"/>
    <w:rsid w:val="48FEEAA6"/>
    <w:rsid w:val="48FF2156"/>
    <w:rsid w:val="49003937"/>
    <w:rsid w:val="4900479D"/>
    <w:rsid w:val="49004C95"/>
    <w:rsid w:val="4900887F"/>
    <w:rsid w:val="49008CFE"/>
    <w:rsid w:val="4900C783"/>
    <w:rsid w:val="4900CCFD"/>
    <w:rsid w:val="4901205E"/>
    <w:rsid w:val="49012F46"/>
    <w:rsid w:val="4901DE4B"/>
    <w:rsid w:val="490226FA"/>
    <w:rsid w:val="49035ECF"/>
    <w:rsid w:val="49036572"/>
    <w:rsid w:val="49055D39"/>
    <w:rsid w:val="490645DF"/>
    <w:rsid w:val="49064AAE"/>
    <w:rsid w:val="49071983"/>
    <w:rsid w:val="49089583"/>
    <w:rsid w:val="4908D26F"/>
    <w:rsid w:val="49098C3C"/>
    <w:rsid w:val="490AE487"/>
    <w:rsid w:val="490B597F"/>
    <w:rsid w:val="490B6B48"/>
    <w:rsid w:val="490C1A64"/>
    <w:rsid w:val="490C9362"/>
    <w:rsid w:val="490C9B3F"/>
    <w:rsid w:val="490CBCC8"/>
    <w:rsid w:val="490D3CDB"/>
    <w:rsid w:val="490D810B"/>
    <w:rsid w:val="490D920A"/>
    <w:rsid w:val="490E797E"/>
    <w:rsid w:val="490F6FC3"/>
    <w:rsid w:val="490FA50E"/>
    <w:rsid w:val="49100377"/>
    <w:rsid w:val="49102535"/>
    <w:rsid w:val="49112857"/>
    <w:rsid w:val="4912A8E0"/>
    <w:rsid w:val="4912EB30"/>
    <w:rsid w:val="491339F4"/>
    <w:rsid w:val="491423E9"/>
    <w:rsid w:val="49142D3E"/>
    <w:rsid w:val="4914A291"/>
    <w:rsid w:val="4914D3AD"/>
    <w:rsid w:val="49173A89"/>
    <w:rsid w:val="4917F403"/>
    <w:rsid w:val="491822E1"/>
    <w:rsid w:val="491824A9"/>
    <w:rsid w:val="491851EB"/>
    <w:rsid w:val="49190971"/>
    <w:rsid w:val="4919FCB3"/>
    <w:rsid w:val="491A5B5F"/>
    <w:rsid w:val="491DC4AC"/>
    <w:rsid w:val="492016B0"/>
    <w:rsid w:val="49202BFC"/>
    <w:rsid w:val="49208C89"/>
    <w:rsid w:val="4921AA4A"/>
    <w:rsid w:val="49229B72"/>
    <w:rsid w:val="49239DFE"/>
    <w:rsid w:val="4923BAE4"/>
    <w:rsid w:val="49248BBC"/>
    <w:rsid w:val="4924BAC3"/>
    <w:rsid w:val="4924E474"/>
    <w:rsid w:val="4924EFB0"/>
    <w:rsid w:val="49256FB3"/>
    <w:rsid w:val="4926F36B"/>
    <w:rsid w:val="492719B9"/>
    <w:rsid w:val="492771C3"/>
    <w:rsid w:val="49287671"/>
    <w:rsid w:val="4928FEB3"/>
    <w:rsid w:val="492A9E33"/>
    <w:rsid w:val="492B1F94"/>
    <w:rsid w:val="492D7B78"/>
    <w:rsid w:val="492DA914"/>
    <w:rsid w:val="492DE365"/>
    <w:rsid w:val="492EAA5A"/>
    <w:rsid w:val="492ED31F"/>
    <w:rsid w:val="492F3166"/>
    <w:rsid w:val="492FE8F3"/>
    <w:rsid w:val="49301FD3"/>
    <w:rsid w:val="4930D5FA"/>
    <w:rsid w:val="493113FB"/>
    <w:rsid w:val="49327525"/>
    <w:rsid w:val="4932AE06"/>
    <w:rsid w:val="4934252F"/>
    <w:rsid w:val="4935D230"/>
    <w:rsid w:val="493653F9"/>
    <w:rsid w:val="4936DD87"/>
    <w:rsid w:val="49379F58"/>
    <w:rsid w:val="4938150F"/>
    <w:rsid w:val="49381540"/>
    <w:rsid w:val="49388130"/>
    <w:rsid w:val="4938A385"/>
    <w:rsid w:val="4939F865"/>
    <w:rsid w:val="493AB9F4"/>
    <w:rsid w:val="493BED28"/>
    <w:rsid w:val="493C632E"/>
    <w:rsid w:val="493C8F2C"/>
    <w:rsid w:val="493CA0FE"/>
    <w:rsid w:val="493D6DAD"/>
    <w:rsid w:val="493D77EF"/>
    <w:rsid w:val="493D9044"/>
    <w:rsid w:val="493DA9B8"/>
    <w:rsid w:val="493DB45C"/>
    <w:rsid w:val="493EE647"/>
    <w:rsid w:val="49410CC9"/>
    <w:rsid w:val="4941AA65"/>
    <w:rsid w:val="49424136"/>
    <w:rsid w:val="4943714D"/>
    <w:rsid w:val="494391C1"/>
    <w:rsid w:val="494490C7"/>
    <w:rsid w:val="49451F9D"/>
    <w:rsid w:val="49459F23"/>
    <w:rsid w:val="4945EF37"/>
    <w:rsid w:val="4947420B"/>
    <w:rsid w:val="49486375"/>
    <w:rsid w:val="4948A1AA"/>
    <w:rsid w:val="4948F267"/>
    <w:rsid w:val="494ADC5B"/>
    <w:rsid w:val="494C916A"/>
    <w:rsid w:val="494CBC65"/>
    <w:rsid w:val="494D111F"/>
    <w:rsid w:val="494D1877"/>
    <w:rsid w:val="494D2927"/>
    <w:rsid w:val="494FDE03"/>
    <w:rsid w:val="49505976"/>
    <w:rsid w:val="4950E834"/>
    <w:rsid w:val="49516C9E"/>
    <w:rsid w:val="49520092"/>
    <w:rsid w:val="4952334C"/>
    <w:rsid w:val="4952B4AC"/>
    <w:rsid w:val="4953917E"/>
    <w:rsid w:val="4954353D"/>
    <w:rsid w:val="49552ECD"/>
    <w:rsid w:val="4955C625"/>
    <w:rsid w:val="4955DC6A"/>
    <w:rsid w:val="49564035"/>
    <w:rsid w:val="495778CE"/>
    <w:rsid w:val="4957D408"/>
    <w:rsid w:val="495A3ED9"/>
    <w:rsid w:val="495B0CF2"/>
    <w:rsid w:val="495B14EC"/>
    <w:rsid w:val="495CA309"/>
    <w:rsid w:val="495CB741"/>
    <w:rsid w:val="495D855F"/>
    <w:rsid w:val="495E6EA9"/>
    <w:rsid w:val="49600ABF"/>
    <w:rsid w:val="49607975"/>
    <w:rsid w:val="4961D7B1"/>
    <w:rsid w:val="496206AF"/>
    <w:rsid w:val="49622F05"/>
    <w:rsid w:val="49629D1D"/>
    <w:rsid w:val="4963E8CA"/>
    <w:rsid w:val="4964276C"/>
    <w:rsid w:val="49657EFF"/>
    <w:rsid w:val="4965922D"/>
    <w:rsid w:val="4966240B"/>
    <w:rsid w:val="49663B9F"/>
    <w:rsid w:val="4966CD0D"/>
    <w:rsid w:val="49674CA8"/>
    <w:rsid w:val="4967E749"/>
    <w:rsid w:val="49681628"/>
    <w:rsid w:val="49699122"/>
    <w:rsid w:val="496999B2"/>
    <w:rsid w:val="4969BE15"/>
    <w:rsid w:val="496C3623"/>
    <w:rsid w:val="496C5B44"/>
    <w:rsid w:val="496E4D2D"/>
    <w:rsid w:val="496E881A"/>
    <w:rsid w:val="496F4C6E"/>
    <w:rsid w:val="4970049A"/>
    <w:rsid w:val="49701ED0"/>
    <w:rsid w:val="49704371"/>
    <w:rsid w:val="49717F8A"/>
    <w:rsid w:val="4971F377"/>
    <w:rsid w:val="4972E728"/>
    <w:rsid w:val="4972F594"/>
    <w:rsid w:val="497310DE"/>
    <w:rsid w:val="4973E907"/>
    <w:rsid w:val="4974ACB7"/>
    <w:rsid w:val="49760E21"/>
    <w:rsid w:val="49761E30"/>
    <w:rsid w:val="4978B38E"/>
    <w:rsid w:val="49795B11"/>
    <w:rsid w:val="49799B3B"/>
    <w:rsid w:val="497A1090"/>
    <w:rsid w:val="497B9238"/>
    <w:rsid w:val="497BE571"/>
    <w:rsid w:val="497BEF6F"/>
    <w:rsid w:val="497C6D7B"/>
    <w:rsid w:val="497DC018"/>
    <w:rsid w:val="497DDCAF"/>
    <w:rsid w:val="497E100E"/>
    <w:rsid w:val="497EC41E"/>
    <w:rsid w:val="497EDADA"/>
    <w:rsid w:val="497EED1D"/>
    <w:rsid w:val="497F389C"/>
    <w:rsid w:val="49805C20"/>
    <w:rsid w:val="4980E65F"/>
    <w:rsid w:val="4981404B"/>
    <w:rsid w:val="498194F4"/>
    <w:rsid w:val="49826DA9"/>
    <w:rsid w:val="4982D8B9"/>
    <w:rsid w:val="4982F514"/>
    <w:rsid w:val="49832493"/>
    <w:rsid w:val="498333A9"/>
    <w:rsid w:val="49835768"/>
    <w:rsid w:val="4983625D"/>
    <w:rsid w:val="49837350"/>
    <w:rsid w:val="49864E74"/>
    <w:rsid w:val="49890F73"/>
    <w:rsid w:val="4989EBD5"/>
    <w:rsid w:val="498A443D"/>
    <w:rsid w:val="498A5EF2"/>
    <w:rsid w:val="498B15CF"/>
    <w:rsid w:val="498B4E5C"/>
    <w:rsid w:val="498B6103"/>
    <w:rsid w:val="498B7DC7"/>
    <w:rsid w:val="498E9C21"/>
    <w:rsid w:val="498EAEB6"/>
    <w:rsid w:val="498EB1B0"/>
    <w:rsid w:val="498EE0DB"/>
    <w:rsid w:val="498F7D04"/>
    <w:rsid w:val="498F9B68"/>
    <w:rsid w:val="498FF201"/>
    <w:rsid w:val="4990B983"/>
    <w:rsid w:val="4990D023"/>
    <w:rsid w:val="4991055B"/>
    <w:rsid w:val="4991AECF"/>
    <w:rsid w:val="49924B28"/>
    <w:rsid w:val="499275D5"/>
    <w:rsid w:val="49937329"/>
    <w:rsid w:val="4993BD34"/>
    <w:rsid w:val="49942274"/>
    <w:rsid w:val="4994EAFC"/>
    <w:rsid w:val="4995ACA9"/>
    <w:rsid w:val="4995E0AC"/>
    <w:rsid w:val="499741FA"/>
    <w:rsid w:val="4997955B"/>
    <w:rsid w:val="4997C3C0"/>
    <w:rsid w:val="4997EA0B"/>
    <w:rsid w:val="4998093E"/>
    <w:rsid w:val="49986E9C"/>
    <w:rsid w:val="4998B1F8"/>
    <w:rsid w:val="49992328"/>
    <w:rsid w:val="49992839"/>
    <w:rsid w:val="49997DBD"/>
    <w:rsid w:val="499A3ED7"/>
    <w:rsid w:val="499A430C"/>
    <w:rsid w:val="499CA099"/>
    <w:rsid w:val="499CD687"/>
    <w:rsid w:val="499DCF8C"/>
    <w:rsid w:val="499F2E0C"/>
    <w:rsid w:val="49A020DA"/>
    <w:rsid w:val="49A0A794"/>
    <w:rsid w:val="49A0B74E"/>
    <w:rsid w:val="49A10D11"/>
    <w:rsid w:val="49A10EDD"/>
    <w:rsid w:val="49A153E2"/>
    <w:rsid w:val="49A15A86"/>
    <w:rsid w:val="49A1AE19"/>
    <w:rsid w:val="49A1F634"/>
    <w:rsid w:val="49A33FDF"/>
    <w:rsid w:val="49A38B8D"/>
    <w:rsid w:val="49A3D8FD"/>
    <w:rsid w:val="49A559D1"/>
    <w:rsid w:val="49A68496"/>
    <w:rsid w:val="49A6954E"/>
    <w:rsid w:val="49A6E355"/>
    <w:rsid w:val="49A7FE4B"/>
    <w:rsid w:val="49A80E78"/>
    <w:rsid w:val="49A90A63"/>
    <w:rsid w:val="49A9136D"/>
    <w:rsid w:val="49A9463E"/>
    <w:rsid w:val="49A98A32"/>
    <w:rsid w:val="49A9B784"/>
    <w:rsid w:val="49AA5E6B"/>
    <w:rsid w:val="49AAACAC"/>
    <w:rsid w:val="49AB5FC1"/>
    <w:rsid w:val="49ABACD4"/>
    <w:rsid w:val="49ABECBA"/>
    <w:rsid w:val="49AC4D73"/>
    <w:rsid w:val="49ACB992"/>
    <w:rsid w:val="49ACBFD1"/>
    <w:rsid w:val="49ADFB0A"/>
    <w:rsid w:val="49ADFD7D"/>
    <w:rsid w:val="49AF2FCF"/>
    <w:rsid w:val="49AF4014"/>
    <w:rsid w:val="49B0DF65"/>
    <w:rsid w:val="49B18842"/>
    <w:rsid w:val="49B19B5C"/>
    <w:rsid w:val="49B1C581"/>
    <w:rsid w:val="49B24EA3"/>
    <w:rsid w:val="49B3ADB7"/>
    <w:rsid w:val="49B432BC"/>
    <w:rsid w:val="49B44C28"/>
    <w:rsid w:val="49B4872B"/>
    <w:rsid w:val="49B48C4E"/>
    <w:rsid w:val="49B4D9F1"/>
    <w:rsid w:val="49B573CA"/>
    <w:rsid w:val="49B58B97"/>
    <w:rsid w:val="49B68A21"/>
    <w:rsid w:val="49B71A5C"/>
    <w:rsid w:val="49B768B5"/>
    <w:rsid w:val="49B7E2E8"/>
    <w:rsid w:val="49B8943D"/>
    <w:rsid w:val="49B8D400"/>
    <w:rsid w:val="49B9547D"/>
    <w:rsid w:val="49BA162F"/>
    <w:rsid w:val="49BA6388"/>
    <w:rsid w:val="49BBCE90"/>
    <w:rsid w:val="49BC1C3C"/>
    <w:rsid w:val="49BC8A98"/>
    <w:rsid w:val="49BD0680"/>
    <w:rsid w:val="49BEDF0D"/>
    <w:rsid w:val="49C1E08C"/>
    <w:rsid w:val="49C2E1EE"/>
    <w:rsid w:val="49C2EAC1"/>
    <w:rsid w:val="49C2EE64"/>
    <w:rsid w:val="49C2F2D8"/>
    <w:rsid w:val="49C3F546"/>
    <w:rsid w:val="49C42ACC"/>
    <w:rsid w:val="49C43C25"/>
    <w:rsid w:val="49C47CFD"/>
    <w:rsid w:val="49C678E1"/>
    <w:rsid w:val="49C6B370"/>
    <w:rsid w:val="49C6F7B6"/>
    <w:rsid w:val="49C71838"/>
    <w:rsid w:val="49C75DB7"/>
    <w:rsid w:val="49C78CE0"/>
    <w:rsid w:val="49C85C92"/>
    <w:rsid w:val="49C8F51B"/>
    <w:rsid w:val="49C9BCFE"/>
    <w:rsid w:val="49CA18EF"/>
    <w:rsid w:val="49CB332F"/>
    <w:rsid w:val="49CBD0E8"/>
    <w:rsid w:val="49CC5CC8"/>
    <w:rsid w:val="49CC9CF3"/>
    <w:rsid w:val="49CD5E9E"/>
    <w:rsid w:val="49CDD820"/>
    <w:rsid w:val="49CE6C45"/>
    <w:rsid w:val="49CE866E"/>
    <w:rsid w:val="49CE9C4F"/>
    <w:rsid w:val="49CEBF7E"/>
    <w:rsid w:val="49CFC63C"/>
    <w:rsid w:val="49D18BE1"/>
    <w:rsid w:val="49D19388"/>
    <w:rsid w:val="49D1A8EA"/>
    <w:rsid w:val="49D3991C"/>
    <w:rsid w:val="49D4D8CC"/>
    <w:rsid w:val="49D4E99D"/>
    <w:rsid w:val="49D59A4F"/>
    <w:rsid w:val="49D5E207"/>
    <w:rsid w:val="49D62036"/>
    <w:rsid w:val="49D75FB9"/>
    <w:rsid w:val="49D804A5"/>
    <w:rsid w:val="49D9BEEA"/>
    <w:rsid w:val="49DA8D1C"/>
    <w:rsid w:val="49DB11B1"/>
    <w:rsid w:val="49DB5E4C"/>
    <w:rsid w:val="49DBB6B0"/>
    <w:rsid w:val="49DBDA6D"/>
    <w:rsid w:val="49DBFBF0"/>
    <w:rsid w:val="49DC156B"/>
    <w:rsid w:val="49DC5E4A"/>
    <w:rsid w:val="49DEB9F1"/>
    <w:rsid w:val="49E0918B"/>
    <w:rsid w:val="49E0B682"/>
    <w:rsid w:val="49E281A9"/>
    <w:rsid w:val="49E2A9A7"/>
    <w:rsid w:val="49E2D1E0"/>
    <w:rsid w:val="49E2E42E"/>
    <w:rsid w:val="49E2E69D"/>
    <w:rsid w:val="49E2F114"/>
    <w:rsid w:val="49E2FA96"/>
    <w:rsid w:val="49E33EFC"/>
    <w:rsid w:val="49E360D9"/>
    <w:rsid w:val="49E3A77D"/>
    <w:rsid w:val="49E533F7"/>
    <w:rsid w:val="49E57176"/>
    <w:rsid w:val="49E59EEC"/>
    <w:rsid w:val="49E5E2BA"/>
    <w:rsid w:val="49E5EED6"/>
    <w:rsid w:val="49E63C13"/>
    <w:rsid w:val="49E6913E"/>
    <w:rsid w:val="49E69C15"/>
    <w:rsid w:val="49E6ED7D"/>
    <w:rsid w:val="49E70B9F"/>
    <w:rsid w:val="49E8B8F0"/>
    <w:rsid w:val="49E923D8"/>
    <w:rsid w:val="49E964EC"/>
    <w:rsid w:val="49E98F39"/>
    <w:rsid w:val="49EA333F"/>
    <w:rsid w:val="49EA7185"/>
    <w:rsid w:val="49EAF3D9"/>
    <w:rsid w:val="49EB8387"/>
    <w:rsid w:val="49EBC86C"/>
    <w:rsid w:val="49EBFC0A"/>
    <w:rsid w:val="49EC22BB"/>
    <w:rsid w:val="49ECAFE5"/>
    <w:rsid w:val="49EEFD91"/>
    <w:rsid w:val="49EF19AC"/>
    <w:rsid w:val="49EF4272"/>
    <w:rsid w:val="49F0689F"/>
    <w:rsid w:val="49F09529"/>
    <w:rsid w:val="49F2504F"/>
    <w:rsid w:val="49F2B0DA"/>
    <w:rsid w:val="49F3C83A"/>
    <w:rsid w:val="49F3F3F4"/>
    <w:rsid w:val="49F48BD6"/>
    <w:rsid w:val="49F56563"/>
    <w:rsid w:val="49F57F13"/>
    <w:rsid w:val="49F608DE"/>
    <w:rsid w:val="49F75101"/>
    <w:rsid w:val="49F79206"/>
    <w:rsid w:val="49F7DC1A"/>
    <w:rsid w:val="49F83096"/>
    <w:rsid w:val="49F88887"/>
    <w:rsid w:val="49F8FD15"/>
    <w:rsid w:val="49F9CA1F"/>
    <w:rsid w:val="49F9D63F"/>
    <w:rsid w:val="49FAA301"/>
    <w:rsid w:val="49FAA889"/>
    <w:rsid w:val="49FAFDD6"/>
    <w:rsid w:val="49FC1CF5"/>
    <w:rsid w:val="49FD75EC"/>
    <w:rsid w:val="49FE5C13"/>
    <w:rsid w:val="49FE9FDC"/>
    <w:rsid w:val="49FF1082"/>
    <w:rsid w:val="49FF8C2E"/>
    <w:rsid w:val="49FFB094"/>
    <w:rsid w:val="4A0034EF"/>
    <w:rsid w:val="4A013B4F"/>
    <w:rsid w:val="4A013F4E"/>
    <w:rsid w:val="4A018E06"/>
    <w:rsid w:val="4A01DB44"/>
    <w:rsid w:val="4A01EB1E"/>
    <w:rsid w:val="4A01F1EB"/>
    <w:rsid w:val="4A033091"/>
    <w:rsid w:val="4A035DF6"/>
    <w:rsid w:val="4A04879B"/>
    <w:rsid w:val="4A05B737"/>
    <w:rsid w:val="4A07CCD1"/>
    <w:rsid w:val="4A095DF7"/>
    <w:rsid w:val="4A098ABB"/>
    <w:rsid w:val="4A0A561F"/>
    <w:rsid w:val="4A0B8EB8"/>
    <w:rsid w:val="4A0C676D"/>
    <w:rsid w:val="4A0CA917"/>
    <w:rsid w:val="4A0D1494"/>
    <w:rsid w:val="4A0D775A"/>
    <w:rsid w:val="4A0E8E2A"/>
    <w:rsid w:val="4A0EC588"/>
    <w:rsid w:val="4A0F341D"/>
    <w:rsid w:val="4A10D8E1"/>
    <w:rsid w:val="4A117A88"/>
    <w:rsid w:val="4A119BA6"/>
    <w:rsid w:val="4A1281A0"/>
    <w:rsid w:val="4A12FBB3"/>
    <w:rsid w:val="4A13AF26"/>
    <w:rsid w:val="4A13C90F"/>
    <w:rsid w:val="4A141AAC"/>
    <w:rsid w:val="4A145D38"/>
    <w:rsid w:val="4A14B04E"/>
    <w:rsid w:val="4A14B261"/>
    <w:rsid w:val="4A150AF3"/>
    <w:rsid w:val="4A15913C"/>
    <w:rsid w:val="4A15FBE4"/>
    <w:rsid w:val="4A160486"/>
    <w:rsid w:val="4A160DD9"/>
    <w:rsid w:val="4A162E7D"/>
    <w:rsid w:val="4A167858"/>
    <w:rsid w:val="4A185F67"/>
    <w:rsid w:val="4A18EB90"/>
    <w:rsid w:val="4A18FA64"/>
    <w:rsid w:val="4A19A404"/>
    <w:rsid w:val="4A19B52A"/>
    <w:rsid w:val="4A19C504"/>
    <w:rsid w:val="4A19F994"/>
    <w:rsid w:val="4A1A74D8"/>
    <w:rsid w:val="4A1A86A7"/>
    <w:rsid w:val="4A1B3530"/>
    <w:rsid w:val="4A1C6CFE"/>
    <w:rsid w:val="4A1D1535"/>
    <w:rsid w:val="4A1D255A"/>
    <w:rsid w:val="4A1E28A8"/>
    <w:rsid w:val="4A1E5EEF"/>
    <w:rsid w:val="4A1E87EA"/>
    <w:rsid w:val="4A1E9B45"/>
    <w:rsid w:val="4A1EB376"/>
    <w:rsid w:val="4A1EBC95"/>
    <w:rsid w:val="4A1F2780"/>
    <w:rsid w:val="4A1F391F"/>
    <w:rsid w:val="4A1FADA3"/>
    <w:rsid w:val="4A2024AA"/>
    <w:rsid w:val="4A21348B"/>
    <w:rsid w:val="4A22C37B"/>
    <w:rsid w:val="4A24B3D3"/>
    <w:rsid w:val="4A24CDF8"/>
    <w:rsid w:val="4A250595"/>
    <w:rsid w:val="4A250E1A"/>
    <w:rsid w:val="4A259522"/>
    <w:rsid w:val="4A26F508"/>
    <w:rsid w:val="4A27241F"/>
    <w:rsid w:val="4A275B0A"/>
    <w:rsid w:val="4A27682E"/>
    <w:rsid w:val="4A27899C"/>
    <w:rsid w:val="4A278B94"/>
    <w:rsid w:val="4A2791B6"/>
    <w:rsid w:val="4A28D787"/>
    <w:rsid w:val="4A2A207B"/>
    <w:rsid w:val="4A2A8A1C"/>
    <w:rsid w:val="4A2A8AD1"/>
    <w:rsid w:val="4A2B1B6B"/>
    <w:rsid w:val="4A2B448B"/>
    <w:rsid w:val="4A2B7BF9"/>
    <w:rsid w:val="4A2C0C83"/>
    <w:rsid w:val="4A2F60C0"/>
    <w:rsid w:val="4A2F6F78"/>
    <w:rsid w:val="4A302AAD"/>
    <w:rsid w:val="4A30E6E2"/>
    <w:rsid w:val="4A31EAC2"/>
    <w:rsid w:val="4A325C1E"/>
    <w:rsid w:val="4A327700"/>
    <w:rsid w:val="4A327825"/>
    <w:rsid w:val="4A32F36F"/>
    <w:rsid w:val="4A335AFB"/>
    <w:rsid w:val="4A33DFE6"/>
    <w:rsid w:val="4A341B4B"/>
    <w:rsid w:val="4A346709"/>
    <w:rsid w:val="4A362647"/>
    <w:rsid w:val="4A37AECD"/>
    <w:rsid w:val="4A37D5C0"/>
    <w:rsid w:val="4A37F605"/>
    <w:rsid w:val="4A380114"/>
    <w:rsid w:val="4A38784B"/>
    <w:rsid w:val="4A398683"/>
    <w:rsid w:val="4A3A1BE8"/>
    <w:rsid w:val="4A3B0923"/>
    <w:rsid w:val="4A3BC16E"/>
    <w:rsid w:val="4A3BE389"/>
    <w:rsid w:val="4A3BE393"/>
    <w:rsid w:val="4A3C150A"/>
    <w:rsid w:val="4A3CB1D7"/>
    <w:rsid w:val="4A3CC018"/>
    <w:rsid w:val="4A3D113B"/>
    <w:rsid w:val="4A3D3358"/>
    <w:rsid w:val="4A3D693F"/>
    <w:rsid w:val="4A3D7992"/>
    <w:rsid w:val="4A3DADF9"/>
    <w:rsid w:val="4A3DE742"/>
    <w:rsid w:val="4A3EFCA0"/>
    <w:rsid w:val="4A3F016C"/>
    <w:rsid w:val="4A3F6D66"/>
    <w:rsid w:val="4A3F823E"/>
    <w:rsid w:val="4A409140"/>
    <w:rsid w:val="4A4164CC"/>
    <w:rsid w:val="4A41942D"/>
    <w:rsid w:val="4A41E2B4"/>
    <w:rsid w:val="4A426E35"/>
    <w:rsid w:val="4A42B835"/>
    <w:rsid w:val="4A430BFF"/>
    <w:rsid w:val="4A4332D4"/>
    <w:rsid w:val="4A443DC0"/>
    <w:rsid w:val="4A44530F"/>
    <w:rsid w:val="4A452A4C"/>
    <w:rsid w:val="4A455526"/>
    <w:rsid w:val="4A46DBDB"/>
    <w:rsid w:val="4A497051"/>
    <w:rsid w:val="4A49B32A"/>
    <w:rsid w:val="4A49C0F0"/>
    <w:rsid w:val="4A4AA98A"/>
    <w:rsid w:val="4A4C13CC"/>
    <w:rsid w:val="4A4CEF93"/>
    <w:rsid w:val="4A4CF318"/>
    <w:rsid w:val="4A4DB646"/>
    <w:rsid w:val="4A4E9958"/>
    <w:rsid w:val="4A50D340"/>
    <w:rsid w:val="4A50DB9A"/>
    <w:rsid w:val="4A535A08"/>
    <w:rsid w:val="4A550D1F"/>
    <w:rsid w:val="4A55DDAD"/>
    <w:rsid w:val="4A560B4E"/>
    <w:rsid w:val="4A57C8AB"/>
    <w:rsid w:val="4A58C861"/>
    <w:rsid w:val="4A5967F7"/>
    <w:rsid w:val="4A5A6E5F"/>
    <w:rsid w:val="4A5BCAE7"/>
    <w:rsid w:val="4A5BCCBD"/>
    <w:rsid w:val="4A5BDDFD"/>
    <w:rsid w:val="4A5C0E88"/>
    <w:rsid w:val="4A5C0FC9"/>
    <w:rsid w:val="4A5CA50D"/>
    <w:rsid w:val="4A5CD984"/>
    <w:rsid w:val="4A5D5B70"/>
    <w:rsid w:val="4A5EB793"/>
    <w:rsid w:val="4A5F0046"/>
    <w:rsid w:val="4A5FF9E5"/>
    <w:rsid w:val="4A601965"/>
    <w:rsid w:val="4A606AE6"/>
    <w:rsid w:val="4A60A939"/>
    <w:rsid w:val="4A614DAD"/>
    <w:rsid w:val="4A61BEEB"/>
    <w:rsid w:val="4A629FB0"/>
    <w:rsid w:val="4A62C613"/>
    <w:rsid w:val="4A62D5B7"/>
    <w:rsid w:val="4A63ECDA"/>
    <w:rsid w:val="4A641FD9"/>
    <w:rsid w:val="4A658958"/>
    <w:rsid w:val="4A66A4C4"/>
    <w:rsid w:val="4A681374"/>
    <w:rsid w:val="4A68B16A"/>
    <w:rsid w:val="4A698A48"/>
    <w:rsid w:val="4A6A78AC"/>
    <w:rsid w:val="4A6AF057"/>
    <w:rsid w:val="4A6AF1BC"/>
    <w:rsid w:val="4A6AFF3F"/>
    <w:rsid w:val="4A6D9AEB"/>
    <w:rsid w:val="4A6E4AF1"/>
    <w:rsid w:val="4A6F719F"/>
    <w:rsid w:val="4A6FEEF7"/>
    <w:rsid w:val="4A70BFD2"/>
    <w:rsid w:val="4A719754"/>
    <w:rsid w:val="4A720923"/>
    <w:rsid w:val="4A7296BA"/>
    <w:rsid w:val="4A73131D"/>
    <w:rsid w:val="4A73814D"/>
    <w:rsid w:val="4A74FBA6"/>
    <w:rsid w:val="4A752F18"/>
    <w:rsid w:val="4A757DA2"/>
    <w:rsid w:val="4A758C2A"/>
    <w:rsid w:val="4A759CF1"/>
    <w:rsid w:val="4A75F852"/>
    <w:rsid w:val="4A76DA60"/>
    <w:rsid w:val="4A77A377"/>
    <w:rsid w:val="4A77A45C"/>
    <w:rsid w:val="4A77B5B2"/>
    <w:rsid w:val="4A77EB42"/>
    <w:rsid w:val="4A780628"/>
    <w:rsid w:val="4A78C6B4"/>
    <w:rsid w:val="4A79D6ED"/>
    <w:rsid w:val="4A7A016C"/>
    <w:rsid w:val="4A7A79B0"/>
    <w:rsid w:val="4A7B1CCB"/>
    <w:rsid w:val="4A7BA081"/>
    <w:rsid w:val="4A7DE8AA"/>
    <w:rsid w:val="4A7EBF2D"/>
    <w:rsid w:val="4A7EF474"/>
    <w:rsid w:val="4A7F4DC3"/>
    <w:rsid w:val="4A7FE125"/>
    <w:rsid w:val="4A81126A"/>
    <w:rsid w:val="4A818A66"/>
    <w:rsid w:val="4A81D5CA"/>
    <w:rsid w:val="4A8263DF"/>
    <w:rsid w:val="4A82D980"/>
    <w:rsid w:val="4A84368F"/>
    <w:rsid w:val="4A8505BF"/>
    <w:rsid w:val="4A863FB7"/>
    <w:rsid w:val="4A874290"/>
    <w:rsid w:val="4A88D845"/>
    <w:rsid w:val="4A89BA8E"/>
    <w:rsid w:val="4A8A4ABF"/>
    <w:rsid w:val="4A8A7FAC"/>
    <w:rsid w:val="4A8AA7D6"/>
    <w:rsid w:val="4A8B3509"/>
    <w:rsid w:val="4A8B6BFB"/>
    <w:rsid w:val="4A8BE4C3"/>
    <w:rsid w:val="4A8BE961"/>
    <w:rsid w:val="4A90C2D1"/>
    <w:rsid w:val="4A90D1D3"/>
    <w:rsid w:val="4A90EAD6"/>
    <w:rsid w:val="4A9232A7"/>
    <w:rsid w:val="4A92AE9D"/>
    <w:rsid w:val="4A9339A2"/>
    <w:rsid w:val="4A947B6D"/>
    <w:rsid w:val="4A948906"/>
    <w:rsid w:val="4A951BF4"/>
    <w:rsid w:val="4A95403C"/>
    <w:rsid w:val="4A955E78"/>
    <w:rsid w:val="4A95E7B0"/>
    <w:rsid w:val="4A960E4E"/>
    <w:rsid w:val="4A9691BB"/>
    <w:rsid w:val="4A971060"/>
    <w:rsid w:val="4A97C58C"/>
    <w:rsid w:val="4A97DE0F"/>
    <w:rsid w:val="4A97F209"/>
    <w:rsid w:val="4A98283A"/>
    <w:rsid w:val="4A992E67"/>
    <w:rsid w:val="4A998427"/>
    <w:rsid w:val="4A9A20F2"/>
    <w:rsid w:val="4A9BD434"/>
    <w:rsid w:val="4A9D96DB"/>
    <w:rsid w:val="4A9E81D2"/>
    <w:rsid w:val="4AA0A1D1"/>
    <w:rsid w:val="4AA0E98C"/>
    <w:rsid w:val="4AA24F34"/>
    <w:rsid w:val="4AA2A1C1"/>
    <w:rsid w:val="4AA3E088"/>
    <w:rsid w:val="4AA60888"/>
    <w:rsid w:val="4AA65719"/>
    <w:rsid w:val="4AA8A0B2"/>
    <w:rsid w:val="4AA941BD"/>
    <w:rsid w:val="4AA9D55D"/>
    <w:rsid w:val="4AAB4671"/>
    <w:rsid w:val="4AABA0FF"/>
    <w:rsid w:val="4AABD1C2"/>
    <w:rsid w:val="4AAC8F26"/>
    <w:rsid w:val="4AAE428D"/>
    <w:rsid w:val="4AAF42EE"/>
    <w:rsid w:val="4AAF5ACB"/>
    <w:rsid w:val="4AAF9123"/>
    <w:rsid w:val="4AAFCD29"/>
    <w:rsid w:val="4AAFE6D9"/>
    <w:rsid w:val="4AB09A52"/>
    <w:rsid w:val="4AB0EB53"/>
    <w:rsid w:val="4AB12AA5"/>
    <w:rsid w:val="4AB151E5"/>
    <w:rsid w:val="4AB24229"/>
    <w:rsid w:val="4AB2DA9F"/>
    <w:rsid w:val="4AB32298"/>
    <w:rsid w:val="4AB32B17"/>
    <w:rsid w:val="4AB4FAA2"/>
    <w:rsid w:val="4AB56C01"/>
    <w:rsid w:val="4AB5B577"/>
    <w:rsid w:val="4AB62ABA"/>
    <w:rsid w:val="4AB682C5"/>
    <w:rsid w:val="4AB6859C"/>
    <w:rsid w:val="4AB6F144"/>
    <w:rsid w:val="4AB7C3BC"/>
    <w:rsid w:val="4AB8D5AB"/>
    <w:rsid w:val="4AB93335"/>
    <w:rsid w:val="4ABA0F9E"/>
    <w:rsid w:val="4ABA5EB4"/>
    <w:rsid w:val="4ABD44A1"/>
    <w:rsid w:val="4ABEE6B8"/>
    <w:rsid w:val="4ABF1906"/>
    <w:rsid w:val="4ABF56FD"/>
    <w:rsid w:val="4AC02000"/>
    <w:rsid w:val="4AC0C0AD"/>
    <w:rsid w:val="4AC14AAC"/>
    <w:rsid w:val="4AC17DBB"/>
    <w:rsid w:val="4AC19EC7"/>
    <w:rsid w:val="4AC2B6A1"/>
    <w:rsid w:val="4AC31EF4"/>
    <w:rsid w:val="4AC3B728"/>
    <w:rsid w:val="4AC4124E"/>
    <w:rsid w:val="4AC41C70"/>
    <w:rsid w:val="4AC60858"/>
    <w:rsid w:val="4AC734FD"/>
    <w:rsid w:val="4AC80B55"/>
    <w:rsid w:val="4AC8602D"/>
    <w:rsid w:val="4AC8E796"/>
    <w:rsid w:val="4AC9F12F"/>
    <w:rsid w:val="4ACAEB7E"/>
    <w:rsid w:val="4ACB2FC2"/>
    <w:rsid w:val="4ACB70A2"/>
    <w:rsid w:val="4ACBADE9"/>
    <w:rsid w:val="4ACC3EAD"/>
    <w:rsid w:val="4ACC4ADB"/>
    <w:rsid w:val="4ACD2D7A"/>
    <w:rsid w:val="4ACE6EA5"/>
    <w:rsid w:val="4ACE8A0F"/>
    <w:rsid w:val="4ACE979E"/>
    <w:rsid w:val="4ACEC466"/>
    <w:rsid w:val="4ACFB183"/>
    <w:rsid w:val="4AD115A1"/>
    <w:rsid w:val="4AD17A57"/>
    <w:rsid w:val="4AD2042B"/>
    <w:rsid w:val="4AD26340"/>
    <w:rsid w:val="4AD3C893"/>
    <w:rsid w:val="4AD42AB3"/>
    <w:rsid w:val="4AD494FE"/>
    <w:rsid w:val="4AD57DED"/>
    <w:rsid w:val="4AD5F7D5"/>
    <w:rsid w:val="4AD626E7"/>
    <w:rsid w:val="4AD66FAE"/>
    <w:rsid w:val="4AD74409"/>
    <w:rsid w:val="4AD751C1"/>
    <w:rsid w:val="4AD9D57A"/>
    <w:rsid w:val="4ADA0DCB"/>
    <w:rsid w:val="4ADAA1F4"/>
    <w:rsid w:val="4ADD03A7"/>
    <w:rsid w:val="4ADDEFE5"/>
    <w:rsid w:val="4ADE0CD8"/>
    <w:rsid w:val="4ADE2ADD"/>
    <w:rsid w:val="4ADE3365"/>
    <w:rsid w:val="4ADEF68D"/>
    <w:rsid w:val="4ADF1500"/>
    <w:rsid w:val="4ADF1D7F"/>
    <w:rsid w:val="4ADF60DD"/>
    <w:rsid w:val="4ADF8B45"/>
    <w:rsid w:val="4ADFB96E"/>
    <w:rsid w:val="4AE0343A"/>
    <w:rsid w:val="4AE10548"/>
    <w:rsid w:val="4AE11B59"/>
    <w:rsid w:val="4AE14E29"/>
    <w:rsid w:val="4AE228A1"/>
    <w:rsid w:val="4AE2295B"/>
    <w:rsid w:val="4AE2C5CA"/>
    <w:rsid w:val="4AE5D281"/>
    <w:rsid w:val="4AE62EBF"/>
    <w:rsid w:val="4AE6756A"/>
    <w:rsid w:val="4AE68AFA"/>
    <w:rsid w:val="4AE85ED0"/>
    <w:rsid w:val="4AE8657A"/>
    <w:rsid w:val="4AEA1868"/>
    <w:rsid w:val="4AEB32F4"/>
    <w:rsid w:val="4AEC2581"/>
    <w:rsid w:val="4AED2CCF"/>
    <w:rsid w:val="4AED52A3"/>
    <w:rsid w:val="4AED8EAF"/>
    <w:rsid w:val="4AEDC689"/>
    <w:rsid w:val="4AEEF720"/>
    <w:rsid w:val="4AEF04CC"/>
    <w:rsid w:val="4AEFB278"/>
    <w:rsid w:val="4AF02582"/>
    <w:rsid w:val="4AF157C9"/>
    <w:rsid w:val="4AF1839C"/>
    <w:rsid w:val="4AF19296"/>
    <w:rsid w:val="4AF230C2"/>
    <w:rsid w:val="4AF25DD6"/>
    <w:rsid w:val="4AF35DE9"/>
    <w:rsid w:val="4AF38B18"/>
    <w:rsid w:val="4AF3DCD4"/>
    <w:rsid w:val="4AF47604"/>
    <w:rsid w:val="4AF54619"/>
    <w:rsid w:val="4AF5D773"/>
    <w:rsid w:val="4AF65BAC"/>
    <w:rsid w:val="4AF6B2D3"/>
    <w:rsid w:val="4AF6BE04"/>
    <w:rsid w:val="4AF6EE2D"/>
    <w:rsid w:val="4AF82A5B"/>
    <w:rsid w:val="4AF89118"/>
    <w:rsid w:val="4AF899C3"/>
    <w:rsid w:val="4AF8A0F6"/>
    <w:rsid w:val="4AF9FC3D"/>
    <w:rsid w:val="4AFA2AB5"/>
    <w:rsid w:val="4AFA3B17"/>
    <w:rsid w:val="4AFA516E"/>
    <w:rsid w:val="4AFA9F4C"/>
    <w:rsid w:val="4AFBA039"/>
    <w:rsid w:val="4AFC9551"/>
    <w:rsid w:val="4AFD888E"/>
    <w:rsid w:val="4AFDC051"/>
    <w:rsid w:val="4AFE11FF"/>
    <w:rsid w:val="4AFEE0C9"/>
    <w:rsid w:val="4AFF6596"/>
    <w:rsid w:val="4AFF88F5"/>
    <w:rsid w:val="4B0025AF"/>
    <w:rsid w:val="4B00A19D"/>
    <w:rsid w:val="4B00C51B"/>
    <w:rsid w:val="4B019F69"/>
    <w:rsid w:val="4B021CD8"/>
    <w:rsid w:val="4B0256DB"/>
    <w:rsid w:val="4B03123B"/>
    <w:rsid w:val="4B031EFA"/>
    <w:rsid w:val="4B040452"/>
    <w:rsid w:val="4B04C446"/>
    <w:rsid w:val="4B058D64"/>
    <w:rsid w:val="4B06376F"/>
    <w:rsid w:val="4B06DE45"/>
    <w:rsid w:val="4B073244"/>
    <w:rsid w:val="4B075E6F"/>
    <w:rsid w:val="4B081916"/>
    <w:rsid w:val="4B0831EC"/>
    <w:rsid w:val="4B08D1EE"/>
    <w:rsid w:val="4B0BAF86"/>
    <w:rsid w:val="4B0C16F6"/>
    <w:rsid w:val="4B0C46CD"/>
    <w:rsid w:val="4B0CA778"/>
    <w:rsid w:val="4B0D9D15"/>
    <w:rsid w:val="4B0F966C"/>
    <w:rsid w:val="4B1146FC"/>
    <w:rsid w:val="4B14D5EF"/>
    <w:rsid w:val="4B14F92C"/>
    <w:rsid w:val="4B16C112"/>
    <w:rsid w:val="4B16C3C2"/>
    <w:rsid w:val="4B172FC7"/>
    <w:rsid w:val="4B184740"/>
    <w:rsid w:val="4B189A37"/>
    <w:rsid w:val="4B19BCBC"/>
    <w:rsid w:val="4B1BD070"/>
    <w:rsid w:val="4B1C4D09"/>
    <w:rsid w:val="4B1C5C51"/>
    <w:rsid w:val="4B1D70A6"/>
    <w:rsid w:val="4B1E3379"/>
    <w:rsid w:val="4B1ECA84"/>
    <w:rsid w:val="4B1F7E9C"/>
    <w:rsid w:val="4B1FA1AA"/>
    <w:rsid w:val="4B1FC5F1"/>
    <w:rsid w:val="4B1FFA98"/>
    <w:rsid w:val="4B203E7C"/>
    <w:rsid w:val="4B207010"/>
    <w:rsid w:val="4B20BD60"/>
    <w:rsid w:val="4B21C0BF"/>
    <w:rsid w:val="4B22A141"/>
    <w:rsid w:val="4B22DDB7"/>
    <w:rsid w:val="4B22ECEF"/>
    <w:rsid w:val="4B23DF31"/>
    <w:rsid w:val="4B244ABB"/>
    <w:rsid w:val="4B2657EA"/>
    <w:rsid w:val="4B2748BF"/>
    <w:rsid w:val="4B276145"/>
    <w:rsid w:val="4B27C5CD"/>
    <w:rsid w:val="4B280C01"/>
    <w:rsid w:val="4B294F06"/>
    <w:rsid w:val="4B299D9D"/>
    <w:rsid w:val="4B2AFBE0"/>
    <w:rsid w:val="4B2BC5DF"/>
    <w:rsid w:val="4B2C5278"/>
    <w:rsid w:val="4B2C7AB9"/>
    <w:rsid w:val="4B2D2796"/>
    <w:rsid w:val="4B2D57AD"/>
    <w:rsid w:val="4B2D7AB3"/>
    <w:rsid w:val="4B2EAD3B"/>
    <w:rsid w:val="4B2F1567"/>
    <w:rsid w:val="4B2FD54F"/>
    <w:rsid w:val="4B307093"/>
    <w:rsid w:val="4B317C6C"/>
    <w:rsid w:val="4B32C1FE"/>
    <w:rsid w:val="4B334574"/>
    <w:rsid w:val="4B3383B0"/>
    <w:rsid w:val="4B340423"/>
    <w:rsid w:val="4B345372"/>
    <w:rsid w:val="4B3507C4"/>
    <w:rsid w:val="4B365CCA"/>
    <w:rsid w:val="4B37F4D5"/>
    <w:rsid w:val="4B3918AD"/>
    <w:rsid w:val="4B39A464"/>
    <w:rsid w:val="4B39CADF"/>
    <w:rsid w:val="4B3A3673"/>
    <w:rsid w:val="4B3A6491"/>
    <w:rsid w:val="4B3C1628"/>
    <w:rsid w:val="4B3C6C53"/>
    <w:rsid w:val="4B3CB002"/>
    <w:rsid w:val="4B3D7D81"/>
    <w:rsid w:val="4B3D9019"/>
    <w:rsid w:val="4B3FB956"/>
    <w:rsid w:val="4B407242"/>
    <w:rsid w:val="4B426910"/>
    <w:rsid w:val="4B42A594"/>
    <w:rsid w:val="4B430D79"/>
    <w:rsid w:val="4B447582"/>
    <w:rsid w:val="4B45610B"/>
    <w:rsid w:val="4B4746B2"/>
    <w:rsid w:val="4B4805B1"/>
    <w:rsid w:val="4B4805DD"/>
    <w:rsid w:val="4B48F04D"/>
    <w:rsid w:val="4B49BBEB"/>
    <w:rsid w:val="4B49CAE4"/>
    <w:rsid w:val="4B4B180C"/>
    <w:rsid w:val="4B4B67EC"/>
    <w:rsid w:val="4B4D1CD4"/>
    <w:rsid w:val="4B4D4005"/>
    <w:rsid w:val="4B4D489C"/>
    <w:rsid w:val="4B4D793C"/>
    <w:rsid w:val="4B4DA811"/>
    <w:rsid w:val="4B4DB552"/>
    <w:rsid w:val="4B4DD1AB"/>
    <w:rsid w:val="4B4E7E7C"/>
    <w:rsid w:val="4B4EA31B"/>
    <w:rsid w:val="4B4EBCAF"/>
    <w:rsid w:val="4B4F219F"/>
    <w:rsid w:val="4B506A24"/>
    <w:rsid w:val="4B515E76"/>
    <w:rsid w:val="4B51CF5A"/>
    <w:rsid w:val="4B51F669"/>
    <w:rsid w:val="4B51F716"/>
    <w:rsid w:val="4B522A72"/>
    <w:rsid w:val="4B5252DA"/>
    <w:rsid w:val="4B52B9BB"/>
    <w:rsid w:val="4B5315B1"/>
    <w:rsid w:val="4B531A32"/>
    <w:rsid w:val="4B536DD8"/>
    <w:rsid w:val="4B555D79"/>
    <w:rsid w:val="4B557465"/>
    <w:rsid w:val="4B5693E3"/>
    <w:rsid w:val="4B570B33"/>
    <w:rsid w:val="4B5793D0"/>
    <w:rsid w:val="4B57AA4B"/>
    <w:rsid w:val="4B57EF88"/>
    <w:rsid w:val="4B581BE4"/>
    <w:rsid w:val="4B584A60"/>
    <w:rsid w:val="4B588BE6"/>
    <w:rsid w:val="4B591888"/>
    <w:rsid w:val="4B59265E"/>
    <w:rsid w:val="4B59E757"/>
    <w:rsid w:val="4B5A54D6"/>
    <w:rsid w:val="4B5B864A"/>
    <w:rsid w:val="4B5BAE5F"/>
    <w:rsid w:val="4B5C6E88"/>
    <w:rsid w:val="4B5E0F1C"/>
    <w:rsid w:val="4B5E186A"/>
    <w:rsid w:val="4B5E8FE7"/>
    <w:rsid w:val="4B5F09C3"/>
    <w:rsid w:val="4B600FAD"/>
    <w:rsid w:val="4B60CCDB"/>
    <w:rsid w:val="4B62549F"/>
    <w:rsid w:val="4B63E079"/>
    <w:rsid w:val="4B63E84C"/>
    <w:rsid w:val="4B640A1D"/>
    <w:rsid w:val="4B649F40"/>
    <w:rsid w:val="4B64F798"/>
    <w:rsid w:val="4B6529BE"/>
    <w:rsid w:val="4B656930"/>
    <w:rsid w:val="4B65B6C9"/>
    <w:rsid w:val="4B663377"/>
    <w:rsid w:val="4B679EC5"/>
    <w:rsid w:val="4B67A149"/>
    <w:rsid w:val="4B67E547"/>
    <w:rsid w:val="4B69930D"/>
    <w:rsid w:val="4B6A1254"/>
    <w:rsid w:val="4B6ABB30"/>
    <w:rsid w:val="4B6B7F3B"/>
    <w:rsid w:val="4B6BB34E"/>
    <w:rsid w:val="4B6BF1B0"/>
    <w:rsid w:val="4B6CC762"/>
    <w:rsid w:val="4B6CF327"/>
    <w:rsid w:val="4B6D126A"/>
    <w:rsid w:val="4B6D70A6"/>
    <w:rsid w:val="4B6EDAD2"/>
    <w:rsid w:val="4B6EF5F9"/>
    <w:rsid w:val="4B6F22FF"/>
    <w:rsid w:val="4B6F612A"/>
    <w:rsid w:val="4B701F95"/>
    <w:rsid w:val="4B7121ED"/>
    <w:rsid w:val="4B7136A2"/>
    <w:rsid w:val="4B719068"/>
    <w:rsid w:val="4B71CF8F"/>
    <w:rsid w:val="4B72E7B4"/>
    <w:rsid w:val="4B737A8F"/>
    <w:rsid w:val="4B73BDC3"/>
    <w:rsid w:val="4B7482AC"/>
    <w:rsid w:val="4B7518B0"/>
    <w:rsid w:val="4B75F512"/>
    <w:rsid w:val="4B76041F"/>
    <w:rsid w:val="4B768D40"/>
    <w:rsid w:val="4B77FB23"/>
    <w:rsid w:val="4B7822BC"/>
    <w:rsid w:val="4B78A419"/>
    <w:rsid w:val="4B78E3F2"/>
    <w:rsid w:val="4B790835"/>
    <w:rsid w:val="4B79F67E"/>
    <w:rsid w:val="4B7ACDE6"/>
    <w:rsid w:val="4B7B1B55"/>
    <w:rsid w:val="4B7B2425"/>
    <w:rsid w:val="4B7B42AD"/>
    <w:rsid w:val="4B7CEAAE"/>
    <w:rsid w:val="4B7E04EF"/>
    <w:rsid w:val="4B7E0FB6"/>
    <w:rsid w:val="4B7F6FB0"/>
    <w:rsid w:val="4B7F7147"/>
    <w:rsid w:val="4B83A296"/>
    <w:rsid w:val="4B8691A6"/>
    <w:rsid w:val="4B86955F"/>
    <w:rsid w:val="4B870B38"/>
    <w:rsid w:val="4B878796"/>
    <w:rsid w:val="4B88518A"/>
    <w:rsid w:val="4B887CE9"/>
    <w:rsid w:val="4B88AE01"/>
    <w:rsid w:val="4B89EDEC"/>
    <w:rsid w:val="4B8B1316"/>
    <w:rsid w:val="4B8B1484"/>
    <w:rsid w:val="4B8B92FE"/>
    <w:rsid w:val="4B8BEDB7"/>
    <w:rsid w:val="4B8C4D6F"/>
    <w:rsid w:val="4B8E97E5"/>
    <w:rsid w:val="4B8FEB54"/>
    <w:rsid w:val="4B902E47"/>
    <w:rsid w:val="4B90A22B"/>
    <w:rsid w:val="4B91080F"/>
    <w:rsid w:val="4B915D6E"/>
    <w:rsid w:val="4B9186DC"/>
    <w:rsid w:val="4B91C1DB"/>
    <w:rsid w:val="4B9296EA"/>
    <w:rsid w:val="4B93C634"/>
    <w:rsid w:val="4B93E85E"/>
    <w:rsid w:val="4B949241"/>
    <w:rsid w:val="4B94DC97"/>
    <w:rsid w:val="4B9507BC"/>
    <w:rsid w:val="4B95199D"/>
    <w:rsid w:val="4B976AFA"/>
    <w:rsid w:val="4B97DA88"/>
    <w:rsid w:val="4B988420"/>
    <w:rsid w:val="4B992B72"/>
    <w:rsid w:val="4B99ADAA"/>
    <w:rsid w:val="4B9C5DF0"/>
    <w:rsid w:val="4B9C71C2"/>
    <w:rsid w:val="4B9CCA41"/>
    <w:rsid w:val="4B9E1EA5"/>
    <w:rsid w:val="4B9E231B"/>
    <w:rsid w:val="4B9E7E5B"/>
    <w:rsid w:val="4B9F87F1"/>
    <w:rsid w:val="4BA1C2FA"/>
    <w:rsid w:val="4BA1C5BC"/>
    <w:rsid w:val="4BA2C3EE"/>
    <w:rsid w:val="4BA2DD9D"/>
    <w:rsid w:val="4BA2E6A1"/>
    <w:rsid w:val="4BA31A73"/>
    <w:rsid w:val="4BA35F08"/>
    <w:rsid w:val="4BA4C046"/>
    <w:rsid w:val="4BA5188C"/>
    <w:rsid w:val="4BA5FE8B"/>
    <w:rsid w:val="4BA77574"/>
    <w:rsid w:val="4BA8E762"/>
    <w:rsid w:val="4BA91612"/>
    <w:rsid w:val="4BABF814"/>
    <w:rsid w:val="4BAC1827"/>
    <w:rsid w:val="4BAD1499"/>
    <w:rsid w:val="4BADE465"/>
    <w:rsid w:val="4BAE07ED"/>
    <w:rsid w:val="4BAEEB0E"/>
    <w:rsid w:val="4BAF1D6D"/>
    <w:rsid w:val="4BAF5C80"/>
    <w:rsid w:val="4BAFB275"/>
    <w:rsid w:val="4BB0B697"/>
    <w:rsid w:val="4BB0FE95"/>
    <w:rsid w:val="4BB24686"/>
    <w:rsid w:val="4BB3CDAD"/>
    <w:rsid w:val="4BB456B3"/>
    <w:rsid w:val="4BB58D28"/>
    <w:rsid w:val="4BB5B0CF"/>
    <w:rsid w:val="4BB65143"/>
    <w:rsid w:val="4BB72772"/>
    <w:rsid w:val="4BB85481"/>
    <w:rsid w:val="4BB8FF34"/>
    <w:rsid w:val="4BB96E50"/>
    <w:rsid w:val="4BBA1537"/>
    <w:rsid w:val="4BBA23BD"/>
    <w:rsid w:val="4BBB2F8F"/>
    <w:rsid w:val="4BBC539C"/>
    <w:rsid w:val="4BBC53E1"/>
    <w:rsid w:val="4BBC7E9A"/>
    <w:rsid w:val="4BBCCD8E"/>
    <w:rsid w:val="4BBD756F"/>
    <w:rsid w:val="4BBF2BD8"/>
    <w:rsid w:val="4BBF4CCF"/>
    <w:rsid w:val="4BC05844"/>
    <w:rsid w:val="4BC07AD5"/>
    <w:rsid w:val="4BC16CEC"/>
    <w:rsid w:val="4BC1E124"/>
    <w:rsid w:val="4BC20690"/>
    <w:rsid w:val="4BC39A50"/>
    <w:rsid w:val="4BC42010"/>
    <w:rsid w:val="4BC4F570"/>
    <w:rsid w:val="4BC564CC"/>
    <w:rsid w:val="4BC5ABC9"/>
    <w:rsid w:val="4BC6A4A5"/>
    <w:rsid w:val="4BC6EEFD"/>
    <w:rsid w:val="4BC8A9D4"/>
    <w:rsid w:val="4BC8C016"/>
    <w:rsid w:val="4BC8E2AE"/>
    <w:rsid w:val="4BC950E4"/>
    <w:rsid w:val="4BC9B1A6"/>
    <w:rsid w:val="4BCB1F72"/>
    <w:rsid w:val="4BCB8684"/>
    <w:rsid w:val="4BCBAFD7"/>
    <w:rsid w:val="4BCC651C"/>
    <w:rsid w:val="4BCC6BF9"/>
    <w:rsid w:val="4BCC89F2"/>
    <w:rsid w:val="4BCD610A"/>
    <w:rsid w:val="4BCD7838"/>
    <w:rsid w:val="4BCD7A18"/>
    <w:rsid w:val="4BCF1553"/>
    <w:rsid w:val="4BD085EB"/>
    <w:rsid w:val="4BD08917"/>
    <w:rsid w:val="4BD31C64"/>
    <w:rsid w:val="4BD3F4B9"/>
    <w:rsid w:val="4BD55941"/>
    <w:rsid w:val="4BD7C145"/>
    <w:rsid w:val="4BDADC0E"/>
    <w:rsid w:val="4BDAF31B"/>
    <w:rsid w:val="4BDBB0CC"/>
    <w:rsid w:val="4BDBD090"/>
    <w:rsid w:val="4BDBF927"/>
    <w:rsid w:val="4BDD1630"/>
    <w:rsid w:val="4BDD9B69"/>
    <w:rsid w:val="4BDDB907"/>
    <w:rsid w:val="4BDDD26C"/>
    <w:rsid w:val="4BDECC14"/>
    <w:rsid w:val="4BDF0FA8"/>
    <w:rsid w:val="4BE02638"/>
    <w:rsid w:val="4BE07E54"/>
    <w:rsid w:val="4BE13F21"/>
    <w:rsid w:val="4BE16299"/>
    <w:rsid w:val="4BE33F11"/>
    <w:rsid w:val="4BE4011E"/>
    <w:rsid w:val="4BE4F607"/>
    <w:rsid w:val="4BE5EC55"/>
    <w:rsid w:val="4BE5EFA5"/>
    <w:rsid w:val="4BE68B75"/>
    <w:rsid w:val="4BE6DA92"/>
    <w:rsid w:val="4BE7088C"/>
    <w:rsid w:val="4BE72353"/>
    <w:rsid w:val="4BE88F60"/>
    <w:rsid w:val="4BE8F403"/>
    <w:rsid w:val="4BE971FD"/>
    <w:rsid w:val="4BEA4523"/>
    <w:rsid w:val="4BEB8063"/>
    <w:rsid w:val="4BEC2CA3"/>
    <w:rsid w:val="4BED70EF"/>
    <w:rsid w:val="4BEE1FC9"/>
    <w:rsid w:val="4BEE7C80"/>
    <w:rsid w:val="4BEF88B8"/>
    <w:rsid w:val="4BF00F1A"/>
    <w:rsid w:val="4BF0323F"/>
    <w:rsid w:val="4BF093C1"/>
    <w:rsid w:val="4BF1015F"/>
    <w:rsid w:val="4BF19B5B"/>
    <w:rsid w:val="4BF1B575"/>
    <w:rsid w:val="4BF1BB66"/>
    <w:rsid w:val="4BF1C48A"/>
    <w:rsid w:val="4BF46C32"/>
    <w:rsid w:val="4BF58D96"/>
    <w:rsid w:val="4BF6B3A5"/>
    <w:rsid w:val="4BF7DBC6"/>
    <w:rsid w:val="4BF7F537"/>
    <w:rsid w:val="4BF9FAB7"/>
    <w:rsid w:val="4BFA8F4E"/>
    <w:rsid w:val="4BFB1167"/>
    <w:rsid w:val="4BFB2CF3"/>
    <w:rsid w:val="4BFCE724"/>
    <w:rsid w:val="4BFCF002"/>
    <w:rsid w:val="4BFDDC68"/>
    <w:rsid w:val="4BFEA18D"/>
    <w:rsid w:val="4BFED296"/>
    <w:rsid w:val="4C009D04"/>
    <w:rsid w:val="4C00C2CC"/>
    <w:rsid w:val="4C00E051"/>
    <w:rsid w:val="4C012BCA"/>
    <w:rsid w:val="4C01A859"/>
    <w:rsid w:val="4C037555"/>
    <w:rsid w:val="4C038478"/>
    <w:rsid w:val="4C03E465"/>
    <w:rsid w:val="4C041613"/>
    <w:rsid w:val="4C0426F9"/>
    <w:rsid w:val="4C04437A"/>
    <w:rsid w:val="4C04E396"/>
    <w:rsid w:val="4C061680"/>
    <w:rsid w:val="4C06704B"/>
    <w:rsid w:val="4C06F8DE"/>
    <w:rsid w:val="4C089F04"/>
    <w:rsid w:val="4C090600"/>
    <w:rsid w:val="4C0A4DF5"/>
    <w:rsid w:val="4C0B89AA"/>
    <w:rsid w:val="4C0BB689"/>
    <w:rsid w:val="4C0BC51E"/>
    <w:rsid w:val="4C0C15E6"/>
    <w:rsid w:val="4C0CA399"/>
    <w:rsid w:val="4C0DDB5E"/>
    <w:rsid w:val="4C0E2E4B"/>
    <w:rsid w:val="4C102537"/>
    <w:rsid w:val="4C103F9D"/>
    <w:rsid w:val="4C117CEC"/>
    <w:rsid w:val="4C125F4D"/>
    <w:rsid w:val="4C12E369"/>
    <w:rsid w:val="4C13B441"/>
    <w:rsid w:val="4C154E3E"/>
    <w:rsid w:val="4C156EA6"/>
    <w:rsid w:val="4C15B1A8"/>
    <w:rsid w:val="4C17780D"/>
    <w:rsid w:val="4C183511"/>
    <w:rsid w:val="4C18AB63"/>
    <w:rsid w:val="4C18C4C7"/>
    <w:rsid w:val="4C18D629"/>
    <w:rsid w:val="4C190580"/>
    <w:rsid w:val="4C196213"/>
    <w:rsid w:val="4C1997DA"/>
    <w:rsid w:val="4C19FE9E"/>
    <w:rsid w:val="4C1A2E8F"/>
    <w:rsid w:val="4C1A8E6C"/>
    <w:rsid w:val="4C1AD40C"/>
    <w:rsid w:val="4C1B269E"/>
    <w:rsid w:val="4C1BD083"/>
    <w:rsid w:val="4C1C910D"/>
    <w:rsid w:val="4C1D7616"/>
    <w:rsid w:val="4C1DB023"/>
    <w:rsid w:val="4C1DD367"/>
    <w:rsid w:val="4C1EB4F9"/>
    <w:rsid w:val="4C1EB856"/>
    <w:rsid w:val="4C1F8417"/>
    <w:rsid w:val="4C1F8B5F"/>
    <w:rsid w:val="4C2011F6"/>
    <w:rsid w:val="4C206865"/>
    <w:rsid w:val="4C20D620"/>
    <w:rsid w:val="4C20EF59"/>
    <w:rsid w:val="4C212FF2"/>
    <w:rsid w:val="4C221018"/>
    <w:rsid w:val="4C222D0F"/>
    <w:rsid w:val="4C229F71"/>
    <w:rsid w:val="4C22DA61"/>
    <w:rsid w:val="4C236769"/>
    <w:rsid w:val="4C23B0DC"/>
    <w:rsid w:val="4C2444D8"/>
    <w:rsid w:val="4C24A3B6"/>
    <w:rsid w:val="4C24FAA3"/>
    <w:rsid w:val="4C25805D"/>
    <w:rsid w:val="4C262FC2"/>
    <w:rsid w:val="4C265AF8"/>
    <w:rsid w:val="4C26C7AE"/>
    <w:rsid w:val="4C26CC74"/>
    <w:rsid w:val="4C273D79"/>
    <w:rsid w:val="4C27499B"/>
    <w:rsid w:val="4C275BA3"/>
    <w:rsid w:val="4C2771A5"/>
    <w:rsid w:val="4C27EC52"/>
    <w:rsid w:val="4C28094F"/>
    <w:rsid w:val="4C28E196"/>
    <w:rsid w:val="4C2959B2"/>
    <w:rsid w:val="4C2A16FB"/>
    <w:rsid w:val="4C2A1811"/>
    <w:rsid w:val="4C2A8FBB"/>
    <w:rsid w:val="4C2AF7FE"/>
    <w:rsid w:val="4C2B2285"/>
    <w:rsid w:val="4C2B4904"/>
    <w:rsid w:val="4C2B4FE1"/>
    <w:rsid w:val="4C2DCB35"/>
    <w:rsid w:val="4C2E0028"/>
    <w:rsid w:val="4C2EB8CD"/>
    <w:rsid w:val="4C2EC4E9"/>
    <w:rsid w:val="4C2F9BA6"/>
    <w:rsid w:val="4C303533"/>
    <w:rsid w:val="4C3099CD"/>
    <w:rsid w:val="4C326838"/>
    <w:rsid w:val="4C32F551"/>
    <w:rsid w:val="4C33D204"/>
    <w:rsid w:val="4C33E8B2"/>
    <w:rsid w:val="4C33FC28"/>
    <w:rsid w:val="4C35BE1B"/>
    <w:rsid w:val="4C365699"/>
    <w:rsid w:val="4C37661B"/>
    <w:rsid w:val="4C37BD83"/>
    <w:rsid w:val="4C388231"/>
    <w:rsid w:val="4C388B43"/>
    <w:rsid w:val="4C3984D7"/>
    <w:rsid w:val="4C39AF46"/>
    <w:rsid w:val="4C39BDFB"/>
    <w:rsid w:val="4C3AE341"/>
    <w:rsid w:val="4C3B039F"/>
    <w:rsid w:val="4C3B2CFB"/>
    <w:rsid w:val="4C3B33EE"/>
    <w:rsid w:val="4C3BD2D4"/>
    <w:rsid w:val="4C3CAD33"/>
    <w:rsid w:val="4C3CC7D1"/>
    <w:rsid w:val="4C3DC259"/>
    <w:rsid w:val="4C3E8AB3"/>
    <w:rsid w:val="4C3FCEFD"/>
    <w:rsid w:val="4C40795A"/>
    <w:rsid w:val="4C409115"/>
    <w:rsid w:val="4C412E51"/>
    <w:rsid w:val="4C41C334"/>
    <w:rsid w:val="4C41CEE8"/>
    <w:rsid w:val="4C42E228"/>
    <w:rsid w:val="4C44192C"/>
    <w:rsid w:val="4C44B09B"/>
    <w:rsid w:val="4C457608"/>
    <w:rsid w:val="4C45EF3E"/>
    <w:rsid w:val="4C4614AF"/>
    <w:rsid w:val="4C473955"/>
    <w:rsid w:val="4C48570C"/>
    <w:rsid w:val="4C491743"/>
    <w:rsid w:val="4C4927AC"/>
    <w:rsid w:val="4C49E1C3"/>
    <w:rsid w:val="4C4A2CCF"/>
    <w:rsid w:val="4C4ABDD3"/>
    <w:rsid w:val="4C4AC64C"/>
    <w:rsid w:val="4C4D50AA"/>
    <w:rsid w:val="4C4E08E5"/>
    <w:rsid w:val="4C4E74BB"/>
    <w:rsid w:val="4C4E892E"/>
    <w:rsid w:val="4C4EBADC"/>
    <w:rsid w:val="4C4EBD03"/>
    <w:rsid w:val="4C4F612E"/>
    <w:rsid w:val="4C4F6994"/>
    <w:rsid w:val="4C4FBCA2"/>
    <w:rsid w:val="4C4FC46C"/>
    <w:rsid w:val="4C502C64"/>
    <w:rsid w:val="4C50431E"/>
    <w:rsid w:val="4C513310"/>
    <w:rsid w:val="4C53FB7F"/>
    <w:rsid w:val="4C54E688"/>
    <w:rsid w:val="4C557D4D"/>
    <w:rsid w:val="4C559B2C"/>
    <w:rsid w:val="4C563AB6"/>
    <w:rsid w:val="4C56D80A"/>
    <w:rsid w:val="4C56F2F4"/>
    <w:rsid w:val="4C571A71"/>
    <w:rsid w:val="4C57C3D6"/>
    <w:rsid w:val="4C582646"/>
    <w:rsid w:val="4C5B2C45"/>
    <w:rsid w:val="4C5D11F8"/>
    <w:rsid w:val="4C5D3E35"/>
    <w:rsid w:val="4C5D6A2B"/>
    <w:rsid w:val="4C5DA699"/>
    <w:rsid w:val="4C5E4183"/>
    <w:rsid w:val="4C5E4BBE"/>
    <w:rsid w:val="4C5E7120"/>
    <w:rsid w:val="4C5E712A"/>
    <w:rsid w:val="4C600382"/>
    <w:rsid w:val="4C61E99B"/>
    <w:rsid w:val="4C6314F3"/>
    <w:rsid w:val="4C645E69"/>
    <w:rsid w:val="4C656A67"/>
    <w:rsid w:val="4C660AE3"/>
    <w:rsid w:val="4C664B7E"/>
    <w:rsid w:val="4C666DD0"/>
    <w:rsid w:val="4C66CC3F"/>
    <w:rsid w:val="4C6731EE"/>
    <w:rsid w:val="4C678E76"/>
    <w:rsid w:val="4C6A1557"/>
    <w:rsid w:val="4C6A6347"/>
    <w:rsid w:val="4C6BF999"/>
    <w:rsid w:val="4C6C2C74"/>
    <w:rsid w:val="4C6C8E1A"/>
    <w:rsid w:val="4C6CFE28"/>
    <w:rsid w:val="4C6D7007"/>
    <w:rsid w:val="4C6F471E"/>
    <w:rsid w:val="4C707D26"/>
    <w:rsid w:val="4C70E84F"/>
    <w:rsid w:val="4C71495F"/>
    <w:rsid w:val="4C71CB3F"/>
    <w:rsid w:val="4C71F532"/>
    <w:rsid w:val="4C720EAC"/>
    <w:rsid w:val="4C7211C9"/>
    <w:rsid w:val="4C72460F"/>
    <w:rsid w:val="4C724FC3"/>
    <w:rsid w:val="4C72B36E"/>
    <w:rsid w:val="4C73D2F6"/>
    <w:rsid w:val="4C743EAC"/>
    <w:rsid w:val="4C74755A"/>
    <w:rsid w:val="4C74AA7B"/>
    <w:rsid w:val="4C74F9E2"/>
    <w:rsid w:val="4C764063"/>
    <w:rsid w:val="4C779DF0"/>
    <w:rsid w:val="4C7855EB"/>
    <w:rsid w:val="4C78AB67"/>
    <w:rsid w:val="4C7949FD"/>
    <w:rsid w:val="4C79BAEA"/>
    <w:rsid w:val="4C79C0A9"/>
    <w:rsid w:val="4C79E355"/>
    <w:rsid w:val="4C7B0E7F"/>
    <w:rsid w:val="4C7B6CF6"/>
    <w:rsid w:val="4C7CB976"/>
    <w:rsid w:val="4C7E7717"/>
    <w:rsid w:val="4C7EE6DC"/>
    <w:rsid w:val="4C7F25C9"/>
    <w:rsid w:val="4C7F33AF"/>
    <w:rsid w:val="4C7F9343"/>
    <w:rsid w:val="4C7FBB88"/>
    <w:rsid w:val="4C7FDC96"/>
    <w:rsid w:val="4C80573C"/>
    <w:rsid w:val="4C809816"/>
    <w:rsid w:val="4C815A23"/>
    <w:rsid w:val="4C8251C4"/>
    <w:rsid w:val="4C83182D"/>
    <w:rsid w:val="4C848645"/>
    <w:rsid w:val="4C84B665"/>
    <w:rsid w:val="4C84EE2D"/>
    <w:rsid w:val="4C84F8B6"/>
    <w:rsid w:val="4C8522F0"/>
    <w:rsid w:val="4C85FD32"/>
    <w:rsid w:val="4C8791B7"/>
    <w:rsid w:val="4C879D6E"/>
    <w:rsid w:val="4C88DA00"/>
    <w:rsid w:val="4C8A48A2"/>
    <w:rsid w:val="4C8AA96E"/>
    <w:rsid w:val="4C8B1FFC"/>
    <w:rsid w:val="4C8B4F9B"/>
    <w:rsid w:val="4C8C6369"/>
    <w:rsid w:val="4C8E0285"/>
    <w:rsid w:val="4C8F04E7"/>
    <w:rsid w:val="4C90DA8C"/>
    <w:rsid w:val="4C90ED99"/>
    <w:rsid w:val="4C91483A"/>
    <w:rsid w:val="4C91DE22"/>
    <w:rsid w:val="4C9304BB"/>
    <w:rsid w:val="4C9331C7"/>
    <w:rsid w:val="4C946BF1"/>
    <w:rsid w:val="4C94F165"/>
    <w:rsid w:val="4C959443"/>
    <w:rsid w:val="4C95D37B"/>
    <w:rsid w:val="4C96D8D3"/>
    <w:rsid w:val="4C9732E7"/>
    <w:rsid w:val="4C984B05"/>
    <w:rsid w:val="4C986863"/>
    <w:rsid w:val="4C99136F"/>
    <w:rsid w:val="4C9B6781"/>
    <w:rsid w:val="4C9B6C59"/>
    <w:rsid w:val="4C9CCAEC"/>
    <w:rsid w:val="4C9D5F9B"/>
    <w:rsid w:val="4C9D8164"/>
    <w:rsid w:val="4C9EF5DC"/>
    <w:rsid w:val="4C9EFD54"/>
    <w:rsid w:val="4CA018E5"/>
    <w:rsid w:val="4CA10D0A"/>
    <w:rsid w:val="4CA11CDD"/>
    <w:rsid w:val="4CA1CDB0"/>
    <w:rsid w:val="4CA2729A"/>
    <w:rsid w:val="4CA2C9C2"/>
    <w:rsid w:val="4CA2CFEE"/>
    <w:rsid w:val="4CA3676B"/>
    <w:rsid w:val="4CA3A0A8"/>
    <w:rsid w:val="4CA3D485"/>
    <w:rsid w:val="4CA41AB1"/>
    <w:rsid w:val="4CA56F57"/>
    <w:rsid w:val="4CA620A5"/>
    <w:rsid w:val="4CA69799"/>
    <w:rsid w:val="4CA6DD98"/>
    <w:rsid w:val="4CA82662"/>
    <w:rsid w:val="4CA8C699"/>
    <w:rsid w:val="4CA993C8"/>
    <w:rsid w:val="4CAA06C4"/>
    <w:rsid w:val="4CAA355C"/>
    <w:rsid w:val="4CABB6E8"/>
    <w:rsid w:val="4CACAE09"/>
    <w:rsid w:val="4CAD20A5"/>
    <w:rsid w:val="4CAE0FE2"/>
    <w:rsid w:val="4CAE5FE1"/>
    <w:rsid w:val="4CAEA3A7"/>
    <w:rsid w:val="4CAEAD4C"/>
    <w:rsid w:val="4CAF9829"/>
    <w:rsid w:val="4CB0C692"/>
    <w:rsid w:val="4CB16A91"/>
    <w:rsid w:val="4CB17771"/>
    <w:rsid w:val="4CB1AAE0"/>
    <w:rsid w:val="4CB1B948"/>
    <w:rsid w:val="4CB1BABF"/>
    <w:rsid w:val="4CB2FA2C"/>
    <w:rsid w:val="4CB3F254"/>
    <w:rsid w:val="4CB40344"/>
    <w:rsid w:val="4CB42F60"/>
    <w:rsid w:val="4CB43C9A"/>
    <w:rsid w:val="4CB53834"/>
    <w:rsid w:val="4CB5CF1A"/>
    <w:rsid w:val="4CB5FE2C"/>
    <w:rsid w:val="4CB60B1D"/>
    <w:rsid w:val="4CB621A2"/>
    <w:rsid w:val="4CB73F0E"/>
    <w:rsid w:val="4CB7E2F5"/>
    <w:rsid w:val="4CB82C38"/>
    <w:rsid w:val="4CB8B93F"/>
    <w:rsid w:val="4CB9A3B1"/>
    <w:rsid w:val="4CB9C676"/>
    <w:rsid w:val="4CBA7E3F"/>
    <w:rsid w:val="4CBAA5E0"/>
    <w:rsid w:val="4CBAFF84"/>
    <w:rsid w:val="4CBB1A71"/>
    <w:rsid w:val="4CBC295B"/>
    <w:rsid w:val="4CBC4C0C"/>
    <w:rsid w:val="4CBCAB38"/>
    <w:rsid w:val="4CBD8386"/>
    <w:rsid w:val="4CBDBD01"/>
    <w:rsid w:val="4CBE6532"/>
    <w:rsid w:val="4CBE9363"/>
    <w:rsid w:val="4CBF51E4"/>
    <w:rsid w:val="4CBF52AA"/>
    <w:rsid w:val="4CC098D6"/>
    <w:rsid w:val="4CC234DD"/>
    <w:rsid w:val="4CC262B3"/>
    <w:rsid w:val="4CC29328"/>
    <w:rsid w:val="4CC38FFF"/>
    <w:rsid w:val="4CC448E6"/>
    <w:rsid w:val="4CC44B7D"/>
    <w:rsid w:val="4CC485C6"/>
    <w:rsid w:val="4CC4BE78"/>
    <w:rsid w:val="4CC5C319"/>
    <w:rsid w:val="4CC63F85"/>
    <w:rsid w:val="4CC714FB"/>
    <w:rsid w:val="4CC7DA79"/>
    <w:rsid w:val="4CC8D3DB"/>
    <w:rsid w:val="4CC924BA"/>
    <w:rsid w:val="4CC9451D"/>
    <w:rsid w:val="4CCA1320"/>
    <w:rsid w:val="4CCA56C8"/>
    <w:rsid w:val="4CCAAD60"/>
    <w:rsid w:val="4CCB4AE1"/>
    <w:rsid w:val="4CCBEFFC"/>
    <w:rsid w:val="4CCD0F29"/>
    <w:rsid w:val="4CCD2E72"/>
    <w:rsid w:val="4CCDD328"/>
    <w:rsid w:val="4CCE9C63"/>
    <w:rsid w:val="4CCEBD78"/>
    <w:rsid w:val="4CCFAC0B"/>
    <w:rsid w:val="4CCFD24B"/>
    <w:rsid w:val="4CCFF420"/>
    <w:rsid w:val="4CD2F654"/>
    <w:rsid w:val="4CD5ECB2"/>
    <w:rsid w:val="4CD68D39"/>
    <w:rsid w:val="4CD7BF23"/>
    <w:rsid w:val="4CD82945"/>
    <w:rsid w:val="4CD83776"/>
    <w:rsid w:val="4CD85F7C"/>
    <w:rsid w:val="4CD9A72B"/>
    <w:rsid w:val="4CD9B223"/>
    <w:rsid w:val="4CD9D7F3"/>
    <w:rsid w:val="4CDA2BBD"/>
    <w:rsid w:val="4CDA3128"/>
    <w:rsid w:val="4CDADE83"/>
    <w:rsid w:val="4CDB857C"/>
    <w:rsid w:val="4CDC895B"/>
    <w:rsid w:val="4CDCFC8D"/>
    <w:rsid w:val="4CDEA2A9"/>
    <w:rsid w:val="4CDEE14A"/>
    <w:rsid w:val="4CDF396B"/>
    <w:rsid w:val="4CDFE472"/>
    <w:rsid w:val="4CE08D48"/>
    <w:rsid w:val="4CE0C5ED"/>
    <w:rsid w:val="4CE20466"/>
    <w:rsid w:val="4CE3C8AB"/>
    <w:rsid w:val="4CE3E947"/>
    <w:rsid w:val="4CE4ECEB"/>
    <w:rsid w:val="4CE53A90"/>
    <w:rsid w:val="4CE54B8C"/>
    <w:rsid w:val="4CE57413"/>
    <w:rsid w:val="4CE64796"/>
    <w:rsid w:val="4CE66761"/>
    <w:rsid w:val="4CE6B647"/>
    <w:rsid w:val="4CE7CF98"/>
    <w:rsid w:val="4CE84657"/>
    <w:rsid w:val="4CE8BC06"/>
    <w:rsid w:val="4CE8D163"/>
    <w:rsid w:val="4CE8E586"/>
    <w:rsid w:val="4CE8FF60"/>
    <w:rsid w:val="4CEA3313"/>
    <w:rsid w:val="4CEBFF7F"/>
    <w:rsid w:val="4CEC5CFE"/>
    <w:rsid w:val="4CECEEBD"/>
    <w:rsid w:val="4CECF01F"/>
    <w:rsid w:val="4CED88C8"/>
    <w:rsid w:val="4CEE46A4"/>
    <w:rsid w:val="4CF10B10"/>
    <w:rsid w:val="4CF1D2C9"/>
    <w:rsid w:val="4CF1E313"/>
    <w:rsid w:val="4CF1F279"/>
    <w:rsid w:val="4CF20E1E"/>
    <w:rsid w:val="4CF3129C"/>
    <w:rsid w:val="4CF3E88D"/>
    <w:rsid w:val="4CF403CA"/>
    <w:rsid w:val="4CF47147"/>
    <w:rsid w:val="4CF4B9FE"/>
    <w:rsid w:val="4CF56922"/>
    <w:rsid w:val="4CF5853F"/>
    <w:rsid w:val="4CF5BD9C"/>
    <w:rsid w:val="4CF5F414"/>
    <w:rsid w:val="4CF6456F"/>
    <w:rsid w:val="4CF6A3F9"/>
    <w:rsid w:val="4CF85798"/>
    <w:rsid w:val="4CF87CDF"/>
    <w:rsid w:val="4CF8A383"/>
    <w:rsid w:val="4CF91643"/>
    <w:rsid w:val="4CFAFAC9"/>
    <w:rsid w:val="4CFB72D1"/>
    <w:rsid w:val="4CFB7BB2"/>
    <w:rsid w:val="4CFBC02D"/>
    <w:rsid w:val="4CFBE6BE"/>
    <w:rsid w:val="4CFCA32A"/>
    <w:rsid w:val="4CFCB1E4"/>
    <w:rsid w:val="4CFCB611"/>
    <w:rsid w:val="4CFD5620"/>
    <w:rsid w:val="4CFD8BAD"/>
    <w:rsid w:val="4CFDA6B3"/>
    <w:rsid w:val="4CFDDF67"/>
    <w:rsid w:val="4CFE0638"/>
    <w:rsid w:val="4CFE0A39"/>
    <w:rsid w:val="4CFE73A8"/>
    <w:rsid w:val="4CFE86CB"/>
    <w:rsid w:val="4CFE9414"/>
    <w:rsid w:val="4CFEDFE5"/>
    <w:rsid w:val="4CFF25AD"/>
    <w:rsid w:val="4D009C3A"/>
    <w:rsid w:val="4D00A5B6"/>
    <w:rsid w:val="4D00DC16"/>
    <w:rsid w:val="4D0129FD"/>
    <w:rsid w:val="4D013EEE"/>
    <w:rsid w:val="4D016CE5"/>
    <w:rsid w:val="4D028038"/>
    <w:rsid w:val="4D02CDCD"/>
    <w:rsid w:val="4D036AF1"/>
    <w:rsid w:val="4D036F8F"/>
    <w:rsid w:val="4D0371AA"/>
    <w:rsid w:val="4D03CE0E"/>
    <w:rsid w:val="4D03E407"/>
    <w:rsid w:val="4D04984A"/>
    <w:rsid w:val="4D06DDB5"/>
    <w:rsid w:val="4D0703BD"/>
    <w:rsid w:val="4D080A67"/>
    <w:rsid w:val="4D08F8BA"/>
    <w:rsid w:val="4D090E35"/>
    <w:rsid w:val="4D09A5A2"/>
    <w:rsid w:val="4D09AAEA"/>
    <w:rsid w:val="4D09D4F0"/>
    <w:rsid w:val="4D0A8398"/>
    <w:rsid w:val="4D0C30A5"/>
    <w:rsid w:val="4D0C6962"/>
    <w:rsid w:val="4D0D21AB"/>
    <w:rsid w:val="4D0D985B"/>
    <w:rsid w:val="4D0E067E"/>
    <w:rsid w:val="4D0FA1ED"/>
    <w:rsid w:val="4D0FAD15"/>
    <w:rsid w:val="4D1064E7"/>
    <w:rsid w:val="4D117FA0"/>
    <w:rsid w:val="4D11B28F"/>
    <w:rsid w:val="4D121C5B"/>
    <w:rsid w:val="4D12F7CE"/>
    <w:rsid w:val="4D12F984"/>
    <w:rsid w:val="4D132031"/>
    <w:rsid w:val="4D1381DA"/>
    <w:rsid w:val="4D13A681"/>
    <w:rsid w:val="4D13D524"/>
    <w:rsid w:val="4D145046"/>
    <w:rsid w:val="4D1499AD"/>
    <w:rsid w:val="4D15086B"/>
    <w:rsid w:val="4D15BBF0"/>
    <w:rsid w:val="4D17B2FD"/>
    <w:rsid w:val="4D1855E4"/>
    <w:rsid w:val="4D19B364"/>
    <w:rsid w:val="4D1ABC0D"/>
    <w:rsid w:val="4D1C59AA"/>
    <w:rsid w:val="4D1CF286"/>
    <w:rsid w:val="4D1DE387"/>
    <w:rsid w:val="4D1FB88C"/>
    <w:rsid w:val="4D1FCE42"/>
    <w:rsid w:val="4D215A3B"/>
    <w:rsid w:val="4D21D99A"/>
    <w:rsid w:val="4D22356E"/>
    <w:rsid w:val="4D23188B"/>
    <w:rsid w:val="4D2483AA"/>
    <w:rsid w:val="4D24C69C"/>
    <w:rsid w:val="4D24EDE2"/>
    <w:rsid w:val="4D260DFB"/>
    <w:rsid w:val="4D270436"/>
    <w:rsid w:val="4D278B09"/>
    <w:rsid w:val="4D28DBD6"/>
    <w:rsid w:val="4D2963CB"/>
    <w:rsid w:val="4D2A188B"/>
    <w:rsid w:val="4D2A264C"/>
    <w:rsid w:val="4D2B9B9A"/>
    <w:rsid w:val="4D2BB7B2"/>
    <w:rsid w:val="4D2BDAA6"/>
    <w:rsid w:val="4D2C35FD"/>
    <w:rsid w:val="4D2C7F35"/>
    <w:rsid w:val="4D2D52F2"/>
    <w:rsid w:val="4D2E2FCD"/>
    <w:rsid w:val="4D2EBAD9"/>
    <w:rsid w:val="4D2F07A6"/>
    <w:rsid w:val="4D2F5CEF"/>
    <w:rsid w:val="4D2F7A27"/>
    <w:rsid w:val="4D2FDAE1"/>
    <w:rsid w:val="4D303EB9"/>
    <w:rsid w:val="4D3064A0"/>
    <w:rsid w:val="4D316740"/>
    <w:rsid w:val="4D317514"/>
    <w:rsid w:val="4D333D84"/>
    <w:rsid w:val="4D3567AC"/>
    <w:rsid w:val="4D357552"/>
    <w:rsid w:val="4D3624D7"/>
    <w:rsid w:val="4D3644FD"/>
    <w:rsid w:val="4D366250"/>
    <w:rsid w:val="4D373822"/>
    <w:rsid w:val="4D37BAF9"/>
    <w:rsid w:val="4D37F6CD"/>
    <w:rsid w:val="4D38780A"/>
    <w:rsid w:val="4D396D95"/>
    <w:rsid w:val="4D397766"/>
    <w:rsid w:val="4D397F54"/>
    <w:rsid w:val="4D3A0E13"/>
    <w:rsid w:val="4D3B3078"/>
    <w:rsid w:val="4D3B9C3D"/>
    <w:rsid w:val="4D3BB59B"/>
    <w:rsid w:val="4D3BF580"/>
    <w:rsid w:val="4D3C3D80"/>
    <w:rsid w:val="4D3DA4B0"/>
    <w:rsid w:val="4D3E31B6"/>
    <w:rsid w:val="4D3F3805"/>
    <w:rsid w:val="4D40CA44"/>
    <w:rsid w:val="4D40D05F"/>
    <w:rsid w:val="4D40DCD2"/>
    <w:rsid w:val="4D411F20"/>
    <w:rsid w:val="4D41BF47"/>
    <w:rsid w:val="4D41FBC9"/>
    <w:rsid w:val="4D421EB3"/>
    <w:rsid w:val="4D424F57"/>
    <w:rsid w:val="4D428BAF"/>
    <w:rsid w:val="4D42C42A"/>
    <w:rsid w:val="4D431B21"/>
    <w:rsid w:val="4D433D9A"/>
    <w:rsid w:val="4D4356E5"/>
    <w:rsid w:val="4D4459B6"/>
    <w:rsid w:val="4D450411"/>
    <w:rsid w:val="4D452A1F"/>
    <w:rsid w:val="4D45BD63"/>
    <w:rsid w:val="4D460FDC"/>
    <w:rsid w:val="4D464B6A"/>
    <w:rsid w:val="4D46574C"/>
    <w:rsid w:val="4D48134D"/>
    <w:rsid w:val="4D48958D"/>
    <w:rsid w:val="4D49224B"/>
    <w:rsid w:val="4D498EAB"/>
    <w:rsid w:val="4D4AADFB"/>
    <w:rsid w:val="4D4BE920"/>
    <w:rsid w:val="4D4BEB92"/>
    <w:rsid w:val="4D4BF55B"/>
    <w:rsid w:val="4D4E6BBA"/>
    <w:rsid w:val="4D4F2B9E"/>
    <w:rsid w:val="4D4F7EE0"/>
    <w:rsid w:val="4D4F83A7"/>
    <w:rsid w:val="4D50321D"/>
    <w:rsid w:val="4D50A820"/>
    <w:rsid w:val="4D50B27C"/>
    <w:rsid w:val="4D5472F3"/>
    <w:rsid w:val="4D54C1AF"/>
    <w:rsid w:val="4D54E4CD"/>
    <w:rsid w:val="4D553345"/>
    <w:rsid w:val="4D55A3B6"/>
    <w:rsid w:val="4D55A53E"/>
    <w:rsid w:val="4D55BE2A"/>
    <w:rsid w:val="4D568B39"/>
    <w:rsid w:val="4D57C1C4"/>
    <w:rsid w:val="4D582036"/>
    <w:rsid w:val="4D590FD6"/>
    <w:rsid w:val="4D5962C0"/>
    <w:rsid w:val="4D596868"/>
    <w:rsid w:val="4D59B21D"/>
    <w:rsid w:val="4D5A7D3A"/>
    <w:rsid w:val="4D5A8912"/>
    <w:rsid w:val="4D5B8B45"/>
    <w:rsid w:val="4D5C3725"/>
    <w:rsid w:val="4D5C594C"/>
    <w:rsid w:val="4D5C6F0A"/>
    <w:rsid w:val="4D5DB70D"/>
    <w:rsid w:val="4D5DC48F"/>
    <w:rsid w:val="4D5E4450"/>
    <w:rsid w:val="4D5E9B7F"/>
    <w:rsid w:val="4D5EF251"/>
    <w:rsid w:val="4D5F39D8"/>
    <w:rsid w:val="4D5FD6FE"/>
    <w:rsid w:val="4D616302"/>
    <w:rsid w:val="4D6170E3"/>
    <w:rsid w:val="4D617BEA"/>
    <w:rsid w:val="4D61A241"/>
    <w:rsid w:val="4D623056"/>
    <w:rsid w:val="4D62E6A8"/>
    <w:rsid w:val="4D63355B"/>
    <w:rsid w:val="4D648E00"/>
    <w:rsid w:val="4D6505C5"/>
    <w:rsid w:val="4D65189B"/>
    <w:rsid w:val="4D66D051"/>
    <w:rsid w:val="4D670426"/>
    <w:rsid w:val="4D681504"/>
    <w:rsid w:val="4D689108"/>
    <w:rsid w:val="4D68A30A"/>
    <w:rsid w:val="4D691A13"/>
    <w:rsid w:val="4D699F49"/>
    <w:rsid w:val="4D69BB0F"/>
    <w:rsid w:val="4D6ACEF3"/>
    <w:rsid w:val="4D6B3332"/>
    <w:rsid w:val="4D6B68F9"/>
    <w:rsid w:val="4D6BD0DA"/>
    <w:rsid w:val="4D6BEFB3"/>
    <w:rsid w:val="4D6BF69F"/>
    <w:rsid w:val="4D6C114F"/>
    <w:rsid w:val="4D6CE829"/>
    <w:rsid w:val="4D6CF0CA"/>
    <w:rsid w:val="4D6DD818"/>
    <w:rsid w:val="4D6E1E2B"/>
    <w:rsid w:val="4D6E38B7"/>
    <w:rsid w:val="4D7096C8"/>
    <w:rsid w:val="4D70BA51"/>
    <w:rsid w:val="4D70C184"/>
    <w:rsid w:val="4D71D6BE"/>
    <w:rsid w:val="4D7283ED"/>
    <w:rsid w:val="4D72D897"/>
    <w:rsid w:val="4D730546"/>
    <w:rsid w:val="4D739C65"/>
    <w:rsid w:val="4D74061C"/>
    <w:rsid w:val="4D7412FE"/>
    <w:rsid w:val="4D742367"/>
    <w:rsid w:val="4D747725"/>
    <w:rsid w:val="4D76EC42"/>
    <w:rsid w:val="4D78254F"/>
    <w:rsid w:val="4D788391"/>
    <w:rsid w:val="4D791ECF"/>
    <w:rsid w:val="4D79236D"/>
    <w:rsid w:val="4D7AACC6"/>
    <w:rsid w:val="4D7C3F29"/>
    <w:rsid w:val="4D7C565A"/>
    <w:rsid w:val="4D7C5CC8"/>
    <w:rsid w:val="4D7CC780"/>
    <w:rsid w:val="4D7D2033"/>
    <w:rsid w:val="4D7D56CB"/>
    <w:rsid w:val="4D7D8802"/>
    <w:rsid w:val="4D7E4A66"/>
    <w:rsid w:val="4D7F2045"/>
    <w:rsid w:val="4D7FB3F6"/>
    <w:rsid w:val="4D7FC9A9"/>
    <w:rsid w:val="4D805158"/>
    <w:rsid w:val="4D80F218"/>
    <w:rsid w:val="4D8128D0"/>
    <w:rsid w:val="4D81817B"/>
    <w:rsid w:val="4D818D2D"/>
    <w:rsid w:val="4D82586D"/>
    <w:rsid w:val="4D828F4A"/>
    <w:rsid w:val="4D83787F"/>
    <w:rsid w:val="4D83D13D"/>
    <w:rsid w:val="4D83E16A"/>
    <w:rsid w:val="4D845299"/>
    <w:rsid w:val="4D8481CC"/>
    <w:rsid w:val="4D876495"/>
    <w:rsid w:val="4D87B539"/>
    <w:rsid w:val="4D88BAF7"/>
    <w:rsid w:val="4D88EB0F"/>
    <w:rsid w:val="4D899184"/>
    <w:rsid w:val="4D89CEEC"/>
    <w:rsid w:val="4D8B324F"/>
    <w:rsid w:val="4D8B4D2F"/>
    <w:rsid w:val="4D8C9BCE"/>
    <w:rsid w:val="4D8D3080"/>
    <w:rsid w:val="4D8D5ED0"/>
    <w:rsid w:val="4D8E0314"/>
    <w:rsid w:val="4D8E6062"/>
    <w:rsid w:val="4D8E8B3F"/>
    <w:rsid w:val="4D8F1DE1"/>
    <w:rsid w:val="4D8F58AB"/>
    <w:rsid w:val="4D90B5BE"/>
    <w:rsid w:val="4D90F054"/>
    <w:rsid w:val="4D90FF5C"/>
    <w:rsid w:val="4D9286F2"/>
    <w:rsid w:val="4D93ED3A"/>
    <w:rsid w:val="4D94603A"/>
    <w:rsid w:val="4D94AB31"/>
    <w:rsid w:val="4D965864"/>
    <w:rsid w:val="4D9A4628"/>
    <w:rsid w:val="4D9ADB76"/>
    <w:rsid w:val="4D9C194B"/>
    <w:rsid w:val="4D9C1C01"/>
    <w:rsid w:val="4D9CE8A8"/>
    <w:rsid w:val="4D9DF27E"/>
    <w:rsid w:val="4D9E7C62"/>
    <w:rsid w:val="4D9E9C61"/>
    <w:rsid w:val="4D9EB703"/>
    <w:rsid w:val="4DA03813"/>
    <w:rsid w:val="4DA06F7A"/>
    <w:rsid w:val="4DA301AD"/>
    <w:rsid w:val="4DA30905"/>
    <w:rsid w:val="4DA38D64"/>
    <w:rsid w:val="4DAAC7EF"/>
    <w:rsid w:val="4DAB07E6"/>
    <w:rsid w:val="4DAB26BA"/>
    <w:rsid w:val="4DAB5C6B"/>
    <w:rsid w:val="4DACA039"/>
    <w:rsid w:val="4DAF3BFF"/>
    <w:rsid w:val="4DAF4052"/>
    <w:rsid w:val="4DAFF6AB"/>
    <w:rsid w:val="4DAFF6D4"/>
    <w:rsid w:val="4DB09DAC"/>
    <w:rsid w:val="4DB0AE68"/>
    <w:rsid w:val="4DB1646D"/>
    <w:rsid w:val="4DB1B2F1"/>
    <w:rsid w:val="4DB2D163"/>
    <w:rsid w:val="4DB37253"/>
    <w:rsid w:val="4DB3B02C"/>
    <w:rsid w:val="4DB41FB5"/>
    <w:rsid w:val="4DB61707"/>
    <w:rsid w:val="4DB70B0D"/>
    <w:rsid w:val="4DB8E0BA"/>
    <w:rsid w:val="4DB9BB4A"/>
    <w:rsid w:val="4DBA53B1"/>
    <w:rsid w:val="4DBB395B"/>
    <w:rsid w:val="4DBC3C31"/>
    <w:rsid w:val="4DBD3B56"/>
    <w:rsid w:val="4DBE0831"/>
    <w:rsid w:val="4DBE2FC2"/>
    <w:rsid w:val="4DBE79E1"/>
    <w:rsid w:val="4DBE9B95"/>
    <w:rsid w:val="4DBEF7A7"/>
    <w:rsid w:val="4DC217D6"/>
    <w:rsid w:val="4DC263CC"/>
    <w:rsid w:val="4DC2F9F3"/>
    <w:rsid w:val="4DC33E8E"/>
    <w:rsid w:val="4DC3DB5F"/>
    <w:rsid w:val="4DC4577E"/>
    <w:rsid w:val="4DC46134"/>
    <w:rsid w:val="4DC5000D"/>
    <w:rsid w:val="4DC505A4"/>
    <w:rsid w:val="4DC54CB7"/>
    <w:rsid w:val="4DC594A6"/>
    <w:rsid w:val="4DC7506A"/>
    <w:rsid w:val="4DC7FA4E"/>
    <w:rsid w:val="4DC94F32"/>
    <w:rsid w:val="4DCA892E"/>
    <w:rsid w:val="4DCAF226"/>
    <w:rsid w:val="4DCB1208"/>
    <w:rsid w:val="4DCBD0C4"/>
    <w:rsid w:val="4DCBE445"/>
    <w:rsid w:val="4DCD6E92"/>
    <w:rsid w:val="4DCE4204"/>
    <w:rsid w:val="4DCF120C"/>
    <w:rsid w:val="4DD05238"/>
    <w:rsid w:val="4DD065D2"/>
    <w:rsid w:val="4DD0EF77"/>
    <w:rsid w:val="4DD1AE00"/>
    <w:rsid w:val="4DD268D4"/>
    <w:rsid w:val="4DD2CF12"/>
    <w:rsid w:val="4DD36058"/>
    <w:rsid w:val="4DD49B92"/>
    <w:rsid w:val="4DD6561D"/>
    <w:rsid w:val="4DD71A40"/>
    <w:rsid w:val="4DD7455A"/>
    <w:rsid w:val="4DD78811"/>
    <w:rsid w:val="4DD83658"/>
    <w:rsid w:val="4DD84399"/>
    <w:rsid w:val="4DD9AD06"/>
    <w:rsid w:val="4DDA22FF"/>
    <w:rsid w:val="4DDAE4F7"/>
    <w:rsid w:val="4DDB9151"/>
    <w:rsid w:val="4DDC56FE"/>
    <w:rsid w:val="4DDD1765"/>
    <w:rsid w:val="4DDD25C5"/>
    <w:rsid w:val="4DDD8FD3"/>
    <w:rsid w:val="4DDDAE79"/>
    <w:rsid w:val="4DDE367B"/>
    <w:rsid w:val="4DDE66E1"/>
    <w:rsid w:val="4DDE9A7C"/>
    <w:rsid w:val="4DE06485"/>
    <w:rsid w:val="4DE0883E"/>
    <w:rsid w:val="4DE0CC7D"/>
    <w:rsid w:val="4DE11133"/>
    <w:rsid w:val="4DE210A2"/>
    <w:rsid w:val="4DE23935"/>
    <w:rsid w:val="4DE24340"/>
    <w:rsid w:val="4DE2FA9A"/>
    <w:rsid w:val="4DE309B6"/>
    <w:rsid w:val="4DE48B95"/>
    <w:rsid w:val="4DE4B62B"/>
    <w:rsid w:val="4DE548A1"/>
    <w:rsid w:val="4DE6238F"/>
    <w:rsid w:val="4DE6913C"/>
    <w:rsid w:val="4DE82F5F"/>
    <w:rsid w:val="4DE87245"/>
    <w:rsid w:val="4DEA1A5B"/>
    <w:rsid w:val="4DEB3CA7"/>
    <w:rsid w:val="4DEBB2D5"/>
    <w:rsid w:val="4DECBDFC"/>
    <w:rsid w:val="4DECCBA6"/>
    <w:rsid w:val="4DED1001"/>
    <w:rsid w:val="4DEDCE37"/>
    <w:rsid w:val="4DEF45B4"/>
    <w:rsid w:val="4DEF52CE"/>
    <w:rsid w:val="4DF03E53"/>
    <w:rsid w:val="4DF250AB"/>
    <w:rsid w:val="4DF32613"/>
    <w:rsid w:val="4DF36D61"/>
    <w:rsid w:val="4DF37A60"/>
    <w:rsid w:val="4DF4E162"/>
    <w:rsid w:val="4DF4E54C"/>
    <w:rsid w:val="4DF67455"/>
    <w:rsid w:val="4DF706BF"/>
    <w:rsid w:val="4DF74543"/>
    <w:rsid w:val="4DF9188B"/>
    <w:rsid w:val="4DF92057"/>
    <w:rsid w:val="4DF92304"/>
    <w:rsid w:val="4DFA3890"/>
    <w:rsid w:val="4DFC409E"/>
    <w:rsid w:val="4DFC690C"/>
    <w:rsid w:val="4DFCE4C1"/>
    <w:rsid w:val="4DFD068E"/>
    <w:rsid w:val="4DFD747D"/>
    <w:rsid w:val="4DFD88E7"/>
    <w:rsid w:val="4DFDFE34"/>
    <w:rsid w:val="4DFE0959"/>
    <w:rsid w:val="4DFE17E6"/>
    <w:rsid w:val="4DFE9ED9"/>
    <w:rsid w:val="4DFF0A59"/>
    <w:rsid w:val="4DFF3A2A"/>
    <w:rsid w:val="4E007268"/>
    <w:rsid w:val="4E00A79F"/>
    <w:rsid w:val="4E0156AA"/>
    <w:rsid w:val="4E018385"/>
    <w:rsid w:val="4E01A292"/>
    <w:rsid w:val="4E020A19"/>
    <w:rsid w:val="4E026D36"/>
    <w:rsid w:val="4E02EE0A"/>
    <w:rsid w:val="4E031F76"/>
    <w:rsid w:val="4E037930"/>
    <w:rsid w:val="4E03ACA2"/>
    <w:rsid w:val="4E044F24"/>
    <w:rsid w:val="4E063D3A"/>
    <w:rsid w:val="4E06AD3D"/>
    <w:rsid w:val="4E07721D"/>
    <w:rsid w:val="4E07FF3A"/>
    <w:rsid w:val="4E086FFF"/>
    <w:rsid w:val="4E095178"/>
    <w:rsid w:val="4E09BC4B"/>
    <w:rsid w:val="4E09E9D7"/>
    <w:rsid w:val="4E0A1500"/>
    <w:rsid w:val="4E0B0325"/>
    <w:rsid w:val="4E0B033F"/>
    <w:rsid w:val="4E0B1D9D"/>
    <w:rsid w:val="4E0BD385"/>
    <w:rsid w:val="4E0C9066"/>
    <w:rsid w:val="4E0C9EAD"/>
    <w:rsid w:val="4E0CF656"/>
    <w:rsid w:val="4E0EBBF0"/>
    <w:rsid w:val="4E0EBDD0"/>
    <w:rsid w:val="4E0F9DA6"/>
    <w:rsid w:val="4E10725E"/>
    <w:rsid w:val="4E10B47B"/>
    <w:rsid w:val="4E1107BD"/>
    <w:rsid w:val="4E11F2F3"/>
    <w:rsid w:val="4E135BF8"/>
    <w:rsid w:val="4E135CFE"/>
    <w:rsid w:val="4E1395BF"/>
    <w:rsid w:val="4E13ECCA"/>
    <w:rsid w:val="4E1514CA"/>
    <w:rsid w:val="4E164D5A"/>
    <w:rsid w:val="4E169A07"/>
    <w:rsid w:val="4E182F91"/>
    <w:rsid w:val="4E19064D"/>
    <w:rsid w:val="4E1A1554"/>
    <w:rsid w:val="4E1A2497"/>
    <w:rsid w:val="4E1A6C6E"/>
    <w:rsid w:val="4E1C60CC"/>
    <w:rsid w:val="4E1C69BE"/>
    <w:rsid w:val="4E1CEC12"/>
    <w:rsid w:val="4E1E4B19"/>
    <w:rsid w:val="4E20A396"/>
    <w:rsid w:val="4E20DB4D"/>
    <w:rsid w:val="4E221FB0"/>
    <w:rsid w:val="4E223B8B"/>
    <w:rsid w:val="4E227B29"/>
    <w:rsid w:val="4E22D38B"/>
    <w:rsid w:val="4E231AF2"/>
    <w:rsid w:val="4E233CC6"/>
    <w:rsid w:val="4E2347BD"/>
    <w:rsid w:val="4E242C19"/>
    <w:rsid w:val="4E24D5FD"/>
    <w:rsid w:val="4E25C86E"/>
    <w:rsid w:val="4E267092"/>
    <w:rsid w:val="4E267C1C"/>
    <w:rsid w:val="4E26D46C"/>
    <w:rsid w:val="4E27FDAF"/>
    <w:rsid w:val="4E2AB3FD"/>
    <w:rsid w:val="4E2B1465"/>
    <w:rsid w:val="4E2B2831"/>
    <w:rsid w:val="4E2BCAF4"/>
    <w:rsid w:val="4E2DA145"/>
    <w:rsid w:val="4E2E5BE0"/>
    <w:rsid w:val="4E2EC05E"/>
    <w:rsid w:val="4E308E01"/>
    <w:rsid w:val="4E30CA1D"/>
    <w:rsid w:val="4E3110B5"/>
    <w:rsid w:val="4E313F62"/>
    <w:rsid w:val="4E31DF4C"/>
    <w:rsid w:val="4E323A67"/>
    <w:rsid w:val="4E331FBC"/>
    <w:rsid w:val="4E3416F2"/>
    <w:rsid w:val="4E3437BF"/>
    <w:rsid w:val="4E34435F"/>
    <w:rsid w:val="4E345F25"/>
    <w:rsid w:val="4E34C18D"/>
    <w:rsid w:val="4E3543CD"/>
    <w:rsid w:val="4E36BB84"/>
    <w:rsid w:val="4E37D07D"/>
    <w:rsid w:val="4E3B028E"/>
    <w:rsid w:val="4E3B25F8"/>
    <w:rsid w:val="4E3DADE0"/>
    <w:rsid w:val="4E3DBE92"/>
    <w:rsid w:val="4E3E00C5"/>
    <w:rsid w:val="4E3F20D4"/>
    <w:rsid w:val="4E404839"/>
    <w:rsid w:val="4E4128CF"/>
    <w:rsid w:val="4E41319F"/>
    <w:rsid w:val="4E42A3AB"/>
    <w:rsid w:val="4E42E011"/>
    <w:rsid w:val="4E43BD69"/>
    <w:rsid w:val="4E4427D9"/>
    <w:rsid w:val="4E45B2A9"/>
    <w:rsid w:val="4E45BD49"/>
    <w:rsid w:val="4E46105D"/>
    <w:rsid w:val="4E4655DF"/>
    <w:rsid w:val="4E4760AA"/>
    <w:rsid w:val="4E47D3CF"/>
    <w:rsid w:val="4E481044"/>
    <w:rsid w:val="4E485D36"/>
    <w:rsid w:val="4E48898E"/>
    <w:rsid w:val="4E497320"/>
    <w:rsid w:val="4E49AC36"/>
    <w:rsid w:val="4E49F5B3"/>
    <w:rsid w:val="4E4A2371"/>
    <w:rsid w:val="4E4ACC36"/>
    <w:rsid w:val="4E4B2B91"/>
    <w:rsid w:val="4E4BCBDF"/>
    <w:rsid w:val="4E4BF246"/>
    <w:rsid w:val="4E4C3885"/>
    <w:rsid w:val="4E4C8C6F"/>
    <w:rsid w:val="4E4EE574"/>
    <w:rsid w:val="4E4F1933"/>
    <w:rsid w:val="4E4F2993"/>
    <w:rsid w:val="4E4FCA02"/>
    <w:rsid w:val="4E50272A"/>
    <w:rsid w:val="4E505047"/>
    <w:rsid w:val="4E52E29A"/>
    <w:rsid w:val="4E52FCC4"/>
    <w:rsid w:val="4E538A4D"/>
    <w:rsid w:val="4E544220"/>
    <w:rsid w:val="4E54E74C"/>
    <w:rsid w:val="4E551AF8"/>
    <w:rsid w:val="4E552CEF"/>
    <w:rsid w:val="4E557C2E"/>
    <w:rsid w:val="4E558E90"/>
    <w:rsid w:val="4E564BB5"/>
    <w:rsid w:val="4E56E302"/>
    <w:rsid w:val="4E570BFA"/>
    <w:rsid w:val="4E592926"/>
    <w:rsid w:val="4E59414B"/>
    <w:rsid w:val="4E5A3DD4"/>
    <w:rsid w:val="4E5B55DF"/>
    <w:rsid w:val="4E5BCF59"/>
    <w:rsid w:val="4E5C0C65"/>
    <w:rsid w:val="4E5D1FFC"/>
    <w:rsid w:val="4E5D2A6E"/>
    <w:rsid w:val="4E5D74DD"/>
    <w:rsid w:val="4E5E4767"/>
    <w:rsid w:val="4E5E4EA1"/>
    <w:rsid w:val="4E5FA1F7"/>
    <w:rsid w:val="4E615915"/>
    <w:rsid w:val="4E6225BA"/>
    <w:rsid w:val="4E62D752"/>
    <w:rsid w:val="4E631FA5"/>
    <w:rsid w:val="4E6530C2"/>
    <w:rsid w:val="4E65747B"/>
    <w:rsid w:val="4E65A908"/>
    <w:rsid w:val="4E65B796"/>
    <w:rsid w:val="4E65F806"/>
    <w:rsid w:val="4E669E82"/>
    <w:rsid w:val="4E67C954"/>
    <w:rsid w:val="4E685572"/>
    <w:rsid w:val="4E6887D9"/>
    <w:rsid w:val="4E692E18"/>
    <w:rsid w:val="4E699078"/>
    <w:rsid w:val="4E6B39A9"/>
    <w:rsid w:val="4E6DA882"/>
    <w:rsid w:val="4E6DC054"/>
    <w:rsid w:val="4E6DC5E1"/>
    <w:rsid w:val="4E6E8F84"/>
    <w:rsid w:val="4E6F3E8D"/>
    <w:rsid w:val="4E70D070"/>
    <w:rsid w:val="4E70D7C3"/>
    <w:rsid w:val="4E71126A"/>
    <w:rsid w:val="4E7276C4"/>
    <w:rsid w:val="4E72BFED"/>
    <w:rsid w:val="4E732F94"/>
    <w:rsid w:val="4E73D994"/>
    <w:rsid w:val="4E747366"/>
    <w:rsid w:val="4E74963E"/>
    <w:rsid w:val="4E75B404"/>
    <w:rsid w:val="4E75DEAA"/>
    <w:rsid w:val="4E76BF23"/>
    <w:rsid w:val="4E77A511"/>
    <w:rsid w:val="4E77D946"/>
    <w:rsid w:val="4E78A062"/>
    <w:rsid w:val="4E78AF48"/>
    <w:rsid w:val="4E78B909"/>
    <w:rsid w:val="4E796080"/>
    <w:rsid w:val="4E79B187"/>
    <w:rsid w:val="4E79E159"/>
    <w:rsid w:val="4E7A5B45"/>
    <w:rsid w:val="4E7AD397"/>
    <w:rsid w:val="4E7AFE6E"/>
    <w:rsid w:val="4E7B9993"/>
    <w:rsid w:val="4E7C2016"/>
    <w:rsid w:val="4E7CAB49"/>
    <w:rsid w:val="4E7D2064"/>
    <w:rsid w:val="4E7D43E6"/>
    <w:rsid w:val="4E7DF61B"/>
    <w:rsid w:val="4E7EFFA5"/>
    <w:rsid w:val="4E7F471F"/>
    <w:rsid w:val="4E7FB05D"/>
    <w:rsid w:val="4E7FBEDD"/>
    <w:rsid w:val="4E806E9C"/>
    <w:rsid w:val="4E8099D1"/>
    <w:rsid w:val="4E80E07F"/>
    <w:rsid w:val="4E81632A"/>
    <w:rsid w:val="4E81C233"/>
    <w:rsid w:val="4E837D22"/>
    <w:rsid w:val="4E83FE26"/>
    <w:rsid w:val="4E84FD5A"/>
    <w:rsid w:val="4E85116E"/>
    <w:rsid w:val="4E85BA4D"/>
    <w:rsid w:val="4E85E6F9"/>
    <w:rsid w:val="4E8659E4"/>
    <w:rsid w:val="4E86673A"/>
    <w:rsid w:val="4E8681F4"/>
    <w:rsid w:val="4E87D071"/>
    <w:rsid w:val="4E896BA4"/>
    <w:rsid w:val="4E89E9ED"/>
    <w:rsid w:val="4E8A2A7E"/>
    <w:rsid w:val="4E8B07AF"/>
    <w:rsid w:val="4E8B37EE"/>
    <w:rsid w:val="4E8C1C9F"/>
    <w:rsid w:val="4E8CC58B"/>
    <w:rsid w:val="4E8CF6B9"/>
    <w:rsid w:val="4E8DEA8E"/>
    <w:rsid w:val="4E8DFC4C"/>
    <w:rsid w:val="4E8E5277"/>
    <w:rsid w:val="4E8FB2D2"/>
    <w:rsid w:val="4E8FB710"/>
    <w:rsid w:val="4E8FC629"/>
    <w:rsid w:val="4E8FD72A"/>
    <w:rsid w:val="4E908535"/>
    <w:rsid w:val="4E91EFCD"/>
    <w:rsid w:val="4E936DAE"/>
    <w:rsid w:val="4E937FBE"/>
    <w:rsid w:val="4E93D58D"/>
    <w:rsid w:val="4E946ADC"/>
    <w:rsid w:val="4E949A7B"/>
    <w:rsid w:val="4E95A58E"/>
    <w:rsid w:val="4E962C95"/>
    <w:rsid w:val="4E968030"/>
    <w:rsid w:val="4E96B7E4"/>
    <w:rsid w:val="4E9771E9"/>
    <w:rsid w:val="4E9788C2"/>
    <w:rsid w:val="4E97FF20"/>
    <w:rsid w:val="4E98037A"/>
    <w:rsid w:val="4E9A4E91"/>
    <w:rsid w:val="4E9A8B94"/>
    <w:rsid w:val="4E9AC4C2"/>
    <w:rsid w:val="4E9B1B0B"/>
    <w:rsid w:val="4E9BABF5"/>
    <w:rsid w:val="4E9BD9C4"/>
    <w:rsid w:val="4E9D3957"/>
    <w:rsid w:val="4E9E0103"/>
    <w:rsid w:val="4E9E3967"/>
    <w:rsid w:val="4E9E431A"/>
    <w:rsid w:val="4E9E6275"/>
    <w:rsid w:val="4E9F81BB"/>
    <w:rsid w:val="4E9FAD4D"/>
    <w:rsid w:val="4E9FC4EB"/>
    <w:rsid w:val="4EA026AE"/>
    <w:rsid w:val="4EA0A166"/>
    <w:rsid w:val="4EA0BCED"/>
    <w:rsid w:val="4EA20C1E"/>
    <w:rsid w:val="4EA25BF7"/>
    <w:rsid w:val="4EA2CCAA"/>
    <w:rsid w:val="4EA35D08"/>
    <w:rsid w:val="4EA3C687"/>
    <w:rsid w:val="4EA5464E"/>
    <w:rsid w:val="4EA5AB03"/>
    <w:rsid w:val="4EA6343F"/>
    <w:rsid w:val="4EA65C4E"/>
    <w:rsid w:val="4EA6A4FE"/>
    <w:rsid w:val="4EA6DBA1"/>
    <w:rsid w:val="4EA6E8CD"/>
    <w:rsid w:val="4EA7D72A"/>
    <w:rsid w:val="4EA8177D"/>
    <w:rsid w:val="4EA835C7"/>
    <w:rsid w:val="4EA83BE7"/>
    <w:rsid w:val="4EA94D3E"/>
    <w:rsid w:val="4EAA12FA"/>
    <w:rsid w:val="4EAC3965"/>
    <w:rsid w:val="4EACBE44"/>
    <w:rsid w:val="4EACE0D7"/>
    <w:rsid w:val="4EAD8F01"/>
    <w:rsid w:val="4EAE7BAF"/>
    <w:rsid w:val="4EAF08EA"/>
    <w:rsid w:val="4EAF09CB"/>
    <w:rsid w:val="4EAFFEC2"/>
    <w:rsid w:val="4EB0F586"/>
    <w:rsid w:val="4EB0F81C"/>
    <w:rsid w:val="4EB14864"/>
    <w:rsid w:val="4EB20929"/>
    <w:rsid w:val="4EB339F6"/>
    <w:rsid w:val="4EB392B2"/>
    <w:rsid w:val="4EB3A2C4"/>
    <w:rsid w:val="4EB412DE"/>
    <w:rsid w:val="4EB42314"/>
    <w:rsid w:val="4EB57867"/>
    <w:rsid w:val="4EB5E5D9"/>
    <w:rsid w:val="4EB6CA35"/>
    <w:rsid w:val="4EB74404"/>
    <w:rsid w:val="4EB78D6D"/>
    <w:rsid w:val="4EB7DCAB"/>
    <w:rsid w:val="4EB7FA2E"/>
    <w:rsid w:val="4EBB4CB7"/>
    <w:rsid w:val="4EBDC783"/>
    <w:rsid w:val="4EBE009D"/>
    <w:rsid w:val="4EBE069A"/>
    <w:rsid w:val="4EBEEB14"/>
    <w:rsid w:val="4EBFF808"/>
    <w:rsid w:val="4EC12673"/>
    <w:rsid w:val="4EC1A42D"/>
    <w:rsid w:val="4EC1A895"/>
    <w:rsid w:val="4EC1DB1D"/>
    <w:rsid w:val="4EC279D9"/>
    <w:rsid w:val="4EC2DCB6"/>
    <w:rsid w:val="4EC2E33D"/>
    <w:rsid w:val="4EC39CF9"/>
    <w:rsid w:val="4EC4027F"/>
    <w:rsid w:val="4EC5CA54"/>
    <w:rsid w:val="4EC7DE58"/>
    <w:rsid w:val="4EC8B126"/>
    <w:rsid w:val="4EC97890"/>
    <w:rsid w:val="4ECA8E34"/>
    <w:rsid w:val="4ECAF923"/>
    <w:rsid w:val="4ECBB7F5"/>
    <w:rsid w:val="4ECC2317"/>
    <w:rsid w:val="4ECC904B"/>
    <w:rsid w:val="4ECCF4BD"/>
    <w:rsid w:val="4ECE36D7"/>
    <w:rsid w:val="4ECE6BAE"/>
    <w:rsid w:val="4ECEB17A"/>
    <w:rsid w:val="4ECEC879"/>
    <w:rsid w:val="4ECFBF83"/>
    <w:rsid w:val="4ED01175"/>
    <w:rsid w:val="4ED027A5"/>
    <w:rsid w:val="4ED052BE"/>
    <w:rsid w:val="4ED0A8C4"/>
    <w:rsid w:val="4ED0E4C6"/>
    <w:rsid w:val="4ED0E816"/>
    <w:rsid w:val="4ED12FC0"/>
    <w:rsid w:val="4ED1375A"/>
    <w:rsid w:val="4ED15FDE"/>
    <w:rsid w:val="4ED21317"/>
    <w:rsid w:val="4ED340D0"/>
    <w:rsid w:val="4ED39768"/>
    <w:rsid w:val="4ED3B443"/>
    <w:rsid w:val="4ED3DA4B"/>
    <w:rsid w:val="4ED4F56D"/>
    <w:rsid w:val="4ED61F79"/>
    <w:rsid w:val="4ED64A1B"/>
    <w:rsid w:val="4ED710AB"/>
    <w:rsid w:val="4ED7787B"/>
    <w:rsid w:val="4ED77CD3"/>
    <w:rsid w:val="4ED7D223"/>
    <w:rsid w:val="4ED8F5AF"/>
    <w:rsid w:val="4ED97DC7"/>
    <w:rsid w:val="4ED9BE96"/>
    <w:rsid w:val="4EDBA86B"/>
    <w:rsid w:val="4EDBB28B"/>
    <w:rsid w:val="4EDBC63A"/>
    <w:rsid w:val="4EDC75E7"/>
    <w:rsid w:val="4EDE693B"/>
    <w:rsid w:val="4EDEB297"/>
    <w:rsid w:val="4EDF72A2"/>
    <w:rsid w:val="4EE20099"/>
    <w:rsid w:val="4EE49A25"/>
    <w:rsid w:val="4EE5AAE8"/>
    <w:rsid w:val="4EE5EE2F"/>
    <w:rsid w:val="4EE64DF2"/>
    <w:rsid w:val="4EE6BE2F"/>
    <w:rsid w:val="4EE8442A"/>
    <w:rsid w:val="4EE86305"/>
    <w:rsid w:val="4EE90559"/>
    <w:rsid w:val="4EEA584B"/>
    <w:rsid w:val="4EEAEB71"/>
    <w:rsid w:val="4EEB12B5"/>
    <w:rsid w:val="4EEB27B2"/>
    <w:rsid w:val="4EEB5989"/>
    <w:rsid w:val="4EEC626F"/>
    <w:rsid w:val="4EEC7E02"/>
    <w:rsid w:val="4EED73B4"/>
    <w:rsid w:val="4EEE276B"/>
    <w:rsid w:val="4EEE785E"/>
    <w:rsid w:val="4EF09849"/>
    <w:rsid w:val="4EF19674"/>
    <w:rsid w:val="4EF3EB36"/>
    <w:rsid w:val="4EF40E92"/>
    <w:rsid w:val="4EF572D4"/>
    <w:rsid w:val="4EF616F0"/>
    <w:rsid w:val="4EF64A63"/>
    <w:rsid w:val="4EF6ACF3"/>
    <w:rsid w:val="4EF6C55C"/>
    <w:rsid w:val="4EF7E903"/>
    <w:rsid w:val="4EF81050"/>
    <w:rsid w:val="4EF9F9AA"/>
    <w:rsid w:val="4EFAAE24"/>
    <w:rsid w:val="4EFB5E98"/>
    <w:rsid w:val="4EFBE12C"/>
    <w:rsid w:val="4EFD4DF7"/>
    <w:rsid w:val="4F005D91"/>
    <w:rsid w:val="4F009E6D"/>
    <w:rsid w:val="4F0313AB"/>
    <w:rsid w:val="4F05BE33"/>
    <w:rsid w:val="4F07222B"/>
    <w:rsid w:val="4F0776D7"/>
    <w:rsid w:val="4F080C4F"/>
    <w:rsid w:val="4F08578D"/>
    <w:rsid w:val="4F08E8DF"/>
    <w:rsid w:val="4F098012"/>
    <w:rsid w:val="4F09C788"/>
    <w:rsid w:val="4F09CDAB"/>
    <w:rsid w:val="4F0A6088"/>
    <w:rsid w:val="4F0A8B7B"/>
    <w:rsid w:val="4F0CE130"/>
    <w:rsid w:val="4F0E344C"/>
    <w:rsid w:val="4F0E501D"/>
    <w:rsid w:val="4F0ED684"/>
    <w:rsid w:val="4F0FEC31"/>
    <w:rsid w:val="4F101769"/>
    <w:rsid w:val="4F10232E"/>
    <w:rsid w:val="4F102544"/>
    <w:rsid w:val="4F10A98E"/>
    <w:rsid w:val="4F10BF16"/>
    <w:rsid w:val="4F11196A"/>
    <w:rsid w:val="4F129CD3"/>
    <w:rsid w:val="4F13D4FB"/>
    <w:rsid w:val="4F150EDE"/>
    <w:rsid w:val="4F153BBB"/>
    <w:rsid w:val="4F157807"/>
    <w:rsid w:val="4F174046"/>
    <w:rsid w:val="4F177981"/>
    <w:rsid w:val="4F17E58A"/>
    <w:rsid w:val="4F18930C"/>
    <w:rsid w:val="4F18BA47"/>
    <w:rsid w:val="4F1946EB"/>
    <w:rsid w:val="4F19DF0B"/>
    <w:rsid w:val="4F1A0B59"/>
    <w:rsid w:val="4F1A1901"/>
    <w:rsid w:val="4F1A1A9C"/>
    <w:rsid w:val="4F1A3EB0"/>
    <w:rsid w:val="4F1B2387"/>
    <w:rsid w:val="4F1B688E"/>
    <w:rsid w:val="4F1B9673"/>
    <w:rsid w:val="4F1CE349"/>
    <w:rsid w:val="4F1E9A12"/>
    <w:rsid w:val="4F1F6846"/>
    <w:rsid w:val="4F202D10"/>
    <w:rsid w:val="4F205A37"/>
    <w:rsid w:val="4F22E04F"/>
    <w:rsid w:val="4F240D68"/>
    <w:rsid w:val="4F244DAC"/>
    <w:rsid w:val="4F246C8E"/>
    <w:rsid w:val="4F25178D"/>
    <w:rsid w:val="4F25DFF2"/>
    <w:rsid w:val="4F25ED04"/>
    <w:rsid w:val="4F269832"/>
    <w:rsid w:val="4F26A235"/>
    <w:rsid w:val="4F26ABCE"/>
    <w:rsid w:val="4F26C7A9"/>
    <w:rsid w:val="4F26C8E6"/>
    <w:rsid w:val="4F275BA2"/>
    <w:rsid w:val="4F27C59B"/>
    <w:rsid w:val="4F28ECB7"/>
    <w:rsid w:val="4F29188E"/>
    <w:rsid w:val="4F298B3B"/>
    <w:rsid w:val="4F2B31DE"/>
    <w:rsid w:val="4F2B3FFF"/>
    <w:rsid w:val="4F2B57AA"/>
    <w:rsid w:val="4F2B669C"/>
    <w:rsid w:val="4F2BC3EC"/>
    <w:rsid w:val="4F2C2249"/>
    <w:rsid w:val="4F2C86F2"/>
    <w:rsid w:val="4F2D5BD7"/>
    <w:rsid w:val="4F2D7F2D"/>
    <w:rsid w:val="4F2E8293"/>
    <w:rsid w:val="4F2F72F6"/>
    <w:rsid w:val="4F2FAC17"/>
    <w:rsid w:val="4F305BD3"/>
    <w:rsid w:val="4F31A2ED"/>
    <w:rsid w:val="4F32423E"/>
    <w:rsid w:val="4F32AE68"/>
    <w:rsid w:val="4F32E83A"/>
    <w:rsid w:val="4F345C00"/>
    <w:rsid w:val="4F346616"/>
    <w:rsid w:val="4F34E89E"/>
    <w:rsid w:val="4F3519A0"/>
    <w:rsid w:val="4F356586"/>
    <w:rsid w:val="4F36D39E"/>
    <w:rsid w:val="4F36F7BC"/>
    <w:rsid w:val="4F370F9B"/>
    <w:rsid w:val="4F3895ED"/>
    <w:rsid w:val="4F391C5D"/>
    <w:rsid w:val="4F39434E"/>
    <w:rsid w:val="4F3C80F6"/>
    <w:rsid w:val="4F3D1FE8"/>
    <w:rsid w:val="4F3D6A02"/>
    <w:rsid w:val="4F3E21B9"/>
    <w:rsid w:val="4F3E4623"/>
    <w:rsid w:val="4F3EBE17"/>
    <w:rsid w:val="4F3F1CBE"/>
    <w:rsid w:val="4F3F388A"/>
    <w:rsid w:val="4F3F75E6"/>
    <w:rsid w:val="4F3F96F5"/>
    <w:rsid w:val="4F3FC63E"/>
    <w:rsid w:val="4F4032E6"/>
    <w:rsid w:val="4F408BD2"/>
    <w:rsid w:val="4F40D68F"/>
    <w:rsid w:val="4F40E6D5"/>
    <w:rsid w:val="4F4101FF"/>
    <w:rsid w:val="4F412E26"/>
    <w:rsid w:val="4F418248"/>
    <w:rsid w:val="4F42479F"/>
    <w:rsid w:val="4F4313EC"/>
    <w:rsid w:val="4F4328CB"/>
    <w:rsid w:val="4F4347C5"/>
    <w:rsid w:val="4F44A093"/>
    <w:rsid w:val="4F474468"/>
    <w:rsid w:val="4F474ED4"/>
    <w:rsid w:val="4F47C8D2"/>
    <w:rsid w:val="4F4820AB"/>
    <w:rsid w:val="4F486C75"/>
    <w:rsid w:val="4F48C3E5"/>
    <w:rsid w:val="4F49160E"/>
    <w:rsid w:val="4F498C90"/>
    <w:rsid w:val="4F49A377"/>
    <w:rsid w:val="4F4A10E4"/>
    <w:rsid w:val="4F4A1CBB"/>
    <w:rsid w:val="4F4B5668"/>
    <w:rsid w:val="4F4B91C1"/>
    <w:rsid w:val="4F4C2353"/>
    <w:rsid w:val="4F4C726E"/>
    <w:rsid w:val="4F4EA1BF"/>
    <w:rsid w:val="4F4F9B84"/>
    <w:rsid w:val="4F4FD84F"/>
    <w:rsid w:val="4F510614"/>
    <w:rsid w:val="4F52AADF"/>
    <w:rsid w:val="4F536BF6"/>
    <w:rsid w:val="4F53B153"/>
    <w:rsid w:val="4F5423EC"/>
    <w:rsid w:val="4F542BB7"/>
    <w:rsid w:val="4F5490E0"/>
    <w:rsid w:val="4F5504A0"/>
    <w:rsid w:val="4F5677C2"/>
    <w:rsid w:val="4F5741D7"/>
    <w:rsid w:val="4F57B5FD"/>
    <w:rsid w:val="4F57BAFA"/>
    <w:rsid w:val="4F58A53E"/>
    <w:rsid w:val="4F5901B4"/>
    <w:rsid w:val="4F5B2717"/>
    <w:rsid w:val="4F5C6376"/>
    <w:rsid w:val="4F5CBF28"/>
    <w:rsid w:val="4F5D24DE"/>
    <w:rsid w:val="4F5ED956"/>
    <w:rsid w:val="4F5EDC6D"/>
    <w:rsid w:val="4F5F4B69"/>
    <w:rsid w:val="4F600191"/>
    <w:rsid w:val="4F610F6A"/>
    <w:rsid w:val="4F618404"/>
    <w:rsid w:val="4F618B74"/>
    <w:rsid w:val="4F618BA0"/>
    <w:rsid w:val="4F6259E9"/>
    <w:rsid w:val="4F627222"/>
    <w:rsid w:val="4F63666E"/>
    <w:rsid w:val="4F644F05"/>
    <w:rsid w:val="4F650D0B"/>
    <w:rsid w:val="4F654E9D"/>
    <w:rsid w:val="4F65B5C0"/>
    <w:rsid w:val="4F65E643"/>
    <w:rsid w:val="4F669804"/>
    <w:rsid w:val="4F6782BE"/>
    <w:rsid w:val="4F688A10"/>
    <w:rsid w:val="4F68B80F"/>
    <w:rsid w:val="4F68DF7E"/>
    <w:rsid w:val="4F699771"/>
    <w:rsid w:val="4F6A22C6"/>
    <w:rsid w:val="4F6A8B5B"/>
    <w:rsid w:val="4F6ABCD1"/>
    <w:rsid w:val="4F6AE565"/>
    <w:rsid w:val="4F6B2A98"/>
    <w:rsid w:val="4F6B466D"/>
    <w:rsid w:val="4F6BDB83"/>
    <w:rsid w:val="4F6C4E5B"/>
    <w:rsid w:val="4F6C5A9F"/>
    <w:rsid w:val="4F6C8F18"/>
    <w:rsid w:val="4F6CEF83"/>
    <w:rsid w:val="4F6D1A78"/>
    <w:rsid w:val="4F6DF049"/>
    <w:rsid w:val="4F6E0470"/>
    <w:rsid w:val="4F6E90A0"/>
    <w:rsid w:val="4F6EC192"/>
    <w:rsid w:val="4F6FB960"/>
    <w:rsid w:val="4F6FE2BF"/>
    <w:rsid w:val="4F706963"/>
    <w:rsid w:val="4F707925"/>
    <w:rsid w:val="4F71D4A1"/>
    <w:rsid w:val="4F71E630"/>
    <w:rsid w:val="4F71FBBF"/>
    <w:rsid w:val="4F72E38E"/>
    <w:rsid w:val="4F735CA9"/>
    <w:rsid w:val="4F73B86F"/>
    <w:rsid w:val="4F746EC6"/>
    <w:rsid w:val="4F7477A8"/>
    <w:rsid w:val="4F754942"/>
    <w:rsid w:val="4F76ABCB"/>
    <w:rsid w:val="4F777194"/>
    <w:rsid w:val="4F77B39B"/>
    <w:rsid w:val="4F791771"/>
    <w:rsid w:val="4F795BE4"/>
    <w:rsid w:val="4F7962F4"/>
    <w:rsid w:val="4F797983"/>
    <w:rsid w:val="4F79BBE9"/>
    <w:rsid w:val="4F7A1F6B"/>
    <w:rsid w:val="4F7A82EA"/>
    <w:rsid w:val="4F7B0AF2"/>
    <w:rsid w:val="4F7B52D0"/>
    <w:rsid w:val="4F7C3F54"/>
    <w:rsid w:val="4F7E41A4"/>
    <w:rsid w:val="4F7EEF7C"/>
    <w:rsid w:val="4F7F7BA2"/>
    <w:rsid w:val="4F7FDD5F"/>
    <w:rsid w:val="4F8013C8"/>
    <w:rsid w:val="4F8139FB"/>
    <w:rsid w:val="4F815BFE"/>
    <w:rsid w:val="4F81CA56"/>
    <w:rsid w:val="4F82003E"/>
    <w:rsid w:val="4F826945"/>
    <w:rsid w:val="4F830D74"/>
    <w:rsid w:val="4F8419CC"/>
    <w:rsid w:val="4F8483A6"/>
    <w:rsid w:val="4F849122"/>
    <w:rsid w:val="4F856FCA"/>
    <w:rsid w:val="4F86FD4A"/>
    <w:rsid w:val="4F87C883"/>
    <w:rsid w:val="4F8800EE"/>
    <w:rsid w:val="4F88CDF1"/>
    <w:rsid w:val="4F88E4CC"/>
    <w:rsid w:val="4F89F788"/>
    <w:rsid w:val="4F8AF486"/>
    <w:rsid w:val="4F8C95D3"/>
    <w:rsid w:val="4F8CC76E"/>
    <w:rsid w:val="4F8D020D"/>
    <w:rsid w:val="4F8E8F0A"/>
    <w:rsid w:val="4F8EE7F7"/>
    <w:rsid w:val="4F8F216F"/>
    <w:rsid w:val="4F8FA444"/>
    <w:rsid w:val="4F90D767"/>
    <w:rsid w:val="4F91E909"/>
    <w:rsid w:val="4F926BD7"/>
    <w:rsid w:val="4F92A31F"/>
    <w:rsid w:val="4F92CF65"/>
    <w:rsid w:val="4F932DFE"/>
    <w:rsid w:val="4F93FD38"/>
    <w:rsid w:val="4F9518C9"/>
    <w:rsid w:val="4F9537C3"/>
    <w:rsid w:val="4F95C68A"/>
    <w:rsid w:val="4F95CCBF"/>
    <w:rsid w:val="4F96ABC6"/>
    <w:rsid w:val="4F96BFF1"/>
    <w:rsid w:val="4F96DAC9"/>
    <w:rsid w:val="4F97FECB"/>
    <w:rsid w:val="4F9875F1"/>
    <w:rsid w:val="4F98E1B5"/>
    <w:rsid w:val="4F993B01"/>
    <w:rsid w:val="4F995371"/>
    <w:rsid w:val="4F99A1A9"/>
    <w:rsid w:val="4F99A542"/>
    <w:rsid w:val="4F9A35FD"/>
    <w:rsid w:val="4F9AFB40"/>
    <w:rsid w:val="4F9B5A65"/>
    <w:rsid w:val="4F9BCB74"/>
    <w:rsid w:val="4F9C3449"/>
    <w:rsid w:val="4F9C6F4F"/>
    <w:rsid w:val="4F9C76C2"/>
    <w:rsid w:val="4F9D33C8"/>
    <w:rsid w:val="4F9D3ABA"/>
    <w:rsid w:val="4F9D5017"/>
    <w:rsid w:val="4F9D9988"/>
    <w:rsid w:val="4F9DC15E"/>
    <w:rsid w:val="4F9DD549"/>
    <w:rsid w:val="4F9FCAA1"/>
    <w:rsid w:val="4F9FDDCB"/>
    <w:rsid w:val="4FA073EA"/>
    <w:rsid w:val="4FA0CAF1"/>
    <w:rsid w:val="4FA11081"/>
    <w:rsid w:val="4FA2B37E"/>
    <w:rsid w:val="4FA34D92"/>
    <w:rsid w:val="4FA3F2CC"/>
    <w:rsid w:val="4FA42AFD"/>
    <w:rsid w:val="4FA43A50"/>
    <w:rsid w:val="4FA53E5B"/>
    <w:rsid w:val="4FA54471"/>
    <w:rsid w:val="4FA63C73"/>
    <w:rsid w:val="4FA66FE7"/>
    <w:rsid w:val="4FA815D1"/>
    <w:rsid w:val="4FA8E6EC"/>
    <w:rsid w:val="4FAB6EAA"/>
    <w:rsid w:val="4FABABF9"/>
    <w:rsid w:val="4FAC282D"/>
    <w:rsid w:val="4FAC5889"/>
    <w:rsid w:val="4FAC8814"/>
    <w:rsid w:val="4FACD55A"/>
    <w:rsid w:val="4FAD8B26"/>
    <w:rsid w:val="4FADB311"/>
    <w:rsid w:val="4FAE107D"/>
    <w:rsid w:val="4FAE571F"/>
    <w:rsid w:val="4FAF7EE1"/>
    <w:rsid w:val="4FB031AC"/>
    <w:rsid w:val="4FB06E70"/>
    <w:rsid w:val="4FB17745"/>
    <w:rsid w:val="4FB353EB"/>
    <w:rsid w:val="4FB40423"/>
    <w:rsid w:val="4FB47C77"/>
    <w:rsid w:val="4FB4CD09"/>
    <w:rsid w:val="4FB68FDD"/>
    <w:rsid w:val="4FB79718"/>
    <w:rsid w:val="4FB7E1D8"/>
    <w:rsid w:val="4FBA6DF5"/>
    <w:rsid w:val="4FBAD1C6"/>
    <w:rsid w:val="4FBAE5D6"/>
    <w:rsid w:val="4FBB466C"/>
    <w:rsid w:val="4FBC20D0"/>
    <w:rsid w:val="4FBC51E2"/>
    <w:rsid w:val="4FBDB63B"/>
    <w:rsid w:val="4FBE36E4"/>
    <w:rsid w:val="4FBF6E35"/>
    <w:rsid w:val="4FC15DCD"/>
    <w:rsid w:val="4FC19B9F"/>
    <w:rsid w:val="4FC2A98C"/>
    <w:rsid w:val="4FC304B8"/>
    <w:rsid w:val="4FC30EE0"/>
    <w:rsid w:val="4FC424C4"/>
    <w:rsid w:val="4FC54B50"/>
    <w:rsid w:val="4FC60426"/>
    <w:rsid w:val="4FC635DE"/>
    <w:rsid w:val="4FC6C0D5"/>
    <w:rsid w:val="4FC6CFFB"/>
    <w:rsid w:val="4FC6FD03"/>
    <w:rsid w:val="4FC77E2E"/>
    <w:rsid w:val="4FC7E0F3"/>
    <w:rsid w:val="4FC898A8"/>
    <w:rsid w:val="4FC912C3"/>
    <w:rsid w:val="4FC91CA3"/>
    <w:rsid w:val="4FC93BD1"/>
    <w:rsid w:val="4FC9A53A"/>
    <w:rsid w:val="4FCA9C16"/>
    <w:rsid w:val="4FCAC81D"/>
    <w:rsid w:val="4FCB8A7F"/>
    <w:rsid w:val="4FCC8C9C"/>
    <w:rsid w:val="4FCE18FD"/>
    <w:rsid w:val="4FCE6A3B"/>
    <w:rsid w:val="4FCFFAE5"/>
    <w:rsid w:val="4FD0D743"/>
    <w:rsid w:val="4FD188BD"/>
    <w:rsid w:val="4FD2322D"/>
    <w:rsid w:val="4FD2B7EE"/>
    <w:rsid w:val="4FD320A5"/>
    <w:rsid w:val="4FD3EFC1"/>
    <w:rsid w:val="4FD408C6"/>
    <w:rsid w:val="4FD4214F"/>
    <w:rsid w:val="4FD5563F"/>
    <w:rsid w:val="4FD58D72"/>
    <w:rsid w:val="4FD61920"/>
    <w:rsid w:val="4FD65C03"/>
    <w:rsid w:val="4FD80C86"/>
    <w:rsid w:val="4FD83CB3"/>
    <w:rsid w:val="4FD8915B"/>
    <w:rsid w:val="4FD98AE3"/>
    <w:rsid w:val="4FD9BAFC"/>
    <w:rsid w:val="4FD9C70F"/>
    <w:rsid w:val="4FDB5BA5"/>
    <w:rsid w:val="4FDB67AA"/>
    <w:rsid w:val="4FDBBACB"/>
    <w:rsid w:val="4FDC43F0"/>
    <w:rsid w:val="4FDC4B34"/>
    <w:rsid w:val="4FDCC109"/>
    <w:rsid w:val="4FDCE948"/>
    <w:rsid w:val="4FDDE803"/>
    <w:rsid w:val="4FDE2758"/>
    <w:rsid w:val="4FDE4533"/>
    <w:rsid w:val="4FDE6AE0"/>
    <w:rsid w:val="4FDF48B0"/>
    <w:rsid w:val="4FE011A7"/>
    <w:rsid w:val="4FE050FC"/>
    <w:rsid w:val="4FE095BF"/>
    <w:rsid w:val="4FE0D7D1"/>
    <w:rsid w:val="4FE21D21"/>
    <w:rsid w:val="4FE2AE76"/>
    <w:rsid w:val="4FE2D641"/>
    <w:rsid w:val="4FE2DB00"/>
    <w:rsid w:val="4FE364B3"/>
    <w:rsid w:val="4FE4146A"/>
    <w:rsid w:val="4FE4263D"/>
    <w:rsid w:val="4FE47E01"/>
    <w:rsid w:val="4FE570D3"/>
    <w:rsid w:val="4FE5CC21"/>
    <w:rsid w:val="4FE5D0EE"/>
    <w:rsid w:val="4FE72A71"/>
    <w:rsid w:val="4FE72D9C"/>
    <w:rsid w:val="4FE76CBE"/>
    <w:rsid w:val="4FE7B3AB"/>
    <w:rsid w:val="4FED1197"/>
    <w:rsid w:val="4FED78CA"/>
    <w:rsid w:val="4FEF5E07"/>
    <w:rsid w:val="4FEF8768"/>
    <w:rsid w:val="4FF04DAC"/>
    <w:rsid w:val="4FF0BD37"/>
    <w:rsid w:val="4FF0C658"/>
    <w:rsid w:val="4FF1292B"/>
    <w:rsid w:val="4FF1FADD"/>
    <w:rsid w:val="4FF25970"/>
    <w:rsid w:val="4FF26021"/>
    <w:rsid w:val="4FF33863"/>
    <w:rsid w:val="4FF34F00"/>
    <w:rsid w:val="4FF50A08"/>
    <w:rsid w:val="4FF5444E"/>
    <w:rsid w:val="4FF55D5C"/>
    <w:rsid w:val="4FF56336"/>
    <w:rsid w:val="4FF59AEC"/>
    <w:rsid w:val="4FF6922A"/>
    <w:rsid w:val="4FF6F62C"/>
    <w:rsid w:val="4FF71BD3"/>
    <w:rsid w:val="4FF758DA"/>
    <w:rsid w:val="4FF8358D"/>
    <w:rsid w:val="4FF88A31"/>
    <w:rsid w:val="4FF892EE"/>
    <w:rsid w:val="4FF8A4A3"/>
    <w:rsid w:val="4FF8CD8E"/>
    <w:rsid w:val="4FF9BCF7"/>
    <w:rsid w:val="4FFA7793"/>
    <w:rsid w:val="4FFBE486"/>
    <w:rsid w:val="4FFBFC7F"/>
    <w:rsid w:val="4FFCB5DF"/>
    <w:rsid w:val="4FFF9FCB"/>
    <w:rsid w:val="50003C2C"/>
    <w:rsid w:val="5000D266"/>
    <w:rsid w:val="5003717F"/>
    <w:rsid w:val="50040656"/>
    <w:rsid w:val="50042E7F"/>
    <w:rsid w:val="5004F67D"/>
    <w:rsid w:val="5005B52B"/>
    <w:rsid w:val="50063D25"/>
    <w:rsid w:val="5006BCB2"/>
    <w:rsid w:val="50071055"/>
    <w:rsid w:val="500836B5"/>
    <w:rsid w:val="5008BA5D"/>
    <w:rsid w:val="5008F6E1"/>
    <w:rsid w:val="50092754"/>
    <w:rsid w:val="5009EBD5"/>
    <w:rsid w:val="500A39F8"/>
    <w:rsid w:val="500AB053"/>
    <w:rsid w:val="500AD925"/>
    <w:rsid w:val="500AE79D"/>
    <w:rsid w:val="500B7B0F"/>
    <w:rsid w:val="500B9D4E"/>
    <w:rsid w:val="500BD9E8"/>
    <w:rsid w:val="500C7607"/>
    <w:rsid w:val="500CB30B"/>
    <w:rsid w:val="500D3E39"/>
    <w:rsid w:val="500DD887"/>
    <w:rsid w:val="500E1D8C"/>
    <w:rsid w:val="500E23C7"/>
    <w:rsid w:val="500E43D4"/>
    <w:rsid w:val="500EB5F2"/>
    <w:rsid w:val="500F0B15"/>
    <w:rsid w:val="500F4444"/>
    <w:rsid w:val="500FF95E"/>
    <w:rsid w:val="500FFCCB"/>
    <w:rsid w:val="5010B2D7"/>
    <w:rsid w:val="5011083C"/>
    <w:rsid w:val="50130F94"/>
    <w:rsid w:val="50134501"/>
    <w:rsid w:val="50142C31"/>
    <w:rsid w:val="5014F8F1"/>
    <w:rsid w:val="5015438B"/>
    <w:rsid w:val="50155D0A"/>
    <w:rsid w:val="5016BD19"/>
    <w:rsid w:val="5017B965"/>
    <w:rsid w:val="50180549"/>
    <w:rsid w:val="5018879C"/>
    <w:rsid w:val="501952A3"/>
    <w:rsid w:val="5019579A"/>
    <w:rsid w:val="501A107B"/>
    <w:rsid w:val="501A4837"/>
    <w:rsid w:val="501B8008"/>
    <w:rsid w:val="501BFBD1"/>
    <w:rsid w:val="501C9B74"/>
    <w:rsid w:val="501D3B03"/>
    <w:rsid w:val="501D6D03"/>
    <w:rsid w:val="501DB524"/>
    <w:rsid w:val="501EFA2A"/>
    <w:rsid w:val="501F338A"/>
    <w:rsid w:val="50200BAB"/>
    <w:rsid w:val="50213F58"/>
    <w:rsid w:val="50214E37"/>
    <w:rsid w:val="50216021"/>
    <w:rsid w:val="502188EE"/>
    <w:rsid w:val="5021A38A"/>
    <w:rsid w:val="5021BD7A"/>
    <w:rsid w:val="50230235"/>
    <w:rsid w:val="50242EBC"/>
    <w:rsid w:val="50265180"/>
    <w:rsid w:val="502662C8"/>
    <w:rsid w:val="5026CD6F"/>
    <w:rsid w:val="5027A080"/>
    <w:rsid w:val="5027B99D"/>
    <w:rsid w:val="5027C020"/>
    <w:rsid w:val="5027C371"/>
    <w:rsid w:val="5027EF17"/>
    <w:rsid w:val="5027F087"/>
    <w:rsid w:val="502898DE"/>
    <w:rsid w:val="5029254F"/>
    <w:rsid w:val="502932B8"/>
    <w:rsid w:val="5029746E"/>
    <w:rsid w:val="5029BBE4"/>
    <w:rsid w:val="502A23AF"/>
    <w:rsid w:val="502A7A9B"/>
    <w:rsid w:val="502B0BCA"/>
    <w:rsid w:val="502B8C61"/>
    <w:rsid w:val="502BEC80"/>
    <w:rsid w:val="502BF05C"/>
    <w:rsid w:val="502C3B61"/>
    <w:rsid w:val="502C5A30"/>
    <w:rsid w:val="502CBBA5"/>
    <w:rsid w:val="502CE442"/>
    <w:rsid w:val="502D5561"/>
    <w:rsid w:val="502D7DE2"/>
    <w:rsid w:val="502E4719"/>
    <w:rsid w:val="502EC740"/>
    <w:rsid w:val="502F655C"/>
    <w:rsid w:val="503068BC"/>
    <w:rsid w:val="5030C583"/>
    <w:rsid w:val="5030D654"/>
    <w:rsid w:val="5031ACC2"/>
    <w:rsid w:val="5032B3BC"/>
    <w:rsid w:val="50330769"/>
    <w:rsid w:val="50335DAC"/>
    <w:rsid w:val="5034AC61"/>
    <w:rsid w:val="5034B46D"/>
    <w:rsid w:val="5034FECF"/>
    <w:rsid w:val="50350ADF"/>
    <w:rsid w:val="5035BC68"/>
    <w:rsid w:val="503661EE"/>
    <w:rsid w:val="50366941"/>
    <w:rsid w:val="50368298"/>
    <w:rsid w:val="5036A887"/>
    <w:rsid w:val="50372D9A"/>
    <w:rsid w:val="50380F6B"/>
    <w:rsid w:val="50386BDA"/>
    <w:rsid w:val="5038815C"/>
    <w:rsid w:val="50398D66"/>
    <w:rsid w:val="503A15F3"/>
    <w:rsid w:val="503A6637"/>
    <w:rsid w:val="503AA488"/>
    <w:rsid w:val="503ACF08"/>
    <w:rsid w:val="503B05F1"/>
    <w:rsid w:val="503B563A"/>
    <w:rsid w:val="503B5EA3"/>
    <w:rsid w:val="503B7AF0"/>
    <w:rsid w:val="503B9819"/>
    <w:rsid w:val="503C03C7"/>
    <w:rsid w:val="503C16BF"/>
    <w:rsid w:val="503C80FE"/>
    <w:rsid w:val="503CD166"/>
    <w:rsid w:val="503D27B9"/>
    <w:rsid w:val="503D4723"/>
    <w:rsid w:val="503EB90A"/>
    <w:rsid w:val="503F7197"/>
    <w:rsid w:val="503FECF2"/>
    <w:rsid w:val="504041B8"/>
    <w:rsid w:val="504142A9"/>
    <w:rsid w:val="50423BA1"/>
    <w:rsid w:val="5042F82C"/>
    <w:rsid w:val="50442F22"/>
    <w:rsid w:val="50444B54"/>
    <w:rsid w:val="5044B341"/>
    <w:rsid w:val="5044BEB1"/>
    <w:rsid w:val="504515E3"/>
    <w:rsid w:val="50453081"/>
    <w:rsid w:val="50473FF9"/>
    <w:rsid w:val="5047D7B8"/>
    <w:rsid w:val="504831B1"/>
    <w:rsid w:val="50484D5A"/>
    <w:rsid w:val="5049401D"/>
    <w:rsid w:val="504AC49C"/>
    <w:rsid w:val="504C2A12"/>
    <w:rsid w:val="504D2073"/>
    <w:rsid w:val="504D2641"/>
    <w:rsid w:val="504D2C0B"/>
    <w:rsid w:val="504D3ECA"/>
    <w:rsid w:val="504D62A7"/>
    <w:rsid w:val="504DD4E3"/>
    <w:rsid w:val="504E04C7"/>
    <w:rsid w:val="504E86C1"/>
    <w:rsid w:val="504F4E85"/>
    <w:rsid w:val="504F5A29"/>
    <w:rsid w:val="504FE961"/>
    <w:rsid w:val="50500168"/>
    <w:rsid w:val="505070A4"/>
    <w:rsid w:val="505162CE"/>
    <w:rsid w:val="505180AE"/>
    <w:rsid w:val="50528297"/>
    <w:rsid w:val="50532DC0"/>
    <w:rsid w:val="5053DA17"/>
    <w:rsid w:val="50559E89"/>
    <w:rsid w:val="5055A13C"/>
    <w:rsid w:val="5055A736"/>
    <w:rsid w:val="5056CB1C"/>
    <w:rsid w:val="5056EB13"/>
    <w:rsid w:val="5057E8B1"/>
    <w:rsid w:val="50583A17"/>
    <w:rsid w:val="50584972"/>
    <w:rsid w:val="50584B0A"/>
    <w:rsid w:val="50591CE6"/>
    <w:rsid w:val="5059A27D"/>
    <w:rsid w:val="505B35F6"/>
    <w:rsid w:val="505B9465"/>
    <w:rsid w:val="505BA895"/>
    <w:rsid w:val="505BF6D5"/>
    <w:rsid w:val="505E79CE"/>
    <w:rsid w:val="505ED738"/>
    <w:rsid w:val="505ED760"/>
    <w:rsid w:val="505F45EC"/>
    <w:rsid w:val="50602A4D"/>
    <w:rsid w:val="506147CF"/>
    <w:rsid w:val="506280BB"/>
    <w:rsid w:val="50634D78"/>
    <w:rsid w:val="506367A6"/>
    <w:rsid w:val="5063802E"/>
    <w:rsid w:val="5063AA7F"/>
    <w:rsid w:val="506419B5"/>
    <w:rsid w:val="506426E2"/>
    <w:rsid w:val="5064A4BC"/>
    <w:rsid w:val="5064B124"/>
    <w:rsid w:val="5064BCDF"/>
    <w:rsid w:val="5065ADF9"/>
    <w:rsid w:val="5065D2B4"/>
    <w:rsid w:val="5065D872"/>
    <w:rsid w:val="5065DC90"/>
    <w:rsid w:val="50670B36"/>
    <w:rsid w:val="50685B8B"/>
    <w:rsid w:val="506875A7"/>
    <w:rsid w:val="5068BEDD"/>
    <w:rsid w:val="5068DF49"/>
    <w:rsid w:val="50694F70"/>
    <w:rsid w:val="5069573B"/>
    <w:rsid w:val="5069BDCD"/>
    <w:rsid w:val="5069C110"/>
    <w:rsid w:val="506D34CE"/>
    <w:rsid w:val="506D7AFF"/>
    <w:rsid w:val="506DDBB1"/>
    <w:rsid w:val="506F707D"/>
    <w:rsid w:val="506F8382"/>
    <w:rsid w:val="506FD369"/>
    <w:rsid w:val="50702E15"/>
    <w:rsid w:val="50705020"/>
    <w:rsid w:val="5070621B"/>
    <w:rsid w:val="507188E9"/>
    <w:rsid w:val="5071A71D"/>
    <w:rsid w:val="50720721"/>
    <w:rsid w:val="507246EF"/>
    <w:rsid w:val="50728AA0"/>
    <w:rsid w:val="5072ECDA"/>
    <w:rsid w:val="50730A13"/>
    <w:rsid w:val="50733EB0"/>
    <w:rsid w:val="50735FB7"/>
    <w:rsid w:val="5073CD17"/>
    <w:rsid w:val="5074249E"/>
    <w:rsid w:val="50742919"/>
    <w:rsid w:val="50745DCE"/>
    <w:rsid w:val="5074EE1B"/>
    <w:rsid w:val="507551A0"/>
    <w:rsid w:val="507578E3"/>
    <w:rsid w:val="5075FF42"/>
    <w:rsid w:val="5077F701"/>
    <w:rsid w:val="5078495C"/>
    <w:rsid w:val="50789610"/>
    <w:rsid w:val="507897E2"/>
    <w:rsid w:val="5078B141"/>
    <w:rsid w:val="5078DAB7"/>
    <w:rsid w:val="5078EA9B"/>
    <w:rsid w:val="50791FAD"/>
    <w:rsid w:val="507A192F"/>
    <w:rsid w:val="507A757E"/>
    <w:rsid w:val="507AF256"/>
    <w:rsid w:val="507B1E48"/>
    <w:rsid w:val="507B3E3B"/>
    <w:rsid w:val="507C0C1B"/>
    <w:rsid w:val="507C4CCD"/>
    <w:rsid w:val="507C6A88"/>
    <w:rsid w:val="507C8B59"/>
    <w:rsid w:val="507CFC53"/>
    <w:rsid w:val="507D2596"/>
    <w:rsid w:val="507D2FD3"/>
    <w:rsid w:val="507F6D2A"/>
    <w:rsid w:val="507F6D52"/>
    <w:rsid w:val="50835774"/>
    <w:rsid w:val="50836253"/>
    <w:rsid w:val="50849915"/>
    <w:rsid w:val="508554AB"/>
    <w:rsid w:val="5085619B"/>
    <w:rsid w:val="50857E84"/>
    <w:rsid w:val="5086C3A8"/>
    <w:rsid w:val="5087CED2"/>
    <w:rsid w:val="50880ED5"/>
    <w:rsid w:val="50886B61"/>
    <w:rsid w:val="5088F207"/>
    <w:rsid w:val="50891E1B"/>
    <w:rsid w:val="50897DCA"/>
    <w:rsid w:val="508ABB69"/>
    <w:rsid w:val="508C16DD"/>
    <w:rsid w:val="508CC34B"/>
    <w:rsid w:val="508D3B3B"/>
    <w:rsid w:val="508DD2CE"/>
    <w:rsid w:val="508E5B0E"/>
    <w:rsid w:val="508E96B2"/>
    <w:rsid w:val="508F75A1"/>
    <w:rsid w:val="508F9AD3"/>
    <w:rsid w:val="50912604"/>
    <w:rsid w:val="5091F0F7"/>
    <w:rsid w:val="50932D40"/>
    <w:rsid w:val="50945B41"/>
    <w:rsid w:val="50945C3C"/>
    <w:rsid w:val="50956970"/>
    <w:rsid w:val="50957E6A"/>
    <w:rsid w:val="50968E9C"/>
    <w:rsid w:val="5098F34D"/>
    <w:rsid w:val="50990764"/>
    <w:rsid w:val="509A17AB"/>
    <w:rsid w:val="509A3370"/>
    <w:rsid w:val="509B5079"/>
    <w:rsid w:val="509CB24A"/>
    <w:rsid w:val="509D32DE"/>
    <w:rsid w:val="509DE8E1"/>
    <w:rsid w:val="509F2E82"/>
    <w:rsid w:val="50A17105"/>
    <w:rsid w:val="50A211C2"/>
    <w:rsid w:val="50A3CAD6"/>
    <w:rsid w:val="50A41F01"/>
    <w:rsid w:val="50A5BEED"/>
    <w:rsid w:val="50A65303"/>
    <w:rsid w:val="50A6A466"/>
    <w:rsid w:val="50A6BE62"/>
    <w:rsid w:val="50A6E8FA"/>
    <w:rsid w:val="50A7667A"/>
    <w:rsid w:val="50A76F14"/>
    <w:rsid w:val="50A797A0"/>
    <w:rsid w:val="50A79E33"/>
    <w:rsid w:val="50A8B2A6"/>
    <w:rsid w:val="50AAE0B1"/>
    <w:rsid w:val="50AB4EEA"/>
    <w:rsid w:val="50ACF74B"/>
    <w:rsid w:val="50AD9728"/>
    <w:rsid w:val="50AD9DAE"/>
    <w:rsid w:val="50AE25AD"/>
    <w:rsid w:val="50AE8C44"/>
    <w:rsid w:val="50AF5566"/>
    <w:rsid w:val="50AF826E"/>
    <w:rsid w:val="50AF9704"/>
    <w:rsid w:val="50AFEE48"/>
    <w:rsid w:val="50B0BF91"/>
    <w:rsid w:val="50B148D8"/>
    <w:rsid w:val="50B26A2D"/>
    <w:rsid w:val="50B2C05D"/>
    <w:rsid w:val="50B34E0D"/>
    <w:rsid w:val="50B3781A"/>
    <w:rsid w:val="50B39AA1"/>
    <w:rsid w:val="50B51D0D"/>
    <w:rsid w:val="50B51E74"/>
    <w:rsid w:val="50B528C4"/>
    <w:rsid w:val="50B5C3BE"/>
    <w:rsid w:val="50B65E72"/>
    <w:rsid w:val="50B66569"/>
    <w:rsid w:val="50B68CCA"/>
    <w:rsid w:val="50B6BA0D"/>
    <w:rsid w:val="50B6C29E"/>
    <w:rsid w:val="50B6D669"/>
    <w:rsid w:val="50B6E106"/>
    <w:rsid w:val="50B713E7"/>
    <w:rsid w:val="50B7154C"/>
    <w:rsid w:val="50B8A058"/>
    <w:rsid w:val="50B8A8D5"/>
    <w:rsid w:val="50B8E840"/>
    <w:rsid w:val="50B9258A"/>
    <w:rsid w:val="50B96EB3"/>
    <w:rsid w:val="50BA81B4"/>
    <w:rsid w:val="50BC3730"/>
    <w:rsid w:val="50BC4D89"/>
    <w:rsid w:val="50BD4831"/>
    <w:rsid w:val="50BD6554"/>
    <w:rsid w:val="50BDCAC7"/>
    <w:rsid w:val="50BEA1B8"/>
    <w:rsid w:val="50BEEF65"/>
    <w:rsid w:val="50C0674F"/>
    <w:rsid w:val="50C2FF7E"/>
    <w:rsid w:val="50C31765"/>
    <w:rsid w:val="50C333AE"/>
    <w:rsid w:val="50C38479"/>
    <w:rsid w:val="50C4AD82"/>
    <w:rsid w:val="50C627CC"/>
    <w:rsid w:val="50C66854"/>
    <w:rsid w:val="50C6D039"/>
    <w:rsid w:val="50C79073"/>
    <w:rsid w:val="50C7933B"/>
    <w:rsid w:val="50C83798"/>
    <w:rsid w:val="50C96682"/>
    <w:rsid w:val="50C96FF6"/>
    <w:rsid w:val="50CA069C"/>
    <w:rsid w:val="50CA997F"/>
    <w:rsid w:val="50CA9F61"/>
    <w:rsid w:val="50CB6524"/>
    <w:rsid w:val="50CC9F2C"/>
    <w:rsid w:val="50CD5A35"/>
    <w:rsid w:val="50CE1FE5"/>
    <w:rsid w:val="50CE967D"/>
    <w:rsid w:val="50CEF87D"/>
    <w:rsid w:val="50CF17EE"/>
    <w:rsid w:val="50D0BEC2"/>
    <w:rsid w:val="50D175DB"/>
    <w:rsid w:val="50D1CE33"/>
    <w:rsid w:val="50D355BF"/>
    <w:rsid w:val="50D384F9"/>
    <w:rsid w:val="50D38827"/>
    <w:rsid w:val="50D3D2EF"/>
    <w:rsid w:val="50D3F527"/>
    <w:rsid w:val="50D485E6"/>
    <w:rsid w:val="50D4D241"/>
    <w:rsid w:val="50D51971"/>
    <w:rsid w:val="50D5E88A"/>
    <w:rsid w:val="50D60192"/>
    <w:rsid w:val="50D64218"/>
    <w:rsid w:val="50D65A80"/>
    <w:rsid w:val="50D6E284"/>
    <w:rsid w:val="50D6F649"/>
    <w:rsid w:val="50D7D5EC"/>
    <w:rsid w:val="50D86530"/>
    <w:rsid w:val="50D8A3F4"/>
    <w:rsid w:val="50D9CCB4"/>
    <w:rsid w:val="50D9FAA8"/>
    <w:rsid w:val="50DA50F9"/>
    <w:rsid w:val="50DAEF44"/>
    <w:rsid w:val="50DB626A"/>
    <w:rsid w:val="50DCCC51"/>
    <w:rsid w:val="50DE8403"/>
    <w:rsid w:val="50DE9FED"/>
    <w:rsid w:val="50DEA0CC"/>
    <w:rsid w:val="50DEA59D"/>
    <w:rsid w:val="50DEA934"/>
    <w:rsid w:val="50DEBEB7"/>
    <w:rsid w:val="50DEE65D"/>
    <w:rsid w:val="50DF7EEC"/>
    <w:rsid w:val="50E0177B"/>
    <w:rsid w:val="50E0BA96"/>
    <w:rsid w:val="50E0DEFF"/>
    <w:rsid w:val="50E12B2D"/>
    <w:rsid w:val="50E1E487"/>
    <w:rsid w:val="50E4B07F"/>
    <w:rsid w:val="50E551AF"/>
    <w:rsid w:val="50E57A9A"/>
    <w:rsid w:val="50E623EE"/>
    <w:rsid w:val="50E64056"/>
    <w:rsid w:val="50E663E6"/>
    <w:rsid w:val="50E6EF3A"/>
    <w:rsid w:val="50E73DDC"/>
    <w:rsid w:val="50E74FAF"/>
    <w:rsid w:val="50E7E67B"/>
    <w:rsid w:val="50E81BBD"/>
    <w:rsid w:val="50EAFEB8"/>
    <w:rsid w:val="50EC1F19"/>
    <w:rsid w:val="50ED0418"/>
    <w:rsid w:val="50ED1D2F"/>
    <w:rsid w:val="50EDBCFA"/>
    <w:rsid w:val="50EDBF4C"/>
    <w:rsid w:val="50EDFD1E"/>
    <w:rsid w:val="50EE8EB4"/>
    <w:rsid w:val="50EF28DC"/>
    <w:rsid w:val="50EF8C10"/>
    <w:rsid w:val="50F0C82B"/>
    <w:rsid w:val="50F1CCDB"/>
    <w:rsid w:val="50F20A26"/>
    <w:rsid w:val="50F2D2A0"/>
    <w:rsid w:val="50F349FF"/>
    <w:rsid w:val="50F51067"/>
    <w:rsid w:val="50F69DA9"/>
    <w:rsid w:val="50F6DD22"/>
    <w:rsid w:val="50F6EE11"/>
    <w:rsid w:val="50F7CE05"/>
    <w:rsid w:val="50F8EFA7"/>
    <w:rsid w:val="50F983E6"/>
    <w:rsid w:val="50F9F29D"/>
    <w:rsid w:val="50FB0619"/>
    <w:rsid w:val="50FB3A7D"/>
    <w:rsid w:val="50FBC449"/>
    <w:rsid w:val="50FBEF79"/>
    <w:rsid w:val="50FBF2AA"/>
    <w:rsid w:val="50FC1CA6"/>
    <w:rsid w:val="50FC6380"/>
    <w:rsid w:val="50FCA6B5"/>
    <w:rsid w:val="50FCEF14"/>
    <w:rsid w:val="50FD2222"/>
    <w:rsid w:val="50FE6E95"/>
    <w:rsid w:val="50FF27A4"/>
    <w:rsid w:val="50FF3A34"/>
    <w:rsid w:val="50FF7BB0"/>
    <w:rsid w:val="50FFC4EE"/>
    <w:rsid w:val="50FFF83C"/>
    <w:rsid w:val="51001EE6"/>
    <w:rsid w:val="51005A85"/>
    <w:rsid w:val="51008751"/>
    <w:rsid w:val="51009D37"/>
    <w:rsid w:val="51009DED"/>
    <w:rsid w:val="5100C01B"/>
    <w:rsid w:val="510116A9"/>
    <w:rsid w:val="5102FCE4"/>
    <w:rsid w:val="5103673E"/>
    <w:rsid w:val="51039A31"/>
    <w:rsid w:val="51040D47"/>
    <w:rsid w:val="51048FE3"/>
    <w:rsid w:val="5104B787"/>
    <w:rsid w:val="510520DD"/>
    <w:rsid w:val="510521E9"/>
    <w:rsid w:val="5105A390"/>
    <w:rsid w:val="5105A66A"/>
    <w:rsid w:val="51069964"/>
    <w:rsid w:val="51069D06"/>
    <w:rsid w:val="5108141C"/>
    <w:rsid w:val="51082EF9"/>
    <w:rsid w:val="51086062"/>
    <w:rsid w:val="5108A616"/>
    <w:rsid w:val="5109B692"/>
    <w:rsid w:val="510A8624"/>
    <w:rsid w:val="510AEA75"/>
    <w:rsid w:val="510B0E5B"/>
    <w:rsid w:val="510B40BE"/>
    <w:rsid w:val="510BE362"/>
    <w:rsid w:val="510C497E"/>
    <w:rsid w:val="510C56E0"/>
    <w:rsid w:val="510C8193"/>
    <w:rsid w:val="510D75AE"/>
    <w:rsid w:val="510EBC53"/>
    <w:rsid w:val="510F3086"/>
    <w:rsid w:val="510F7C1B"/>
    <w:rsid w:val="51105AD0"/>
    <w:rsid w:val="5110D6B0"/>
    <w:rsid w:val="5112FE23"/>
    <w:rsid w:val="51131DEB"/>
    <w:rsid w:val="511377C9"/>
    <w:rsid w:val="5113E8E2"/>
    <w:rsid w:val="5114737A"/>
    <w:rsid w:val="511553DF"/>
    <w:rsid w:val="5117A8C4"/>
    <w:rsid w:val="5117DA6F"/>
    <w:rsid w:val="51180B70"/>
    <w:rsid w:val="51186225"/>
    <w:rsid w:val="51186306"/>
    <w:rsid w:val="5118E816"/>
    <w:rsid w:val="5119A6CB"/>
    <w:rsid w:val="511A62F6"/>
    <w:rsid w:val="511ABE7C"/>
    <w:rsid w:val="511AD6B5"/>
    <w:rsid w:val="511B9633"/>
    <w:rsid w:val="511B9E44"/>
    <w:rsid w:val="511C3A46"/>
    <w:rsid w:val="511CCB8E"/>
    <w:rsid w:val="511D030A"/>
    <w:rsid w:val="511D0BC6"/>
    <w:rsid w:val="511E0987"/>
    <w:rsid w:val="511E8E88"/>
    <w:rsid w:val="51201CE7"/>
    <w:rsid w:val="512140D5"/>
    <w:rsid w:val="5122707F"/>
    <w:rsid w:val="51241DB7"/>
    <w:rsid w:val="51242F99"/>
    <w:rsid w:val="51244357"/>
    <w:rsid w:val="51245CB1"/>
    <w:rsid w:val="51252CD5"/>
    <w:rsid w:val="51261040"/>
    <w:rsid w:val="51272B59"/>
    <w:rsid w:val="512762F0"/>
    <w:rsid w:val="5128ECB9"/>
    <w:rsid w:val="512B13C3"/>
    <w:rsid w:val="512B6739"/>
    <w:rsid w:val="512BD854"/>
    <w:rsid w:val="512D7537"/>
    <w:rsid w:val="512DA99C"/>
    <w:rsid w:val="512EBF06"/>
    <w:rsid w:val="512EDF45"/>
    <w:rsid w:val="512F0F4F"/>
    <w:rsid w:val="513017A2"/>
    <w:rsid w:val="51308C30"/>
    <w:rsid w:val="5130F80E"/>
    <w:rsid w:val="513163D3"/>
    <w:rsid w:val="51326B8C"/>
    <w:rsid w:val="5132DE8E"/>
    <w:rsid w:val="51331579"/>
    <w:rsid w:val="51334AF1"/>
    <w:rsid w:val="51336469"/>
    <w:rsid w:val="51343F26"/>
    <w:rsid w:val="513598CC"/>
    <w:rsid w:val="5136E901"/>
    <w:rsid w:val="5137ECA6"/>
    <w:rsid w:val="5137FD66"/>
    <w:rsid w:val="51393758"/>
    <w:rsid w:val="513A22BB"/>
    <w:rsid w:val="513A4AF7"/>
    <w:rsid w:val="513B5251"/>
    <w:rsid w:val="513BC388"/>
    <w:rsid w:val="513DA345"/>
    <w:rsid w:val="513DECD2"/>
    <w:rsid w:val="513E3558"/>
    <w:rsid w:val="513EE8D1"/>
    <w:rsid w:val="513F94CD"/>
    <w:rsid w:val="513FC37C"/>
    <w:rsid w:val="514044BA"/>
    <w:rsid w:val="51407086"/>
    <w:rsid w:val="51407870"/>
    <w:rsid w:val="5140AB45"/>
    <w:rsid w:val="51425DD7"/>
    <w:rsid w:val="5142D33E"/>
    <w:rsid w:val="5142D94E"/>
    <w:rsid w:val="51439B8A"/>
    <w:rsid w:val="51447E50"/>
    <w:rsid w:val="51448AF5"/>
    <w:rsid w:val="5144BCB0"/>
    <w:rsid w:val="5144EFE3"/>
    <w:rsid w:val="51451187"/>
    <w:rsid w:val="5145268D"/>
    <w:rsid w:val="51464AA7"/>
    <w:rsid w:val="5146E944"/>
    <w:rsid w:val="5146F8DE"/>
    <w:rsid w:val="51471B5A"/>
    <w:rsid w:val="51479DB3"/>
    <w:rsid w:val="5147EFCB"/>
    <w:rsid w:val="5148C2C1"/>
    <w:rsid w:val="514AED8D"/>
    <w:rsid w:val="514C23C2"/>
    <w:rsid w:val="514CEE61"/>
    <w:rsid w:val="514D2BBD"/>
    <w:rsid w:val="514E0C98"/>
    <w:rsid w:val="514E64F2"/>
    <w:rsid w:val="514E7487"/>
    <w:rsid w:val="514E7515"/>
    <w:rsid w:val="51506826"/>
    <w:rsid w:val="5150E47B"/>
    <w:rsid w:val="51516367"/>
    <w:rsid w:val="51517171"/>
    <w:rsid w:val="5151C559"/>
    <w:rsid w:val="5151FC32"/>
    <w:rsid w:val="5152472C"/>
    <w:rsid w:val="515297D4"/>
    <w:rsid w:val="51532AA7"/>
    <w:rsid w:val="51535C92"/>
    <w:rsid w:val="51539FBB"/>
    <w:rsid w:val="51542BEB"/>
    <w:rsid w:val="51544002"/>
    <w:rsid w:val="51547E14"/>
    <w:rsid w:val="5155BD35"/>
    <w:rsid w:val="5155C553"/>
    <w:rsid w:val="5155F4B2"/>
    <w:rsid w:val="51560DC5"/>
    <w:rsid w:val="51573968"/>
    <w:rsid w:val="51578758"/>
    <w:rsid w:val="51579CF2"/>
    <w:rsid w:val="5157E737"/>
    <w:rsid w:val="51580771"/>
    <w:rsid w:val="51581AC1"/>
    <w:rsid w:val="51586D91"/>
    <w:rsid w:val="51591E1F"/>
    <w:rsid w:val="51596075"/>
    <w:rsid w:val="515B8479"/>
    <w:rsid w:val="515B8EB3"/>
    <w:rsid w:val="515DC2FE"/>
    <w:rsid w:val="515E3AFD"/>
    <w:rsid w:val="515E7530"/>
    <w:rsid w:val="515F30ED"/>
    <w:rsid w:val="515F790E"/>
    <w:rsid w:val="515FFC20"/>
    <w:rsid w:val="51600343"/>
    <w:rsid w:val="51610660"/>
    <w:rsid w:val="51612F49"/>
    <w:rsid w:val="51616396"/>
    <w:rsid w:val="51621E1B"/>
    <w:rsid w:val="5162885D"/>
    <w:rsid w:val="5162B38B"/>
    <w:rsid w:val="516301B6"/>
    <w:rsid w:val="5163E886"/>
    <w:rsid w:val="516443FD"/>
    <w:rsid w:val="516499BA"/>
    <w:rsid w:val="5164D47E"/>
    <w:rsid w:val="5164E2B5"/>
    <w:rsid w:val="5165CACA"/>
    <w:rsid w:val="516616BE"/>
    <w:rsid w:val="516653EA"/>
    <w:rsid w:val="51667CFE"/>
    <w:rsid w:val="51683BD8"/>
    <w:rsid w:val="516863D4"/>
    <w:rsid w:val="516A1DA7"/>
    <w:rsid w:val="516A6FCD"/>
    <w:rsid w:val="516ABD9D"/>
    <w:rsid w:val="516B2309"/>
    <w:rsid w:val="516D779C"/>
    <w:rsid w:val="516DB3A9"/>
    <w:rsid w:val="516DFAD7"/>
    <w:rsid w:val="516DFB24"/>
    <w:rsid w:val="516EC6A2"/>
    <w:rsid w:val="516EE112"/>
    <w:rsid w:val="516EF081"/>
    <w:rsid w:val="516FB059"/>
    <w:rsid w:val="51708ACF"/>
    <w:rsid w:val="51726E29"/>
    <w:rsid w:val="5172FB47"/>
    <w:rsid w:val="5172FD6D"/>
    <w:rsid w:val="5173658B"/>
    <w:rsid w:val="5175314D"/>
    <w:rsid w:val="5176F953"/>
    <w:rsid w:val="517732BB"/>
    <w:rsid w:val="51777A15"/>
    <w:rsid w:val="51778BD4"/>
    <w:rsid w:val="517792D2"/>
    <w:rsid w:val="5177958F"/>
    <w:rsid w:val="5177E5E3"/>
    <w:rsid w:val="5177EB82"/>
    <w:rsid w:val="51789DA8"/>
    <w:rsid w:val="5178E50F"/>
    <w:rsid w:val="51798306"/>
    <w:rsid w:val="5179BB99"/>
    <w:rsid w:val="517A5767"/>
    <w:rsid w:val="517AA500"/>
    <w:rsid w:val="517B2A2C"/>
    <w:rsid w:val="517B2C85"/>
    <w:rsid w:val="517BEA2D"/>
    <w:rsid w:val="517C91E1"/>
    <w:rsid w:val="517CE894"/>
    <w:rsid w:val="517D1F99"/>
    <w:rsid w:val="517D519C"/>
    <w:rsid w:val="517D56BB"/>
    <w:rsid w:val="517DF728"/>
    <w:rsid w:val="517EFADB"/>
    <w:rsid w:val="517F3B28"/>
    <w:rsid w:val="517FA21E"/>
    <w:rsid w:val="517FD622"/>
    <w:rsid w:val="51800047"/>
    <w:rsid w:val="5180C60D"/>
    <w:rsid w:val="5180F876"/>
    <w:rsid w:val="5180FF43"/>
    <w:rsid w:val="5181C017"/>
    <w:rsid w:val="5181D088"/>
    <w:rsid w:val="5183012C"/>
    <w:rsid w:val="51843C76"/>
    <w:rsid w:val="518629B3"/>
    <w:rsid w:val="51869352"/>
    <w:rsid w:val="5187A498"/>
    <w:rsid w:val="5189BB00"/>
    <w:rsid w:val="5189F5FC"/>
    <w:rsid w:val="518A0422"/>
    <w:rsid w:val="518BFFFD"/>
    <w:rsid w:val="518D95B8"/>
    <w:rsid w:val="518E0181"/>
    <w:rsid w:val="518E240E"/>
    <w:rsid w:val="518EF9B0"/>
    <w:rsid w:val="518F5392"/>
    <w:rsid w:val="518F5BE8"/>
    <w:rsid w:val="518FFD64"/>
    <w:rsid w:val="519068A1"/>
    <w:rsid w:val="5191F746"/>
    <w:rsid w:val="519201A6"/>
    <w:rsid w:val="519211AA"/>
    <w:rsid w:val="5193F333"/>
    <w:rsid w:val="519423B0"/>
    <w:rsid w:val="5194EA2C"/>
    <w:rsid w:val="5197981B"/>
    <w:rsid w:val="5197CFA1"/>
    <w:rsid w:val="519820A5"/>
    <w:rsid w:val="51983C4D"/>
    <w:rsid w:val="5199048A"/>
    <w:rsid w:val="51991B54"/>
    <w:rsid w:val="519ADC40"/>
    <w:rsid w:val="519B5B99"/>
    <w:rsid w:val="519BE6C9"/>
    <w:rsid w:val="519C182A"/>
    <w:rsid w:val="519C94FE"/>
    <w:rsid w:val="519CAE93"/>
    <w:rsid w:val="519CBF52"/>
    <w:rsid w:val="519E1F96"/>
    <w:rsid w:val="519E7CB1"/>
    <w:rsid w:val="519EE044"/>
    <w:rsid w:val="519F3398"/>
    <w:rsid w:val="519F5D7F"/>
    <w:rsid w:val="519F632C"/>
    <w:rsid w:val="51A06559"/>
    <w:rsid w:val="51A118EB"/>
    <w:rsid w:val="51A16315"/>
    <w:rsid w:val="51A248D1"/>
    <w:rsid w:val="51A325A7"/>
    <w:rsid w:val="51A35F35"/>
    <w:rsid w:val="51A4BA65"/>
    <w:rsid w:val="51A4DCD9"/>
    <w:rsid w:val="51A588A2"/>
    <w:rsid w:val="51A64810"/>
    <w:rsid w:val="51A741ED"/>
    <w:rsid w:val="51A8F8CC"/>
    <w:rsid w:val="51A9FEB9"/>
    <w:rsid w:val="51AA5830"/>
    <w:rsid w:val="51AA82AA"/>
    <w:rsid w:val="51AA9B1E"/>
    <w:rsid w:val="51AAE0D3"/>
    <w:rsid w:val="51AB1AD9"/>
    <w:rsid w:val="51AB3923"/>
    <w:rsid w:val="51ABB0F9"/>
    <w:rsid w:val="51ABECDD"/>
    <w:rsid w:val="51AC97B9"/>
    <w:rsid w:val="51ACE05B"/>
    <w:rsid w:val="51ADABEE"/>
    <w:rsid w:val="51AEF69F"/>
    <w:rsid w:val="51AF3212"/>
    <w:rsid w:val="51AF6EB7"/>
    <w:rsid w:val="51AF88A5"/>
    <w:rsid w:val="51B09DF8"/>
    <w:rsid w:val="51B0B77F"/>
    <w:rsid w:val="51B106E3"/>
    <w:rsid w:val="51B16A83"/>
    <w:rsid w:val="51B185B8"/>
    <w:rsid w:val="51B206DA"/>
    <w:rsid w:val="51B2A51C"/>
    <w:rsid w:val="51B37939"/>
    <w:rsid w:val="51B3797C"/>
    <w:rsid w:val="51B6255A"/>
    <w:rsid w:val="51B71937"/>
    <w:rsid w:val="51B7BA4E"/>
    <w:rsid w:val="51B88D21"/>
    <w:rsid w:val="51B8A5F7"/>
    <w:rsid w:val="51B8F2FE"/>
    <w:rsid w:val="51BA3A60"/>
    <w:rsid w:val="51BA4DBA"/>
    <w:rsid w:val="51BB4E95"/>
    <w:rsid w:val="51BC24B7"/>
    <w:rsid w:val="51BC2DB2"/>
    <w:rsid w:val="51BC524D"/>
    <w:rsid w:val="51BEE478"/>
    <w:rsid w:val="51C031B9"/>
    <w:rsid w:val="51C088AE"/>
    <w:rsid w:val="51C192DB"/>
    <w:rsid w:val="51C212D8"/>
    <w:rsid w:val="51C3AECC"/>
    <w:rsid w:val="51C42AD1"/>
    <w:rsid w:val="51C48D08"/>
    <w:rsid w:val="51C4CE92"/>
    <w:rsid w:val="51C59167"/>
    <w:rsid w:val="51C669E9"/>
    <w:rsid w:val="51C73D34"/>
    <w:rsid w:val="51C78BE4"/>
    <w:rsid w:val="51C7BCEB"/>
    <w:rsid w:val="51C7ECA0"/>
    <w:rsid w:val="51C98FFE"/>
    <w:rsid w:val="51CA518E"/>
    <w:rsid w:val="51CAC49A"/>
    <w:rsid w:val="51CB05D4"/>
    <w:rsid w:val="51CC3EAF"/>
    <w:rsid w:val="51CD111F"/>
    <w:rsid w:val="51CDB290"/>
    <w:rsid w:val="51CDDC15"/>
    <w:rsid w:val="51CE30E1"/>
    <w:rsid w:val="51CEC2EA"/>
    <w:rsid w:val="51D0439D"/>
    <w:rsid w:val="51D0888B"/>
    <w:rsid w:val="51D17E85"/>
    <w:rsid w:val="51D18BAD"/>
    <w:rsid w:val="51D24EF1"/>
    <w:rsid w:val="51D3470D"/>
    <w:rsid w:val="51D4A682"/>
    <w:rsid w:val="51D54769"/>
    <w:rsid w:val="51D62C0E"/>
    <w:rsid w:val="51D725A5"/>
    <w:rsid w:val="51D73D9B"/>
    <w:rsid w:val="51D7BAC0"/>
    <w:rsid w:val="51D82133"/>
    <w:rsid w:val="51D87866"/>
    <w:rsid w:val="51D882D5"/>
    <w:rsid w:val="51D8B076"/>
    <w:rsid w:val="51D8E4DD"/>
    <w:rsid w:val="51D9AC58"/>
    <w:rsid w:val="51DA0947"/>
    <w:rsid w:val="51DB1A68"/>
    <w:rsid w:val="51DB849F"/>
    <w:rsid w:val="51DC2377"/>
    <w:rsid w:val="51DC358E"/>
    <w:rsid w:val="51DC6362"/>
    <w:rsid w:val="51DC7382"/>
    <w:rsid w:val="51DDA29E"/>
    <w:rsid w:val="51DDA466"/>
    <w:rsid w:val="51DEC841"/>
    <w:rsid w:val="51E04297"/>
    <w:rsid w:val="51E08DEB"/>
    <w:rsid w:val="51E25857"/>
    <w:rsid w:val="51E397B2"/>
    <w:rsid w:val="51E4217F"/>
    <w:rsid w:val="51E52E17"/>
    <w:rsid w:val="51E534BB"/>
    <w:rsid w:val="51E55605"/>
    <w:rsid w:val="51E5CB7A"/>
    <w:rsid w:val="51E67F5E"/>
    <w:rsid w:val="51E73235"/>
    <w:rsid w:val="51E7B4FB"/>
    <w:rsid w:val="51E8AE40"/>
    <w:rsid w:val="51E94C18"/>
    <w:rsid w:val="51E9A96A"/>
    <w:rsid w:val="51EACA6B"/>
    <w:rsid w:val="51EB2AF2"/>
    <w:rsid w:val="51EB71B5"/>
    <w:rsid w:val="51EBC2B9"/>
    <w:rsid w:val="51EC2D1F"/>
    <w:rsid w:val="51ED04D3"/>
    <w:rsid w:val="51ED6D08"/>
    <w:rsid w:val="51EEAECE"/>
    <w:rsid w:val="51EECA75"/>
    <w:rsid w:val="51EF1AF5"/>
    <w:rsid w:val="51EF1E64"/>
    <w:rsid w:val="51EF9AAA"/>
    <w:rsid w:val="51F026D9"/>
    <w:rsid w:val="51F03C05"/>
    <w:rsid w:val="51F2324E"/>
    <w:rsid w:val="51F25088"/>
    <w:rsid w:val="51F4CE43"/>
    <w:rsid w:val="51F51E64"/>
    <w:rsid w:val="51F57218"/>
    <w:rsid w:val="51F58B8E"/>
    <w:rsid w:val="51F595FE"/>
    <w:rsid w:val="51F5ECFF"/>
    <w:rsid w:val="51F5F843"/>
    <w:rsid w:val="51F60036"/>
    <w:rsid w:val="51F67738"/>
    <w:rsid w:val="51F6E4E1"/>
    <w:rsid w:val="51F6F349"/>
    <w:rsid w:val="51F73F64"/>
    <w:rsid w:val="51F7A20E"/>
    <w:rsid w:val="51F7D164"/>
    <w:rsid w:val="51F8E8E0"/>
    <w:rsid w:val="51F941D4"/>
    <w:rsid w:val="51F9AF82"/>
    <w:rsid w:val="51FA8E72"/>
    <w:rsid w:val="51FB71DA"/>
    <w:rsid w:val="51FC4971"/>
    <w:rsid w:val="51FC926A"/>
    <w:rsid w:val="51FDD289"/>
    <w:rsid w:val="51FE29D7"/>
    <w:rsid w:val="51FE6A6D"/>
    <w:rsid w:val="51FEAB30"/>
    <w:rsid w:val="51FF08BA"/>
    <w:rsid w:val="51FFE688"/>
    <w:rsid w:val="520051C3"/>
    <w:rsid w:val="5200985E"/>
    <w:rsid w:val="52010ED1"/>
    <w:rsid w:val="520253FB"/>
    <w:rsid w:val="52045238"/>
    <w:rsid w:val="5204B7E8"/>
    <w:rsid w:val="52084432"/>
    <w:rsid w:val="520A2B1A"/>
    <w:rsid w:val="520AE09F"/>
    <w:rsid w:val="520C2309"/>
    <w:rsid w:val="520C38CF"/>
    <w:rsid w:val="520CB54C"/>
    <w:rsid w:val="520D1CFF"/>
    <w:rsid w:val="520D5DCE"/>
    <w:rsid w:val="520DD6AD"/>
    <w:rsid w:val="520F3E56"/>
    <w:rsid w:val="520F4CE1"/>
    <w:rsid w:val="5210EA7A"/>
    <w:rsid w:val="52113F09"/>
    <w:rsid w:val="5211611E"/>
    <w:rsid w:val="5213E83D"/>
    <w:rsid w:val="5213FDD9"/>
    <w:rsid w:val="521406C4"/>
    <w:rsid w:val="52144CC0"/>
    <w:rsid w:val="52144D3F"/>
    <w:rsid w:val="52158E8A"/>
    <w:rsid w:val="5215E1AC"/>
    <w:rsid w:val="52161277"/>
    <w:rsid w:val="5216AC2E"/>
    <w:rsid w:val="521780C2"/>
    <w:rsid w:val="521899ED"/>
    <w:rsid w:val="5219DB36"/>
    <w:rsid w:val="521A7F94"/>
    <w:rsid w:val="521A86B8"/>
    <w:rsid w:val="521B6B5A"/>
    <w:rsid w:val="521BA3D6"/>
    <w:rsid w:val="521BD68A"/>
    <w:rsid w:val="521C7863"/>
    <w:rsid w:val="521CD9A7"/>
    <w:rsid w:val="521E80B7"/>
    <w:rsid w:val="521F3E21"/>
    <w:rsid w:val="521F8968"/>
    <w:rsid w:val="5220206D"/>
    <w:rsid w:val="5220AC5D"/>
    <w:rsid w:val="5220D1EA"/>
    <w:rsid w:val="5221862F"/>
    <w:rsid w:val="5221C208"/>
    <w:rsid w:val="5222223A"/>
    <w:rsid w:val="522222AC"/>
    <w:rsid w:val="52224BAA"/>
    <w:rsid w:val="52230FCC"/>
    <w:rsid w:val="52238566"/>
    <w:rsid w:val="5223E251"/>
    <w:rsid w:val="522461AF"/>
    <w:rsid w:val="5224645F"/>
    <w:rsid w:val="52249EC0"/>
    <w:rsid w:val="5224B218"/>
    <w:rsid w:val="5224C428"/>
    <w:rsid w:val="52263256"/>
    <w:rsid w:val="5226635F"/>
    <w:rsid w:val="52279CF8"/>
    <w:rsid w:val="522802CE"/>
    <w:rsid w:val="52285D62"/>
    <w:rsid w:val="5228767F"/>
    <w:rsid w:val="52290F6A"/>
    <w:rsid w:val="52293775"/>
    <w:rsid w:val="5229DBCB"/>
    <w:rsid w:val="522AD015"/>
    <w:rsid w:val="522BBA0F"/>
    <w:rsid w:val="522C268D"/>
    <w:rsid w:val="522C96E0"/>
    <w:rsid w:val="522CAF50"/>
    <w:rsid w:val="522D0AD3"/>
    <w:rsid w:val="522F90D7"/>
    <w:rsid w:val="522FA992"/>
    <w:rsid w:val="52310340"/>
    <w:rsid w:val="52314846"/>
    <w:rsid w:val="5232C893"/>
    <w:rsid w:val="5233B5A2"/>
    <w:rsid w:val="5233DCF3"/>
    <w:rsid w:val="5234D269"/>
    <w:rsid w:val="52351CB0"/>
    <w:rsid w:val="523551B2"/>
    <w:rsid w:val="52361F1D"/>
    <w:rsid w:val="5236431A"/>
    <w:rsid w:val="5236E155"/>
    <w:rsid w:val="52373947"/>
    <w:rsid w:val="52373B5A"/>
    <w:rsid w:val="5237688A"/>
    <w:rsid w:val="5237978D"/>
    <w:rsid w:val="52380A70"/>
    <w:rsid w:val="52385165"/>
    <w:rsid w:val="5238AF8B"/>
    <w:rsid w:val="5239477B"/>
    <w:rsid w:val="523A1427"/>
    <w:rsid w:val="523A9E86"/>
    <w:rsid w:val="523B118F"/>
    <w:rsid w:val="523BD8FC"/>
    <w:rsid w:val="523C0770"/>
    <w:rsid w:val="523CD170"/>
    <w:rsid w:val="523D3F43"/>
    <w:rsid w:val="523DEAC3"/>
    <w:rsid w:val="523E8298"/>
    <w:rsid w:val="523F1EF4"/>
    <w:rsid w:val="523F2BC7"/>
    <w:rsid w:val="523F44D7"/>
    <w:rsid w:val="523FA952"/>
    <w:rsid w:val="5241DE03"/>
    <w:rsid w:val="52426BE2"/>
    <w:rsid w:val="5242B2A8"/>
    <w:rsid w:val="5242BDE5"/>
    <w:rsid w:val="52437F1A"/>
    <w:rsid w:val="524535D4"/>
    <w:rsid w:val="5247082C"/>
    <w:rsid w:val="524901EC"/>
    <w:rsid w:val="52490D77"/>
    <w:rsid w:val="52499478"/>
    <w:rsid w:val="5249A04E"/>
    <w:rsid w:val="5249E38B"/>
    <w:rsid w:val="5249F255"/>
    <w:rsid w:val="5249F70A"/>
    <w:rsid w:val="524A84AA"/>
    <w:rsid w:val="524A897D"/>
    <w:rsid w:val="524AACC0"/>
    <w:rsid w:val="524ABD5E"/>
    <w:rsid w:val="524B16B7"/>
    <w:rsid w:val="524BAC04"/>
    <w:rsid w:val="524C676B"/>
    <w:rsid w:val="524D7337"/>
    <w:rsid w:val="524E4EC9"/>
    <w:rsid w:val="524EAD87"/>
    <w:rsid w:val="52532F12"/>
    <w:rsid w:val="525395BD"/>
    <w:rsid w:val="5253DB7E"/>
    <w:rsid w:val="52543423"/>
    <w:rsid w:val="5254A298"/>
    <w:rsid w:val="5254D23E"/>
    <w:rsid w:val="52550BE8"/>
    <w:rsid w:val="52557D6E"/>
    <w:rsid w:val="525584E3"/>
    <w:rsid w:val="52561B31"/>
    <w:rsid w:val="52567AFD"/>
    <w:rsid w:val="5256C956"/>
    <w:rsid w:val="5258213F"/>
    <w:rsid w:val="5258C8A7"/>
    <w:rsid w:val="5259ABAE"/>
    <w:rsid w:val="5259E204"/>
    <w:rsid w:val="525A2694"/>
    <w:rsid w:val="525A5919"/>
    <w:rsid w:val="525AEA66"/>
    <w:rsid w:val="525B2247"/>
    <w:rsid w:val="525C8BDB"/>
    <w:rsid w:val="525D4EFA"/>
    <w:rsid w:val="525E815B"/>
    <w:rsid w:val="525E9028"/>
    <w:rsid w:val="5260ED41"/>
    <w:rsid w:val="52619FD6"/>
    <w:rsid w:val="526245AA"/>
    <w:rsid w:val="5262D70B"/>
    <w:rsid w:val="526359D0"/>
    <w:rsid w:val="52648E45"/>
    <w:rsid w:val="5264CEBC"/>
    <w:rsid w:val="52659F99"/>
    <w:rsid w:val="5266C391"/>
    <w:rsid w:val="5266E275"/>
    <w:rsid w:val="5266F4FE"/>
    <w:rsid w:val="5267017A"/>
    <w:rsid w:val="5267A0DF"/>
    <w:rsid w:val="526831A8"/>
    <w:rsid w:val="52688A6E"/>
    <w:rsid w:val="5268DE82"/>
    <w:rsid w:val="526926B6"/>
    <w:rsid w:val="526943AF"/>
    <w:rsid w:val="52694C56"/>
    <w:rsid w:val="5269A95A"/>
    <w:rsid w:val="526AC894"/>
    <w:rsid w:val="526B5418"/>
    <w:rsid w:val="526C3565"/>
    <w:rsid w:val="526C8BD3"/>
    <w:rsid w:val="526CAAB6"/>
    <w:rsid w:val="526D01AC"/>
    <w:rsid w:val="526D1AD3"/>
    <w:rsid w:val="526E591D"/>
    <w:rsid w:val="526E652A"/>
    <w:rsid w:val="526E93BD"/>
    <w:rsid w:val="526EE3A0"/>
    <w:rsid w:val="526FF0AB"/>
    <w:rsid w:val="52715080"/>
    <w:rsid w:val="527183A5"/>
    <w:rsid w:val="52719F6D"/>
    <w:rsid w:val="5271A56B"/>
    <w:rsid w:val="5272EDF9"/>
    <w:rsid w:val="527372D2"/>
    <w:rsid w:val="5275A9A8"/>
    <w:rsid w:val="527666BE"/>
    <w:rsid w:val="52766D98"/>
    <w:rsid w:val="5276AEFA"/>
    <w:rsid w:val="5277C316"/>
    <w:rsid w:val="52780101"/>
    <w:rsid w:val="5278584A"/>
    <w:rsid w:val="52797859"/>
    <w:rsid w:val="5279CE31"/>
    <w:rsid w:val="527A1156"/>
    <w:rsid w:val="527A1A5F"/>
    <w:rsid w:val="527AE67A"/>
    <w:rsid w:val="527AFBD7"/>
    <w:rsid w:val="527B96C5"/>
    <w:rsid w:val="527CBEEF"/>
    <w:rsid w:val="527D20AD"/>
    <w:rsid w:val="527D943C"/>
    <w:rsid w:val="527E495C"/>
    <w:rsid w:val="527E9557"/>
    <w:rsid w:val="527F4928"/>
    <w:rsid w:val="5280C66A"/>
    <w:rsid w:val="52822C9F"/>
    <w:rsid w:val="52822F7E"/>
    <w:rsid w:val="5282954A"/>
    <w:rsid w:val="5284E330"/>
    <w:rsid w:val="5285BFCF"/>
    <w:rsid w:val="52861AB5"/>
    <w:rsid w:val="5286F0D6"/>
    <w:rsid w:val="52878262"/>
    <w:rsid w:val="5287D909"/>
    <w:rsid w:val="528831E5"/>
    <w:rsid w:val="5288BAE0"/>
    <w:rsid w:val="5288BE88"/>
    <w:rsid w:val="5288F22A"/>
    <w:rsid w:val="52894BBB"/>
    <w:rsid w:val="528A4FDB"/>
    <w:rsid w:val="528A8755"/>
    <w:rsid w:val="528AAB42"/>
    <w:rsid w:val="528B928E"/>
    <w:rsid w:val="528BA154"/>
    <w:rsid w:val="528BDC03"/>
    <w:rsid w:val="528CED08"/>
    <w:rsid w:val="528F203E"/>
    <w:rsid w:val="528FA2E5"/>
    <w:rsid w:val="528FBC56"/>
    <w:rsid w:val="52907146"/>
    <w:rsid w:val="5290E325"/>
    <w:rsid w:val="529233B6"/>
    <w:rsid w:val="529388E3"/>
    <w:rsid w:val="5293A021"/>
    <w:rsid w:val="52941266"/>
    <w:rsid w:val="5294EDA3"/>
    <w:rsid w:val="52952D53"/>
    <w:rsid w:val="5295A3FD"/>
    <w:rsid w:val="52966E3A"/>
    <w:rsid w:val="5296AB9D"/>
    <w:rsid w:val="5297D944"/>
    <w:rsid w:val="5299BF57"/>
    <w:rsid w:val="529A3693"/>
    <w:rsid w:val="529A52D6"/>
    <w:rsid w:val="529BD734"/>
    <w:rsid w:val="529C8578"/>
    <w:rsid w:val="529C9B76"/>
    <w:rsid w:val="529D3735"/>
    <w:rsid w:val="529D720F"/>
    <w:rsid w:val="52A210E3"/>
    <w:rsid w:val="52A2AE25"/>
    <w:rsid w:val="52A2F29F"/>
    <w:rsid w:val="52A33246"/>
    <w:rsid w:val="52A339A1"/>
    <w:rsid w:val="52A3CF43"/>
    <w:rsid w:val="52A3DE50"/>
    <w:rsid w:val="52A3EC05"/>
    <w:rsid w:val="52A46946"/>
    <w:rsid w:val="52A68650"/>
    <w:rsid w:val="52A6DEA6"/>
    <w:rsid w:val="52A76B0C"/>
    <w:rsid w:val="52A77791"/>
    <w:rsid w:val="52A7CCCE"/>
    <w:rsid w:val="52A8A772"/>
    <w:rsid w:val="52A908A7"/>
    <w:rsid w:val="52A98067"/>
    <w:rsid w:val="52A98DCE"/>
    <w:rsid w:val="52AA5457"/>
    <w:rsid w:val="52AB5A61"/>
    <w:rsid w:val="52AB81F6"/>
    <w:rsid w:val="52ABC1D0"/>
    <w:rsid w:val="52AD4C57"/>
    <w:rsid w:val="52AFD8DA"/>
    <w:rsid w:val="52B02C23"/>
    <w:rsid w:val="52B06175"/>
    <w:rsid w:val="52B16556"/>
    <w:rsid w:val="52B247B9"/>
    <w:rsid w:val="52B2FC80"/>
    <w:rsid w:val="52B56684"/>
    <w:rsid w:val="52B81A48"/>
    <w:rsid w:val="52B90EFE"/>
    <w:rsid w:val="52BA721C"/>
    <w:rsid w:val="52BAA2CD"/>
    <w:rsid w:val="52BAA3C1"/>
    <w:rsid w:val="52BAEA2D"/>
    <w:rsid w:val="52BAFE98"/>
    <w:rsid w:val="52BBFEF0"/>
    <w:rsid w:val="52BC1F23"/>
    <w:rsid w:val="52BC5F1B"/>
    <w:rsid w:val="52BCB60D"/>
    <w:rsid w:val="52BD064D"/>
    <w:rsid w:val="52BDB32F"/>
    <w:rsid w:val="52BDD2D8"/>
    <w:rsid w:val="52BE2866"/>
    <w:rsid w:val="52BE83DD"/>
    <w:rsid w:val="52BFE98C"/>
    <w:rsid w:val="52C0FFC8"/>
    <w:rsid w:val="52C106EB"/>
    <w:rsid w:val="52C11037"/>
    <w:rsid w:val="52C30EFE"/>
    <w:rsid w:val="52C33395"/>
    <w:rsid w:val="52C48F19"/>
    <w:rsid w:val="52C4D00D"/>
    <w:rsid w:val="52C721B3"/>
    <w:rsid w:val="52C7DA92"/>
    <w:rsid w:val="52C8A033"/>
    <w:rsid w:val="52CA7027"/>
    <w:rsid w:val="52CBB1B3"/>
    <w:rsid w:val="52CC11CF"/>
    <w:rsid w:val="52CC610E"/>
    <w:rsid w:val="52CD60F9"/>
    <w:rsid w:val="52CE593A"/>
    <w:rsid w:val="52CF0C1E"/>
    <w:rsid w:val="52CF53EC"/>
    <w:rsid w:val="52CFCCF9"/>
    <w:rsid w:val="52D0D487"/>
    <w:rsid w:val="52D16444"/>
    <w:rsid w:val="52D23E57"/>
    <w:rsid w:val="52D2898B"/>
    <w:rsid w:val="52D28AE4"/>
    <w:rsid w:val="52D30106"/>
    <w:rsid w:val="52D31408"/>
    <w:rsid w:val="52D36BD2"/>
    <w:rsid w:val="52D3AB2E"/>
    <w:rsid w:val="52D3CCE5"/>
    <w:rsid w:val="52D480E2"/>
    <w:rsid w:val="52D48103"/>
    <w:rsid w:val="52D54017"/>
    <w:rsid w:val="52D5516E"/>
    <w:rsid w:val="52D63805"/>
    <w:rsid w:val="52D74143"/>
    <w:rsid w:val="52D7E014"/>
    <w:rsid w:val="52D800E5"/>
    <w:rsid w:val="52D80C4E"/>
    <w:rsid w:val="52D88331"/>
    <w:rsid w:val="52D8C618"/>
    <w:rsid w:val="52DA07B4"/>
    <w:rsid w:val="52DAC401"/>
    <w:rsid w:val="52DAF49C"/>
    <w:rsid w:val="52DBE097"/>
    <w:rsid w:val="52DE3FB0"/>
    <w:rsid w:val="52DE605D"/>
    <w:rsid w:val="52DF4620"/>
    <w:rsid w:val="52DF46C4"/>
    <w:rsid w:val="52DF9DE8"/>
    <w:rsid w:val="52E08B2C"/>
    <w:rsid w:val="52E08CA4"/>
    <w:rsid w:val="52E0BF0A"/>
    <w:rsid w:val="52E223A9"/>
    <w:rsid w:val="52E2F53C"/>
    <w:rsid w:val="52E46FBB"/>
    <w:rsid w:val="52E54C22"/>
    <w:rsid w:val="52E5DB8E"/>
    <w:rsid w:val="52E5DF7E"/>
    <w:rsid w:val="52E77BD9"/>
    <w:rsid w:val="52E77CC0"/>
    <w:rsid w:val="52E7E955"/>
    <w:rsid w:val="52E8775A"/>
    <w:rsid w:val="52E8B237"/>
    <w:rsid w:val="52E8FEA1"/>
    <w:rsid w:val="52E92F55"/>
    <w:rsid w:val="52EA4576"/>
    <w:rsid w:val="52EAF035"/>
    <w:rsid w:val="52EB396F"/>
    <w:rsid w:val="52EB8D0D"/>
    <w:rsid w:val="52EBAFDE"/>
    <w:rsid w:val="52ECE143"/>
    <w:rsid w:val="52ED638B"/>
    <w:rsid w:val="52ED95BA"/>
    <w:rsid w:val="52EDC0D2"/>
    <w:rsid w:val="52EDCA22"/>
    <w:rsid w:val="52EE54B3"/>
    <w:rsid w:val="52EE8445"/>
    <w:rsid w:val="52EEB109"/>
    <w:rsid w:val="52EF052E"/>
    <w:rsid w:val="52EF08D3"/>
    <w:rsid w:val="52EF853B"/>
    <w:rsid w:val="52F0E63C"/>
    <w:rsid w:val="52F1F060"/>
    <w:rsid w:val="52F26B77"/>
    <w:rsid w:val="52F2B75F"/>
    <w:rsid w:val="52F31D41"/>
    <w:rsid w:val="52F3293B"/>
    <w:rsid w:val="52F3C83F"/>
    <w:rsid w:val="52F40017"/>
    <w:rsid w:val="52F4765B"/>
    <w:rsid w:val="52F48124"/>
    <w:rsid w:val="52F539BE"/>
    <w:rsid w:val="52F5A5A3"/>
    <w:rsid w:val="52F5A5AA"/>
    <w:rsid w:val="52F6058C"/>
    <w:rsid w:val="52F67DD0"/>
    <w:rsid w:val="52F681BB"/>
    <w:rsid w:val="52F7070E"/>
    <w:rsid w:val="52F7E8A2"/>
    <w:rsid w:val="52F822F8"/>
    <w:rsid w:val="52F866D4"/>
    <w:rsid w:val="52F87D4B"/>
    <w:rsid w:val="52F8E4C1"/>
    <w:rsid w:val="52F94617"/>
    <w:rsid w:val="52F952F7"/>
    <w:rsid w:val="52F98AC3"/>
    <w:rsid w:val="52F98DA8"/>
    <w:rsid w:val="52FA1E2D"/>
    <w:rsid w:val="52FA853D"/>
    <w:rsid w:val="52FB8E2A"/>
    <w:rsid w:val="52FB9518"/>
    <w:rsid w:val="52FC0034"/>
    <w:rsid w:val="52FC0A55"/>
    <w:rsid w:val="52FCD5F1"/>
    <w:rsid w:val="52FDE231"/>
    <w:rsid w:val="52FDFCF4"/>
    <w:rsid w:val="52FEDFE5"/>
    <w:rsid w:val="52FFE527"/>
    <w:rsid w:val="5300E928"/>
    <w:rsid w:val="53011072"/>
    <w:rsid w:val="53017E85"/>
    <w:rsid w:val="53021111"/>
    <w:rsid w:val="5302C15D"/>
    <w:rsid w:val="5302EDF9"/>
    <w:rsid w:val="530302D6"/>
    <w:rsid w:val="5303CFAE"/>
    <w:rsid w:val="5304D64E"/>
    <w:rsid w:val="5305506F"/>
    <w:rsid w:val="53059027"/>
    <w:rsid w:val="530619F9"/>
    <w:rsid w:val="53069935"/>
    <w:rsid w:val="5306D3CB"/>
    <w:rsid w:val="5306E555"/>
    <w:rsid w:val="5306EFF9"/>
    <w:rsid w:val="53083001"/>
    <w:rsid w:val="5308E30B"/>
    <w:rsid w:val="5308EC95"/>
    <w:rsid w:val="530931B0"/>
    <w:rsid w:val="53099E72"/>
    <w:rsid w:val="5309D195"/>
    <w:rsid w:val="530A113A"/>
    <w:rsid w:val="530AC8BE"/>
    <w:rsid w:val="530AD264"/>
    <w:rsid w:val="530B1DF1"/>
    <w:rsid w:val="530BDF3D"/>
    <w:rsid w:val="530BF18A"/>
    <w:rsid w:val="530DB0F8"/>
    <w:rsid w:val="530E198F"/>
    <w:rsid w:val="530E50BC"/>
    <w:rsid w:val="531024D0"/>
    <w:rsid w:val="53115678"/>
    <w:rsid w:val="5311E3F5"/>
    <w:rsid w:val="53127D29"/>
    <w:rsid w:val="5312D30F"/>
    <w:rsid w:val="5313AF39"/>
    <w:rsid w:val="53143B47"/>
    <w:rsid w:val="53146A48"/>
    <w:rsid w:val="531494F1"/>
    <w:rsid w:val="53153BFD"/>
    <w:rsid w:val="53153CB9"/>
    <w:rsid w:val="531559CE"/>
    <w:rsid w:val="5315D15D"/>
    <w:rsid w:val="531677FF"/>
    <w:rsid w:val="53173D49"/>
    <w:rsid w:val="531791F9"/>
    <w:rsid w:val="5317A9EA"/>
    <w:rsid w:val="5317B1C3"/>
    <w:rsid w:val="5317EB29"/>
    <w:rsid w:val="5317EFBC"/>
    <w:rsid w:val="5318064B"/>
    <w:rsid w:val="53187893"/>
    <w:rsid w:val="53194F09"/>
    <w:rsid w:val="5319AE86"/>
    <w:rsid w:val="5319EE4E"/>
    <w:rsid w:val="531AF21E"/>
    <w:rsid w:val="531B4ED1"/>
    <w:rsid w:val="531B9215"/>
    <w:rsid w:val="531BDB00"/>
    <w:rsid w:val="531BF48B"/>
    <w:rsid w:val="531C140B"/>
    <w:rsid w:val="531C827A"/>
    <w:rsid w:val="531E0B75"/>
    <w:rsid w:val="531E43E3"/>
    <w:rsid w:val="531F12F1"/>
    <w:rsid w:val="531F9860"/>
    <w:rsid w:val="5320AE2D"/>
    <w:rsid w:val="532143FA"/>
    <w:rsid w:val="5322A977"/>
    <w:rsid w:val="5322B42D"/>
    <w:rsid w:val="53230446"/>
    <w:rsid w:val="5323127D"/>
    <w:rsid w:val="53236177"/>
    <w:rsid w:val="5323DFA0"/>
    <w:rsid w:val="5324F76E"/>
    <w:rsid w:val="5325DD2E"/>
    <w:rsid w:val="53267C9B"/>
    <w:rsid w:val="5326A938"/>
    <w:rsid w:val="53288B40"/>
    <w:rsid w:val="532898F0"/>
    <w:rsid w:val="5328A49A"/>
    <w:rsid w:val="53295CFE"/>
    <w:rsid w:val="53296F32"/>
    <w:rsid w:val="5329B82F"/>
    <w:rsid w:val="532A1D01"/>
    <w:rsid w:val="532A829C"/>
    <w:rsid w:val="532B296E"/>
    <w:rsid w:val="532B7A38"/>
    <w:rsid w:val="532BB315"/>
    <w:rsid w:val="532CD269"/>
    <w:rsid w:val="532CDFA5"/>
    <w:rsid w:val="532CE92C"/>
    <w:rsid w:val="532D920B"/>
    <w:rsid w:val="532E0817"/>
    <w:rsid w:val="532F23DC"/>
    <w:rsid w:val="532FE26E"/>
    <w:rsid w:val="5330F414"/>
    <w:rsid w:val="5332538D"/>
    <w:rsid w:val="533350B0"/>
    <w:rsid w:val="53337AC6"/>
    <w:rsid w:val="5333993B"/>
    <w:rsid w:val="5334B01B"/>
    <w:rsid w:val="53383514"/>
    <w:rsid w:val="5338B458"/>
    <w:rsid w:val="53398A51"/>
    <w:rsid w:val="533B5051"/>
    <w:rsid w:val="533B95E5"/>
    <w:rsid w:val="533CA0ED"/>
    <w:rsid w:val="533D3364"/>
    <w:rsid w:val="533DF0E2"/>
    <w:rsid w:val="533E8BF7"/>
    <w:rsid w:val="53406B56"/>
    <w:rsid w:val="5340E79B"/>
    <w:rsid w:val="534183F3"/>
    <w:rsid w:val="53419A74"/>
    <w:rsid w:val="5341BC5B"/>
    <w:rsid w:val="5341F951"/>
    <w:rsid w:val="53425A37"/>
    <w:rsid w:val="53425C9D"/>
    <w:rsid w:val="53430627"/>
    <w:rsid w:val="534357E2"/>
    <w:rsid w:val="534363F2"/>
    <w:rsid w:val="5343B565"/>
    <w:rsid w:val="53441574"/>
    <w:rsid w:val="53442776"/>
    <w:rsid w:val="53443D93"/>
    <w:rsid w:val="5345AC77"/>
    <w:rsid w:val="534664EB"/>
    <w:rsid w:val="534697BE"/>
    <w:rsid w:val="5346EFA3"/>
    <w:rsid w:val="5347068D"/>
    <w:rsid w:val="53470ADB"/>
    <w:rsid w:val="53485C38"/>
    <w:rsid w:val="534925AC"/>
    <w:rsid w:val="53493D9F"/>
    <w:rsid w:val="5349C046"/>
    <w:rsid w:val="534A4577"/>
    <w:rsid w:val="534ACB26"/>
    <w:rsid w:val="534BA7E8"/>
    <w:rsid w:val="534C34C5"/>
    <w:rsid w:val="534C6D5F"/>
    <w:rsid w:val="534C98DB"/>
    <w:rsid w:val="534D296B"/>
    <w:rsid w:val="534DA802"/>
    <w:rsid w:val="534DB603"/>
    <w:rsid w:val="534EBAFC"/>
    <w:rsid w:val="53503FDE"/>
    <w:rsid w:val="53515DCE"/>
    <w:rsid w:val="535165FE"/>
    <w:rsid w:val="53518027"/>
    <w:rsid w:val="5351FC78"/>
    <w:rsid w:val="5352614D"/>
    <w:rsid w:val="53526E9B"/>
    <w:rsid w:val="5352D83F"/>
    <w:rsid w:val="5353CA64"/>
    <w:rsid w:val="53545CF5"/>
    <w:rsid w:val="5354772F"/>
    <w:rsid w:val="5355439B"/>
    <w:rsid w:val="53569528"/>
    <w:rsid w:val="5356E64F"/>
    <w:rsid w:val="5356F8F1"/>
    <w:rsid w:val="53586968"/>
    <w:rsid w:val="53589322"/>
    <w:rsid w:val="5358B907"/>
    <w:rsid w:val="53598165"/>
    <w:rsid w:val="5359AF5D"/>
    <w:rsid w:val="535AEF4D"/>
    <w:rsid w:val="535B6CB9"/>
    <w:rsid w:val="535BA2A3"/>
    <w:rsid w:val="535C48B7"/>
    <w:rsid w:val="535C7808"/>
    <w:rsid w:val="535E31C3"/>
    <w:rsid w:val="535EF9FE"/>
    <w:rsid w:val="535FDC99"/>
    <w:rsid w:val="53604497"/>
    <w:rsid w:val="536046A6"/>
    <w:rsid w:val="5360F8D5"/>
    <w:rsid w:val="53616477"/>
    <w:rsid w:val="5363D353"/>
    <w:rsid w:val="5364CCEA"/>
    <w:rsid w:val="5364CE36"/>
    <w:rsid w:val="53652B68"/>
    <w:rsid w:val="5365793E"/>
    <w:rsid w:val="53657CB9"/>
    <w:rsid w:val="53666FD5"/>
    <w:rsid w:val="5366A030"/>
    <w:rsid w:val="536712AE"/>
    <w:rsid w:val="536715C2"/>
    <w:rsid w:val="53678EF5"/>
    <w:rsid w:val="53679330"/>
    <w:rsid w:val="5367B37F"/>
    <w:rsid w:val="53690941"/>
    <w:rsid w:val="536A50A9"/>
    <w:rsid w:val="536B52CC"/>
    <w:rsid w:val="536BC377"/>
    <w:rsid w:val="536BD075"/>
    <w:rsid w:val="536C5643"/>
    <w:rsid w:val="536CD987"/>
    <w:rsid w:val="536DF577"/>
    <w:rsid w:val="536E74B2"/>
    <w:rsid w:val="536F3300"/>
    <w:rsid w:val="53706054"/>
    <w:rsid w:val="5370AAFD"/>
    <w:rsid w:val="5370E225"/>
    <w:rsid w:val="537176D8"/>
    <w:rsid w:val="5372252E"/>
    <w:rsid w:val="5372370F"/>
    <w:rsid w:val="537372DB"/>
    <w:rsid w:val="5373EA42"/>
    <w:rsid w:val="537443D3"/>
    <w:rsid w:val="53749939"/>
    <w:rsid w:val="53771199"/>
    <w:rsid w:val="5377FD33"/>
    <w:rsid w:val="53782D4C"/>
    <w:rsid w:val="537891C1"/>
    <w:rsid w:val="5378E41B"/>
    <w:rsid w:val="537954F0"/>
    <w:rsid w:val="5379A647"/>
    <w:rsid w:val="537A1165"/>
    <w:rsid w:val="537B4956"/>
    <w:rsid w:val="537BC620"/>
    <w:rsid w:val="537BD5AC"/>
    <w:rsid w:val="537D8555"/>
    <w:rsid w:val="537F4E6D"/>
    <w:rsid w:val="537FAE05"/>
    <w:rsid w:val="538051FA"/>
    <w:rsid w:val="538053D3"/>
    <w:rsid w:val="538293F8"/>
    <w:rsid w:val="5382E7EC"/>
    <w:rsid w:val="5384D7C0"/>
    <w:rsid w:val="53854039"/>
    <w:rsid w:val="53854D46"/>
    <w:rsid w:val="53864581"/>
    <w:rsid w:val="5387AA09"/>
    <w:rsid w:val="538822C4"/>
    <w:rsid w:val="53887616"/>
    <w:rsid w:val="53888634"/>
    <w:rsid w:val="5389D35A"/>
    <w:rsid w:val="538AF94D"/>
    <w:rsid w:val="538D546B"/>
    <w:rsid w:val="538D7150"/>
    <w:rsid w:val="538E9457"/>
    <w:rsid w:val="538EB0A5"/>
    <w:rsid w:val="538F92E0"/>
    <w:rsid w:val="53900ADC"/>
    <w:rsid w:val="5390741B"/>
    <w:rsid w:val="5391ACFD"/>
    <w:rsid w:val="5391E883"/>
    <w:rsid w:val="5392118E"/>
    <w:rsid w:val="53923EDD"/>
    <w:rsid w:val="53924FB2"/>
    <w:rsid w:val="53927E9E"/>
    <w:rsid w:val="53929CE6"/>
    <w:rsid w:val="53934E85"/>
    <w:rsid w:val="5393B3DC"/>
    <w:rsid w:val="53968317"/>
    <w:rsid w:val="5396B3B3"/>
    <w:rsid w:val="5396FF80"/>
    <w:rsid w:val="5397A267"/>
    <w:rsid w:val="5397F3B6"/>
    <w:rsid w:val="53981CD5"/>
    <w:rsid w:val="539A6EED"/>
    <w:rsid w:val="539AF38B"/>
    <w:rsid w:val="539BBB02"/>
    <w:rsid w:val="539C4FA0"/>
    <w:rsid w:val="539C68BF"/>
    <w:rsid w:val="539C9E99"/>
    <w:rsid w:val="539CBEDE"/>
    <w:rsid w:val="539D2EBC"/>
    <w:rsid w:val="539D4FDD"/>
    <w:rsid w:val="539E99AD"/>
    <w:rsid w:val="539F843D"/>
    <w:rsid w:val="539F89B6"/>
    <w:rsid w:val="539FABD9"/>
    <w:rsid w:val="539FC157"/>
    <w:rsid w:val="539FD996"/>
    <w:rsid w:val="53A00D22"/>
    <w:rsid w:val="53A014F5"/>
    <w:rsid w:val="53A02857"/>
    <w:rsid w:val="53A0E025"/>
    <w:rsid w:val="53A1FDA9"/>
    <w:rsid w:val="53A32706"/>
    <w:rsid w:val="53A32EF5"/>
    <w:rsid w:val="53A3695C"/>
    <w:rsid w:val="53A54647"/>
    <w:rsid w:val="53A5C389"/>
    <w:rsid w:val="53A5D403"/>
    <w:rsid w:val="53A5F355"/>
    <w:rsid w:val="53A751EC"/>
    <w:rsid w:val="53A791DD"/>
    <w:rsid w:val="53A86B63"/>
    <w:rsid w:val="53A87B23"/>
    <w:rsid w:val="53A8943D"/>
    <w:rsid w:val="53A8C844"/>
    <w:rsid w:val="53AA2973"/>
    <w:rsid w:val="53AA7379"/>
    <w:rsid w:val="53AA97AD"/>
    <w:rsid w:val="53AAB5E1"/>
    <w:rsid w:val="53ACB174"/>
    <w:rsid w:val="53ACE53A"/>
    <w:rsid w:val="53AD3006"/>
    <w:rsid w:val="53AD9605"/>
    <w:rsid w:val="53B1123F"/>
    <w:rsid w:val="53B11FD5"/>
    <w:rsid w:val="53B22AB3"/>
    <w:rsid w:val="53B2CF5B"/>
    <w:rsid w:val="53B37197"/>
    <w:rsid w:val="53B57B5C"/>
    <w:rsid w:val="53B57C12"/>
    <w:rsid w:val="53B591B7"/>
    <w:rsid w:val="53B62773"/>
    <w:rsid w:val="53B64291"/>
    <w:rsid w:val="53B67591"/>
    <w:rsid w:val="53B6CBC8"/>
    <w:rsid w:val="53B7A9CB"/>
    <w:rsid w:val="53B7E746"/>
    <w:rsid w:val="53B7F9D1"/>
    <w:rsid w:val="53B864AC"/>
    <w:rsid w:val="53BA8519"/>
    <w:rsid w:val="53BA8867"/>
    <w:rsid w:val="53BBCB3C"/>
    <w:rsid w:val="53BC797B"/>
    <w:rsid w:val="53BCD17C"/>
    <w:rsid w:val="53BD1BD1"/>
    <w:rsid w:val="53BD8AB6"/>
    <w:rsid w:val="53BDC51F"/>
    <w:rsid w:val="53BE4A76"/>
    <w:rsid w:val="53BE5326"/>
    <w:rsid w:val="53C1DC45"/>
    <w:rsid w:val="53C39348"/>
    <w:rsid w:val="53C3FDAE"/>
    <w:rsid w:val="53C41D16"/>
    <w:rsid w:val="53C46F22"/>
    <w:rsid w:val="53C4B4B8"/>
    <w:rsid w:val="53C60F00"/>
    <w:rsid w:val="53C663C3"/>
    <w:rsid w:val="53C681EB"/>
    <w:rsid w:val="53C6DE0B"/>
    <w:rsid w:val="53C6E466"/>
    <w:rsid w:val="53C7507B"/>
    <w:rsid w:val="53C7E73E"/>
    <w:rsid w:val="53CA54C1"/>
    <w:rsid w:val="53CAD945"/>
    <w:rsid w:val="53CAE84E"/>
    <w:rsid w:val="53CAEC5D"/>
    <w:rsid w:val="53CBECBC"/>
    <w:rsid w:val="53CC42F0"/>
    <w:rsid w:val="53CC7E8E"/>
    <w:rsid w:val="53CEE330"/>
    <w:rsid w:val="53CF2E8C"/>
    <w:rsid w:val="53CF8BEE"/>
    <w:rsid w:val="53D0B2F1"/>
    <w:rsid w:val="53D14FC5"/>
    <w:rsid w:val="53D187F7"/>
    <w:rsid w:val="53D1A058"/>
    <w:rsid w:val="53D2C504"/>
    <w:rsid w:val="53D2E588"/>
    <w:rsid w:val="53D31DE2"/>
    <w:rsid w:val="53D38525"/>
    <w:rsid w:val="53D38985"/>
    <w:rsid w:val="53D48B00"/>
    <w:rsid w:val="53D4E76C"/>
    <w:rsid w:val="53D554AA"/>
    <w:rsid w:val="53D5D64E"/>
    <w:rsid w:val="53D63B28"/>
    <w:rsid w:val="53D69213"/>
    <w:rsid w:val="53D86FC6"/>
    <w:rsid w:val="53D904C1"/>
    <w:rsid w:val="53DC2FD5"/>
    <w:rsid w:val="53DCAD18"/>
    <w:rsid w:val="53DD9837"/>
    <w:rsid w:val="53DE446D"/>
    <w:rsid w:val="53DE69EC"/>
    <w:rsid w:val="53DE94BF"/>
    <w:rsid w:val="53DF6F94"/>
    <w:rsid w:val="53E01F42"/>
    <w:rsid w:val="53E124B9"/>
    <w:rsid w:val="53E177BC"/>
    <w:rsid w:val="53E18B51"/>
    <w:rsid w:val="53E416BD"/>
    <w:rsid w:val="53E486DE"/>
    <w:rsid w:val="53E4CBEB"/>
    <w:rsid w:val="53E5FEB0"/>
    <w:rsid w:val="53E71B7E"/>
    <w:rsid w:val="53E89B5E"/>
    <w:rsid w:val="53E8C90B"/>
    <w:rsid w:val="53E9D6E2"/>
    <w:rsid w:val="53EA6F56"/>
    <w:rsid w:val="53EAAC49"/>
    <w:rsid w:val="53EBD534"/>
    <w:rsid w:val="53EC76F1"/>
    <w:rsid w:val="53ED451A"/>
    <w:rsid w:val="53EDBD68"/>
    <w:rsid w:val="53EDCFEE"/>
    <w:rsid w:val="53EE05CB"/>
    <w:rsid w:val="53EE9E22"/>
    <w:rsid w:val="53EF6EB5"/>
    <w:rsid w:val="53EF7C56"/>
    <w:rsid w:val="53EF865C"/>
    <w:rsid w:val="53F08171"/>
    <w:rsid w:val="53F0F49D"/>
    <w:rsid w:val="53F112D8"/>
    <w:rsid w:val="53F2F3CB"/>
    <w:rsid w:val="53F33F46"/>
    <w:rsid w:val="53F3D51F"/>
    <w:rsid w:val="53F50C5F"/>
    <w:rsid w:val="53F6A60C"/>
    <w:rsid w:val="53F7940D"/>
    <w:rsid w:val="53F831E6"/>
    <w:rsid w:val="53F8ABA5"/>
    <w:rsid w:val="53F902FD"/>
    <w:rsid w:val="53F944C8"/>
    <w:rsid w:val="53F949DF"/>
    <w:rsid w:val="53F97AF9"/>
    <w:rsid w:val="53FB2E35"/>
    <w:rsid w:val="53FC27FC"/>
    <w:rsid w:val="53FCDCB1"/>
    <w:rsid w:val="53FD2A51"/>
    <w:rsid w:val="53FD7C0A"/>
    <w:rsid w:val="53FEDFFF"/>
    <w:rsid w:val="53FEF151"/>
    <w:rsid w:val="53FEF766"/>
    <w:rsid w:val="53FF4401"/>
    <w:rsid w:val="540167B3"/>
    <w:rsid w:val="54017EF0"/>
    <w:rsid w:val="5402F9D1"/>
    <w:rsid w:val="54031D34"/>
    <w:rsid w:val="54037215"/>
    <w:rsid w:val="54049E41"/>
    <w:rsid w:val="54063167"/>
    <w:rsid w:val="54064917"/>
    <w:rsid w:val="5406530A"/>
    <w:rsid w:val="5407067E"/>
    <w:rsid w:val="540710BE"/>
    <w:rsid w:val="54075B8F"/>
    <w:rsid w:val="5407C735"/>
    <w:rsid w:val="5407DF46"/>
    <w:rsid w:val="5407E5FA"/>
    <w:rsid w:val="5409EA42"/>
    <w:rsid w:val="540A57D6"/>
    <w:rsid w:val="540A84F0"/>
    <w:rsid w:val="540A87DC"/>
    <w:rsid w:val="540C612C"/>
    <w:rsid w:val="540CC7E1"/>
    <w:rsid w:val="540CD066"/>
    <w:rsid w:val="540CE860"/>
    <w:rsid w:val="540D868E"/>
    <w:rsid w:val="540DE09E"/>
    <w:rsid w:val="540EB0C2"/>
    <w:rsid w:val="541051C6"/>
    <w:rsid w:val="54109B12"/>
    <w:rsid w:val="5410C602"/>
    <w:rsid w:val="54111889"/>
    <w:rsid w:val="54114739"/>
    <w:rsid w:val="5411A3D4"/>
    <w:rsid w:val="5412D04E"/>
    <w:rsid w:val="54136F27"/>
    <w:rsid w:val="5413AFB0"/>
    <w:rsid w:val="54145585"/>
    <w:rsid w:val="5414F10A"/>
    <w:rsid w:val="54156867"/>
    <w:rsid w:val="5415AD46"/>
    <w:rsid w:val="54161DFC"/>
    <w:rsid w:val="54166DE0"/>
    <w:rsid w:val="54176BE8"/>
    <w:rsid w:val="541799AC"/>
    <w:rsid w:val="5417FED1"/>
    <w:rsid w:val="5418F15E"/>
    <w:rsid w:val="54190BA6"/>
    <w:rsid w:val="5419699D"/>
    <w:rsid w:val="54198F8F"/>
    <w:rsid w:val="541A71D6"/>
    <w:rsid w:val="541B9ADA"/>
    <w:rsid w:val="541C1F04"/>
    <w:rsid w:val="541C42ED"/>
    <w:rsid w:val="541C457E"/>
    <w:rsid w:val="541D61D0"/>
    <w:rsid w:val="541E2A7B"/>
    <w:rsid w:val="541E56C1"/>
    <w:rsid w:val="541EBE6E"/>
    <w:rsid w:val="5420527F"/>
    <w:rsid w:val="54206763"/>
    <w:rsid w:val="54234B97"/>
    <w:rsid w:val="54261E8C"/>
    <w:rsid w:val="5426763B"/>
    <w:rsid w:val="542856A1"/>
    <w:rsid w:val="5428ECB3"/>
    <w:rsid w:val="54296CCF"/>
    <w:rsid w:val="54296DDF"/>
    <w:rsid w:val="5429F808"/>
    <w:rsid w:val="542A5BA2"/>
    <w:rsid w:val="542AB525"/>
    <w:rsid w:val="542B3F97"/>
    <w:rsid w:val="542BEBB6"/>
    <w:rsid w:val="542FBDD8"/>
    <w:rsid w:val="5430B74A"/>
    <w:rsid w:val="5430EFC7"/>
    <w:rsid w:val="543114D3"/>
    <w:rsid w:val="543226CA"/>
    <w:rsid w:val="54322E38"/>
    <w:rsid w:val="5432D9AA"/>
    <w:rsid w:val="5433124C"/>
    <w:rsid w:val="5433652F"/>
    <w:rsid w:val="54339CA8"/>
    <w:rsid w:val="5433F919"/>
    <w:rsid w:val="5433FED5"/>
    <w:rsid w:val="5434428C"/>
    <w:rsid w:val="54358BF8"/>
    <w:rsid w:val="54361F60"/>
    <w:rsid w:val="5436E169"/>
    <w:rsid w:val="5436FFDB"/>
    <w:rsid w:val="5437CE9D"/>
    <w:rsid w:val="5437E2D0"/>
    <w:rsid w:val="5438B1B5"/>
    <w:rsid w:val="543BCD15"/>
    <w:rsid w:val="543C1944"/>
    <w:rsid w:val="543D22DF"/>
    <w:rsid w:val="543DD3BA"/>
    <w:rsid w:val="543E31FC"/>
    <w:rsid w:val="543E644A"/>
    <w:rsid w:val="543EB009"/>
    <w:rsid w:val="543EC2E8"/>
    <w:rsid w:val="543FBBAC"/>
    <w:rsid w:val="543FDA71"/>
    <w:rsid w:val="54404269"/>
    <w:rsid w:val="5440CF63"/>
    <w:rsid w:val="54410A55"/>
    <w:rsid w:val="544129C3"/>
    <w:rsid w:val="54419CE7"/>
    <w:rsid w:val="544398D4"/>
    <w:rsid w:val="5443C06E"/>
    <w:rsid w:val="54441F1E"/>
    <w:rsid w:val="54446236"/>
    <w:rsid w:val="54447A0E"/>
    <w:rsid w:val="54451902"/>
    <w:rsid w:val="5445AE78"/>
    <w:rsid w:val="5445F2B2"/>
    <w:rsid w:val="54464417"/>
    <w:rsid w:val="5447ED3F"/>
    <w:rsid w:val="5448CFDC"/>
    <w:rsid w:val="5448F130"/>
    <w:rsid w:val="54491BAF"/>
    <w:rsid w:val="54498EB1"/>
    <w:rsid w:val="544A0285"/>
    <w:rsid w:val="544A9F23"/>
    <w:rsid w:val="544C348E"/>
    <w:rsid w:val="544DF9A5"/>
    <w:rsid w:val="544E7188"/>
    <w:rsid w:val="5450367D"/>
    <w:rsid w:val="5450D233"/>
    <w:rsid w:val="545189E1"/>
    <w:rsid w:val="54538A40"/>
    <w:rsid w:val="5454556A"/>
    <w:rsid w:val="545497B4"/>
    <w:rsid w:val="54551FBD"/>
    <w:rsid w:val="5455DFCA"/>
    <w:rsid w:val="545673FD"/>
    <w:rsid w:val="54567D0F"/>
    <w:rsid w:val="54577276"/>
    <w:rsid w:val="5458229E"/>
    <w:rsid w:val="5458314E"/>
    <w:rsid w:val="5458D184"/>
    <w:rsid w:val="545AB52C"/>
    <w:rsid w:val="545ABE27"/>
    <w:rsid w:val="545AC7FB"/>
    <w:rsid w:val="545B9678"/>
    <w:rsid w:val="545BCEB6"/>
    <w:rsid w:val="545C3138"/>
    <w:rsid w:val="545C610C"/>
    <w:rsid w:val="545ED146"/>
    <w:rsid w:val="545F7D78"/>
    <w:rsid w:val="545FD647"/>
    <w:rsid w:val="5460B6C6"/>
    <w:rsid w:val="54617F73"/>
    <w:rsid w:val="5461C990"/>
    <w:rsid w:val="5461CE8A"/>
    <w:rsid w:val="54626330"/>
    <w:rsid w:val="5463FBB7"/>
    <w:rsid w:val="546416B4"/>
    <w:rsid w:val="546504D6"/>
    <w:rsid w:val="5466841D"/>
    <w:rsid w:val="54689C43"/>
    <w:rsid w:val="5468CBB6"/>
    <w:rsid w:val="54692921"/>
    <w:rsid w:val="5469C6AD"/>
    <w:rsid w:val="5469FD45"/>
    <w:rsid w:val="546B0566"/>
    <w:rsid w:val="546B49EC"/>
    <w:rsid w:val="546BBE54"/>
    <w:rsid w:val="546BC88D"/>
    <w:rsid w:val="546BE577"/>
    <w:rsid w:val="546DD1B1"/>
    <w:rsid w:val="546E1F9F"/>
    <w:rsid w:val="546E4C81"/>
    <w:rsid w:val="546EED40"/>
    <w:rsid w:val="54730CA4"/>
    <w:rsid w:val="54738D0A"/>
    <w:rsid w:val="547390B6"/>
    <w:rsid w:val="5473B21D"/>
    <w:rsid w:val="5473E60F"/>
    <w:rsid w:val="54745D73"/>
    <w:rsid w:val="54748DE3"/>
    <w:rsid w:val="54759EB6"/>
    <w:rsid w:val="5475EC2F"/>
    <w:rsid w:val="547687DB"/>
    <w:rsid w:val="5476D8C2"/>
    <w:rsid w:val="5477D45C"/>
    <w:rsid w:val="54783145"/>
    <w:rsid w:val="54789FBF"/>
    <w:rsid w:val="54792758"/>
    <w:rsid w:val="54796AD0"/>
    <w:rsid w:val="547C2316"/>
    <w:rsid w:val="547C4D76"/>
    <w:rsid w:val="547C8E33"/>
    <w:rsid w:val="547DDEE8"/>
    <w:rsid w:val="547E5F08"/>
    <w:rsid w:val="547EA276"/>
    <w:rsid w:val="547ED818"/>
    <w:rsid w:val="548019D0"/>
    <w:rsid w:val="54809183"/>
    <w:rsid w:val="54809FC3"/>
    <w:rsid w:val="54812CD6"/>
    <w:rsid w:val="5482E9BA"/>
    <w:rsid w:val="548395A2"/>
    <w:rsid w:val="54843BC8"/>
    <w:rsid w:val="548560B8"/>
    <w:rsid w:val="54856783"/>
    <w:rsid w:val="5486406C"/>
    <w:rsid w:val="54877C94"/>
    <w:rsid w:val="54887C64"/>
    <w:rsid w:val="54891114"/>
    <w:rsid w:val="5489DF2E"/>
    <w:rsid w:val="548A9627"/>
    <w:rsid w:val="548AAAC4"/>
    <w:rsid w:val="548B256C"/>
    <w:rsid w:val="548C190B"/>
    <w:rsid w:val="548CA068"/>
    <w:rsid w:val="548EFDBE"/>
    <w:rsid w:val="5491E000"/>
    <w:rsid w:val="5491E248"/>
    <w:rsid w:val="5492AFCE"/>
    <w:rsid w:val="54933E92"/>
    <w:rsid w:val="5494857F"/>
    <w:rsid w:val="54949893"/>
    <w:rsid w:val="54961BEF"/>
    <w:rsid w:val="54964BB7"/>
    <w:rsid w:val="5496511E"/>
    <w:rsid w:val="5497FEC4"/>
    <w:rsid w:val="549857A8"/>
    <w:rsid w:val="5498638E"/>
    <w:rsid w:val="54987FF0"/>
    <w:rsid w:val="54997591"/>
    <w:rsid w:val="5499DCD3"/>
    <w:rsid w:val="549B9531"/>
    <w:rsid w:val="549D1878"/>
    <w:rsid w:val="549E5514"/>
    <w:rsid w:val="549E85DF"/>
    <w:rsid w:val="549F0050"/>
    <w:rsid w:val="549F65AE"/>
    <w:rsid w:val="54A077AA"/>
    <w:rsid w:val="54A247F7"/>
    <w:rsid w:val="54A3866D"/>
    <w:rsid w:val="54A47080"/>
    <w:rsid w:val="54A4F973"/>
    <w:rsid w:val="54A56E52"/>
    <w:rsid w:val="54A57F55"/>
    <w:rsid w:val="54A68EA6"/>
    <w:rsid w:val="54A8807F"/>
    <w:rsid w:val="54A90B54"/>
    <w:rsid w:val="54AA904C"/>
    <w:rsid w:val="54AABF58"/>
    <w:rsid w:val="54AB04C6"/>
    <w:rsid w:val="54AB5136"/>
    <w:rsid w:val="54ABE1E0"/>
    <w:rsid w:val="54AC592C"/>
    <w:rsid w:val="54AE2BFE"/>
    <w:rsid w:val="54AE6D17"/>
    <w:rsid w:val="54AEC5AA"/>
    <w:rsid w:val="54AEE143"/>
    <w:rsid w:val="54AEFE28"/>
    <w:rsid w:val="54AF4FB4"/>
    <w:rsid w:val="54AF7E63"/>
    <w:rsid w:val="54B03783"/>
    <w:rsid w:val="54B0C93C"/>
    <w:rsid w:val="54B1189B"/>
    <w:rsid w:val="54B1AC48"/>
    <w:rsid w:val="54B20B64"/>
    <w:rsid w:val="54B341F4"/>
    <w:rsid w:val="54B4ABC0"/>
    <w:rsid w:val="54B528B0"/>
    <w:rsid w:val="54B52EDF"/>
    <w:rsid w:val="54B5852C"/>
    <w:rsid w:val="54B5A592"/>
    <w:rsid w:val="54B5A999"/>
    <w:rsid w:val="54B5FBAA"/>
    <w:rsid w:val="54B6E327"/>
    <w:rsid w:val="54B77742"/>
    <w:rsid w:val="54B780FD"/>
    <w:rsid w:val="54B7AA50"/>
    <w:rsid w:val="54B83F17"/>
    <w:rsid w:val="54B89203"/>
    <w:rsid w:val="54B8C2D3"/>
    <w:rsid w:val="54B9C45A"/>
    <w:rsid w:val="54BA510B"/>
    <w:rsid w:val="54BA7F61"/>
    <w:rsid w:val="54BA8AF6"/>
    <w:rsid w:val="54BA8F9A"/>
    <w:rsid w:val="54BD7A16"/>
    <w:rsid w:val="54BE12E4"/>
    <w:rsid w:val="54BEC4FD"/>
    <w:rsid w:val="54BF1E08"/>
    <w:rsid w:val="54BF39E9"/>
    <w:rsid w:val="54C079A2"/>
    <w:rsid w:val="54C08A42"/>
    <w:rsid w:val="54C12C2E"/>
    <w:rsid w:val="54C12E63"/>
    <w:rsid w:val="54C24550"/>
    <w:rsid w:val="54C30F57"/>
    <w:rsid w:val="54C335F4"/>
    <w:rsid w:val="54C3E4F5"/>
    <w:rsid w:val="54C4835F"/>
    <w:rsid w:val="54C4990D"/>
    <w:rsid w:val="54C4D8C8"/>
    <w:rsid w:val="54C50F44"/>
    <w:rsid w:val="54C5316A"/>
    <w:rsid w:val="54C5922F"/>
    <w:rsid w:val="54C65F0C"/>
    <w:rsid w:val="54C70B5E"/>
    <w:rsid w:val="54C75B4A"/>
    <w:rsid w:val="54C7A67F"/>
    <w:rsid w:val="54CA52F9"/>
    <w:rsid w:val="54CA5465"/>
    <w:rsid w:val="54CACE7D"/>
    <w:rsid w:val="54CAD3EE"/>
    <w:rsid w:val="54CB273E"/>
    <w:rsid w:val="54CB9C1B"/>
    <w:rsid w:val="54CBE3A9"/>
    <w:rsid w:val="54CC23C4"/>
    <w:rsid w:val="54CD58D7"/>
    <w:rsid w:val="54CF0A40"/>
    <w:rsid w:val="54CF1CD2"/>
    <w:rsid w:val="54CFD3F2"/>
    <w:rsid w:val="54D1A80C"/>
    <w:rsid w:val="54D1F378"/>
    <w:rsid w:val="54D22BA7"/>
    <w:rsid w:val="54D362F3"/>
    <w:rsid w:val="54D3B318"/>
    <w:rsid w:val="54D3EA39"/>
    <w:rsid w:val="54D44B06"/>
    <w:rsid w:val="54D48ECB"/>
    <w:rsid w:val="54D4CF7D"/>
    <w:rsid w:val="54D4D6DF"/>
    <w:rsid w:val="54D50852"/>
    <w:rsid w:val="54D5AE97"/>
    <w:rsid w:val="54D747BD"/>
    <w:rsid w:val="54D7A469"/>
    <w:rsid w:val="54D9236A"/>
    <w:rsid w:val="54DA8FEF"/>
    <w:rsid w:val="54DB0F7B"/>
    <w:rsid w:val="54DB26AF"/>
    <w:rsid w:val="54DB77D8"/>
    <w:rsid w:val="54DC1D72"/>
    <w:rsid w:val="54DC30DE"/>
    <w:rsid w:val="54DC7451"/>
    <w:rsid w:val="54DC7FE6"/>
    <w:rsid w:val="54DE83D2"/>
    <w:rsid w:val="54DE984D"/>
    <w:rsid w:val="54DF079A"/>
    <w:rsid w:val="54DFDD8E"/>
    <w:rsid w:val="54E02FDF"/>
    <w:rsid w:val="54E0E10D"/>
    <w:rsid w:val="54E38628"/>
    <w:rsid w:val="54E4CC2C"/>
    <w:rsid w:val="54E523D0"/>
    <w:rsid w:val="54E54E0A"/>
    <w:rsid w:val="54E56CC0"/>
    <w:rsid w:val="54E6B110"/>
    <w:rsid w:val="54E7A80D"/>
    <w:rsid w:val="54E7E2D9"/>
    <w:rsid w:val="54E8942E"/>
    <w:rsid w:val="54E918EC"/>
    <w:rsid w:val="54E92D03"/>
    <w:rsid w:val="54E94C16"/>
    <w:rsid w:val="54EA1214"/>
    <w:rsid w:val="54EA444B"/>
    <w:rsid w:val="54EA6667"/>
    <w:rsid w:val="54EB092C"/>
    <w:rsid w:val="54EB53CC"/>
    <w:rsid w:val="54EB59F6"/>
    <w:rsid w:val="54EBA343"/>
    <w:rsid w:val="54EBEB1F"/>
    <w:rsid w:val="54ED3A87"/>
    <w:rsid w:val="54ED3F5A"/>
    <w:rsid w:val="54EDFA14"/>
    <w:rsid w:val="54EE0543"/>
    <w:rsid w:val="54EE3920"/>
    <w:rsid w:val="54EE568F"/>
    <w:rsid w:val="54EE80F6"/>
    <w:rsid w:val="54EEB5B9"/>
    <w:rsid w:val="54F016BC"/>
    <w:rsid w:val="54F045C7"/>
    <w:rsid w:val="54F10985"/>
    <w:rsid w:val="54F22295"/>
    <w:rsid w:val="54F2448E"/>
    <w:rsid w:val="54F245FA"/>
    <w:rsid w:val="54F2A88B"/>
    <w:rsid w:val="54F38917"/>
    <w:rsid w:val="54F5E52E"/>
    <w:rsid w:val="54F637D8"/>
    <w:rsid w:val="54F6DD7A"/>
    <w:rsid w:val="54F77A32"/>
    <w:rsid w:val="54F7D077"/>
    <w:rsid w:val="54F929BF"/>
    <w:rsid w:val="54FA19AA"/>
    <w:rsid w:val="54FA6B26"/>
    <w:rsid w:val="54FC2EAE"/>
    <w:rsid w:val="54FC549D"/>
    <w:rsid w:val="54FC9672"/>
    <w:rsid w:val="54FD0C38"/>
    <w:rsid w:val="54FDC206"/>
    <w:rsid w:val="54FDC7AE"/>
    <w:rsid w:val="54FE7E23"/>
    <w:rsid w:val="54FF807C"/>
    <w:rsid w:val="55008F27"/>
    <w:rsid w:val="5500B772"/>
    <w:rsid w:val="550131CC"/>
    <w:rsid w:val="55028A39"/>
    <w:rsid w:val="55037096"/>
    <w:rsid w:val="55039194"/>
    <w:rsid w:val="5503D807"/>
    <w:rsid w:val="55042615"/>
    <w:rsid w:val="55046903"/>
    <w:rsid w:val="5504B17A"/>
    <w:rsid w:val="5505036D"/>
    <w:rsid w:val="55057E5B"/>
    <w:rsid w:val="5506BB18"/>
    <w:rsid w:val="5506CCB7"/>
    <w:rsid w:val="55080290"/>
    <w:rsid w:val="550B0695"/>
    <w:rsid w:val="550BBB50"/>
    <w:rsid w:val="550BD980"/>
    <w:rsid w:val="550CDC20"/>
    <w:rsid w:val="550D3975"/>
    <w:rsid w:val="550DB2F6"/>
    <w:rsid w:val="550DC655"/>
    <w:rsid w:val="550E3BE1"/>
    <w:rsid w:val="550E838F"/>
    <w:rsid w:val="550EFE5E"/>
    <w:rsid w:val="550F946B"/>
    <w:rsid w:val="551032C0"/>
    <w:rsid w:val="55104DB6"/>
    <w:rsid w:val="5510677D"/>
    <w:rsid w:val="551180C2"/>
    <w:rsid w:val="5511AFAD"/>
    <w:rsid w:val="5513E9F8"/>
    <w:rsid w:val="5513F289"/>
    <w:rsid w:val="55142745"/>
    <w:rsid w:val="55155F54"/>
    <w:rsid w:val="55162CC3"/>
    <w:rsid w:val="551692B5"/>
    <w:rsid w:val="55173BEB"/>
    <w:rsid w:val="55177530"/>
    <w:rsid w:val="55199B68"/>
    <w:rsid w:val="551AEE7D"/>
    <w:rsid w:val="551B9D1B"/>
    <w:rsid w:val="551C4F5B"/>
    <w:rsid w:val="551CBACF"/>
    <w:rsid w:val="551D1A2F"/>
    <w:rsid w:val="551DD694"/>
    <w:rsid w:val="551F59AD"/>
    <w:rsid w:val="551FB102"/>
    <w:rsid w:val="552162E3"/>
    <w:rsid w:val="5521B584"/>
    <w:rsid w:val="5522235C"/>
    <w:rsid w:val="55222454"/>
    <w:rsid w:val="5523C1FF"/>
    <w:rsid w:val="552484B8"/>
    <w:rsid w:val="5524A9CB"/>
    <w:rsid w:val="5525224F"/>
    <w:rsid w:val="55253E33"/>
    <w:rsid w:val="5526DAEF"/>
    <w:rsid w:val="5528BBE9"/>
    <w:rsid w:val="5529A877"/>
    <w:rsid w:val="552A573D"/>
    <w:rsid w:val="552AE11B"/>
    <w:rsid w:val="552B3EF5"/>
    <w:rsid w:val="552BC9DE"/>
    <w:rsid w:val="552D8444"/>
    <w:rsid w:val="552DA1CE"/>
    <w:rsid w:val="552DE010"/>
    <w:rsid w:val="552E34EC"/>
    <w:rsid w:val="552E5229"/>
    <w:rsid w:val="552E9393"/>
    <w:rsid w:val="552EECCE"/>
    <w:rsid w:val="552F1D40"/>
    <w:rsid w:val="552F5430"/>
    <w:rsid w:val="552FB1E0"/>
    <w:rsid w:val="552FFC12"/>
    <w:rsid w:val="55305609"/>
    <w:rsid w:val="5530AB0F"/>
    <w:rsid w:val="5530CA4A"/>
    <w:rsid w:val="55312E99"/>
    <w:rsid w:val="5531393B"/>
    <w:rsid w:val="55316006"/>
    <w:rsid w:val="55324B4E"/>
    <w:rsid w:val="55328414"/>
    <w:rsid w:val="55341109"/>
    <w:rsid w:val="55343198"/>
    <w:rsid w:val="553466C5"/>
    <w:rsid w:val="5535D1BA"/>
    <w:rsid w:val="5535E4D2"/>
    <w:rsid w:val="5536807D"/>
    <w:rsid w:val="5536FB86"/>
    <w:rsid w:val="55376442"/>
    <w:rsid w:val="55381A67"/>
    <w:rsid w:val="55384F9C"/>
    <w:rsid w:val="55387415"/>
    <w:rsid w:val="5538A95A"/>
    <w:rsid w:val="5538BA9A"/>
    <w:rsid w:val="5538D69B"/>
    <w:rsid w:val="553928B1"/>
    <w:rsid w:val="55396EB8"/>
    <w:rsid w:val="553B36E2"/>
    <w:rsid w:val="553C0D7A"/>
    <w:rsid w:val="553C4155"/>
    <w:rsid w:val="553C86D8"/>
    <w:rsid w:val="553CB5DD"/>
    <w:rsid w:val="553D9A15"/>
    <w:rsid w:val="553D9A56"/>
    <w:rsid w:val="553DD6EC"/>
    <w:rsid w:val="553DFDFE"/>
    <w:rsid w:val="553E7700"/>
    <w:rsid w:val="553F337C"/>
    <w:rsid w:val="55411D05"/>
    <w:rsid w:val="554201AF"/>
    <w:rsid w:val="55426506"/>
    <w:rsid w:val="5542D1C3"/>
    <w:rsid w:val="5542D713"/>
    <w:rsid w:val="5542DCDE"/>
    <w:rsid w:val="5543A019"/>
    <w:rsid w:val="5543ED35"/>
    <w:rsid w:val="554480B9"/>
    <w:rsid w:val="5544A3A6"/>
    <w:rsid w:val="5544B33D"/>
    <w:rsid w:val="55457D97"/>
    <w:rsid w:val="5546BC1C"/>
    <w:rsid w:val="55472E56"/>
    <w:rsid w:val="5548859D"/>
    <w:rsid w:val="554A501E"/>
    <w:rsid w:val="554B84A8"/>
    <w:rsid w:val="554DBD1F"/>
    <w:rsid w:val="554F5FDA"/>
    <w:rsid w:val="55526C56"/>
    <w:rsid w:val="5553CBF8"/>
    <w:rsid w:val="5553FB46"/>
    <w:rsid w:val="5553FF6B"/>
    <w:rsid w:val="555464B5"/>
    <w:rsid w:val="55553E9F"/>
    <w:rsid w:val="5555999C"/>
    <w:rsid w:val="5555CD57"/>
    <w:rsid w:val="5556DB0F"/>
    <w:rsid w:val="55588FA2"/>
    <w:rsid w:val="5558995B"/>
    <w:rsid w:val="55595B17"/>
    <w:rsid w:val="555A26BD"/>
    <w:rsid w:val="555A75F1"/>
    <w:rsid w:val="555B5D7D"/>
    <w:rsid w:val="555BAACE"/>
    <w:rsid w:val="555BB8C1"/>
    <w:rsid w:val="555C5662"/>
    <w:rsid w:val="555CD070"/>
    <w:rsid w:val="555D31E5"/>
    <w:rsid w:val="555D581A"/>
    <w:rsid w:val="555D6D65"/>
    <w:rsid w:val="555D7F73"/>
    <w:rsid w:val="555D9DBF"/>
    <w:rsid w:val="555F4B42"/>
    <w:rsid w:val="555FFD52"/>
    <w:rsid w:val="556026D3"/>
    <w:rsid w:val="55603733"/>
    <w:rsid w:val="55639F46"/>
    <w:rsid w:val="556412B0"/>
    <w:rsid w:val="5565265D"/>
    <w:rsid w:val="5565EEB1"/>
    <w:rsid w:val="55666794"/>
    <w:rsid w:val="5566843A"/>
    <w:rsid w:val="556698CC"/>
    <w:rsid w:val="55687522"/>
    <w:rsid w:val="556D1CC7"/>
    <w:rsid w:val="556D5E13"/>
    <w:rsid w:val="556D9FC5"/>
    <w:rsid w:val="556E96E6"/>
    <w:rsid w:val="556EA7B3"/>
    <w:rsid w:val="556F9013"/>
    <w:rsid w:val="5570B7CD"/>
    <w:rsid w:val="55711218"/>
    <w:rsid w:val="55718E50"/>
    <w:rsid w:val="5571FCF3"/>
    <w:rsid w:val="5573935E"/>
    <w:rsid w:val="557470E9"/>
    <w:rsid w:val="5575899B"/>
    <w:rsid w:val="5575C637"/>
    <w:rsid w:val="557632C4"/>
    <w:rsid w:val="5576FFDB"/>
    <w:rsid w:val="55779AD2"/>
    <w:rsid w:val="5577D2EF"/>
    <w:rsid w:val="55787377"/>
    <w:rsid w:val="557B256F"/>
    <w:rsid w:val="557B3FF5"/>
    <w:rsid w:val="557B9537"/>
    <w:rsid w:val="557C966B"/>
    <w:rsid w:val="557CB17D"/>
    <w:rsid w:val="557D212E"/>
    <w:rsid w:val="557E8BCA"/>
    <w:rsid w:val="557F21D2"/>
    <w:rsid w:val="557F26C2"/>
    <w:rsid w:val="557F35D2"/>
    <w:rsid w:val="557FBD4F"/>
    <w:rsid w:val="5580DF35"/>
    <w:rsid w:val="5580DFC9"/>
    <w:rsid w:val="55815E59"/>
    <w:rsid w:val="5582A634"/>
    <w:rsid w:val="558351AD"/>
    <w:rsid w:val="55838337"/>
    <w:rsid w:val="55845F71"/>
    <w:rsid w:val="5585F28D"/>
    <w:rsid w:val="5586BC0D"/>
    <w:rsid w:val="558715E7"/>
    <w:rsid w:val="5587C02D"/>
    <w:rsid w:val="5587D0C6"/>
    <w:rsid w:val="55880DD7"/>
    <w:rsid w:val="55881183"/>
    <w:rsid w:val="55887BC2"/>
    <w:rsid w:val="5588C99D"/>
    <w:rsid w:val="5588E2F3"/>
    <w:rsid w:val="5589CDF7"/>
    <w:rsid w:val="558A372C"/>
    <w:rsid w:val="558A42F6"/>
    <w:rsid w:val="558B58EB"/>
    <w:rsid w:val="558C5A34"/>
    <w:rsid w:val="558CA0CE"/>
    <w:rsid w:val="558CB694"/>
    <w:rsid w:val="558D4E20"/>
    <w:rsid w:val="558D6378"/>
    <w:rsid w:val="558DAEAB"/>
    <w:rsid w:val="558E6AF3"/>
    <w:rsid w:val="558F114A"/>
    <w:rsid w:val="558F2B9E"/>
    <w:rsid w:val="5592153A"/>
    <w:rsid w:val="55921DD6"/>
    <w:rsid w:val="55939923"/>
    <w:rsid w:val="5593FD8A"/>
    <w:rsid w:val="5594E780"/>
    <w:rsid w:val="5594F215"/>
    <w:rsid w:val="559655E5"/>
    <w:rsid w:val="5596DDD6"/>
    <w:rsid w:val="55973ADB"/>
    <w:rsid w:val="55974679"/>
    <w:rsid w:val="5597D3AA"/>
    <w:rsid w:val="55982506"/>
    <w:rsid w:val="55985766"/>
    <w:rsid w:val="55998F73"/>
    <w:rsid w:val="5599BED7"/>
    <w:rsid w:val="559A1998"/>
    <w:rsid w:val="559A2B61"/>
    <w:rsid w:val="559AEEEB"/>
    <w:rsid w:val="559BA67B"/>
    <w:rsid w:val="559D5836"/>
    <w:rsid w:val="559DFDD3"/>
    <w:rsid w:val="559F9981"/>
    <w:rsid w:val="559FADCD"/>
    <w:rsid w:val="55A03B8F"/>
    <w:rsid w:val="55A04D9C"/>
    <w:rsid w:val="55A061BB"/>
    <w:rsid w:val="55A0D301"/>
    <w:rsid w:val="55A2E23D"/>
    <w:rsid w:val="55A4613C"/>
    <w:rsid w:val="55A52F21"/>
    <w:rsid w:val="55A5F3DD"/>
    <w:rsid w:val="55A61C2E"/>
    <w:rsid w:val="55A79922"/>
    <w:rsid w:val="55A7A418"/>
    <w:rsid w:val="55A7CBF3"/>
    <w:rsid w:val="55A8E8BD"/>
    <w:rsid w:val="55A93618"/>
    <w:rsid w:val="55A95AAE"/>
    <w:rsid w:val="55AA2BEF"/>
    <w:rsid w:val="55AAF0A9"/>
    <w:rsid w:val="55AB1910"/>
    <w:rsid w:val="55AB755B"/>
    <w:rsid w:val="55ABB0B6"/>
    <w:rsid w:val="55AC1E62"/>
    <w:rsid w:val="55ACCE06"/>
    <w:rsid w:val="55AE2363"/>
    <w:rsid w:val="55AE2367"/>
    <w:rsid w:val="55AEFD39"/>
    <w:rsid w:val="55AF124E"/>
    <w:rsid w:val="55B0A961"/>
    <w:rsid w:val="55B13C00"/>
    <w:rsid w:val="55B17DD1"/>
    <w:rsid w:val="55B20359"/>
    <w:rsid w:val="55B22097"/>
    <w:rsid w:val="55B3CAC0"/>
    <w:rsid w:val="55B43F39"/>
    <w:rsid w:val="55B698FB"/>
    <w:rsid w:val="55B6BE04"/>
    <w:rsid w:val="55B6C7E4"/>
    <w:rsid w:val="55B724C8"/>
    <w:rsid w:val="55B73F8C"/>
    <w:rsid w:val="55B7B9F8"/>
    <w:rsid w:val="55B82426"/>
    <w:rsid w:val="55B88EFE"/>
    <w:rsid w:val="55B8CB0F"/>
    <w:rsid w:val="55BA5DC1"/>
    <w:rsid w:val="55BACB05"/>
    <w:rsid w:val="55BC7ED2"/>
    <w:rsid w:val="55BD04F5"/>
    <w:rsid w:val="55BD4DE3"/>
    <w:rsid w:val="55BDDDA7"/>
    <w:rsid w:val="55BE72B2"/>
    <w:rsid w:val="55BF6A7C"/>
    <w:rsid w:val="55C1D039"/>
    <w:rsid w:val="55C21098"/>
    <w:rsid w:val="55C25B2C"/>
    <w:rsid w:val="55C3263C"/>
    <w:rsid w:val="55C3978B"/>
    <w:rsid w:val="55C3BA3C"/>
    <w:rsid w:val="55C44EA6"/>
    <w:rsid w:val="55C53638"/>
    <w:rsid w:val="55C541FD"/>
    <w:rsid w:val="55C5ACA9"/>
    <w:rsid w:val="55C6C3F4"/>
    <w:rsid w:val="55C6DAF9"/>
    <w:rsid w:val="55C7CCA4"/>
    <w:rsid w:val="55C8D576"/>
    <w:rsid w:val="55C91A44"/>
    <w:rsid w:val="55CA3B1B"/>
    <w:rsid w:val="55CACBED"/>
    <w:rsid w:val="55CB70AD"/>
    <w:rsid w:val="55CC00AC"/>
    <w:rsid w:val="55CC77D3"/>
    <w:rsid w:val="55CC954A"/>
    <w:rsid w:val="55CE5D70"/>
    <w:rsid w:val="55CEA00B"/>
    <w:rsid w:val="55CEDC8A"/>
    <w:rsid w:val="55CEE139"/>
    <w:rsid w:val="55CF58A7"/>
    <w:rsid w:val="55CFE670"/>
    <w:rsid w:val="55D0243E"/>
    <w:rsid w:val="55D146D8"/>
    <w:rsid w:val="55D1BD82"/>
    <w:rsid w:val="55D2FDF8"/>
    <w:rsid w:val="55D3545A"/>
    <w:rsid w:val="55D36AAE"/>
    <w:rsid w:val="55D3B92E"/>
    <w:rsid w:val="55D47CB0"/>
    <w:rsid w:val="55D4B303"/>
    <w:rsid w:val="55D4F446"/>
    <w:rsid w:val="55D56A8C"/>
    <w:rsid w:val="55D5BB6C"/>
    <w:rsid w:val="55D5C88A"/>
    <w:rsid w:val="55D701B4"/>
    <w:rsid w:val="55D70A64"/>
    <w:rsid w:val="55D7C198"/>
    <w:rsid w:val="55D8673F"/>
    <w:rsid w:val="55D8A189"/>
    <w:rsid w:val="55D9B7BB"/>
    <w:rsid w:val="55DBBFAC"/>
    <w:rsid w:val="55DBDD12"/>
    <w:rsid w:val="55DC5040"/>
    <w:rsid w:val="55DD54FF"/>
    <w:rsid w:val="55DD7EB8"/>
    <w:rsid w:val="55DDD6DB"/>
    <w:rsid w:val="55DDD8AD"/>
    <w:rsid w:val="55DE2712"/>
    <w:rsid w:val="55DE67D7"/>
    <w:rsid w:val="55DE723D"/>
    <w:rsid w:val="55DFA5DD"/>
    <w:rsid w:val="55DFA9AA"/>
    <w:rsid w:val="55E0778A"/>
    <w:rsid w:val="55E08D9F"/>
    <w:rsid w:val="55E0A4BD"/>
    <w:rsid w:val="55E0DB91"/>
    <w:rsid w:val="55E18362"/>
    <w:rsid w:val="55E2D360"/>
    <w:rsid w:val="55E35652"/>
    <w:rsid w:val="55E3CDBD"/>
    <w:rsid w:val="55E440D0"/>
    <w:rsid w:val="55E6D4CA"/>
    <w:rsid w:val="55E79268"/>
    <w:rsid w:val="55E832B2"/>
    <w:rsid w:val="55E849F4"/>
    <w:rsid w:val="55EA37E3"/>
    <w:rsid w:val="55EAC719"/>
    <w:rsid w:val="55EB1653"/>
    <w:rsid w:val="55EB81EC"/>
    <w:rsid w:val="55EB989A"/>
    <w:rsid w:val="55EC3ED8"/>
    <w:rsid w:val="55EC8B95"/>
    <w:rsid w:val="55ECB539"/>
    <w:rsid w:val="55ECE927"/>
    <w:rsid w:val="55ED8181"/>
    <w:rsid w:val="55EE7720"/>
    <w:rsid w:val="55EEA442"/>
    <w:rsid w:val="55F0EF6B"/>
    <w:rsid w:val="55F121C4"/>
    <w:rsid w:val="55F18509"/>
    <w:rsid w:val="55F1BBB5"/>
    <w:rsid w:val="55F24B4A"/>
    <w:rsid w:val="55F265C2"/>
    <w:rsid w:val="55F36886"/>
    <w:rsid w:val="55F3ABCF"/>
    <w:rsid w:val="55F3BA39"/>
    <w:rsid w:val="55F4508A"/>
    <w:rsid w:val="55F45939"/>
    <w:rsid w:val="55F45B29"/>
    <w:rsid w:val="55F4699B"/>
    <w:rsid w:val="55F48398"/>
    <w:rsid w:val="55F4A946"/>
    <w:rsid w:val="55F4AB01"/>
    <w:rsid w:val="55F56DFF"/>
    <w:rsid w:val="55F5E96D"/>
    <w:rsid w:val="55F634F6"/>
    <w:rsid w:val="55F71DC8"/>
    <w:rsid w:val="55F74AB5"/>
    <w:rsid w:val="55F8260F"/>
    <w:rsid w:val="55FA4FB1"/>
    <w:rsid w:val="55FA6C6E"/>
    <w:rsid w:val="55FA9384"/>
    <w:rsid w:val="55FB3CDB"/>
    <w:rsid w:val="55FC10F3"/>
    <w:rsid w:val="55FC5D7B"/>
    <w:rsid w:val="55FC98B4"/>
    <w:rsid w:val="55FCD330"/>
    <w:rsid w:val="55FD3A04"/>
    <w:rsid w:val="55FD6017"/>
    <w:rsid w:val="55FDE241"/>
    <w:rsid w:val="55FE089D"/>
    <w:rsid w:val="55FF7DC3"/>
    <w:rsid w:val="56008D26"/>
    <w:rsid w:val="5600F309"/>
    <w:rsid w:val="560111DC"/>
    <w:rsid w:val="5601942B"/>
    <w:rsid w:val="5601D8B1"/>
    <w:rsid w:val="56025728"/>
    <w:rsid w:val="5602876E"/>
    <w:rsid w:val="56028DB8"/>
    <w:rsid w:val="56029FDD"/>
    <w:rsid w:val="5604046F"/>
    <w:rsid w:val="5604067C"/>
    <w:rsid w:val="56041233"/>
    <w:rsid w:val="56042C6F"/>
    <w:rsid w:val="56052B2F"/>
    <w:rsid w:val="56066996"/>
    <w:rsid w:val="560684A3"/>
    <w:rsid w:val="56068B27"/>
    <w:rsid w:val="5607EFB5"/>
    <w:rsid w:val="560852D5"/>
    <w:rsid w:val="56091A1E"/>
    <w:rsid w:val="56092105"/>
    <w:rsid w:val="56095B81"/>
    <w:rsid w:val="560A1CE2"/>
    <w:rsid w:val="560AE58F"/>
    <w:rsid w:val="560AF156"/>
    <w:rsid w:val="560AF2BF"/>
    <w:rsid w:val="560C0135"/>
    <w:rsid w:val="560C7A3C"/>
    <w:rsid w:val="560D0F3E"/>
    <w:rsid w:val="560D4DF5"/>
    <w:rsid w:val="560D79F9"/>
    <w:rsid w:val="560E079C"/>
    <w:rsid w:val="560F21E4"/>
    <w:rsid w:val="560F4512"/>
    <w:rsid w:val="560FF2BE"/>
    <w:rsid w:val="56106A9B"/>
    <w:rsid w:val="5610C242"/>
    <w:rsid w:val="561100F7"/>
    <w:rsid w:val="561144A4"/>
    <w:rsid w:val="561301CE"/>
    <w:rsid w:val="5613E183"/>
    <w:rsid w:val="5615816E"/>
    <w:rsid w:val="5616A629"/>
    <w:rsid w:val="56171A53"/>
    <w:rsid w:val="56178CCB"/>
    <w:rsid w:val="5617FA21"/>
    <w:rsid w:val="561968B2"/>
    <w:rsid w:val="561A7BBE"/>
    <w:rsid w:val="561B391B"/>
    <w:rsid w:val="561B438D"/>
    <w:rsid w:val="561B51A2"/>
    <w:rsid w:val="561C984B"/>
    <w:rsid w:val="561CE21F"/>
    <w:rsid w:val="561CFF21"/>
    <w:rsid w:val="561D70EF"/>
    <w:rsid w:val="561E5E7C"/>
    <w:rsid w:val="561E9232"/>
    <w:rsid w:val="561F9984"/>
    <w:rsid w:val="5620A789"/>
    <w:rsid w:val="5620AEB2"/>
    <w:rsid w:val="5620E71F"/>
    <w:rsid w:val="56210C17"/>
    <w:rsid w:val="562172A7"/>
    <w:rsid w:val="562309BB"/>
    <w:rsid w:val="562476CD"/>
    <w:rsid w:val="56252C9C"/>
    <w:rsid w:val="5625AF8F"/>
    <w:rsid w:val="5625C69A"/>
    <w:rsid w:val="5625EA9F"/>
    <w:rsid w:val="56261BB2"/>
    <w:rsid w:val="56267101"/>
    <w:rsid w:val="5626BFBB"/>
    <w:rsid w:val="5626DE45"/>
    <w:rsid w:val="56281489"/>
    <w:rsid w:val="5629946B"/>
    <w:rsid w:val="562A2566"/>
    <w:rsid w:val="562A2F11"/>
    <w:rsid w:val="562A9ABB"/>
    <w:rsid w:val="562D28FC"/>
    <w:rsid w:val="562EDA8F"/>
    <w:rsid w:val="563072D6"/>
    <w:rsid w:val="5630C3EC"/>
    <w:rsid w:val="5632BCC7"/>
    <w:rsid w:val="5632DC30"/>
    <w:rsid w:val="5633B7FD"/>
    <w:rsid w:val="5633D74D"/>
    <w:rsid w:val="56348139"/>
    <w:rsid w:val="5634CCD6"/>
    <w:rsid w:val="56352D1A"/>
    <w:rsid w:val="56353219"/>
    <w:rsid w:val="56359089"/>
    <w:rsid w:val="56359610"/>
    <w:rsid w:val="56366821"/>
    <w:rsid w:val="56366BA8"/>
    <w:rsid w:val="56378EF8"/>
    <w:rsid w:val="5637956A"/>
    <w:rsid w:val="56382691"/>
    <w:rsid w:val="56389D0E"/>
    <w:rsid w:val="5638BE75"/>
    <w:rsid w:val="563AB58A"/>
    <w:rsid w:val="563B098D"/>
    <w:rsid w:val="563BB342"/>
    <w:rsid w:val="563CAE72"/>
    <w:rsid w:val="563D5B28"/>
    <w:rsid w:val="563DBB62"/>
    <w:rsid w:val="563E32AE"/>
    <w:rsid w:val="563EB817"/>
    <w:rsid w:val="563F9000"/>
    <w:rsid w:val="564039D5"/>
    <w:rsid w:val="5640FA27"/>
    <w:rsid w:val="5641E893"/>
    <w:rsid w:val="56423C38"/>
    <w:rsid w:val="56426F99"/>
    <w:rsid w:val="56428421"/>
    <w:rsid w:val="5644829A"/>
    <w:rsid w:val="56471201"/>
    <w:rsid w:val="56473CFF"/>
    <w:rsid w:val="56475643"/>
    <w:rsid w:val="5647CB58"/>
    <w:rsid w:val="5647FC84"/>
    <w:rsid w:val="56487636"/>
    <w:rsid w:val="5648BECC"/>
    <w:rsid w:val="56496072"/>
    <w:rsid w:val="564B09FC"/>
    <w:rsid w:val="564B6D1B"/>
    <w:rsid w:val="564B8245"/>
    <w:rsid w:val="564E162A"/>
    <w:rsid w:val="564E4351"/>
    <w:rsid w:val="564E829D"/>
    <w:rsid w:val="564EC4A6"/>
    <w:rsid w:val="564ECF50"/>
    <w:rsid w:val="564F4D7B"/>
    <w:rsid w:val="564F5586"/>
    <w:rsid w:val="56501749"/>
    <w:rsid w:val="56506DF2"/>
    <w:rsid w:val="5650A934"/>
    <w:rsid w:val="5650AC14"/>
    <w:rsid w:val="5650CD73"/>
    <w:rsid w:val="5650F955"/>
    <w:rsid w:val="5651C498"/>
    <w:rsid w:val="5652BF79"/>
    <w:rsid w:val="5653670E"/>
    <w:rsid w:val="5653A97F"/>
    <w:rsid w:val="56544355"/>
    <w:rsid w:val="565452E2"/>
    <w:rsid w:val="56554643"/>
    <w:rsid w:val="5655A3D3"/>
    <w:rsid w:val="565613DF"/>
    <w:rsid w:val="56564C4F"/>
    <w:rsid w:val="5656DDC4"/>
    <w:rsid w:val="5656E6F1"/>
    <w:rsid w:val="56576E09"/>
    <w:rsid w:val="56583484"/>
    <w:rsid w:val="5658AA1F"/>
    <w:rsid w:val="56593C54"/>
    <w:rsid w:val="56595BAB"/>
    <w:rsid w:val="565993AB"/>
    <w:rsid w:val="565A27B7"/>
    <w:rsid w:val="565AA223"/>
    <w:rsid w:val="565B0778"/>
    <w:rsid w:val="565C3E1F"/>
    <w:rsid w:val="565CC1E0"/>
    <w:rsid w:val="565CF539"/>
    <w:rsid w:val="565D0AAA"/>
    <w:rsid w:val="565D6AF1"/>
    <w:rsid w:val="565DC214"/>
    <w:rsid w:val="565DD656"/>
    <w:rsid w:val="5660749A"/>
    <w:rsid w:val="5661177C"/>
    <w:rsid w:val="5662454F"/>
    <w:rsid w:val="566343A3"/>
    <w:rsid w:val="5663A3FA"/>
    <w:rsid w:val="5663AE9C"/>
    <w:rsid w:val="5664145E"/>
    <w:rsid w:val="56644726"/>
    <w:rsid w:val="5664D76A"/>
    <w:rsid w:val="56657E62"/>
    <w:rsid w:val="56659825"/>
    <w:rsid w:val="56660ABB"/>
    <w:rsid w:val="56663393"/>
    <w:rsid w:val="5667B0A2"/>
    <w:rsid w:val="5667DBA7"/>
    <w:rsid w:val="56684EB1"/>
    <w:rsid w:val="5668A01E"/>
    <w:rsid w:val="566911D6"/>
    <w:rsid w:val="5669268E"/>
    <w:rsid w:val="56692AFB"/>
    <w:rsid w:val="566941B2"/>
    <w:rsid w:val="566AC1B8"/>
    <w:rsid w:val="566AF0FF"/>
    <w:rsid w:val="566B375C"/>
    <w:rsid w:val="566B5001"/>
    <w:rsid w:val="566B7397"/>
    <w:rsid w:val="566C2E9E"/>
    <w:rsid w:val="566C4269"/>
    <w:rsid w:val="566C627A"/>
    <w:rsid w:val="566D035D"/>
    <w:rsid w:val="566D4200"/>
    <w:rsid w:val="566DDFAD"/>
    <w:rsid w:val="566F5263"/>
    <w:rsid w:val="56705096"/>
    <w:rsid w:val="56708946"/>
    <w:rsid w:val="5670C4C4"/>
    <w:rsid w:val="5670EF9B"/>
    <w:rsid w:val="5671D456"/>
    <w:rsid w:val="5672FD2F"/>
    <w:rsid w:val="56739EBF"/>
    <w:rsid w:val="5673AC03"/>
    <w:rsid w:val="56748013"/>
    <w:rsid w:val="567482EA"/>
    <w:rsid w:val="56748FFC"/>
    <w:rsid w:val="5675EDB5"/>
    <w:rsid w:val="5676E044"/>
    <w:rsid w:val="56774C6B"/>
    <w:rsid w:val="567822C9"/>
    <w:rsid w:val="56782393"/>
    <w:rsid w:val="567A1EDF"/>
    <w:rsid w:val="567B9EAD"/>
    <w:rsid w:val="567C47CC"/>
    <w:rsid w:val="567C52E5"/>
    <w:rsid w:val="567CA9D2"/>
    <w:rsid w:val="567CCF0A"/>
    <w:rsid w:val="567CE475"/>
    <w:rsid w:val="567D2BD1"/>
    <w:rsid w:val="567D8B05"/>
    <w:rsid w:val="567ED765"/>
    <w:rsid w:val="5680652F"/>
    <w:rsid w:val="5680E7F5"/>
    <w:rsid w:val="56817C9A"/>
    <w:rsid w:val="5681F8D8"/>
    <w:rsid w:val="56823E5C"/>
    <w:rsid w:val="5683F7BF"/>
    <w:rsid w:val="568428A2"/>
    <w:rsid w:val="56846A86"/>
    <w:rsid w:val="56864F4C"/>
    <w:rsid w:val="56868DC7"/>
    <w:rsid w:val="5688502C"/>
    <w:rsid w:val="5688607D"/>
    <w:rsid w:val="568909EB"/>
    <w:rsid w:val="56897E80"/>
    <w:rsid w:val="5689A940"/>
    <w:rsid w:val="5689D55B"/>
    <w:rsid w:val="568A6EFC"/>
    <w:rsid w:val="568B722C"/>
    <w:rsid w:val="568BC999"/>
    <w:rsid w:val="568C9623"/>
    <w:rsid w:val="568DB32C"/>
    <w:rsid w:val="568E1F52"/>
    <w:rsid w:val="568E20BE"/>
    <w:rsid w:val="5690A864"/>
    <w:rsid w:val="569131AF"/>
    <w:rsid w:val="56917730"/>
    <w:rsid w:val="56917BE8"/>
    <w:rsid w:val="56921526"/>
    <w:rsid w:val="56927A56"/>
    <w:rsid w:val="56932109"/>
    <w:rsid w:val="5694A095"/>
    <w:rsid w:val="56951930"/>
    <w:rsid w:val="5695209B"/>
    <w:rsid w:val="5695899F"/>
    <w:rsid w:val="5695B91B"/>
    <w:rsid w:val="569869FD"/>
    <w:rsid w:val="5698A9F1"/>
    <w:rsid w:val="5698AF17"/>
    <w:rsid w:val="569997DB"/>
    <w:rsid w:val="56999EE4"/>
    <w:rsid w:val="5699E00C"/>
    <w:rsid w:val="569A3429"/>
    <w:rsid w:val="569B60BC"/>
    <w:rsid w:val="569BA99C"/>
    <w:rsid w:val="569BDF34"/>
    <w:rsid w:val="569C176D"/>
    <w:rsid w:val="569D86DF"/>
    <w:rsid w:val="569E8E18"/>
    <w:rsid w:val="569F14A5"/>
    <w:rsid w:val="569FA796"/>
    <w:rsid w:val="569FE8CA"/>
    <w:rsid w:val="56A0E322"/>
    <w:rsid w:val="56A24864"/>
    <w:rsid w:val="56A2709F"/>
    <w:rsid w:val="56A2CB91"/>
    <w:rsid w:val="56A3185F"/>
    <w:rsid w:val="56A320CE"/>
    <w:rsid w:val="56A3A180"/>
    <w:rsid w:val="56A45DB7"/>
    <w:rsid w:val="56A47624"/>
    <w:rsid w:val="56A4C3B3"/>
    <w:rsid w:val="56A55C8D"/>
    <w:rsid w:val="56A57FFC"/>
    <w:rsid w:val="56A5A742"/>
    <w:rsid w:val="56A6B233"/>
    <w:rsid w:val="56A7ED50"/>
    <w:rsid w:val="56A88CA5"/>
    <w:rsid w:val="56A8C513"/>
    <w:rsid w:val="56A96413"/>
    <w:rsid w:val="56A998A8"/>
    <w:rsid w:val="56A9FB92"/>
    <w:rsid w:val="56AA46C6"/>
    <w:rsid w:val="56AA62A2"/>
    <w:rsid w:val="56AABC2D"/>
    <w:rsid w:val="56AC1E3D"/>
    <w:rsid w:val="56AC37DE"/>
    <w:rsid w:val="56AC9CA9"/>
    <w:rsid w:val="56ACE2C8"/>
    <w:rsid w:val="56AD295E"/>
    <w:rsid w:val="56AD8662"/>
    <w:rsid w:val="56ADEF3A"/>
    <w:rsid w:val="56AEAB60"/>
    <w:rsid w:val="56AEAE18"/>
    <w:rsid w:val="56AF12A0"/>
    <w:rsid w:val="56AF6565"/>
    <w:rsid w:val="56B0BA8A"/>
    <w:rsid w:val="56B17717"/>
    <w:rsid w:val="56B273F3"/>
    <w:rsid w:val="56B2DCD5"/>
    <w:rsid w:val="56B431C8"/>
    <w:rsid w:val="56B47089"/>
    <w:rsid w:val="56B4AD20"/>
    <w:rsid w:val="56B5551F"/>
    <w:rsid w:val="56B62DBF"/>
    <w:rsid w:val="56B6C104"/>
    <w:rsid w:val="56B70E0C"/>
    <w:rsid w:val="56B8BDA2"/>
    <w:rsid w:val="56B9432E"/>
    <w:rsid w:val="56B960F0"/>
    <w:rsid w:val="56BC08FD"/>
    <w:rsid w:val="56BC5208"/>
    <w:rsid w:val="56BCB25E"/>
    <w:rsid w:val="56BCF4AD"/>
    <w:rsid w:val="56BD5AE6"/>
    <w:rsid w:val="56BD5B4E"/>
    <w:rsid w:val="56BD732D"/>
    <w:rsid w:val="56BDF9D2"/>
    <w:rsid w:val="56BE35BE"/>
    <w:rsid w:val="56BE641D"/>
    <w:rsid w:val="56BF4D59"/>
    <w:rsid w:val="56BFFBD0"/>
    <w:rsid w:val="56C0AF96"/>
    <w:rsid w:val="56C154D0"/>
    <w:rsid w:val="56C1C757"/>
    <w:rsid w:val="56C1C7CF"/>
    <w:rsid w:val="56C24F24"/>
    <w:rsid w:val="56C276ED"/>
    <w:rsid w:val="56C49288"/>
    <w:rsid w:val="56C53D9D"/>
    <w:rsid w:val="56C6D64A"/>
    <w:rsid w:val="56C7014B"/>
    <w:rsid w:val="56C8F483"/>
    <w:rsid w:val="56C93F4C"/>
    <w:rsid w:val="56CA26C4"/>
    <w:rsid w:val="56CB2BDC"/>
    <w:rsid w:val="56CB80B6"/>
    <w:rsid w:val="56CC47E4"/>
    <w:rsid w:val="56CD9947"/>
    <w:rsid w:val="56CE3D29"/>
    <w:rsid w:val="56CFD20B"/>
    <w:rsid w:val="56CFDA56"/>
    <w:rsid w:val="56D00405"/>
    <w:rsid w:val="56D11CB2"/>
    <w:rsid w:val="56D139F2"/>
    <w:rsid w:val="56D143AC"/>
    <w:rsid w:val="56D160DF"/>
    <w:rsid w:val="56D17EF7"/>
    <w:rsid w:val="56D192B8"/>
    <w:rsid w:val="56D290EC"/>
    <w:rsid w:val="56D300A4"/>
    <w:rsid w:val="56D30F5A"/>
    <w:rsid w:val="56D36A8A"/>
    <w:rsid w:val="56D395D0"/>
    <w:rsid w:val="56D3A749"/>
    <w:rsid w:val="56D53815"/>
    <w:rsid w:val="56D5A2A0"/>
    <w:rsid w:val="56D5CC0A"/>
    <w:rsid w:val="56D62245"/>
    <w:rsid w:val="56D62AAE"/>
    <w:rsid w:val="56D65CA2"/>
    <w:rsid w:val="56D7BD1D"/>
    <w:rsid w:val="56D84F21"/>
    <w:rsid w:val="56D86F4E"/>
    <w:rsid w:val="56D8970D"/>
    <w:rsid w:val="56D8BAC8"/>
    <w:rsid w:val="56D8F007"/>
    <w:rsid w:val="56D942AD"/>
    <w:rsid w:val="56D9D0E3"/>
    <w:rsid w:val="56D9FEA4"/>
    <w:rsid w:val="56DAAC75"/>
    <w:rsid w:val="56DB4B02"/>
    <w:rsid w:val="56DDDA4F"/>
    <w:rsid w:val="56DEA135"/>
    <w:rsid w:val="56DF31AE"/>
    <w:rsid w:val="56DFADA6"/>
    <w:rsid w:val="56E03A05"/>
    <w:rsid w:val="56E10815"/>
    <w:rsid w:val="56E12560"/>
    <w:rsid w:val="56E14D05"/>
    <w:rsid w:val="56E27E83"/>
    <w:rsid w:val="56E2C500"/>
    <w:rsid w:val="56E2DC58"/>
    <w:rsid w:val="56E36245"/>
    <w:rsid w:val="56E36ABD"/>
    <w:rsid w:val="56E371C8"/>
    <w:rsid w:val="56E7881D"/>
    <w:rsid w:val="56E7FD64"/>
    <w:rsid w:val="56E8458B"/>
    <w:rsid w:val="56E94C26"/>
    <w:rsid w:val="56E9FE3E"/>
    <w:rsid w:val="56EB5A7A"/>
    <w:rsid w:val="56EB7F9F"/>
    <w:rsid w:val="56EE5DAF"/>
    <w:rsid w:val="56EF22A3"/>
    <w:rsid w:val="56F0553E"/>
    <w:rsid w:val="56F0B3EC"/>
    <w:rsid w:val="56F2CFF8"/>
    <w:rsid w:val="56F32BDE"/>
    <w:rsid w:val="56F3A5DB"/>
    <w:rsid w:val="56F421AE"/>
    <w:rsid w:val="56F45CB9"/>
    <w:rsid w:val="56F5EE91"/>
    <w:rsid w:val="56F65A87"/>
    <w:rsid w:val="56F76A3B"/>
    <w:rsid w:val="56F7A578"/>
    <w:rsid w:val="56F846A9"/>
    <w:rsid w:val="56F85586"/>
    <w:rsid w:val="56F8C68A"/>
    <w:rsid w:val="56F93D80"/>
    <w:rsid w:val="56F95DA8"/>
    <w:rsid w:val="56F95E93"/>
    <w:rsid w:val="56F97035"/>
    <w:rsid w:val="56F99B53"/>
    <w:rsid w:val="56F9B25C"/>
    <w:rsid w:val="56FB1B09"/>
    <w:rsid w:val="56FC4740"/>
    <w:rsid w:val="56FCC9A6"/>
    <w:rsid w:val="56FD57B1"/>
    <w:rsid w:val="56FDBA2C"/>
    <w:rsid w:val="56FDD45E"/>
    <w:rsid w:val="56FEBDD6"/>
    <w:rsid w:val="56FF32D0"/>
    <w:rsid w:val="5701BD45"/>
    <w:rsid w:val="57020E43"/>
    <w:rsid w:val="57020E92"/>
    <w:rsid w:val="57027637"/>
    <w:rsid w:val="570349AF"/>
    <w:rsid w:val="570431C7"/>
    <w:rsid w:val="57047FBE"/>
    <w:rsid w:val="5704908C"/>
    <w:rsid w:val="57056E67"/>
    <w:rsid w:val="57065C29"/>
    <w:rsid w:val="57073C69"/>
    <w:rsid w:val="57079800"/>
    <w:rsid w:val="57085E0E"/>
    <w:rsid w:val="5708FCFC"/>
    <w:rsid w:val="5709480A"/>
    <w:rsid w:val="5709D1B0"/>
    <w:rsid w:val="570A7942"/>
    <w:rsid w:val="570ADC4E"/>
    <w:rsid w:val="570B716D"/>
    <w:rsid w:val="570BEFED"/>
    <w:rsid w:val="570C4D4A"/>
    <w:rsid w:val="570CBA23"/>
    <w:rsid w:val="570CD4CB"/>
    <w:rsid w:val="570CF772"/>
    <w:rsid w:val="570D04ED"/>
    <w:rsid w:val="570D758D"/>
    <w:rsid w:val="570D901E"/>
    <w:rsid w:val="570D9BB1"/>
    <w:rsid w:val="570D9FD3"/>
    <w:rsid w:val="570DCA8F"/>
    <w:rsid w:val="570EBFA0"/>
    <w:rsid w:val="570F81EE"/>
    <w:rsid w:val="570FB77D"/>
    <w:rsid w:val="570FEC23"/>
    <w:rsid w:val="57102232"/>
    <w:rsid w:val="57103E48"/>
    <w:rsid w:val="5710828C"/>
    <w:rsid w:val="571179CB"/>
    <w:rsid w:val="5711A79E"/>
    <w:rsid w:val="57128C9D"/>
    <w:rsid w:val="57130542"/>
    <w:rsid w:val="5713E0C5"/>
    <w:rsid w:val="5713FAD0"/>
    <w:rsid w:val="57156203"/>
    <w:rsid w:val="5715E821"/>
    <w:rsid w:val="5715E826"/>
    <w:rsid w:val="5715F1DF"/>
    <w:rsid w:val="5715F9DE"/>
    <w:rsid w:val="571632F7"/>
    <w:rsid w:val="5716DAF5"/>
    <w:rsid w:val="57179020"/>
    <w:rsid w:val="5717D4AD"/>
    <w:rsid w:val="57187012"/>
    <w:rsid w:val="5718A32D"/>
    <w:rsid w:val="5718F9F6"/>
    <w:rsid w:val="57190E25"/>
    <w:rsid w:val="5719ED62"/>
    <w:rsid w:val="571BBA77"/>
    <w:rsid w:val="571BF893"/>
    <w:rsid w:val="571CF390"/>
    <w:rsid w:val="571D474E"/>
    <w:rsid w:val="571D8498"/>
    <w:rsid w:val="571DAAF2"/>
    <w:rsid w:val="571E4A77"/>
    <w:rsid w:val="571F189A"/>
    <w:rsid w:val="571F3EB5"/>
    <w:rsid w:val="572017D5"/>
    <w:rsid w:val="57205D5E"/>
    <w:rsid w:val="57207E73"/>
    <w:rsid w:val="5720F243"/>
    <w:rsid w:val="572167EA"/>
    <w:rsid w:val="57226934"/>
    <w:rsid w:val="5722A17C"/>
    <w:rsid w:val="5722B42F"/>
    <w:rsid w:val="5722D8E2"/>
    <w:rsid w:val="572335F2"/>
    <w:rsid w:val="5723DA13"/>
    <w:rsid w:val="572465B0"/>
    <w:rsid w:val="5724CE1A"/>
    <w:rsid w:val="57255944"/>
    <w:rsid w:val="572688A7"/>
    <w:rsid w:val="57270925"/>
    <w:rsid w:val="5727E2EF"/>
    <w:rsid w:val="5727EA14"/>
    <w:rsid w:val="572872EB"/>
    <w:rsid w:val="5728D5FB"/>
    <w:rsid w:val="5729BF4E"/>
    <w:rsid w:val="572A11EE"/>
    <w:rsid w:val="572A4071"/>
    <w:rsid w:val="572AA300"/>
    <w:rsid w:val="572ACEA2"/>
    <w:rsid w:val="572B4306"/>
    <w:rsid w:val="572B6D4A"/>
    <w:rsid w:val="572CBCC7"/>
    <w:rsid w:val="572E7F70"/>
    <w:rsid w:val="572F1BBF"/>
    <w:rsid w:val="57304FFF"/>
    <w:rsid w:val="573135C7"/>
    <w:rsid w:val="5731698F"/>
    <w:rsid w:val="5731C5DE"/>
    <w:rsid w:val="573246AE"/>
    <w:rsid w:val="573311D5"/>
    <w:rsid w:val="57331B5B"/>
    <w:rsid w:val="57335E06"/>
    <w:rsid w:val="5733CA52"/>
    <w:rsid w:val="57369177"/>
    <w:rsid w:val="573713C1"/>
    <w:rsid w:val="5738DB15"/>
    <w:rsid w:val="5738F212"/>
    <w:rsid w:val="573A7F03"/>
    <w:rsid w:val="573AD916"/>
    <w:rsid w:val="573B334C"/>
    <w:rsid w:val="573C02FE"/>
    <w:rsid w:val="573CB2FA"/>
    <w:rsid w:val="573DC604"/>
    <w:rsid w:val="573DEABA"/>
    <w:rsid w:val="573E3B1D"/>
    <w:rsid w:val="573E56B1"/>
    <w:rsid w:val="573E7B3E"/>
    <w:rsid w:val="573E92F7"/>
    <w:rsid w:val="574055A1"/>
    <w:rsid w:val="57405714"/>
    <w:rsid w:val="57411EC2"/>
    <w:rsid w:val="57414C56"/>
    <w:rsid w:val="57418B04"/>
    <w:rsid w:val="574236B4"/>
    <w:rsid w:val="57425526"/>
    <w:rsid w:val="5742DF71"/>
    <w:rsid w:val="57431FAF"/>
    <w:rsid w:val="574360BE"/>
    <w:rsid w:val="57438C77"/>
    <w:rsid w:val="5743A8B4"/>
    <w:rsid w:val="574449DB"/>
    <w:rsid w:val="5744B24F"/>
    <w:rsid w:val="57454EC0"/>
    <w:rsid w:val="57458C7B"/>
    <w:rsid w:val="5745CC38"/>
    <w:rsid w:val="5745D2AB"/>
    <w:rsid w:val="57462ADB"/>
    <w:rsid w:val="5746A249"/>
    <w:rsid w:val="5746FAE5"/>
    <w:rsid w:val="574719E4"/>
    <w:rsid w:val="5747A50E"/>
    <w:rsid w:val="5747F69E"/>
    <w:rsid w:val="5748C6C9"/>
    <w:rsid w:val="574947F7"/>
    <w:rsid w:val="5749B8EE"/>
    <w:rsid w:val="5749DBED"/>
    <w:rsid w:val="574C6478"/>
    <w:rsid w:val="574D9AB5"/>
    <w:rsid w:val="574DCEF7"/>
    <w:rsid w:val="574E3E79"/>
    <w:rsid w:val="574E78AA"/>
    <w:rsid w:val="574E9F8D"/>
    <w:rsid w:val="574EB26B"/>
    <w:rsid w:val="574FC1A9"/>
    <w:rsid w:val="574FE2A7"/>
    <w:rsid w:val="57504818"/>
    <w:rsid w:val="5750A42D"/>
    <w:rsid w:val="5751008C"/>
    <w:rsid w:val="57515FB4"/>
    <w:rsid w:val="5751E8F2"/>
    <w:rsid w:val="57528994"/>
    <w:rsid w:val="5752AFEA"/>
    <w:rsid w:val="5752FBEA"/>
    <w:rsid w:val="575350D8"/>
    <w:rsid w:val="5753B402"/>
    <w:rsid w:val="57544352"/>
    <w:rsid w:val="57548873"/>
    <w:rsid w:val="57550E55"/>
    <w:rsid w:val="57557662"/>
    <w:rsid w:val="5755E119"/>
    <w:rsid w:val="57561B75"/>
    <w:rsid w:val="5756E60B"/>
    <w:rsid w:val="5757138C"/>
    <w:rsid w:val="575728D4"/>
    <w:rsid w:val="57580825"/>
    <w:rsid w:val="5758E500"/>
    <w:rsid w:val="575924C4"/>
    <w:rsid w:val="5759B739"/>
    <w:rsid w:val="5759CEDC"/>
    <w:rsid w:val="5759D2AD"/>
    <w:rsid w:val="575C4D9D"/>
    <w:rsid w:val="575C718F"/>
    <w:rsid w:val="575CAEB0"/>
    <w:rsid w:val="575CCA9B"/>
    <w:rsid w:val="575E7902"/>
    <w:rsid w:val="575ED281"/>
    <w:rsid w:val="575EE491"/>
    <w:rsid w:val="575F0B9A"/>
    <w:rsid w:val="575F3061"/>
    <w:rsid w:val="575F8465"/>
    <w:rsid w:val="57604ADD"/>
    <w:rsid w:val="57604C58"/>
    <w:rsid w:val="57618DA6"/>
    <w:rsid w:val="57624EF9"/>
    <w:rsid w:val="57634226"/>
    <w:rsid w:val="57635ECC"/>
    <w:rsid w:val="5763A690"/>
    <w:rsid w:val="57640E8F"/>
    <w:rsid w:val="576488E6"/>
    <w:rsid w:val="57649857"/>
    <w:rsid w:val="5765454B"/>
    <w:rsid w:val="5765490B"/>
    <w:rsid w:val="57657264"/>
    <w:rsid w:val="57664540"/>
    <w:rsid w:val="57668269"/>
    <w:rsid w:val="5766C1EA"/>
    <w:rsid w:val="5766DB4B"/>
    <w:rsid w:val="5767D10D"/>
    <w:rsid w:val="5768AA31"/>
    <w:rsid w:val="576924F3"/>
    <w:rsid w:val="576A0275"/>
    <w:rsid w:val="576A5473"/>
    <w:rsid w:val="576B7C18"/>
    <w:rsid w:val="576C6CF4"/>
    <w:rsid w:val="576CEA2D"/>
    <w:rsid w:val="576E06B6"/>
    <w:rsid w:val="576E4487"/>
    <w:rsid w:val="576F09C5"/>
    <w:rsid w:val="576F0A60"/>
    <w:rsid w:val="576FCA29"/>
    <w:rsid w:val="57700530"/>
    <w:rsid w:val="577011DA"/>
    <w:rsid w:val="5770DC0F"/>
    <w:rsid w:val="5771E0C4"/>
    <w:rsid w:val="577200D1"/>
    <w:rsid w:val="577245BD"/>
    <w:rsid w:val="57728B90"/>
    <w:rsid w:val="5772BF3D"/>
    <w:rsid w:val="57738A56"/>
    <w:rsid w:val="577428C7"/>
    <w:rsid w:val="57742D47"/>
    <w:rsid w:val="57758678"/>
    <w:rsid w:val="57762C2E"/>
    <w:rsid w:val="5776A369"/>
    <w:rsid w:val="57782DD3"/>
    <w:rsid w:val="5778FE74"/>
    <w:rsid w:val="57798A53"/>
    <w:rsid w:val="577B270D"/>
    <w:rsid w:val="577B7D35"/>
    <w:rsid w:val="577BF57A"/>
    <w:rsid w:val="577C46A9"/>
    <w:rsid w:val="577CF290"/>
    <w:rsid w:val="577D7263"/>
    <w:rsid w:val="577FD537"/>
    <w:rsid w:val="57803552"/>
    <w:rsid w:val="578073F8"/>
    <w:rsid w:val="57807FBB"/>
    <w:rsid w:val="57811BA2"/>
    <w:rsid w:val="57813366"/>
    <w:rsid w:val="578179EB"/>
    <w:rsid w:val="5781C0F7"/>
    <w:rsid w:val="57823C0A"/>
    <w:rsid w:val="57838212"/>
    <w:rsid w:val="57838443"/>
    <w:rsid w:val="5783E4AE"/>
    <w:rsid w:val="5784570E"/>
    <w:rsid w:val="578582C4"/>
    <w:rsid w:val="578725F7"/>
    <w:rsid w:val="57874818"/>
    <w:rsid w:val="578797FB"/>
    <w:rsid w:val="5787BA55"/>
    <w:rsid w:val="57884262"/>
    <w:rsid w:val="5789BABC"/>
    <w:rsid w:val="5789C6ED"/>
    <w:rsid w:val="578B7F07"/>
    <w:rsid w:val="578BCD0F"/>
    <w:rsid w:val="578CB4E4"/>
    <w:rsid w:val="578E04F2"/>
    <w:rsid w:val="578E701C"/>
    <w:rsid w:val="578EC8C1"/>
    <w:rsid w:val="578F1FE5"/>
    <w:rsid w:val="578F316B"/>
    <w:rsid w:val="578FC15D"/>
    <w:rsid w:val="57900D14"/>
    <w:rsid w:val="57902CAA"/>
    <w:rsid w:val="57915F41"/>
    <w:rsid w:val="5791FE9C"/>
    <w:rsid w:val="5792416B"/>
    <w:rsid w:val="579346B7"/>
    <w:rsid w:val="5794AA3A"/>
    <w:rsid w:val="5794F277"/>
    <w:rsid w:val="5795BF84"/>
    <w:rsid w:val="5795ED81"/>
    <w:rsid w:val="5795F2CB"/>
    <w:rsid w:val="5796D9C4"/>
    <w:rsid w:val="579701AB"/>
    <w:rsid w:val="579A0DE3"/>
    <w:rsid w:val="579A179E"/>
    <w:rsid w:val="579A1B70"/>
    <w:rsid w:val="579A3C8D"/>
    <w:rsid w:val="579A7BEB"/>
    <w:rsid w:val="579A80CD"/>
    <w:rsid w:val="579C66C4"/>
    <w:rsid w:val="579C9193"/>
    <w:rsid w:val="579D3093"/>
    <w:rsid w:val="579DC9C8"/>
    <w:rsid w:val="579E1FCA"/>
    <w:rsid w:val="579EB82D"/>
    <w:rsid w:val="579EE884"/>
    <w:rsid w:val="579F926C"/>
    <w:rsid w:val="579FA6BA"/>
    <w:rsid w:val="57A013B1"/>
    <w:rsid w:val="57A2229E"/>
    <w:rsid w:val="57A22974"/>
    <w:rsid w:val="57A290FF"/>
    <w:rsid w:val="57A355C5"/>
    <w:rsid w:val="57A385B1"/>
    <w:rsid w:val="57A3BBF0"/>
    <w:rsid w:val="57A3D4B0"/>
    <w:rsid w:val="57A4B3D4"/>
    <w:rsid w:val="57A4D1BB"/>
    <w:rsid w:val="57A5FB4D"/>
    <w:rsid w:val="57A68E72"/>
    <w:rsid w:val="57A6E66D"/>
    <w:rsid w:val="57A7E9FB"/>
    <w:rsid w:val="57A8045D"/>
    <w:rsid w:val="57A86CF5"/>
    <w:rsid w:val="57A8EF33"/>
    <w:rsid w:val="57A92C51"/>
    <w:rsid w:val="57A9B1A1"/>
    <w:rsid w:val="57AAF990"/>
    <w:rsid w:val="57AC53BD"/>
    <w:rsid w:val="57AD04CD"/>
    <w:rsid w:val="57ADF0E6"/>
    <w:rsid w:val="57AE9229"/>
    <w:rsid w:val="57AEBFE5"/>
    <w:rsid w:val="57AF75F4"/>
    <w:rsid w:val="57B0C4C9"/>
    <w:rsid w:val="57B1B847"/>
    <w:rsid w:val="57B2D091"/>
    <w:rsid w:val="57B2E737"/>
    <w:rsid w:val="57B309C5"/>
    <w:rsid w:val="57B4FE2E"/>
    <w:rsid w:val="57B67669"/>
    <w:rsid w:val="57B87FD6"/>
    <w:rsid w:val="57B885D9"/>
    <w:rsid w:val="57B8886B"/>
    <w:rsid w:val="57B96D71"/>
    <w:rsid w:val="57BAC906"/>
    <w:rsid w:val="57BB2249"/>
    <w:rsid w:val="57BBBAAE"/>
    <w:rsid w:val="57BCA32D"/>
    <w:rsid w:val="57BD0CEE"/>
    <w:rsid w:val="57BE85B2"/>
    <w:rsid w:val="57BF2E9F"/>
    <w:rsid w:val="57BF49BC"/>
    <w:rsid w:val="57BFD5D2"/>
    <w:rsid w:val="57C0C868"/>
    <w:rsid w:val="57C0CD6C"/>
    <w:rsid w:val="57C0FC71"/>
    <w:rsid w:val="57C10431"/>
    <w:rsid w:val="57C2061B"/>
    <w:rsid w:val="57C21F2A"/>
    <w:rsid w:val="57C2D09C"/>
    <w:rsid w:val="57C36A91"/>
    <w:rsid w:val="57C49705"/>
    <w:rsid w:val="57C49B26"/>
    <w:rsid w:val="57C506FE"/>
    <w:rsid w:val="57C73962"/>
    <w:rsid w:val="57C790CF"/>
    <w:rsid w:val="57C82B53"/>
    <w:rsid w:val="57C92036"/>
    <w:rsid w:val="57C9BB21"/>
    <w:rsid w:val="57CA85DA"/>
    <w:rsid w:val="57CCFDD8"/>
    <w:rsid w:val="57CD3AF8"/>
    <w:rsid w:val="57CD7F68"/>
    <w:rsid w:val="57CE4889"/>
    <w:rsid w:val="57CE5BE6"/>
    <w:rsid w:val="57CE81F5"/>
    <w:rsid w:val="57CE9C5E"/>
    <w:rsid w:val="57CFB5A6"/>
    <w:rsid w:val="57D03D4B"/>
    <w:rsid w:val="57D0C35D"/>
    <w:rsid w:val="57D13BF6"/>
    <w:rsid w:val="57D2F2D8"/>
    <w:rsid w:val="57D4577E"/>
    <w:rsid w:val="57D5559E"/>
    <w:rsid w:val="57D7507F"/>
    <w:rsid w:val="57D78BEF"/>
    <w:rsid w:val="57D7C279"/>
    <w:rsid w:val="57D80474"/>
    <w:rsid w:val="57D862E1"/>
    <w:rsid w:val="57DABE82"/>
    <w:rsid w:val="57DC49DD"/>
    <w:rsid w:val="57DD53EA"/>
    <w:rsid w:val="57DDE5F2"/>
    <w:rsid w:val="57DEABCF"/>
    <w:rsid w:val="57DF01A6"/>
    <w:rsid w:val="57DF5202"/>
    <w:rsid w:val="57DF9069"/>
    <w:rsid w:val="57DFBB23"/>
    <w:rsid w:val="57E03853"/>
    <w:rsid w:val="57E26F27"/>
    <w:rsid w:val="57E27724"/>
    <w:rsid w:val="57E42572"/>
    <w:rsid w:val="57E42C8D"/>
    <w:rsid w:val="57E5226B"/>
    <w:rsid w:val="57E5B0A7"/>
    <w:rsid w:val="57E6B371"/>
    <w:rsid w:val="57E6E666"/>
    <w:rsid w:val="57E7024A"/>
    <w:rsid w:val="57E70C91"/>
    <w:rsid w:val="57E7100C"/>
    <w:rsid w:val="57E77238"/>
    <w:rsid w:val="57E808CE"/>
    <w:rsid w:val="57E84029"/>
    <w:rsid w:val="57EA14A7"/>
    <w:rsid w:val="57EA1B6C"/>
    <w:rsid w:val="57EADBB8"/>
    <w:rsid w:val="57EB8C30"/>
    <w:rsid w:val="57ECD684"/>
    <w:rsid w:val="57EDD3C4"/>
    <w:rsid w:val="57EE3DF3"/>
    <w:rsid w:val="57EFAA49"/>
    <w:rsid w:val="57EFFF57"/>
    <w:rsid w:val="57F00537"/>
    <w:rsid w:val="57F1EB0F"/>
    <w:rsid w:val="57F216F0"/>
    <w:rsid w:val="57F35B85"/>
    <w:rsid w:val="57F38C51"/>
    <w:rsid w:val="57F3B898"/>
    <w:rsid w:val="57F46A00"/>
    <w:rsid w:val="57F4830A"/>
    <w:rsid w:val="57F48394"/>
    <w:rsid w:val="57F4C9AB"/>
    <w:rsid w:val="57F56AD1"/>
    <w:rsid w:val="57F5FC96"/>
    <w:rsid w:val="57F6392D"/>
    <w:rsid w:val="57F673A8"/>
    <w:rsid w:val="57F739F8"/>
    <w:rsid w:val="57F77455"/>
    <w:rsid w:val="57F77C71"/>
    <w:rsid w:val="57F8E142"/>
    <w:rsid w:val="57F962D5"/>
    <w:rsid w:val="57F9AB33"/>
    <w:rsid w:val="57F9F1B5"/>
    <w:rsid w:val="57FAF3B8"/>
    <w:rsid w:val="57FC5251"/>
    <w:rsid w:val="57FC5637"/>
    <w:rsid w:val="57FCADB1"/>
    <w:rsid w:val="57FD7BB2"/>
    <w:rsid w:val="57FEC9A7"/>
    <w:rsid w:val="57FF719D"/>
    <w:rsid w:val="57FF8849"/>
    <w:rsid w:val="58002B7E"/>
    <w:rsid w:val="580125EF"/>
    <w:rsid w:val="580179C1"/>
    <w:rsid w:val="58021405"/>
    <w:rsid w:val="5802D95E"/>
    <w:rsid w:val="580305EF"/>
    <w:rsid w:val="58032253"/>
    <w:rsid w:val="58035E60"/>
    <w:rsid w:val="5803B4F8"/>
    <w:rsid w:val="5803BA5D"/>
    <w:rsid w:val="5804A1B1"/>
    <w:rsid w:val="58057765"/>
    <w:rsid w:val="5805F5BC"/>
    <w:rsid w:val="58060FD7"/>
    <w:rsid w:val="580736CE"/>
    <w:rsid w:val="580781CC"/>
    <w:rsid w:val="58084B3D"/>
    <w:rsid w:val="5808B657"/>
    <w:rsid w:val="5808C364"/>
    <w:rsid w:val="580951C6"/>
    <w:rsid w:val="5809D789"/>
    <w:rsid w:val="580A526F"/>
    <w:rsid w:val="580A6235"/>
    <w:rsid w:val="580A75C1"/>
    <w:rsid w:val="580A895B"/>
    <w:rsid w:val="580C8B07"/>
    <w:rsid w:val="580C9774"/>
    <w:rsid w:val="580D5005"/>
    <w:rsid w:val="580D80E3"/>
    <w:rsid w:val="580DF793"/>
    <w:rsid w:val="580E4317"/>
    <w:rsid w:val="580F9F37"/>
    <w:rsid w:val="580FE01C"/>
    <w:rsid w:val="5810A0F7"/>
    <w:rsid w:val="5810E265"/>
    <w:rsid w:val="58111886"/>
    <w:rsid w:val="581141A9"/>
    <w:rsid w:val="58123CF5"/>
    <w:rsid w:val="58125660"/>
    <w:rsid w:val="5812E79A"/>
    <w:rsid w:val="581359C0"/>
    <w:rsid w:val="5813CC42"/>
    <w:rsid w:val="5813F0F9"/>
    <w:rsid w:val="58146635"/>
    <w:rsid w:val="5814FEF6"/>
    <w:rsid w:val="58154447"/>
    <w:rsid w:val="58158056"/>
    <w:rsid w:val="5815E387"/>
    <w:rsid w:val="58160002"/>
    <w:rsid w:val="581664BB"/>
    <w:rsid w:val="58182EA4"/>
    <w:rsid w:val="58189EE9"/>
    <w:rsid w:val="5818A9DD"/>
    <w:rsid w:val="5818CAA5"/>
    <w:rsid w:val="58191A4C"/>
    <w:rsid w:val="581AA952"/>
    <w:rsid w:val="581D4793"/>
    <w:rsid w:val="581D71B7"/>
    <w:rsid w:val="581D9944"/>
    <w:rsid w:val="581E43B5"/>
    <w:rsid w:val="581F63B4"/>
    <w:rsid w:val="581FF3ED"/>
    <w:rsid w:val="5820945A"/>
    <w:rsid w:val="582242B0"/>
    <w:rsid w:val="5822AA13"/>
    <w:rsid w:val="5823D90E"/>
    <w:rsid w:val="5823DD69"/>
    <w:rsid w:val="5823F813"/>
    <w:rsid w:val="58248ED2"/>
    <w:rsid w:val="5824E54A"/>
    <w:rsid w:val="582527E7"/>
    <w:rsid w:val="5827DA6D"/>
    <w:rsid w:val="58286B95"/>
    <w:rsid w:val="5828A60B"/>
    <w:rsid w:val="5828BAF2"/>
    <w:rsid w:val="5829F752"/>
    <w:rsid w:val="582A2E6B"/>
    <w:rsid w:val="582A83AB"/>
    <w:rsid w:val="582B2B9B"/>
    <w:rsid w:val="582C8479"/>
    <w:rsid w:val="582CFA52"/>
    <w:rsid w:val="582D839D"/>
    <w:rsid w:val="582D89BC"/>
    <w:rsid w:val="582DE6D4"/>
    <w:rsid w:val="582F3DBD"/>
    <w:rsid w:val="582F418D"/>
    <w:rsid w:val="582FF265"/>
    <w:rsid w:val="58303774"/>
    <w:rsid w:val="583116F1"/>
    <w:rsid w:val="5831C06A"/>
    <w:rsid w:val="58329445"/>
    <w:rsid w:val="5832D04A"/>
    <w:rsid w:val="583395AA"/>
    <w:rsid w:val="5833B27B"/>
    <w:rsid w:val="5834C17E"/>
    <w:rsid w:val="583578A6"/>
    <w:rsid w:val="583587CE"/>
    <w:rsid w:val="5835A3A4"/>
    <w:rsid w:val="5835F4C5"/>
    <w:rsid w:val="583694BB"/>
    <w:rsid w:val="58372031"/>
    <w:rsid w:val="583783C8"/>
    <w:rsid w:val="58383BAD"/>
    <w:rsid w:val="5838D5C1"/>
    <w:rsid w:val="583915BA"/>
    <w:rsid w:val="583931C0"/>
    <w:rsid w:val="58394436"/>
    <w:rsid w:val="5839CB38"/>
    <w:rsid w:val="583AC537"/>
    <w:rsid w:val="583C0F61"/>
    <w:rsid w:val="583CA530"/>
    <w:rsid w:val="583D47C1"/>
    <w:rsid w:val="58423704"/>
    <w:rsid w:val="58430CF1"/>
    <w:rsid w:val="58437369"/>
    <w:rsid w:val="5843FD33"/>
    <w:rsid w:val="58443D26"/>
    <w:rsid w:val="584506A5"/>
    <w:rsid w:val="5847E46E"/>
    <w:rsid w:val="5847FB9C"/>
    <w:rsid w:val="58483D55"/>
    <w:rsid w:val="58488A2E"/>
    <w:rsid w:val="5848E4B8"/>
    <w:rsid w:val="58492A38"/>
    <w:rsid w:val="584A7BC1"/>
    <w:rsid w:val="584B4AB6"/>
    <w:rsid w:val="584BA0C4"/>
    <w:rsid w:val="584C2CFF"/>
    <w:rsid w:val="584CEB1F"/>
    <w:rsid w:val="584D8B72"/>
    <w:rsid w:val="584DC36F"/>
    <w:rsid w:val="584DCA9A"/>
    <w:rsid w:val="584EFB13"/>
    <w:rsid w:val="58501A55"/>
    <w:rsid w:val="58503005"/>
    <w:rsid w:val="58516AF8"/>
    <w:rsid w:val="5853B684"/>
    <w:rsid w:val="58540CE2"/>
    <w:rsid w:val="58542E6E"/>
    <w:rsid w:val="58550634"/>
    <w:rsid w:val="58563D04"/>
    <w:rsid w:val="58568492"/>
    <w:rsid w:val="58572B31"/>
    <w:rsid w:val="585740F0"/>
    <w:rsid w:val="585752A2"/>
    <w:rsid w:val="58575408"/>
    <w:rsid w:val="58589377"/>
    <w:rsid w:val="5858A536"/>
    <w:rsid w:val="5858C955"/>
    <w:rsid w:val="58595D74"/>
    <w:rsid w:val="585A843B"/>
    <w:rsid w:val="585D9D19"/>
    <w:rsid w:val="58601714"/>
    <w:rsid w:val="586051DD"/>
    <w:rsid w:val="58612135"/>
    <w:rsid w:val="5861F296"/>
    <w:rsid w:val="586254DD"/>
    <w:rsid w:val="58626788"/>
    <w:rsid w:val="58627AA4"/>
    <w:rsid w:val="58633F2C"/>
    <w:rsid w:val="58639C15"/>
    <w:rsid w:val="5864D5AD"/>
    <w:rsid w:val="5864EFF7"/>
    <w:rsid w:val="5864F4A9"/>
    <w:rsid w:val="5865243F"/>
    <w:rsid w:val="586579FD"/>
    <w:rsid w:val="58658B5B"/>
    <w:rsid w:val="58659CB4"/>
    <w:rsid w:val="586751CA"/>
    <w:rsid w:val="5867DBD2"/>
    <w:rsid w:val="5868FD73"/>
    <w:rsid w:val="58698C38"/>
    <w:rsid w:val="5869E029"/>
    <w:rsid w:val="586A8651"/>
    <w:rsid w:val="586B8989"/>
    <w:rsid w:val="586C3637"/>
    <w:rsid w:val="586C3E98"/>
    <w:rsid w:val="586C5D84"/>
    <w:rsid w:val="586C6A00"/>
    <w:rsid w:val="586CE152"/>
    <w:rsid w:val="586D4E49"/>
    <w:rsid w:val="586D7D70"/>
    <w:rsid w:val="586D8CE0"/>
    <w:rsid w:val="586E7E50"/>
    <w:rsid w:val="586E857A"/>
    <w:rsid w:val="586EF334"/>
    <w:rsid w:val="586F8A41"/>
    <w:rsid w:val="586FE97F"/>
    <w:rsid w:val="587014D7"/>
    <w:rsid w:val="5870F661"/>
    <w:rsid w:val="58718E28"/>
    <w:rsid w:val="5873A581"/>
    <w:rsid w:val="5873B364"/>
    <w:rsid w:val="58741851"/>
    <w:rsid w:val="5874796D"/>
    <w:rsid w:val="58748C00"/>
    <w:rsid w:val="5874E4F1"/>
    <w:rsid w:val="5874E549"/>
    <w:rsid w:val="5876D41A"/>
    <w:rsid w:val="58775A41"/>
    <w:rsid w:val="5877D59D"/>
    <w:rsid w:val="587AA84F"/>
    <w:rsid w:val="587ABF46"/>
    <w:rsid w:val="587B47A8"/>
    <w:rsid w:val="587B732C"/>
    <w:rsid w:val="587C80E6"/>
    <w:rsid w:val="587D2AED"/>
    <w:rsid w:val="587D86CC"/>
    <w:rsid w:val="587DBE13"/>
    <w:rsid w:val="587EA64E"/>
    <w:rsid w:val="587EC0DB"/>
    <w:rsid w:val="587EF0EF"/>
    <w:rsid w:val="587EFFB8"/>
    <w:rsid w:val="587EFFBF"/>
    <w:rsid w:val="587FA396"/>
    <w:rsid w:val="58808553"/>
    <w:rsid w:val="58816FF9"/>
    <w:rsid w:val="5881AFAC"/>
    <w:rsid w:val="5882C0BC"/>
    <w:rsid w:val="58838E44"/>
    <w:rsid w:val="5883C5A9"/>
    <w:rsid w:val="5883ECEA"/>
    <w:rsid w:val="58844E2A"/>
    <w:rsid w:val="5884708F"/>
    <w:rsid w:val="5884758E"/>
    <w:rsid w:val="5884CE47"/>
    <w:rsid w:val="58859DE3"/>
    <w:rsid w:val="5886E3E6"/>
    <w:rsid w:val="5887347B"/>
    <w:rsid w:val="58875D85"/>
    <w:rsid w:val="588772B8"/>
    <w:rsid w:val="58877491"/>
    <w:rsid w:val="58883E9C"/>
    <w:rsid w:val="588875A9"/>
    <w:rsid w:val="58894994"/>
    <w:rsid w:val="5889608A"/>
    <w:rsid w:val="5889934F"/>
    <w:rsid w:val="588B12F0"/>
    <w:rsid w:val="588B34D7"/>
    <w:rsid w:val="588B8B3B"/>
    <w:rsid w:val="588B9BC2"/>
    <w:rsid w:val="588C4DF9"/>
    <w:rsid w:val="588F339E"/>
    <w:rsid w:val="588F9F9B"/>
    <w:rsid w:val="589009D8"/>
    <w:rsid w:val="5890219A"/>
    <w:rsid w:val="5890D8CC"/>
    <w:rsid w:val="58910D77"/>
    <w:rsid w:val="5891FE96"/>
    <w:rsid w:val="58930E4A"/>
    <w:rsid w:val="5893EA22"/>
    <w:rsid w:val="58947DD4"/>
    <w:rsid w:val="58954EEE"/>
    <w:rsid w:val="5896EB6A"/>
    <w:rsid w:val="5897184E"/>
    <w:rsid w:val="5897A4FD"/>
    <w:rsid w:val="5897B1FD"/>
    <w:rsid w:val="5897C888"/>
    <w:rsid w:val="5898A00A"/>
    <w:rsid w:val="589A0536"/>
    <w:rsid w:val="589A0FAC"/>
    <w:rsid w:val="589A5589"/>
    <w:rsid w:val="589A7A7F"/>
    <w:rsid w:val="589AFED1"/>
    <w:rsid w:val="589B1F44"/>
    <w:rsid w:val="589B2A20"/>
    <w:rsid w:val="589B5680"/>
    <w:rsid w:val="589BB0EF"/>
    <w:rsid w:val="589D14C9"/>
    <w:rsid w:val="589D5340"/>
    <w:rsid w:val="589E094F"/>
    <w:rsid w:val="589E2A6D"/>
    <w:rsid w:val="589E3028"/>
    <w:rsid w:val="589EADD3"/>
    <w:rsid w:val="589EE8AC"/>
    <w:rsid w:val="589F6089"/>
    <w:rsid w:val="58A0128C"/>
    <w:rsid w:val="58A0C89E"/>
    <w:rsid w:val="58A0F2A7"/>
    <w:rsid w:val="58A1FD56"/>
    <w:rsid w:val="58A20810"/>
    <w:rsid w:val="58A211CF"/>
    <w:rsid w:val="58A23964"/>
    <w:rsid w:val="58A25750"/>
    <w:rsid w:val="58A3E3B0"/>
    <w:rsid w:val="58A3EC81"/>
    <w:rsid w:val="58A49A2D"/>
    <w:rsid w:val="58A4A146"/>
    <w:rsid w:val="58A56976"/>
    <w:rsid w:val="58A5F6E3"/>
    <w:rsid w:val="58A63850"/>
    <w:rsid w:val="58A766C9"/>
    <w:rsid w:val="58A8C30B"/>
    <w:rsid w:val="58A95309"/>
    <w:rsid w:val="58A9EA86"/>
    <w:rsid w:val="58A9F7D7"/>
    <w:rsid w:val="58AA5C66"/>
    <w:rsid w:val="58AAC087"/>
    <w:rsid w:val="58AB4742"/>
    <w:rsid w:val="58ABD229"/>
    <w:rsid w:val="58AC15B1"/>
    <w:rsid w:val="58AC4667"/>
    <w:rsid w:val="58AC941E"/>
    <w:rsid w:val="58AD22DF"/>
    <w:rsid w:val="58AD9B46"/>
    <w:rsid w:val="58AD9BEE"/>
    <w:rsid w:val="58AE7B1F"/>
    <w:rsid w:val="58AEFADF"/>
    <w:rsid w:val="58B09085"/>
    <w:rsid w:val="58B14A1B"/>
    <w:rsid w:val="58B3F19C"/>
    <w:rsid w:val="58B46D07"/>
    <w:rsid w:val="58B7DCA9"/>
    <w:rsid w:val="58B80E5C"/>
    <w:rsid w:val="58B83D48"/>
    <w:rsid w:val="58B99B5A"/>
    <w:rsid w:val="58BA4D09"/>
    <w:rsid w:val="58BC56EE"/>
    <w:rsid w:val="58BC9D3C"/>
    <w:rsid w:val="58BDF11F"/>
    <w:rsid w:val="58BEF057"/>
    <w:rsid w:val="58C0158C"/>
    <w:rsid w:val="58C04436"/>
    <w:rsid w:val="58C08718"/>
    <w:rsid w:val="58C0F65D"/>
    <w:rsid w:val="58C13342"/>
    <w:rsid w:val="58C193AD"/>
    <w:rsid w:val="58C1E94A"/>
    <w:rsid w:val="58C30F7C"/>
    <w:rsid w:val="58C34021"/>
    <w:rsid w:val="58C3D305"/>
    <w:rsid w:val="58C3E372"/>
    <w:rsid w:val="58C3E55E"/>
    <w:rsid w:val="58C42EBC"/>
    <w:rsid w:val="58C46B6E"/>
    <w:rsid w:val="58C4F36E"/>
    <w:rsid w:val="58C5B33B"/>
    <w:rsid w:val="58C60FF5"/>
    <w:rsid w:val="58C87732"/>
    <w:rsid w:val="58C9C843"/>
    <w:rsid w:val="58CB9D40"/>
    <w:rsid w:val="58CD7F1B"/>
    <w:rsid w:val="58CE295C"/>
    <w:rsid w:val="58CF89B9"/>
    <w:rsid w:val="58CFF4BB"/>
    <w:rsid w:val="58D04CC6"/>
    <w:rsid w:val="58D0EBB8"/>
    <w:rsid w:val="58D22713"/>
    <w:rsid w:val="58D36A29"/>
    <w:rsid w:val="58D3879C"/>
    <w:rsid w:val="58D3E56C"/>
    <w:rsid w:val="58D5201F"/>
    <w:rsid w:val="58D55942"/>
    <w:rsid w:val="58D581B3"/>
    <w:rsid w:val="58D760A9"/>
    <w:rsid w:val="58D7FD48"/>
    <w:rsid w:val="58D84C26"/>
    <w:rsid w:val="58D8AF02"/>
    <w:rsid w:val="58D9A824"/>
    <w:rsid w:val="58D9C1A8"/>
    <w:rsid w:val="58D9C416"/>
    <w:rsid w:val="58DA93AE"/>
    <w:rsid w:val="58DA945A"/>
    <w:rsid w:val="58DA95A5"/>
    <w:rsid w:val="58DADF8C"/>
    <w:rsid w:val="58DAE54F"/>
    <w:rsid w:val="58DC322E"/>
    <w:rsid w:val="58DCCB59"/>
    <w:rsid w:val="58DCD081"/>
    <w:rsid w:val="58DD9334"/>
    <w:rsid w:val="58DDB779"/>
    <w:rsid w:val="58DDF051"/>
    <w:rsid w:val="58DFD7B5"/>
    <w:rsid w:val="58E0AB0D"/>
    <w:rsid w:val="58E1E399"/>
    <w:rsid w:val="58E30C35"/>
    <w:rsid w:val="58E31FC2"/>
    <w:rsid w:val="58E33C35"/>
    <w:rsid w:val="58E46B53"/>
    <w:rsid w:val="58E4DC72"/>
    <w:rsid w:val="58E50019"/>
    <w:rsid w:val="58E5F8E7"/>
    <w:rsid w:val="58E623E1"/>
    <w:rsid w:val="58E6701F"/>
    <w:rsid w:val="58E7583F"/>
    <w:rsid w:val="58E76F4F"/>
    <w:rsid w:val="58E775EC"/>
    <w:rsid w:val="58E88BDD"/>
    <w:rsid w:val="58E9C22E"/>
    <w:rsid w:val="58EA25EF"/>
    <w:rsid w:val="58EB0C3D"/>
    <w:rsid w:val="58EB153B"/>
    <w:rsid w:val="58EC749B"/>
    <w:rsid w:val="58ECCD98"/>
    <w:rsid w:val="58ED7177"/>
    <w:rsid w:val="58EE9F71"/>
    <w:rsid w:val="58EF6802"/>
    <w:rsid w:val="58EFC613"/>
    <w:rsid w:val="58EFE95D"/>
    <w:rsid w:val="58F04395"/>
    <w:rsid w:val="58F069F1"/>
    <w:rsid w:val="58F0FEF8"/>
    <w:rsid w:val="58F16617"/>
    <w:rsid w:val="58F33E05"/>
    <w:rsid w:val="58F36FA5"/>
    <w:rsid w:val="58F3A72F"/>
    <w:rsid w:val="58F402F2"/>
    <w:rsid w:val="58F454B0"/>
    <w:rsid w:val="58F56D59"/>
    <w:rsid w:val="58F622FF"/>
    <w:rsid w:val="58F66D1B"/>
    <w:rsid w:val="58F709F9"/>
    <w:rsid w:val="58F79DC2"/>
    <w:rsid w:val="58F7D994"/>
    <w:rsid w:val="58F7FD21"/>
    <w:rsid w:val="58F8897D"/>
    <w:rsid w:val="58FA77F9"/>
    <w:rsid w:val="58FACDA4"/>
    <w:rsid w:val="58FC9F77"/>
    <w:rsid w:val="58FCC5A8"/>
    <w:rsid w:val="58FD742F"/>
    <w:rsid w:val="58FE8E1D"/>
    <w:rsid w:val="58FEBF5D"/>
    <w:rsid w:val="58FF6C7D"/>
    <w:rsid w:val="58FFAFB7"/>
    <w:rsid w:val="590059F0"/>
    <w:rsid w:val="59008854"/>
    <w:rsid w:val="5900E91A"/>
    <w:rsid w:val="5901357C"/>
    <w:rsid w:val="5901622A"/>
    <w:rsid w:val="5901C954"/>
    <w:rsid w:val="5902712E"/>
    <w:rsid w:val="59034D2A"/>
    <w:rsid w:val="5904BFE5"/>
    <w:rsid w:val="59050B3D"/>
    <w:rsid w:val="5905DA0F"/>
    <w:rsid w:val="59072198"/>
    <w:rsid w:val="5908DEE7"/>
    <w:rsid w:val="590C0209"/>
    <w:rsid w:val="590C3C4B"/>
    <w:rsid w:val="590C5432"/>
    <w:rsid w:val="590E0625"/>
    <w:rsid w:val="590E0820"/>
    <w:rsid w:val="590EB9F0"/>
    <w:rsid w:val="590EC81E"/>
    <w:rsid w:val="590EE500"/>
    <w:rsid w:val="591099C7"/>
    <w:rsid w:val="59111136"/>
    <w:rsid w:val="591113F0"/>
    <w:rsid w:val="59118DE6"/>
    <w:rsid w:val="59120012"/>
    <w:rsid w:val="59123580"/>
    <w:rsid w:val="5912543B"/>
    <w:rsid w:val="59135294"/>
    <w:rsid w:val="5913EC88"/>
    <w:rsid w:val="591452D6"/>
    <w:rsid w:val="59148FD6"/>
    <w:rsid w:val="5914BFE2"/>
    <w:rsid w:val="59151DD5"/>
    <w:rsid w:val="59153D84"/>
    <w:rsid w:val="591593F1"/>
    <w:rsid w:val="5916063F"/>
    <w:rsid w:val="5916BA7B"/>
    <w:rsid w:val="59177C00"/>
    <w:rsid w:val="5917E039"/>
    <w:rsid w:val="5918DC47"/>
    <w:rsid w:val="59194ABA"/>
    <w:rsid w:val="591971D2"/>
    <w:rsid w:val="591AD8EE"/>
    <w:rsid w:val="591C5B35"/>
    <w:rsid w:val="591D4944"/>
    <w:rsid w:val="591DC6EF"/>
    <w:rsid w:val="591E041C"/>
    <w:rsid w:val="591EFC4B"/>
    <w:rsid w:val="591FC4B9"/>
    <w:rsid w:val="5920706E"/>
    <w:rsid w:val="5920DA81"/>
    <w:rsid w:val="59216D57"/>
    <w:rsid w:val="592294A3"/>
    <w:rsid w:val="59230428"/>
    <w:rsid w:val="5923646F"/>
    <w:rsid w:val="5923B1C6"/>
    <w:rsid w:val="59248949"/>
    <w:rsid w:val="5925B743"/>
    <w:rsid w:val="59265FE1"/>
    <w:rsid w:val="5926F5D5"/>
    <w:rsid w:val="5927B8A3"/>
    <w:rsid w:val="5927E168"/>
    <w:rsid w:val="59292FF9"/>
    <w:rsid w:val="592940BA"/>
    <w:rsid w:val="592A38FD"/>
    <w:rsid w:val="592AD43C"/>
    <w:rsid w:val="592B7152"/>
    <w:rsid w:val="592C181D"/>
    <w:rsid w:val="592CD837"/>
    <w:rsid w:val="592D5273"/>
    <w:rsid w:val="592F4425"/>
    <w:rsid w:val="592F90EE"/>
    <w:rsid w:val="592F91CF"/>
    <w:rsid w:val="592FE6CB"/>
    <w:rsid w:val="592FF930"/>
    <w:rsid w:val="59303889"/>
    <w:rsid w:val="59305F26"/>
    <w:rsid w:val="5932136C"/>
    <w:rsid w:val="59321CEA"/>
    <w:rsid w:val="59326ECB"/>
    <w:rsid w:val="593289AA"/>
    <w:rsid w:val="59331645"/>
    <w:rsid w:val="5933205E"/>
    <w:rsid w:val="593413BA"/>
    <w:rsid w:val="59360CEE"/>
    <w:rsid w:val="59361E03"/>
    <w:rsid w:val="593697D4"/>
    <w:rsid w:val="5937584C"/>
    <w:rsid w:val="59376D5D"/>
    <w:rsid w:val="5938C5C8"/>
    <w:rsid w:val="59391267"/>
    <w:rsid w:val="593A040E"/>
    <w:rsid w:val="593A3641"/>
    <w:rsid w:val="593A6EC9"/>
    <w:rsid w:val="593B522F"/>
    <w:rsid w:val="593BA4EE"/>
    <w:rsid w:val="593BED7C"/>
    <w:rsid w:val="593C4E4A"/>
    <w:rsid w:val="593C624A"/>
    <w:rsid w:val="593D82D1"/>
    <w:rsid w:val="593E6FA1"/>
    <w:rsid w:val="593E8031"/>
    <w:rsid w:val="593F1D43"/>
    <w:rsid w:val="593F1E52"/>
    <w:rsid w:val="593F2DF8"/>
    <w:rsid w:val="593F77AF"/>
    <w:rsid w:val="593F84AF"/>
    <w:rsid w:val="593F8D02"/>
    <w:rsid w:val="59400F3F"/>
    <w:rsid w:val="59401680"/>
    <w:rsid w:val="59405DF0"/>
    <w:rsid w:val="59414150"/>
    <w:rsid w:val="594166C8"/>
    <w:rsid w:val="59417186"/>
    <w:rsid w:val="59438096"/>
    <w:rsid w:val="59443389"/>
    <w:rsid w:val="594840A6"/>
    <w:rsid w:val="59484103"/>
    <w:rsid w:val="59487FB8"/>
    <w:rsid w:val="5949D1AD"/>
    <w:rsid w:val="594B08AB"/>
    <w:rsid w:val="594B943C"/>
    <w:rsid w:val="594C36C3"/>
    <w:rsid w:val="594C694B"/>
    <w:rsid w:val="594CEE09"/>
    <w:rsid w:val="594CF6D6"/>
    <w:rsid w:val="594D3C6E"/>
    <w:rsid w:val="594D3D0D"/>
    <w:rsid w:val="594DD5B2"/>
    <w:rsid w:val="594E0977"/>
    <w:rsid w:val="594E6E39"/>
    <w:rsid w:val="594F41C8"/>
    <w:rsid w:val="594F7161"/>
    <w:rsid w:val="59517735"/>
    <w:rsid w:val="5951F313"/>
    <w:rsid w:val="59521BB1"/>
    <w:rsid w:val="5952F453"/>
    <w:rsid w:val="595322A8"/>
    <w:rsid w:val="595392FA"/>
    <w:rsid w:val="59552669"/>
    <w:rsid w:val="59569422"/>
    <w:rsid w:val="5956F34D"/>
    <w:rsid w:val="5958F5C6"/>
    <w:rsid w:val="5959D9EA"/>
    <w:rsid w:val="5959E850"/>
    <w:rsid w:val="595A9987"/>
    <w:rsid w:val="595B6E22"/>
    <w:rsid w:val="595B7719"/>
    <w:rsid w:val="595C1038"/>
    <w:rsid w:val="595ECE6B"/>
    <w:rsid w:val="595F071C"/>
    <w:rsid w:val="595FDD2C"/>
    <w:rsid w:val="596021EE"/>
    <w:rsid w:val="5960541E"/>
    <w:rsid w:val="59608634"/>
    <w:rsid w:val="5961752D"/>
    <w:rsid w:val="59627377"/>
    <w:rsid w:val="59629EB9"/>
    <w:rsid w:val="5962AC23"/>
    <w:rsid w:val="5962AD63"/>
    <w:rsid w:val="5963D077"/>
    <w:rsid w:val="596417F5"/>
    <w:rsid w:val="59644423"/>
    <w:rsid w:val="59664C11"/>
    <w:rsid w:val="5966E9C0"/>
    <w:rsid w:val="5967FF6A"/>
    <w:rsid w:val="596883DA"/>
    <w:rsid w:val="59690F36"/>
    <w:rsid w:val="5969A9D8"/>
    <w:rsid w:val="5969B632"/>
    <w:rsid w:val="596B2240"/>
    <w:rsid w:val="596B2B0E"/>
    <w:rsid w:val="596CABE3"/>
    <w:rsid w:val="596CC48B"/>
    <w:rsid w:val="596D0299"/>
    <w:rsid w:val="596D138A"/>
    <w:rsid w:val="596F1D50"/>
    <w:rsid w:val="5970DA59"/>
    <w:rsid w:val="5970ED53"/>
    <w:rsid w:val="59712830"/>
    <w:rsid w:val="597136DA"/>
    <w:rsid w:val="5971DBAC"/>
    <w:rsid w:val="5971EAFD"/>
    <w:rsid w:val="59727C2E"/>
    <w:rsid w:val="59728661"/>
    <w:rsid w:val="5972C187"/>
    <w:rsid w:val="5972DF85"/>
    <w:rsid w:val="597314E7"/>
    <w:rsid w:val="5973BEEA"/>
    <w:rsid w:val="5973E927"/>
    <w:rsid w:val="59741A9F"/>
    <w:rsid w:val="59748D8A"/>
    <w:rsid w:val="59749571"/>
    <w:rsid w:val="59754AAC"/>
    <w:rsid w:val="5975D926"/>
    <w:rsid w:val="5975F669"/>
    <w:rsid w:val="59767EB0"/>
    <w:rsid w:val="5976D21D"/>
    <w:rsid w:val="59775137"/>
    <w:rsid w:val="5977A9B2"/>
    <w:rsid w:val="597AA224"/>
    <w:rsid w:val="597B072A"/>
    <w:rsid w:val="597C859B"/>
    <w:rsid w:val="597CAEAB"/>
    <w:rsid w:val="597D07A3"/>
    <w:rsid w:val="597D35E0"/>
    <w:rsid w:val="597D4D3C"/>
    <w:rsid w:val="597E3A4D"/>
    <w:rsid w:val="597E53F7"/>
    <w:rsid w:val="59800252"/>
    <w:rsid w:val="598091FE"/>
    <w:rsid w:val="5980A15D"/>
    <w:rsid w:val="598139F6"/>
    <w:rsid w:val="5981C3B2"/>
    <w:rsid w:val="5981E10C"/>
    <w:rsid w:val="59839FD1"/>
    <w:rsid w:val="5985D583"/>
    <w:rsid w:val="598613BC"/>
    <w:rsid w:val="598707C0"/>
    <w:rsid w:val="59893FCB"/>
    <w:rsid w:val="598981E4"/>
    <w:rsid w:val="5989B6FF"/>
    <w:rsid w:val="5989DAD1"/>
    <w:rsid w:val="598B6BAD"/>
    <w:rsid w:val="598BD3F7"/>
    <w:rsid w:val="598C44DC"/>
    <w:rsid w:val="598C70AD"/>
    <w:rsid w:val="598CE944"/>
    <w:rsid w:val="598CEC54"/>
    <w:rsid w:val="598D2B86"/>
    <w:rsid w:val="598E7E86"/>
    <w:rsid w:val="598EF654"/>
    <w:rsid w:val="598FBC25"/>
    <w:rsid w:val="59909E74"/>
    <w:rsid w:val="5991608B"/>
    <w:rsid w:val="5991684A"/>
    <w:rsid w:val="5991C640"/>
    <w:rsid w:val="59933B63"/>
    <w:rsid w:val="5993C36A"/>
    <w:rsid w:val="5993CD2F"/>
    <w:rsid w:val="59941156"/>
    <w:rsid w:val="59942B3E"/>
    <w:rsid w:val="59942C2D"/>
    <w:rsid w:val="59945C09"/>
    <w:rsid w:val="59953B18"/>
    <w:rsid w:val="5995E78F"/>
    <w:rsid w:val="59973CE9"/>
    <w:rsid w:val="599757D4"/>
    <w:rsid w:val="5997F8CE"/>
    <w:rsid w:val="59988EDA"/>
    <w:rsid w:val="5998DC67"/>
    <w:rsid w:val="599A72C9"/>
    <w:rsid w:val="599A78A5"/>
    <w:rsid w:val="599A798D"/>
    <w:rsid w:val="599B7E50"/>
    <w:rsid w:val="599BC085"/>
    <w:rsid w:val="599C1673"/>
    <w:rsid w:val="599C9747"/>
    <w:rsid w:val="599CDBC7"/>
    <w:rsid w:val="599D4074"/>
    <w:rsid w:val="599ED9A1"/>
    <w:rsid w:val="599F00B9"/>
    <w:rsid w:val="599FF6B1"/>
    <w:rsid w:val="59A0261B"/>
    <w:rsid w:val="59A235BD"/>
    <w:rsid w:val="59A256A0"/>
    <w:rsid w:val="59A2EA43"/>
    <w:rsid w:val="59A4D545"/>
    <w:rsid w:val="59A4EDF6"/>
    <w:rsid w:val="59A53009"/>
    <w:rsid w:val="59A6DCED"/>
    <w:rsid w:val="59A81694"/>
    <w:rsid w:val="59A8E1BA"/>
    <w:rsid w:val="59A90B9C"/>
    <w:rsid w:val="59A94558"/>
    <w:rsid w:val="59A98450"/>
    <w:rsid w:val="59AAA637"/>
    <w:rsid w:val="59AAFF8F"/>
    <w:rsid w:val="59AB9385"/>
    <w:rsid w:val="59AC416E"/>
    <w:rsid w:val="59ACCD1D"/>
    <w:rsid w:val="59AF6523"/>
    <w:rsid w:val="59AF9CA3"/>
    <w:rsid w:val="59AFA0FD"/>
    <w:rsid w:val="59AFCF18"/>
    <w:rsid w:val="59B11A12"/>
    <w:rsid w:val="59B27BCA"/>
    <w:rsid w:val="59B29E68"/>
    <w:rsid w:val="59B2FA66"/>
    <w:rsid w:val="59B334F5"/>
    <w:rsid w:val="59B39DA9"/>
    <w:rsid w:val="59B420E7"/>
    <w:rsid w:val="59B442ED"/>
    <w:rsid w:val="59B4B56E"/>
    <w:rsid w:val="59B54F0F"/>
    <w:rsid w:val="59B65949"/>
    <w:rsid w:val="59B758A2"/>
    <w:rsid w:val="59B771C8"/>
    <w:rsid w:val="59B84214"/>
    <w:rsid w:val="59B91971"/>
    <w:rsid w:val="59B929BF"/>
    <w:rsid w:val="59B9851C"/>
    <w:rsid w:val="59B9CFCE"/>
    <w:rsid w:val="59BA1728"/>
    <w:rsid w:val="59BABAE1"/>
    <w:rsid w:val="59BB8A26"/>
    <w:rsid w:val="59BD18BE"/>
    <w:rsid w:val="59BD93C7"/>
    <w:rsid w:val="59BFF100"/>
    <w:rsid w:val="59C0A9FD"/>
    <w:rsid w:val="59C0BFB7"/>
    <w:rsid w:val="59C16B40"/>
    <w:rsid w:val="59C178C2"/>
    <w:rsid w:val="59C239B2"/>
    <w:rsid w:val="59C33ECD"/>
    <w:rsid w:val="59C3B609"/>
    <w:rsid w:val="59C446B3"/>
    <w:rsid w:val="59C4F4D8"/>
    <w:rsid w:val="59C6175B"/>
    <w:rsid w:val="59C77FC3"/>
    <w:rsid w:val="59C7C300"/>
    <w:rsid w:val="59C8179C"/>
    <w:rsid w:val="59C85109"/>
    <w:rsid w:val="59C8CD6C"/>
    <w:rsid w:val="59C8E0D9"/>
    <w:rsid w:val="59C94B5D"/>
    <w:rsid w:val="59C9BE79"/>
    <w:rsid w:val="59CA3731"/>
    <w:rsid w:val="59CA6E43"/>
    <w:rsid w:val="59CA83D9"/>
    <w:rsid w:val="59CB0814"/>
    <w:rsid w:val="59CB5CC9"/>
    <w:rsid w:val="59CCF5B0"/>
    <w:rsid w:val="59CD94DF"/>
    <w:rsid w:val="59CDB3AA"/>
    <w:rsid w:val="59CDDADD"/>
    <w:rsid w:val="59CE1110"/>
    <w:rsid w:val="59CE2439"/>
    <w:rsid w:val="59CE96EF"/>
    <w:rsid w:val="59CF1BD8"/>
    <w:rsid w:val="59CF4603"/>
    <w:rsid w:val="59CF901A"/>
    <w:rsid w:val="59CFA6DF"/>
    <w:rsid w:val="59D05581"/>
    <w:rsid w:val="59D05697"/>
    <w:rsid w:val="59D20FB7"/>
    <w:rsid w:val="59D2AA46"/>
    <w:rsid w:val="59D39EC6"/>
    <w:rsid w:val="59D3F810"/>
    <w:rsid w:val="59D40AEB"/>
    <w:rsid w:val="59D4246B"/>
    <w:rsid w:val="59D596A0"/>
    <w:rsid w:val="59D5C569"/>
    <w:rsid w:val="59D622C9"/>
    <w:rsid w:val="59D64E86"/>
    <w:rsid w:val="59D773E1"/>
    <w:rsid w:val="59D79E70"/>
    <w:rsid w:val="59D95803"/>
    <w:rsid w:val="59D98A15"/>
    <w:rsid w:val="59D9B30A"/>
    <w:rsid w:val="59DA5E70"/>
    <w:rsid w:val="59DC6E64"/>
    <w:rsid w:val="59DD1D47"/>
    <w:rsid w:val="59DD9F33"/>
    <w:rsid w:val="59DDD274"/>
    <w:rsid w:val="59E01F7F"/>
    <w:rsid w:val="59E15D19"/>
    <w:rsid w:val="59E246DE"/>
    <w:rsid w:val="59E28674"/>
    <w:rsid w:val="59E3223A"/>
    <w:rsid w:val="59E48468"/>
    <w:rsid w:val="59E5B9D3"/>
    <w:rsid w:val="59E5D814"/>
    <w:rsid w:val="59E5D98D"/>
    <w:rsid w:val="59E67020"/>
    <w:rsid w:val="59E69D29"/>
    <w:rsid w:val="59E6E0D2"/>
    <w:rsid w:val="59E71E43"/>
    <w:rsid w:val="59E89AEF"/>
    <w:rsid w:val="59E8B3E4"/>
    <w:rsid w:val="59E92232"/>
    <w:rsid w:val="59E95FD0"/>
    <w:rsid w:val="59E9E8D2"/>
    <w:rsid w:val="59EAE0DA"/>
    <w:rsid w:val="59EB2A5C"/>
    <w:rsid w:val="59EB306B"/>
    <w:rsid w:val="59EBD6B3"/>
    <w:rsid w:val="59EC4F56"/>
    <w:rsid w:val="59EE382A"/>
    <w:rsid w:val="59EE7E87"/>
    <w:rsid w:val="59EF4D8E"/>
    <w:rsid w:val="59EFBEE8"/>
    <w:rsid w:val="59EFE6FC"/>
    <w:rsid w:val="59F119C9"/>
    <w:rsid w:val="59F15D9B"/>
    <w:rsid w:val="59F1856C"/>
    <w:rsid w:val="59F31151"/>
    <w:rsid w:val="59F3990B"/>
    <w:rsid w:val="59F47D3A"/>
    <w:rsid w:val="59F56D72"/>
    <w:rsid w:val="59F57292"/>
    <w:rsid w:val="59F58F1B"/>
    <w:rsid w:val="59F5A69B"/>
    <w:rsid w:val="59F5C2ED"/>
    <w:rsid w:val="59F761FA"/>
    <w:rsid w:val="59F859BF"/>
    <w:rsid w:val="59F8F3BA"/>
    <w:rsid w:val="59F90A62"/>
    <w:rsid w:val="59F95E31"/>
    <w:rsid w:val="59FA7FBC"/>
    <w:rsid w:val="59FA9414"/>
    <w:rsid w:val="59FAC4B1"/>
    <w:rsid w:val="59FB4EBB"/>
    <w:rsid w:val="59FBB5CA"/>
    <w:rsid w:val="59FCC057"/>
    <w:rsid w:val="59FE27AB"/>
    <w:rsid w:val="59FE89E0"/>
    <w:rsid w:val="59FF7256"/>
    <w:rsid w:val="59FFC022"/>
    <w:rsid w:val="59FFC3C4"/>
    <w:rsid w:val="59FFE047"/>
    <w:rsid w:val="5A005CD5"/>
    <w:rsid w:val="5A017418"/>
    <w:rsid w:val="5A01A6D3"/>
    <w:rsid w:val="5A01D3BA"/>
    <w:rsid w:val="5A01FDB4"/>
    <w:rsid w:val="5A036844"/>
    <w:rsid w:val="5A04B993"/>
    <w:rsid w:val="5A05E626"/>
    <w:rsid w:val="5A061ADA"/>
    <w:rsid w:val="5A062878"/>
    <w:rsid w:val="5A070476"/>
    <w:rsid w:val="5A0775CB"/>
    <w:rsid w:val="5A082621"/>
    <w:rsid w:val="5A085091"/>
    <w:rsid w:val="5A08E572"/>
    <w:rsid w:val="5A09D5F2"/>
    <w:rsid w:val="5A0A5395"/>
    <w:rsid w:val="5A0AD45F"/>
    <w:rsid w:val="5A0B9835"/>
    <w:rsid w:val="5A0BEC6C"/>
    <w:rsid w:val="5A0BF154"/>
    <w:rsid w:val="5A0BFD6B"/>
    <w:rsid w:val="5A0D7D8E"/>
    <w:rsid w:val="5A0D967A"/>
    <w:rsid w:val="5A0DAF64"/>
    <w:rsid w:val="5A0DDD22"/>
    <w:rsid w:val="5A0E8C93"/>
    <w:rsid w:val="5A104317"/>
    <w:rsid w:val="5A139C23"/>
    <w:rsid w:val="5A13F90D"/>
    <w:rsid w:val="5A14B633"/>
    <w:rsid w:val="5A15E881"/>
    <w:rsid w:val="5A160613"/>
    <w:rsid w:val="5A161CE3"/>
    <w:rsid w:val="5A166995"/>
    <w:rsid w:val="5A1685C8"/>
    <w:rsid w:val="5A17781F"/>
    <w:rsid w:val="5A182B40"/>
    <w:rsid w:val="5A190BC9"/>
    <w:rsid w:val="5A191489"/>
    <w:rsid w:val="5A19180E"/>
    <w:rsid w:val="5A195945"/>
    <w:rsid w:val="5A19973E"/>
    <w:rsid w:val="5A199AB5"/>
    <w:rsid w:val="5A19ED3C"/>
    <w:rsid w:val="5A1AAED4"/>
    <w:rsid w:val="5A1AC7DB"/>
    <w:rsid w:val="5A1B7F28"/>
    <w:rsid w:val="5A1C5289"/>
    <w:rsid w:val="5A1C756C"/>
    <w:rsid w:val="5A1D9A41"/>
    <w:rsid w:val="5A1DAAAD"/>
    <w:rsid w:val="5A1DF196"/>
    <w:rsid w:val="5A1DF5E3"/>
    <w:rsid w:val="5A1E2932"/>
    <w:rsid w:val="5A201B29"/>
    <w:rsid w:val="5A205041"/>
    <w:rsid w:val="5A207128"/>
    <w:rsid w:val="5A21647A"/>
    <w:rsid w:val="5A21F2E1"/>
    <w:rsid w:val="5A229E99"/>
    <w:rsid w:val="5A23148D"/>
    <w:rsid w:val="5A234EAD"/>
    <w:rsid w:val="5A2351B1"/>
    <w:rsid w:val="5A24BB0D"/>
    <w:rsid w:val="5A25B1F7"/>
    <w:rsid w:val="5A26AD22"/>
    <w:rsid w:val="5A279C8F"/>
    <w:rsid w:val="5A27C854"/>
    <w:rsid w:val="5A2805A3"/>
    <w:rsid w:val="5A283425"/>
    <w:rsid w:val="5A294DE1"/>
    <w:rsid w:val="5A2A2EC5"/>
    <w:rsid w:val="5A2A7346"/>
    <w:rsid w:val="5A2AE8F1"/>
    <w:rsid w:val="5A2B3F81"/>
    <w:rsid w:val="5A2B5B5B"/>
    <w:rsid w:val="5A2BE4EF"/>
    <w:rsid w:val="5A2C63B0"/>
    <w:rsid w:val="5A2C83F4"/>
    <w:rsid w:val="5A2D54A9"/>
    <w:rsid w:val="5A2D8E72"/>
    <w:rsid w:val="5A2DE33A"/>
    <w:rsid w:val="5A2EB31A"/>
    <w:rsid w:val="5A2EDA57"/>
    <w:rsid w:val="5A2EF5E4"/>
    <w:rsid w:val="5A2F0364"/>
    <w:rsid w:val="5A30131F"/>
    <w:rsid w:val="5A303436"/>
    <w:rsid w:val="5A306A77"/>
    <w:rsid w:val="5A30BE68"/>
    <w:rsid w:val="5A30F096"/>
    <w:rsid w:val="5A3180DB"/>
    <w:rsid w:val="5A31EC75"/>
    <w:rsid w:val="5A323D0C"/>
    <w:rsid w:val="5A32E15F"/>
    <w:rsid w:val="5A33E0E1"/>
    <w:rsid w:val="5A3427E4"/>
    <w:rsid w:val="5A348AB3"/>
    <w:rsid w:val="5A34FC15"/>
    <w:rsid w:val="5A358CCD"/>
    <w:rsid w:val="5A36DB60"/>
    <w:rsid w:val="5A3707F4"/>
    <w:rsid w:val="5A377F70"/>
    <w:rsid w:val="5A38EFF7"/>
    <w:rsid w:val="5A395F70"/>
    <w:rsid w:val="5A3A975D"/>
    <w:rsid w:val="5A3C298E"/>
    <w:rsid w:val="5A3CDF45"/>
    <w:rsid w:val="5A3D1732"/>
    <w:rsid w:val="5A3D8EB8"/>
    <w:rsid w:val="5A3EDB3B"/>
    <w:rsid w:val="5A3EDE30"/>
    <w:rsid w:val="5A402AC7"/>
    <w:rsid w:val="5A414F68"/>
    <w:rsid w:val="5A42262F"/>
    <w:rsid w:val="5A42DD4F"/>
    <w:rsid w:val="5A432C25"/>
    <w:rsid w:val="5A4378E2"/>
    <w:rsid w:val="5A437A66"/>
    <w:rsid w:val="5A43D66E"/>
    <w:rsid w:val="5A4428F0"/>
    <w:rsid w:val="5A448788"/>
    <w:rsid w:val="5A448BBC"/>
    <w:rsid w:val="5A449EEC"/>
    <w:rsid w:val="5A451226"/>
    <w:rsid w:val="5A4664A2"/>
    <w:rsid w:val="5A47EB9F"/>
    <w:rsid w:val="5A48358E"/>
    <w:rsid w:val="5A48AC8A"/>
    <w:rsid w:val="5A492214"/>
    <w:rsid w:val="5A492A4F"/>
    <w:rsid w:val="5A492AEB"/>
    <w:rsid w:val="5A492FEC"/>
    <w:rsid w:val="5A498E5B"/>
    <w:rsid w:val="5A49D25F"/>
    <w:rsid w:val="5A4B08F7"/>
    <w:rsid w:val="5A4B76BF"/>
    <w:rsid w:val="5A4BF6D3"/>
    <w:rsid w:val="5A4C01D5"/>
    <w:rsid w:val="5A4C0BD6"/>
    <w:rsid w:val="5A4CE582"/>
    <w:rsid w:val="5A4D60DF"/>
    <w:rsid w:val="5A4E8889"/>
    <w:rsid w:val="5A4FA606"/>
    <w:rsid w:val="5A4FA8E7"/>
    <w:rsid w:val="5A5210A2"/>
    <w:rsid w:val="5A527D8D"/>
    <w:rsid w:val="5A530B92"/>
    <w:rsid w:val="5A5310C6"/>
    <w:rsid w:val="5A5499BE"/>
    <w:rsid w:val="5A54AABB"/>
    <w:rsid w:val="5A55EC17"/>
    <w:rsid w:val="5A55F4AA"/>
    <w:rsid w:val="5A581314"/>
    <w:rsid w:val="5A587831"/>
    <w:rsid w:val="5A589B7E"/>
    <w:rsid w:val="5A596989"/>
    <w:rsid w:val="5A5C5E69"/>
    <w:rsid w:val="5A5CD3F9"/>
    <w:rsid w:val="5A5D01C9"/>
    <w:rsid w:val="5A5DA336"/>
    <w:rsid w:val="5A5DEA92"/>
    <w:rsid w:val="5A5E8291"/>
    <w:rsid w:val="5A5E86B7"/>
    <w:rsid w:val="5A5F7D40"/>
    <w:rsid w:val="5A5FF777"/>
    <w:rsid w:val="5A5FF8CD"/>
    <w:rsid w:val="5A60AA05"/>
    <w:rsid w:val="5A614761"/>
    <w:rsid w:val="5A629D02"/>
    <w:rsid w:val="5A63CF06"/>
    <w:rsid w:val="5A63DFDC"/>
    <w:rsid w:val="5A64C648"/>
    <w:rsid w:val="5A651379"/>
    <w:rsid w:val="5A6516A8"/>
    <w:rsid w:val="5A657990"/>
    <w:rsid w:val="5A65DC2F"/>
    <w:rsid w:val="5A683D08"/>
    <w:rsid w:val="5A688742"/>
    <w:rsid w:val="5A68D095"/>
    <w:rsid w:val="5A68E64A"/>
    <w:rsid w:val="5A68EF6F"/>
    <w:rsid w:val="5A697704"/>
    <w:rsid w:val="5A6A16C6"/>
    <w:rsid w:val="5A6B1D8C"/>
    <w:rsid w:val="5A6B7094"/>
    <w:rsid w:val="5A6C777E"/>
    <w:rsid w:val="5A6C9BDA"/>
    <w:rsid w:val="5A6CEFA0"/>
    <w:rsid w:val="5A6D0551"/>
    <w:rsid w:val="5A6D2AED"/>
    <w:rsid w:val="5A6D4602"/>
    <w:rsid w:val="5A6DAD5B"/>
    <w:rsid w:val="5A6E1E41"/>
    <w:rsid w:val="5A6F6566"/>
    <w:rsid w:val="5A7098D4"/>
    <w:rsid w:val="5A70E7D7"/>
    <w:rsid w:val="5A710F42"/>
    <w:rsid w:val="5A712656"/>
    <w:rsid w:val="5A718EEB"/>
    <w:rsid w:val="5A71A05F"/>
    <w:rsid w:val="5A71DCCC"/>
    <w:rsid w:val="5A727E3E"/>
    <w:rsid w:val="5A72BB1C"/>
    <w:rsid w:val="5A759265"/>
    <w:rsid w:val="5A7648B6"/>
    <w:rsid w:val="5A770D83"/>
    <w:rsid w:val="5A781816"/>
    <w:rsid w:val="5A7A8073"/>
    <w:rsid w:val="5A7BF1AA"/>
    <w:rsid w:val="5A7C11B1"/>
    <w:rsid w:val="5A7C7D9F"/>
    <w:rsid w:val="5A7D2951"/>
    <w:rsid w:val="5A7D4F65"/>
    <w:rsid w:val="5A7D7A62"/>
    <w:rsid w:val="5A7EB891"/>
    <w:rsid w:val="5A808109"/>
    <w:rsid w:val="5A81FF38"/>
    <w:rsid w:val="5A8214BD"/>
    <w:rsid w:val="5A826FAF"/>
    <w:rsid w:val="5A82864E"/>
    <w:rsid w:val="5A84AD27"/>
    <w:rsid w:val="5A850E06"/>
    <w:rsid w:val="5A862678"/>
    <w:rsid w:val="5A867919"/>
    <w:rsid w:val="5A86D9C3"/>
    <w:rsid w:val="5A876756"/>
    <w:rsid w:val="5A879F76"/>
    <w:rsid w:val="5A88D9C1"/>
    <w:rsid w:val="5A89D920"/>
    <w:rsid w:val="5A8A1EC6"/>
    <w:rsid w:val="5A8B06D4"/>
    <w:rsid w:val="5A8B3963"/>
    <w:rsid w:val="5A8B5270"/>
    <w:rsid w:val="5A8B8C2E"/>
    <w:rsid w:val="5A8BE83D"/>
    <w:rsid w:val="5A8C723F"/>
    <w:rsid w:val="5A8C8528"/>
    <w:rsid w:val="5A8DEF1E"/>
    <w:rsid w:val="5A8E13DE"/>
    <w:rsid w:val="5A8E93F0"/>
    <w:rsid w:val="5A8EC336"/>
    <w:rsid w:val="5A8F7B1A"/>
    <w:rsid w:val="5A8FF53E"/>
    <w:rsid w:val="5A91D9FD"/>
    <w:rsid w:val="5A927DF2"/>
    <w:rsid w:val="5A928371"/>
    <w:rsid w:val="5A92AE73"/>
    <w:rsid w:val="5A92B652"/>
    <w:rsid w:val="5A92BC3C"/>
    <w:rsid w:val="5A92E4A5"/>
    <w:rsid w:val="5A92F632"/>
    <w:rsid w:val="5A93D15F"/>
    <w:rsid w:val="5A93E40A"/>
    <w:rsid w:val="5A93EBC1"/>
    <w:rsid w:val="5A944AB6"/>
    <w:rsid w:val="5A94E605"/>
    <w:rsid w:val="5A950DD9"/>
    <w:rsid w:val="5A95F446"/>
    <w:rsid w:val="5A963D82"/>
    <w:rsid w:val="5A96E170"/>
    <w:rsid w:val="5A97479A"/>
    <w:rsid w:val="5A978565"/>
    <w:rsid w:val="5A97B694"/>
    <w:rsid w:val="5A98276D"/>
    <w:rsid w:val="5A99CDA1"/>
    <w:rsid w:val="5A99DD28"/>
    <w:rsid w:val="5A9B496F"/>
    <w:rsid w:val="5A9BECFB"/>
    <w:rsid w:val="5A9C0D26"/>
    <w:rsid w:val="5A9CD412"/>
    <w:rsid w:val="5A9CD68A"/>
    <w:rsid w:val="5A9EB0E2"/>
    <w:rsid w:val="5AA08F6C"/>
    <w:rsid w:val="5AA0BF3F"/>
    <w:rsid w:val="5AA0D9FB"/>
    <w:rsid w:val="5AA15FFC"/>
    <w:rsid w:val="5AA28866"/>
    <w:rsid w:val="5AA2FD73"/>
    <w:rsid w:val="5AA4C94B"/>
    <w:rsid w:val="5AA4E37B"/>
    <w:rsid w:val="5AA514BC"/>
    <w:rsid w:val="5AA5DD82"/>
    <w:rsid w:val="5AA5EAE9"/>
    <w:rsid w:val="5AA61E9E"/>
    <w:rsid w:val="5AA62D76"/>
    <w:rsid w:val="5AA6D4BD"/>
    <w:rsid w:val="5AA6F868"/>
    <w:rsid w:val="5AA80DE6"/>
    <w:rsid w:val="5AA92712"/>
    <w:rsid w:val="5AA97919"/>
    <w:rsid w:val="5AA9866C"/>
    <w:rsid w:val="5AA9991A"/>
    <w:rsid w:val="5AA9D7D3"/>
    <w:rsid w:val="5AAA5BDC"/>
    <w:rsid w:val="5AAB425B"/>
    <w:rsid w:val="5AAC4BE0"/>
    <w:rsid w:val="5AADADDB"/>
    <w:rsid w:val="5AAEB733"/>
    <w:rsid w:val="5AAEF625"/>
    <w:rsid w:val="5AAF448E"/>
    <w:rsid w:val="5AAF6301"/>
    <w:rsid w:val="5AAF86D3"/>
    <w:rsid w:val="5AAF8E88"/>
    <w:rsid w:val="5AB00424"/>
    <w:rsid w:val="5AB00E2C"/>
    <w:rsid w:val="5AB10C4D"/>
    <w:rsid w:val="5AB1C58F"/>
    <w:rsid w:val="5AB2F31E"/>
    <w:rsid w:val="5AB353C5"/>
    <w:rsid w:val="5AB3A8A0"/>
    <w:rsid w:val="5AB4269D"/>
    <w:rsid w:val="5AB47DAE"/>
    <w:rsid w:val="5AB7DEB1"/>
    <w:rsid w:val="5AB99366"/>
    <w:rsid w:val="5ABA545C"/>
    <w:rsid w:val="5ABA7BCB"/>
    <w:rsid w:val="5ABA9A31"/>
    <w:rsid w:val="5ABB674E"/>
    <w:rsid w:val="5ABB9A15"/>
    <w:rsid w:val="5ABCA600"/>
    <w:rsid w:val="5ABCC4B6"/>
    <w:rsid w:val="5ABD03B3"/>
    <w:rsid w:val="5ABE67A0"/>
    <w:rsid w:val="5ABE6FF8"/>
    <w:rsid w:val="5ABE76E3"/>
    <w:rsid w:val="5ABED505"/>
    <w:rsid w:val="5ABF0116"/>
    <w:rsid w:val="5ABF7CBA"/>
    <w:rsid w:val="5AC0374F"/>
    <w:rsid w:val="5AC08EC7"/>
    <w:rsid w:val="5AC102F5"/>
    <w:rsid w:val="5AC34027"/>
    <w:rsid w:val="5AC45E81"/>
    <w:rsid w:val="5AC4850B"/>
    <w:rsid w:val="5AC6FC9A"/>
    <w:rsid w:val="5AC7407C"/>
    <w:rsid w:val="5AC89CAF"/>
    <w:rsid w:val="5AC8E5B9"/>
    <w:rsid w:val="5ACB019F"/>
    <w:rsid w:val="5ACB7493"/>
    <w:rsid w:val="5ACBCC35"/>
    <w:rsid w:val="5ACC2683"/>
    <w:rsid w:val="5ACC3C14"/>
    <w:rsid w:val="5ACC77F5"/>
    <w:rsid w:val="5ACD4A94"/>
    <w:rsid w:val="5ACE6CB6"/>
    <w:rsid w:val="5ACF8ADB"/>
    <w:rsid w:val="5ACF93C8"/>
    <w:rsid w:val="5ACFBBC3"/>
    <w:rsid w:val="5ACFE868"/>
    <w:rsid w:val="5AD06A1C"/>
    <w:rsid w:val="5AD08873"/>
    <w:rsid w:val="5AD0E7EE"/>
    <w:rsid w:val="5AD0FF7A"/>
    <w:rsid w:val="5AD1012D"/>
    <w:rsid w:val="5AD1946C"/>
    <w:rsid w:val="5AD196E3"/>
    <w:rsid w:val="5AD1AFC3"/>
    <w:rsid w:val="5AD2934A"/>
    <w:rsid w:val="5AD29C79"/>
    <w:rsid w:val="5AD37D30"/>
    <w:rsid w:val="5AD3FBD0"/>
    <w:rsid w:val="5AD5A944"/>
    <w:rsid w:val="5AD68B4B"/>
    <w:rsid w:val="5AD6F09F"/>
    <w:rsid w:val="5AD80308"/>
    <w:rsid w:val="5AD83C41"/>
    <w:rsid w:val="5AD876A8"/>
    <w:rsid w:val="5AD8E59F"/>
    <w:rsid w:val="5AD98B27"/>
    <w:rsid w:val="5AD9C8D4"/>
    <w:rsid w:val="5ADA44AF"/>
    <w:rsid w:val="5ADA8082"/>
    <w:rsid w:val="5ADC6129"/>
    <w:rsid w:val="5ADC9C00"/>
    <w:rsid w:val="5ADD42F2"/>
    <w:rsid w:val="5ADD56FD"/>
    <w:rsid w:val="5ADD6F60"/>
    <w:rsid w:val="5ADDA0E2"/>
    <w:rsid w:val="5ADDFF7D"/>
    <w:rsid w:val="5ADEC78D"/>
    <w:rsid w:val="5ADFA699"/>
    <w:rsid w:val="5AE06578"/>
    <w:rsid w:val="5AE11FF6"/>
    <w:rsid w:val="5AE1252B"/>
    <w:rsid w:val="5AE2E92A"/>
    <w:rsid w:val="5AE2F228"/>
    <w:rsid w:val="5AE30A2E"/>
    <w:rsid w:val="5AE3AFB7"/>
    <w:rsid w:val="5AE42FA1"/>
    <w:rsid w:val="5AE43F36"/>
    <w:rsid w:val="5AE460B4"/>
    <w:rsid w:val="5AE49BE8"/>
    <w:rsid w:val="5AE4C6D9"/>
    <w:rsid w:val="5AE5E44C"/>
    <w:rsid w:val="5AE64FAD"/>
    <w:rsid w:val="5AE7071B"/>
    <w:rsid w:val="5AE7C4D5"/>
    <w:rsid w:val="5AEA6436"/>
    <w:rsid w:val="5AEAF0EC"/>
    <w:rsid w:val="5AEC179D"/>
    <w:rsid w:val="5AEC3AE9"/>
    <w:rsid w:val="5AEC7629"/>
    <w:rsid w:val="5AEC80BD"/>
    <w:rsid w:val="5AECDA00"/>
    <w:rsid w:val="5AED6DF2"/>
    <w:rsid w:val="5AEE03CD"/>
    <w:rsid w:val="5AEE3ABA"/>
    <w:rsid w:val="5AEF5EC2"/>
    <w:rsid w:val="5AEF918F"/>
    <w:rsid w:val="5AF0C990"/>
    <w:rsid w:val="5AF11B38"/>
    <w:rsid w:val="5AF12F2F"/>
    <w:rsid w:val="5AF303E0"/>
    <w:rsid w:val="5AF37BF6"/>
    <w:rsid w:val="5AF3E26C"/>
    <w:rsid w:val="5AF40B23"/>
    <w:rsid w:val="5AF475FA"/>
    <w:rsid w:val="5AF4FB81"/>
    <w:rsid w:val="5AF57D5F"/>
    <w:rsid w:val="5AF61983"/>
    <w:rsid w:val="5AF66680"/>
    <w:rsid w:val="5AF666EB"/>
    <w:rsid w:val="5AF6A236"/>
    <w:rsid w:val="5AF74A3A"/>
    <w:rsid w:val="5AF76D2D"/>
    <w:rsid w:val="5AF81806"/>
    <w:rsid w:val="5AF93F01"/>
    <w:rsid w:val="5AFA2539"/>
    <w:rsid w:val="5AFA715E"/>
    <w:rsid w:val="5AFBA565"/>
    <w:rsid w:val="5AFC3259"/>
    <w:rsid w:val="5AFC5C78"/>
    <w:rsid w:val="5AFC6150"/>
    <w:rsid w:val="5AFCB15D"/>
    <w:rsid w:val="5AFF7528"/>
    <w:rsid w:val="5B00DCF9"/>
    <w:rsid w:val="5B01065A"/>
    <w:rsid w:val="5B0269DC"/>
    <w:rsid w:val="5B0303A5"/>
    <w:rsid w:val="5B030825"/>
    <w:rsid w:val="5B0324E5"/>
    <w:rsid w:val="5B032FF9"/>
    <w:rsid w:val="5B04543B"/>
    <w:rsid w:val="5B049331"/>
    <w:rsid w:val="5B050738"/>
    <w:rsid w:val="5B068BD9"/>
    <w:rsid w:val="5B068D19"/>
    <w:rsid w:val="5B0714C5"/>
    <w:rsid w:val="5B07634D"/>
    <w:rsid w:val="5B07BA5D"/>
    <w:rsid w:val="5B082345"/>
    <w:rsid w:val="5B093375"/>
    <w:rsid w:val="5B0A2565"/>
    <w:rsid w:val="5B0B50FF"/>
    <w:rsid w:val="5B0B853A"/>
    <w:rsid w:val="5B0BC556"/>
    <w:rsid w:val="5B0C4623"/>
    <w:rsid w:val="5B0D12E3"/>
    <w:rsid w:val="5B0D34A7"/>
    <w:rsid w:val="5B0D77F0"/>
    <w:rsid w:val="5B0D9AAE"/>
    <w:rsid w:val="5B0E9CA9"/>
    <w:rsid w:val="5B0FBD30"/>
    <w:rsid w:val="5B0FBFF5"/>
    <w:rsid w:val="5B10950D"/>
    <w:rsid w:val="5B10EA3E"/>
    <w:rsid w:val="5B112407"/>
    <w:rsid w:val="5B116481"/>
    <w:rsid w:val="5B119253"/>
    <w:rsid w:val="5B1322C3"/>
    <w:rsid w:val="5B13B509"/>
    <w:rsid w:val="5B13C066"/>
    <w:rsid w:val="5B13E3AE"/>
    <w:rsid w:val="5B13EC24"/>
    <w:rsid w:val="5B151212"/>
    <w:rsid w:val="5B15ABCB"/>
    <w:rsid w:val="5B15FB0F"/>
    <w:rsid w:val="5B166D7C"/>
    <w:rsid w:val="5B1751D6"/>
    <w:rsid w:val="5B181CD0"/>
    <w:rsid w:val="5B18545A"/>
    <w:rsid w:val="5B19ECBB"/>
    <w:rsid w:val="5B1A0729"/>
    <w:rsid w:val="5B1A4CFD"/>
    <w:rsid w:val="5B1B4C42"/>
    <w:rsid w:val="5B1CA4CA"/>
    <w:rsid w:val="5B1CBABC"/>
    <w:rsid w:val="5B1E3D45"/>
    <w:rsid w:val="5B1F010F"/>
    <w:rsid w:val="5B1F2186"/>
    <w:rsid w:val="5B1FAD1C"/>
    <w:rsid w:val="5B1FBF18"/>
    <w:rsid w:val="5B21DBE3"/>
    <w:rsid w:val="5B221D21"/>
    <w:rsid w:val="5B23C3F5"/>
    <w:rsid w:val="5B24FDC2"/>
    <w:rsid w:val="5B270DE3"/>
    <w:rsid w:val="5B2791B6"/>
    <w:rsid w:val="5B27BBCB"/>
    <w:rsid w:val="5B2826EB"/>
    <w:rsid w:val="5B29F527"/>
    <w:rsid w:val="5B2A4EE7"/>
    <w:rsid w:val="5B2A6804"/>
    <w:rsid w:val="5B2B2491"/>
    <w:rsid w:val="5B2B6454"/>
    <w:rsid w:val="5B2BEBE6"/>
    <w:rsid w:val="5B2C521C"/>
    <w:rsid w:val="5B2C9D9C"/>
    <w:rsid w:val="5B2CA22F"/>
    <w:rsid w:val="5B2D0166"/>
    <w:rsid w:val="5B2D0ECA"/>
    <w:rsid w:val="5B2D67B8"/>
    <w:rsid w:val="5B2EDB9D"/>
    <w:rsid w:val="5B2F72A3"/>
    <w:rsid w:val="5B2F8DAB"/>
    <w:rsid w:val="5B30F7E7"/>
    <w:rsid w:val="5B315D0D"/>
    <w:rsid w:val="5B318A65"/>
    <w:rsid w:val="5B3266AF"/>
    <w:rsid w:val="5B329936"/>
    <w:rsid w:val="5B33133C"/>
    <w:rsid w:val="5B338DF5"/>
    <w:rsid w:val="5B3624CD"/>
    <w:rsid w:val="5B36E5FF"/>
    <w:rsid w:val="5B373782"/>
    <w:rsid w:val="5B375203"/>
    <w:rsid w:val="5B3795AE"/>
    <w:rsid w:val="5B37D6E5"/>
    <w:rsid w:val="5B3800D5"/>
    <w:rsid w:val="5B385CC8"/>
    <w:rsid w:val="5B39477D"/>
    <w:rsid w:val="5B3AEC4D"/>
    <w:rsid w:val="5B3B4DA2"/>
    <w:rsid w:val="5B3B5D97"/>
    <w:rsid w:val="5B3DF396"/>
    <w:rsid w:val="5B3E8805"/>
    <w:rsid w:val="5B3E9F68"/>
    <w:rsid w:val="5B40A9E5"/>
    <w:rsid w:val="5B40ADC4"/>
    <w:rsid w:val="5B417CA7"/>
    <w:rsid w:val="5B427B0F"/>
    <w:rsid w:val="5B427F59"/>
    <w:rsid w:val="5B428114"/>
    <w:rsid w:val="5B42CF16"/>
    <w:rsid w:val="5B433AD3"/>
    <w:rsid w:val="5B44A7F0"/>
    <w:rsid w:val="5B44FA81"/>
    <w:rsid w:val="5B450D45"/>
    <w:rsid w:val="5B45A7EA"/>
    <w:rsid w:val="5B46C0A6"/>
    <w:rsid w:val="5B4755B1"/>
    <w:rsid w:val="5B476396"/>
    <w:rsid w:val="5B48D084"/>
    <w:rsid w:val="5B492723"/>
    <w:rsid w:val="5B49341E"/>
    <w:rsid w:val="5B4A2E40"/>
    <w:rsid w:val="5B4A59C0"/>
    <w:rsid w:val="5B4B1913"/>
    <w:rsid w:val="5B4BB0AF"/>
    <w:rsid w:val="5B4DEA26"/>
    <w:rsid w:val="5B4DEB1F"/>
    <w:rsid w:val="5B4E1DDD"/>
    <w:rsid w:val="5B4E1FA4"/>
    <w:rsid w:val="5B4E8A5B"/>
    <w:rsid w:val="5B4F2559"/>
    <w:rsid w:val="5B4F357C"/>
    <w:rsid w:val="5B4F8BF2"/>
    <w:rsid w:val="5B500EF3"/>
    <w:rsid w:val="5B50BD9C"/>
    <w:rsid w:val="5B520FA4"/>
    <w:rsid w:val="5B5231FF"/>
    <w:rsid w:val="5B525100"/>
    <w:rsid w:val="5B52E9EE"/>
    <w:rsid w:val="5B533BFA"/>
    <w:rsid w:val="5B53970E"/>
    <w:rsid w:val="5B53C1C6"/>
    <w:rsid w:val="5B543F63"/>
    <w:rsid w:val="5B552049"/>
    <w:rsid w:val="5B55570D"/>
    <w:rsid w:val="5B5585ED"/>
    <w:rsid w:val="5B5648C8"/>
    <w:rsid w:val="5B5658EA"/>
    <w:rsid w:val="5B56831A"/>
    <w:rsid w:val="5B568FA8"/>
    <w:rsid w:val="5B57852C"/>
    <w:rsid w:val="5B578DC2"/>
    <w:rsid w:val="5B579DE7"/>
    <w:rsid w:val="5B57D9F0"/>
    <w:rsid w:val="5B58D4F4"/>
    <w:rsid w:val="5B590218"/>
    <w:rsid w:val="5B5996BF"/>
    <w:rsid w:val="5B5A0E6A"/>
    <w:rsid w:val="5B5A9C37"/>
    <w:rsid w:val="5B5B4B18"/>
    <w:rsid w:val="5B5B9E6B"/>
    <w:rsid w:val="5B5CB0CA"/>
    <w:rsid w:val="5B5D182B"/>
    <w:rsid w:val="5B5DC387"/>
    <w:rsid w:val="5B5E3C7F"/>
    <w:rsid w:val="5B5EA433"/>
    <w:rsid w:val="5B5EB3FC"/>
    <w:rsid w:val="5B5EE50C"/>
    <w:rsid w:val="5B5F874B"/>
    <w:rsid w:val="5B5FA752"/>
    <w:rsid w:val="5B5FBCB6"/>
    <w:rsid w:val="5B601C8F"/>
    <w:rsid w:val="5B623D49"/>
    <w:rsid w:val="5B63F9B6"/>
    <w:rsid w:val="5B654DE9"/>
    <w:rsid w:val="5B65579D"/>
    <w:rsid w:val="5B66A827"/>
    <w:rsid w:val="5B67518E"/>
    <w:rsid w:val="5B679600"/>
    <w:rsid w:val="5B68CB96"/>
    <w:rsid w:val="5B69047B"/>
    <w:rsid w:val="5B692343"/>
    <w:rsid w:val="5B69FCB1"/>
    <w:rsid w:val="5B6B24EA"/>
    <w:rsid w:val="5B6B67A2"/>
    <w:rsid w:val="5B6BA6B3"/>
    <w:rsid w:val="5B6C1FD0"/>
    <w:rsid w:val="5B6D87FC"/>
    <w:rsid w:val="5B6E69F1"/>
    <w:rsid w:val="5B6E838C"/>
    <w:rsid w:val="5B6F03B9"/>
    <w:rsid w:val="5B700B79"/>
    <w:rsid w:val="5B707751"/>
    <w:rsid w:val="5B70F157"/>
    <w:rsid w:val="5B714E8D"/>
    <w:rsid w:val="5B716782"/>
    <w:rsid w:val="5B71E16F"/>
    <w:rsid w:val="5B72E873"/>
    <w:rsid w:val="5B72F512"/>
    <w:rsid w:val="5B7366BC"/>
    <w:rsid w:val="5B7399D9"/>
    <w:rsid w:val="5B7473A3"/>
    <w:rsid w:val="5B74D509"/>
    <w:rsid w:val="5B75328F"/>
    <w:rsid w:val="5B7613A5"/>
    <w:rsid w:val="5B767560"/>
    <w:rsid w:val="5B77D876"/>
    <w:rsid w:val="5B78BDE8"/>
    <w:rsid w:val="5B7C1D79"/>
    <w:rsid w:val="5B7C338A"/>
    <w:rsid w:val="5B7D4792"/>
    <w:rsid w:val="5B7DC2FF"/>
    <w:rsid w:val="5B7F3306"/>
    <w:rsid w:val="5B7F5553"/>
    <w:rsid w:val="5B807282"/>
    <w:rsid w:val="5B80A667"/>
    <w:rsid w:val="5B82446D"/>
    <w:rsid w:val="5B825CF7"/>
    <w:rsid w:val="5B82C51F"/>
    <w:rsid w:val="5B836270"/>
    <w:rsid w:val="5B839FB7"/>
    <w:rsid w:val="5B83F773"/>
    <w:rsid w:val="5B842546"/>
    <w:rsid w:val="5B844B2C"/>
    <w:rsid w:val="5B84C7A4"/>
    <w:rsid w:val="5B84C936"/>
    <w:rsid w:val="5B86E080"/>
    <w:rsid w:val="5B879334"/>
    <w:rsid w:val="5B885C52"/>
    <w:rsid w:val="5B88A26A"/>
    <w:rsid w:val="5B88D6F8"/>
    <w:rsid w:val="5B89AABB"/>
    <w:rsid w:val="5B89DC3B"/>
    <w:rsid w:val="5B8A0A43"/>
    <w:rsid w:val="5B8A1603"/>
    <w:rsid w:val="5B8B069E"/>
    <w:rsid w:val="5B8B710B"/>
    <w:rsid w:val="5B8B9518"/>
    <w:rsid w:val="5B8CC2D0"/>
    <w:rsid w:val="5B8CFC45"/>
    <w:rsid w:val="5B8D6599"/>
    <w:rsid w:val="5B8E3655"/>
    <w:rsid w:val="5B8E7DFE"/>
    <w:rsid w:val="5B8F371B"/>
    <w:rsid w:val="5B9070CC"/>
    <w:rsid w:val="5B90C8BB"/>
    <w:rsid w:val="5B92B8E7"/>
    <w:rsid w:val="5B93CAFC"/>
    <w:rsid w:val="5B93F59C"/>
    <w:rsid w:val="5B94125F"/>
    <w:rsid w:val="5B94F256"/>
    <w:rsid w:val="5B95ECBB"/>
    <w:rsid w:val="5B961980"/>
    <w:rsid w:val="5B96701B"/>
    <w:rsid w:val="5B96B586"/>
    <w:rsid w:val="5B96D8B6"/>
    <w:rsid w:val="5B96DC5C"/>
    <w:rsid w:val="5B975545"/>
    <w:rsid w:val="5B9793CD"/>
    <w:rsid w:val="5B97A961"/>
    <w:rsid w:val="5B986FE1"/>
    <w:rsid w:val="5B98CF83"/>
    <w:rsid w:val="5B98D1FB"/>
    <w:rsid w:val="5B992F36"/>
    <w:rsid w:val="5B99BEC5"/>
    <w:rsid w:val="5B99C884"/>
    <w:rsid w:val="5B99D40C"/>
    <w:rsid w:val="5B9C3EB2"/>
    <w:rsid w:val="5B9CFF00"/>
    <w:rsid w:val="5B9D7741"/>
    <w:rsid w:val="5B9DDA1F"/>
    <w:rsid w:val="5B9E4574"/>
    <w:rsid w:val="5B9E6FCF"/>
    <w:rsid w:val="5B9E82B8"/>
    <w:rsid w:val="5B9EA1DD"/>
    <w:rsid w:val="5B9EEC9F"/>
    <w:rsid w:val="5B9F7C94"/>
    <w:rsid w:val="5B9FDB35"/>
    <w:rsid w:val="5BA0B008"/>
    <w:rsid w:val="5BA225EA"/>
    <w:rsid w:val="5BA25DE0"/>
    <w:rsid w:val="5BA274D8"/>
    <w:rsid w:val="5BA3CFEF"/>
    <w:rsid w:val="5BA3DEC9"/>
    <w:rsid w:val="5BA3E3CC"/>
    <w:rsid w:val="5BA49D47"/>
    <w:rsid w:val="5BA52E88"/>
    <w:rsid w:val="5BA68430"/>
    <w:rsid w:val="5BA68733"/>
    <w:rsid w:val="5BA755BF"/>
    <w:rsid w:val="5BA7DB18"/>
    <w:rsid w:val="5BA80671"/>
    <w:rsid w:val="5BA92423"/>
    <w:rsid w:val="5BA93BAC"/>
    <w:rsid w:val="5BAA3690"/>
    <w:rsid w:val="5BABAC00"/>
    <w:rsid w:val="5BAD0B5C"/>
    <w:rsid w:val="5BAD1EF6"/>
    <w:rsid w:val="5BAD735E"/>
    <w:rsid w:val="5BAD821C"/>
    <w:rsid w:val="5BAE0432"/>
    <w:rsid w:val="5BAE4A65"/>
    <w:rsid w:val="5BAE8CB0"/>
    <w:rsid w:val="5BAF4BBF"/>
    <w:rsid w:val="5BAF6439"/>
    <w:rsid w:val="5BAF72D9"/>
    <w:rsid w:val="5BAF80E8"/>
    <w:rsid w:val="5BAFA121"/>
    <w:rsid w:val="5BB0A37D"/>
    <w:rsid w:val="5BB23629"/>
    <w:rsid w:val="5BB36D15"/>
    <w:rsid w:val="5BB37418"/>
    <w:rsid w:val="5BB43888"/>
    <w:rsid w:val="5BB447E3"/>
    <w:rsid w:val="5BB5A13C"/>
    <w:rsid w:val="5BB5AABF"/>
    <w:rsid w:val="5BB65A98"/>
    <w:rsid w:val="5BB67BCB"/>
    <w:rsid w:val="5BB688DD"/>
    <w:rsid w:val="5BB7E3C9"/>
    <w:rsid w:val="5BB7F6FD"/>
    <w:rsid w:val="5BB84693"/>
    <w:rsid w:val="5BB91053"/>
    <w:rsid w:val="5BB97D6F"/>
    <w:rsid w:val="5BBA8261"/>
    <w:rsid w:val="5BBAA3AD"/>
    <w:rsid w:val="5BBB1986"/>
    <w:rsid w:val="5BBBE7BA"/>
    <w:rsid w:val="5BBC800A"/>
    <w:rsid w:val="5BBCD84B"/>
    <w:rsid w:val="5BBD53B1"/>
    <w:rsid w:val="5BBDA11A"/>
    <w:rsid w:val="5BBE06E9"/>
    <w:rsid w:val="5BBE3A27"/>
    <w:rsid w:val="5BBEB0CF"/>
    <w:rsid w:val="5BBED18B"/>
    <w:rsid w:val="5BBFEAB3"/>
    <w:rsid w:val="5BC13AE4"/>
    <w:rsid w:val="5BC16ED6"/>
    <w:rsid w:val="5BC3705C"/>
    <w:rsid w:val="5BC3A72D"/>
    <w:rsid w:val="5BC3BA7F"/>
    <w:rsid w:val="5BC40F52"/>
    <w:rsid w:val="5BC45CEE"/>
    <w:rsid w:val="5BC4610A"/>
    <w:rsid w:val="5BC464A2"/>
    <w:rsid w:val="5BC4C700"/>
    <w:rsid w:val="5BC5BA04"/>
    <w:rsid w:val="5BC5E9E5"/>
    <w:rsid w:val="5BC619DE"/>
    <w:rsid w:val="5BC679F4"/>
    <w:rsid w:val="5BC722E4"/>
    <w:rsid w:val="5BC83484"/>
    <w:rsid w:val="5BC9F530"/>
    <w:rsid w:val="5BCA12D4"/>
    <w:rsid w:val="5BCBFF1C"/>
    <w:rsid w:val="5BCC0B9C"/>
    <w:rsid w:val="5BCC1A52"/>
    <w:rsid w:val="5BCE56EB"/>
    <w:rsid w:val="5BCE5A4A"/>
    <w:rsid w:val="5BCEB133"/>
    <w:rsid w:val="5BCF79F0"/>
    <w:rsid w:val="5BCFF845"/>
    <w:rsid w:val="5BD046C1"/>
    <w:rsid w:val="5BD09514"/>
    <w:rsid w:val="5BD1F64B"/>
    <w:rsid w:val="5BD29017"/>
    <w:rsid w:val="5BD3891B"/>
    <w:rsid w:val="5BD3E87B"/>
    <w:rsid w:val="5BD4A861"/>
    <w:rsid w:val="5BD4FD0B"/>
    <w:rsid w:val="5BD58075"/>
    <w:rsid w:val="5BD59796"/>
    <w:rsid w:val="5BD5FA8C"/>
    <w:rsid w:val="5BD661C6"/>
    <w:rsid w:val="5BD6AD8D"/>
    <w:rsid w:val="5BD77C36"/>
    <w:rsid w:val="5BD7E990"/>
    <w:rsid w:val="5BD86A59"/>
    <w:rsid w:val="5BD87829"/>
    <w:rsid w:val="5BD87D9C"/>
    <w:rsid w:val="5BD8BE64"/>
    <w:rsid w:val="5BD9F273"/>
    <w:rsid w:val="5BDB1DDB"/>
    <w:rsid w:val="5BDBB983"/>
    <w:rsid w:val="5BDC1A50"/>
    <w:rsid w:val="5BDD6E3B"/>
    <w:rsid w:val="5BDE1A57"/>
    <w:rsid w:val="5BDE7BBB"/>
    <w:rsid w:val="5BDED905"/>
    <w:rsid w:val="5BE008F2"/>
    <w:rsid w:val="5BE0F705"/>
    <w:rsid w:val="5BE14DAA"/>
    <w:rsid w:val="5BE23950"/>
    <w:rsid w:val="5BE296E5"/>
    <w:rsid w:val="5BE32B35"/>
    <w:rsid w:val="5BE34323"/>
    <w:rsid w:val="5BE4E365"/>
    <w:rsid w:val="5BE640FE"/>
    <w:rsid w:val="5BE667EB"/>
    <w:rsid w:val="5BE6B440"/>
    <w:rsid w:val="5BE6E728"/>
    <w:rsid w:val="5BE6EC85"/>
    <w:rsid w:val="5BE6F83B"/>
    <w:rsid w:val="5BE73986"/>
    <w:rsid w:val="5BE76477"/>
    <w:rsid w:val="5BE83B8E"/>
    <w:rsid w:val="5BE85091"/>
    <w:rsid w:val="5BE8E27D"/>
    <w:rsid w:val="5BE91EF4"/>
    <w:rsid w:val="5BE936D6"/>
    <w:rsid w:val="5BE955B3"/>
    <w:rsid w:val="5BEA138A"/>
    <w:rsid w:val="5BEA3150"/>
    <w:rsid w:val="5BEAA01E"/>
    <w:rsid w:val="5BEB58ED"/>
    <w:rsid w:val="5BEBC152"/>
    <w:rsid w:val="5BEC2BDA"/>
    <w:rsid w:val="5BEC75AE"/>
    <w:rsid w:val="5BECD8BC"/>
    <w:rsid w:val="5BEDEFB5"/>
    <w:rsid w:val="5BEE4B3E"/>
    <w:rsid w:val="5BEF55C4"/>
    <w:rsid w:val="5BF09391"/>
    <w:rsid w:val="5BF0A764"/>
    <w:rsid w:val="5BF0AF4F"/>
    <w:rsid w:val="5BF0E884"/>
    <w:rsid w:val="5BF132DD"/>
    <w:rsid w:val="5BF185E4"/>
    <w:rsid w:val="5BF2482E"/>
    <w:rsid w:val="5BF2778B"/>
    <w:rsid w:val="5BF4FEAA"/>
    <w:rsid w:val="5BF5D55F"/>
    <w:rsid w:val="5BF61154"/>
    <w:rsid w:val="5BF6C546"/>
    <w:rsid w:val="5BF7D0FD"/>
    <w:rsid w:val="5BFA2ECE"/>
    <w:rsid w:val="5BFACCE3"/>
    <w:rsid w:val="5BFBA061"/>
    <w:rsid w:val="5BFBD4D0"/>
    <w:rsid w:val="5BFC5B44"/>
    <w:rsid w:val="5BFC81CB"/>
    <w:rsid w:val="5BFC8AA2"/>
    <w:rsid w:val="5BFDB8B9"/>
    <w:rsid w:val="5BFDEB52"/>
    <w:rsid w:val="5BFF018E"/>
    <w:rsid w:val="5BFF0A54"/>
    <w:rsid w:val="5BFF246D"/>
    <w:rsid w:val="5BFF2897"/>
    <w:rsid w:val="5BFF3316"/>
    <w:rsid w:val="5BFFDCA5"/>
    <w:rsid w:val="5C000CDC"/>
    <w:rsid w:val="5C00876D"/>
    <w:rsid w:val="5C01338E"/>
    <w:rsid w:val="5C016BD2"/>
    <w:rsid w:val="5C018CF1"/>
    <w:rsid w:val="5C020CC7"/>
    <w:rsid w:val="5C03AAAE"/>
    <w:rsid w:val="5C0448AE"/>
    <w:rsid w:val="5C056762"/>
    <w:rsid w:val="5C0623BF"/>
    <w:rsid w:val="5C068AD8"/>
    <w:rsid w:val="5C08BD3F"/>
    <w:rsid w:val="5C08F399"/>
    <w:rsid w:val="5C090818"/>
    <w:rsid w:val="5C096847"/>
    <w:rsid w:val="5C0A8526"/>
    <w:rsid w:val="5C0A92BD"/>
    <w:rsid w:val="5C0ABDE8"/>
    <w:rsid w:val="5C0B7793"/>
    <w:rsid w:val="5C0BE6C4"/>
    <w:rsid w:val="5C0BED67"/>
    <w:rsid w:val="5C0C3D03"/>
    <w:rsid w:val="5C0E743C"/>
    <w:rsid w:val="5C0E86BC"/>
    <w:rsid w:val="5C0EAC2B"/>
    <w:rsid w:val="5C10A80E"/>
    <w:rsid w:val="5C116600"/>
    <w:rsid w:val="5C118000"/>
    <w:rsid w:val="5C11CBAA"/>
    <w:rsid w:val="5C12E350"/>
    <w:rsid w:val="5C133BC3"/>
    <w:rsid w:val="5C139C05"/>
    <w:rsid w:val="5C13BB59"/>
    <w:rsid w:val="5C13CC3B"/>
    <w:rsid w:val="5C144B5D"/>
    <w:rsid w:val="5C161471"/>
    <w:rsid w:val="5C1716BB"/>
    <w:rsid w:val="5C172629"/>
    <w:rsid w:val="5C173FEC"/>
    <w:rsid w:val="5C1790B1"/>
    <w:rsid w:val="5C182C21"/>
    <w:rsid w:val="5C18636F"/>
    <w:rsid w:val="5C1898CA"/>
    <w:rsid w:val="5C19044A"/>
    <w:rsid w:val="5C1A73CB"/>
    <w:rsid w:val="5C1B2244"/>
    <w:rsid w:val="5C1C3B3B"/>
    <w:rsid w:val="5C1C8D67"/>
    <w:rsid w:val="5C1CD5FD"/>
    <w:rsid w:val="5C1D050A"/>
    <w:rsid w:val="5C1DAA9F"/>
    <w:rsid w:val="5C1DE2EA"/>
    <w:rsid w:val="5C1EAC47"/>
    <w:rsid w:val="5C2026D3"/>
    <w:rsid w:val="5C212398"/>
    <w:rsid w:val="5C212A40"/>
    <w:rsid w:val="5C217647"/>
    <w:rsid w:val="5C222B15"/>
    <w:rsid w:val="5C230FFA"/>
    <w:rsid w:val="5C239BB8"/>
    <w:rsid w:val="5C23C809"/>
    <w:rsid w:val="5C251CB9"/>
    <w:rsid w:val="5C25A3DF"/>
    <w:rsid w:val="5C25D69E"/>
    <w:rsid w:val="5C25EFE9"/>
    <w:rsid w:val="5C2644EA"/>
    <w:rsid w:val="5C265CD3"/>
    <w:rsid w:val="5C26983E"/>
    <w:rsid w:val="5C269D53"/>
    <w:rsid w:val="5C270F5A"/>
    <w:rsid w:val="5C276DB2"/>
    <w:rsid w:val="5C29E537"/>
    <w:rsid w:val="5C29E908"/>
    <w:rsid w:val="5C2B5607"/>
    <w:rsid w:val="5C2B5EDF"/>
    <w:rsid w:val="5C2BD3B3"/>
    <w:rsid w:val="5C2BE864"/>
    <w:rsid w:val="5C2C94EC"/>
    <w:rsid w:val="5C2D0DC6"/>
    <w:rsid w:val="5C2D2F96"/>
    <w:rsid w:val="5C2D64F7"/>
    <w:rsid w:val="5C2E25F2"/>
    <w:rsid w:val="5C2E53D2"/>
    <w:rsid w:val="5C2FAB84"/>
    <w:rsid w:val="5C3114EF"/>
    <w:rsid w:val="5C330CCC"/>
    <w:rsid w:val="5C337122"/>
    <w:rsid w:val="5C33D1A6"/>
    <w:rsid w:val="5C347DE1"/>
    <w:rsid w:val="5C34B97D"/>
    <w:rsid w:val="5C34D08C"/>
    <w:rsid w:val="5C357A92"/>
    <w:rsid w:val="5C35F87B"/>
    <w:rsid w:val="5C371E11"/>
    <w:rsid w:val="5C3763BA"/>
    <w:rsid w:val="5C3767AA"/>
    <w:rsid w:val="5C37A77A"/>
    <w:rsid w:val="5C38080B"/>
    <w:rsid w:val="5C3966BF"/>
    <w:rsid w:val="5C396C24"/>
    <w:rsid w:val="5C397794"/>
    <w:rsid w:val="5C39FE09"/>
    <w:rsid w:val="5C3A4C31"/>
    <w:rsid w:val="5C3C258C"/>
    <w:rsid w:val="5C3C28A0"/>
    <w:rsid w:val="5C3DA6B9"/>
    <w:rsid w:val="5C3DC955"/>
    <w:rsid w:val="5C3DEEDB"/>
    <w:rsid w:val="5C3F566C"/>
    <w:rsid w:val="5C4095F8"/>
    <w:rsid w:val="5C41E415"/>
    <w:rsid w:val="5C426A05"/>
    <w:rsid w:val="5C42CA90"/>
    <w:rsid w:val="5C431E2B"/>
    <w:rsid w:val="5C43601B"/>
    <w:rsid w:val="5C437873"/>
    <w:rsid w:val="5C44ACBF"/>
    <w:rsid w:val="5C4775ED"/>
    <w:rsid w:val="5C47C803"/>
    <w:rsid w:val="5C47CEDF"/>
    <w:rsid w:val="5C48951E"/>
    <w:rsid w:val="5C48A684"/>
    <w:rsid w:val="5C48D668"/>
    <w:rsid w:val="5C4938C2"/>
    <w:rsid w:val="5C4BD5BD"/>
    <w:rsid w:val="5C4C23DA"/>
    <w:rsid w:val="5C4C4781"/>
    <w:rsid w:val="5C4CEDED"/>
    <w:rsid w:val="5C4D28A9"/>
    <w:rsid w:val="5C4D8B28"/>
    <w:rsid w:val="5C4D90D0"/>
    <w:rsid w:val="5C4ED0BC"/>
    <w:rsid w:val="5C4EE1B3"/>
    <w:rsid w:val="5C501910"/>
    <w:rsid w:val="5C50486D"/>
    <w:rsid w:val="5C5108A2"/>
    <w:rsid w:val="5C522E97"/>
    <w:rsid w:val="5C538CA0"/>
    <w:rsid w:val="5C53E221"/>
    <w:rsid w:val="5C55CA20"/>
    <w:rsid w:val="5C55CAB0"/>
    <w:rsid w:val="5C571286"/>
    <w:rsid w:val="5C57292D"/>
    <w:rsid w:val="5C57A50A"/>
    <w:rsid w:val="5C581B0D"/>
    <w:rsid w:val="5C58A225"/>
    <w:rsid w:val="5C5A0DCE"/>
    <w:rsid w:val="5C5C002C"/>
    <w:rsid w:val="5C5C0543"/>
    <w:rsid w:val="5C5D10CF"/>
    <w:rsid w:val="5C5D4C94"/>
    <w:rsid w:val="5C5D9C49"/>
    <w:rsid w:val="5C5DBDD0"/>
    <w:rsid w:val="5C5E42D5"/>
    <w:rsid w:val="5C5E57B1"/>
    <w:rsid w:val="5C5E90BF"/>
    <w:rsid w:val="5C5EB771"/>
    <w:rsid w:val="5C5F7C26"/>
    <w:rsid w:val="5C5FB145"/>
    <w:rsid w:val="5C60060E"/>
    <w:rsid w:val="5C607A1C"/>
    <w:rsid w:val="5C60FCA0"/>
    <w:rsid w:val="5C624825"/>
    <w:rsid w:val="5C63007A"/>
    <w:rsid w:val="5C641B50"/>
    <w:rsid w:val="5C64387A"/>
    <w:rsid w:val="5C649575"/>
    <w:rsid w:val="5C64A2EE"/>
    <w:rsid w:val="5C65D911"/>
    <w:rsid w:val="5C665523"/>
    <w:rsid w:val="5C665B0C"/>
    <w:rsid w:val="5C6664E6"/>
    <w:rsid w:val="5C676D3F"/>
    <w:rsid w:val="5C681C03"/>
    <w:rsid w:val="5C68527C"/>
    <w:rsid w:val="5C68F4B6"/>
    <w:rsid w:val="5C694D30"/>
    <w:rsid w:val="5C69A93E"/>
    <w:rsid w:val="5C69EA1B"/>
    <w:rsid w:val="5C69F123"/>
    <w:rsid w:val="5C6A3FE0"/>
    <w:rsid w:val="5C6BACE3"/>
    <w:rsid w:val="5C6CAC44"/>
    <w:rsid w:val="5C6D7834"/>
    <w:rsid w:val="5C6E4342"/>
    <w:rsid w:val="5C6EA6C6"/>
    <w:rsid w:val="5C6ED8B5"/>
    <w:rsid w:val="5C6F7FD5"/>
    <w:rsid w:val="5C6FCA64"/>
    <w:rsid w:val="5C6FCBCD"/>
    <w:rsid w:val="5C6FE620"/>
    <w:rsid w:val="5C7006D4"/>
    <w:rsid w:val="5C70F188"/>
    <w:rsid w:val="5C712566"/>
    <w:rsid w:val="5C721D3C"/>
    <w:rsid w:val="5C72AE17"/>
    <w:rsid w:val="5C734DA3"/>
    <w:rsid w:val="5C74104C"/>
    <w:rsid w:val="5C745AD7"/>
    <w:rsid w:val="5C754975"/>
    <w:rsid w:val="5C76DC85"/>
    <w:rsid w:val="5C776EAC"/>
    <w:rsid w:val="5C78AA1E"/>
    <w:rsid w:val="5C79F895"/>
    <w:rsid w:val="5C7A710A"/>
    <w:rsid w:val="5C7AB52C"/>
    <w:rsid w:val="5C7B5A75"/>
    <w:rsid w:val="5C7C3471"/>
    <w:rsid w:val="5C7C6219"/>
    <w:rsid w:val="5C7C655D"/>
    <w:rsid w:val="5C7CF077"/>
    <w:rsid w:val="5C7D0737"/>
    <w:rsid w:val="5C7D9826"/>
    <w:rsid w:val="5C7E5099"/>
    <w:rsid w:val="5C7ECA7E"/>
    <w:rsid w:val="5C7F10C6"/>
    <w:rsid w:val="5C806A67"/>
    <w:rsid w:val="5C809305"/>
    <w:rsid w:val="5C80EEE3"/>
    <w:rsid w:val="5C828D5B"/>
    <w:rsid w:val="5C82BA06"/>
    <w:rsid w:val="5C8312D3"/>
    <w:rsid w:val="5C8343EA"/>
    <w:rsid w:val="5C836222"/>
    <w:rsid w:val="5C83C8E0"/>
    <w:rsid w:val="5C842F51"/>
    <w:rsid w:val="5C84D296"/>
    <w:rsid w:val="5C8677D4"/>
    <w:rsid w:val="5C880437"/>
    <w:rsid w:val="5C889D49"/>
    <w:rsid w:val="5C88EBBD"/>
    <w:rsid w:val="5C8A6A0F"/>
    <w:rsid w:val="5C8B628B"/>
    <w:rsid w:val="5C8BDC79"/>
    <w:rsid w:val="5C8C5018"/>
    <w:rsid w:val="5C8DB070"/>
    <w:rsid w:val="5C8F0CB6"/>
    <w:rsid w:val="5C8F521F"/>
    <w:rsid w:val="5C90168F"/>
    <w:rsid w:val="5C905B18"/>
    <w:rsid w:val="5C90BE4E"/>
    <w:rsid w:val="5C90EA10"/>
    <w:rsid w:val="5C917861"/>
    <w:rsid w:val="5C936573"/>
    <w:rsid w:val="5C942809"/>
    <w:rsid w:val="5C94461A"/>
    <w:rsid w:val="5C94C6FF"/>
    <w:rsid w:val="5C94F7FD"/>
    <w:rsid w:val="5C962465"/>
    <w:rsid w:val="5C962DFF"/>
    <w:rsid w:val="5C96329B"/>
    <w:rsid w:val="5C964F1B"/>
    <w:rsid w:val="5C9660BD"/>
    <w:rsid w:val="5C96CEA7"/>
    <w:rsid w:val="5C96D24D"/>
    <w:rsid w:val="5C96F2F7"/>
    <w:rsid w:val="5C970851"/>
    <w:rsid w:val="5C9735F5"/>
    <w:rsid w:val="5C978DF4"/>
    <w:rsid w:val="5C97972D"/>
    <w:rsid w:val="5C98C6EE"/>
    <w:rsid w:val="5C992801"/>
    <w:rsid w:val="5C9A37B9"/>
    <w:rsid w:val="5C9A86F1"/>
    <w:rsid w:val="5C9AF0AD"/>
    <w:rsid w:val="5C9B442B"/>
    <w:rsid w:val="5C9B49A9"/>
    <w:rsid w:val="5C9C343A"/>
    <w:rsid w:val="5C9C44EA"/>
    <w:rsid w:val="5C9D6D59"/>
    <w:rsid w:val="5C9DB0D6"/>
    <w:rsid w:val="5C9DC3E0"/>
    <w:rsid w:val="5C9E32C0"/>
    <w:rsid w:val="5C9EB128"/>
    <w:rsid w:val="5C9F6E07"/>
    <w:rsid w:val="5CA05EF3"/>
    <w:rsid w:val="5CA087BF"/>
    <w:rsid w:val="5CA0967B"/>
    <w:rsid w:val="5CA0B1F5"/>
    <w:rsid w:val="5CA0B469"/>
    <w:rsid w:val="5CA16CA4"/>
    <w:rsid w:val="5CA282F8"/>
    <w:rsid w:val="5CA2F8D2"/>
    <w:rsid w:val="5CA3BE9B"/>
    <w:rsid w:val="5CA400F4"/>
    <w:rsid w:val="5CA4949D"/>
    <w:rsid w:val="5CA5C830"/>
    <w:rsid w:val="5CA60D29"/>
    <w:rsid w:val="5CA66120"/>
    <w:rsid w:val="5CA78DC2"/>
    <w:rsid w:val="5CA8BEE1"/>
    <w:rsid w:val="5CA8E0B2"/>
    <w:rsid w:val="5CA94851"/>
    <w:rsid w:val="5CA9C3B9"/>
    <w:rsid w:val="5CAADB3C"/>
    <w:rsid w:val="5CAAFA90"/>
    <w:rsid w:val="5CAAFED1"/>
    <w:rsid w:val="5CAB6182"/>
    <w:rsid w:val="5CAC8858"/>
    <w:rsid w:val="5CAC99CC"/>
    <w:rsid w:val="5CAC9AE2"/>
    <w:rsid w:val="5CAD32AB"/>
    <w:rsid w:val="5CADA67A"/>
    <w:rsid w:val="5CADE3E6"/>
    <w:rsid w:val="5CAE7DC3"/>
    <w:rsid w:val="5CAFB1BB"/>
    <w:rsid w:val="5CB11D85"/>
    <w:rsid w:val="5CB20C08"/>
    <w:rsid w:val="5CB30F2A"/>
    <w:rsid w:val="5CB339D4"/>
    <w:rsid w:val="5CB4F7AB"/>
    <w:rsid w:val="5CB57041"/>
    <w:rsid w:val="5CB651D9"/>
    <w:rsid w:val="5CB8C397"/>
    <w:rsid w:val="5CB8C978"/>
    <w:rsid w:val="5CB91849"/>
    <w:rsid w:val="5CBA2578"/>
    <w:rsid w:val="5CBA50FA"/>
    <w:rsid w:val="5CBB09B7"/>
    <w:rsid w:val="5CBCD005"/>
    <w:rsid w:val="5CBE08DB"/>
    <w:rsid w:val="5CBE5382"/>
    <w:rsid w:val="5CBE6AB9"/>
    <w:rsid w:val="5CBFE3B8"/>
    <w:rsid w:val="5CC00501"/>
    <w:rsid w:val="5CC0B83D"/>
    <w:rsid w:val="5CC10FFD"/>
    <w:rsid w:val="5CC11A5C"/>
    <w:rsid w:val="5CC1AE83"/>
    <w:rsid w:val="5CC345AA"/>
    <w:rsid w:val="5CC3822C"/>
    <w:rsid w:val="5CC42D07"/>
    <w:rsid w:val="5CC4EDE6"/>
    <w:rsid w:val="5CC50550"/>
    <w:rsid w:val="5CC5A9BE"/>
    <w:rsid w:val="5CC60EE9"/>
    <w:rsid w:val="5CC615B9"/>
    <w:rsid w:val="5CC63889"/>
    <w:rsid w:val="5CC66E2B"/>
    <w:rsid w:val="5CC77CFD"/>
    <w:rsid w:val="5CC7926E"/>
    <w:rsid w:val="5CC8F22C"/>
    <w:rsid w:val="5CCA6A1D"/>
    <w:rsid w:val="5CCA8B14"/>
    <w:rsid w:val="5CCA9374"/>
    <w:rsid w:val="5CCB88EA"/>
    <w:rsid w:val="5CCBD642"/>
    <w:rsid w:val="5CCCF582"/>
    <w:rsid w:val="5CCD11A0"/>
    <w:rsid w:val="5CCDA8B0"/>
    <w:rsid w:val="5CCF0447"/>
    <w:rsid w:val="5CD08EB6"/>
    <w:rsid w:val="5CD095B0"/>
    <w:rsid w:val="5CD328A6"/>
    <w:rsid w:val="5CD43201"/>
    <w:rsid w:val="5CD43402"/>
    <w:rsid w:val="5CD4AB49"/>
    <w:rsid w:val="5CD53E15"/>
    <w:rsid w:val="5CD5A793"/>
    <w:rsid w:val="5CD800C1"/>
    <w:rsid w:val="5CD88465"/>
    <w:rsid w:val="5CD8F3EF"/>
    <w:rsid w:val="5CDAE9D9"/>
    <w:rsid w:val="5CDB93C7"/>
    <w:rsid w:val="5CDC34EE"/>
    <w:rsid w:val="5CDC78D6"/>
    <w:rsid w:val="5CDD09E3"/>
    <w:rsid w:val="5CDD4E2A"/>
    <w:rsid w:val="5CDD50F9"/>
    <w:rsid w:val="5CDEF0F6"/>
    <w:rsid w:val="5CE0E0C0"/>
    <w:rsid w:val="5CE116D8"/>
    <w:rsid w:val="5CE1C5EF"/>
    <w:rsid w:val="5CE1CCDD"/>
    <w:rsid w:val="5CE2002C"/>
    <w:rsid w:val="5CE28905"/>
    <w:rsid w:val="5CE3FFB9"/>
    <w:rsid w:val="5CE42154"/>
    <w:rsid w:val="5CE432DB"/>
    <w:rsid w:val="5CE4A97D"/>
    <w:rsid w:val="5CE4ADED"/>
    <w:rsid w:val="5CE509E3"/>
    <w:rsid w:val="5CE5C1DA"/>
    <w:rsid w:val="5CE63C93"/>
    <w:rsid w:val="5CE63F52"/>
    <w:rsid w:val="5CE680C3"/>
    <w:rsid w:val="5CE706E4"/>
    <w:rsid w:val="5CE7277C"/>
    <w:rsid w:val="5CE79BAB"/>
    <w:rsid w:val="5CE7C09C"/>
    <w:rsid w:val="5CE7C520"/>
    <w:rsid w:val="5CE7DDDF"/>
    <w:rsid w:val="5CE7F659"/>
    <w:rsid w:val="5CE8A58B"/>
    <w:rsid w:val="5CE90463"/>
    <w:rsid w:val="5CE99D8D"/>
    <w:rsid w:val="5CE9B964"/>
    <w:rsid w:val="5CE9D0B2"/>
    <w:rsid w:val="5CEA6015"/>
    <w:rsid w:val="5CEBC335"/>
    <w:rsid w:val="5CECEC10"/>
    <w:rsid w:val="5CECF133"/>
    <w:rsid w:val="5CED6BFE"/>
    <w:rsid w:val="5CED71FF"/>
    <w:rsid w:val="5CEEDD09"/>
    <w:rsid w:val="5CEF89A7"/>
    <w:rsid w:val="5CF0BA33"/>
    <w:rsid w:val="5CF162F3"/>
    <w:rsid w:val="5CF1804A"/>
    <w:rsid w:val="5CF25DD0"/>
    <w:rsid w:val="5CF2FFF7"/>
    <w:rsid w:val="5CF377E8"/>
    <w:rsid w:val="5CF38816"/>
    <w:rsid w:val="5CF3EEAE"/>
    <w:rsid w:val="5CF48C8A"/>
    <w:rsid w:val="5CF4A2C1"/>
    <w:rsid w:val="5CF50881"/>
    <w:rsid w:val="5CF54591"/>
    <w:rsid w:val="5CF551B1"/>
    <w:rsid w:val="5CF6699F"/>
    <w:rsid w:val="5CF6BB41"/>
    <w:rsid w:val="5CF6DFB7"/>
    <w:rsid w:val="5CF73773"/>
    <w:rsid w:val="5CF78799"/>
    <w:rsid w:val="5CF7ADF3"/>
    <w:rsid w:val="5CF8C9B0"/>
    <w:rsid w:val="5CF90A24"/>
    <w:rsid w:val="5CF918D1"/>
    <w:rsid w:val="5CF92A70"/>
    <w:rsid w:val="5CFA38C9"/>
    <w:rsid w:val="5CFA51C7"/>
    <w:rsid w:val="5CFAB57E"/>
    <w:rsid w:val="5CFB7BC7"/>
    <w:rsid w:val="5CFBEB5A"/>
    <w:rsid w:val="5CFCF294"/>
    <w:rsid w:val="5CFD34BA"/>
    <w:rsid w:val="5CFD35B2"/>
    <w:rsid w:val="5CFDFC30"/>
    <w:rsid w:val="5CFEC407"/>
    <w:rsid w:val="5CFF535C"/>
    <w:rsid w:val="5CFFD9D5"/>
    <w:rsid w:val="5CFFF482"/>
    <w:rsid w:val="5D00CAFF"/>
    <w:rsid w:val="5D014124"/>
    <w:rsid w:val="5D014AAD"/>
    <w:rsid w:val="5D016964"/>
    <w:rsid w:val="5D0192B5"/>
    <w:rsid w:val="5D021C48"/>
    <w:rsid w:val="5D033701"/>
    <w:rsid w:val="5D04DCE9"/>
    <w:rsid w:val="5D0827E8"/>
    <w:rsid w:val="5D0946E9"/>
    <w:rsid w:val="5D09D128"/>
    <w:rsid w:val="5D0A0E58"/>
    <w:rsid w:val="5D0AA100"/>
    <w:rsid w:val="5D0B52C3"/>
    <w:rsid w:val="5D0B8E0A"/>
    <w:rsid w:val="5D0C3C08"/>
    <w:rsid w:val="5D0C7F40"/>
    <w:rsid w:val="5D0CAA8D"/>
    <w:rsid w:val="5D0DE347"/>
    <w:rsid w:val="5D0E88BF"/>
    <w:rsid w:val="5D0F3625"/>
    <w:rsid w:val="5D111D09"/>
    <w:rsid w:val="5D1181BF"/>
    <w:rsid w:val="5D13D7A3"/>
    <w:rsid w:val="5D1414F8"/>
    <w:rsid w:val="5D142BD9"/>
    <w:rsid w:val="5D14738F"/>
    <w:rsid w:val="5D1531A7"/>
    <w:rsid w:val="5D162E25"/>
    <w:rsid w:val="5D165A1C"/>
    <w:rsid w:val="5D1669BA"/>
    <w:rsid w:val="5D1680E3"/>
    <w:rsid w:val="5D17AC85"/>
    <w:rsid w:val="5D17C041"/>
    <w:rsid w:val="5D17CBC8"/>
    <w:rsid w:val="5D17CD66"/>
    <w:rsid w:val="5D19253A"/>
    <w:rsid w:val="5D199220"/>
    <w:rsid w:val="5D199574"/>
    <w:rsid w:val="5D19A9CA"/>
    <w:rsid w:val="5D1A171D"/>
    <w:rsid w:val="5D1BD21E"/>
    <w:rsid w:val="5D1BECBB"/>
    <w:rsid w:val="5D1C7945"/>
    <w:rsid w:val="5D1C84CF"/>
    <w:rsid w:val="5D1CA399"/>
    <w:rsid w:val="5D1CDA0B"/>
    <w:rsid w:val="5D1D64EA"/>
    <w:rsid w:val="5D1ED143"/>
    <w:rsid w:val="5D1EEBE4"/>
    <w:rsid w:val="5D1F17F7"/>
    <w:rsid w:val="5D1F2292"/>
    <w:rsid w:val="5D1FE719"/>
    <w:rsid w:val="5D20684E"/>
    <w:rsid w:val="5D208642"/>
    <w:rsid w:val="5D2139FE"/>
    <w:rsid w:val="5D219B57"/>
    <w:rsid w:val="5D22DD6B"/>
    <w:rsid w:val="5D2347D0"/>
    <w:rsid w:val="5D2386B7"/>
    <w:rsid w:val="5D23F45E"/>
    <w:rsid w:val="5D24D5EF"/>
    <w:rsid w:val="5D25AFE8"/>
    <w:rsid w:val="5D2695FC"/>
    <w:rsid w:val="5D27065E"/>
    <w:rsid w:val="5D274354"/>
    <w:rsid w:val="5D276720"/>
    <w:rsid w:val="5D27EDCF"/>
    <w:rsid w:val="5D282FA2"/>
    <w:rsid w:val="5D28644E"/>
    <w:rsid w:val="5D2A490C"/>
    <w:rsid w:val="5D2B19CC"/>
    <w:rsid w:val="5D2BAE51"/>
    <w:rsid w:val="5D2BB1E0"/>
    <w:rsid w:val="5D2C2CCB"/>
    <w:rsid w:val="5D2CAECD"/>
    <w:rsid w:val="5D2CBD74"/>
    <w:rsid w:val="5D2D25E0"/>
    <w:rsid w:val="5D2DE630"/>
    <w:rsid w:val="5D2E13A3"/>
    <w:rsid w:val="5D2E3E67"/>
    <w:rsid w:val="5D2E9003"/>
    <w:rsid w:val="5D2EF1D9"/>
    <w:rsid w:val="5D2FB901"/>
    <w:rsid w:val="5D309BBD"/>
    <w:rsid w:val="5D332B83"/>
    <w:rsid w:val="5D340AB4"/>
    <w:rsid w:val="5D341997"/>
    <w:rsid w:val="5D346A8B"/>
    <w:rsid w:val="5D349A15"/>
    <w:rsid w:val="5D349F24"/>
    <w:rsid w:val="5D3504AE"/>
    <w:rsid w:val="5D35A38D"/>
    <w:rsid w:val="5D36791B"/>
    <w:rsid w:val="5D368D2E"/>
    <w:rsid w:val="5D36D6EE"/>
    <w:rsid w:val="5D39CE16"/>
    <w:rsid w:val="5D3B3C60"/>
    <w:rsid w:val="5D3BB3A7"/>
    <w:rsid w:val="5D3BBED8"/>
    <w:rsid w:val="5D3C2FF1"/>
    <w:rsid w:val="5D3CAFF3"/>
    <w:rsid w:val="5D3CCB91"/>
    <w:rsid w:val="5D3D6DF6"/>
    <w:rsid w:val="5D3DC93A"/>
    <w:rsid w:val="5D402C1C"/>
    <w:rsid w:val="5D407D8A"/>
    <w:rsid w:val="5D40E502"/>
    <w:rsid w:val="5D410571"/>
    <w:rsid w:val="5D41A5FF"/>
    <w:rsid w:val="5D427BFC"/>
    <w:rsid w:val="5D436EC2"/>
    <w:rsid w:val="5D438539"/>
    <w:rsid w:val="5D43992F"/>
    <w:rsid w:val="5D43BB3F"/>
    <w:rsid w:val="5D443299"/>
    <w:rsid w:val="5D444F3A"/>
    <w:rsid w:val="5D44D65B"/>
    <w:rsid w:val="5D4599B6"/>
    <w:rsid w:val="5D45A6DD"/>
    <w:rsid w:val="5D46CBB7"/>
    <w:rsid w:val="5D474632"/>
    <w:rsid w:val="5D47AD37"/>
    <w:rsid w:val="5D47BDF6"/>
    <w:rsid w:val="5D48343C"/>
    <w:rsid w:val="5D48B31D"/>
    <w:rsid w:val="5D49E8B9"/>
    <w:rsid w:val="5D49FABA"/>
    <w:rsid w:val="5D4B0AB7"/>
    <w:rsid w:val="5D4E2267"/>
    <w:rsid w:val="5D4E8298"/>
    <w:rsid w:val="5D4F76A5"/>
    <w:rsid w:val="5D4F7BA2"/>
    <w:rsid w:val="5D506AE2"/>
    <w:rsid w:val="5D506CF7"/>
    <w:rsid w:val="5D5249EC"/>
    <w:rsid w:val="5D52AA71"/>
    <w:rsid w:val="5D52F46E"/>
    <w:rsid w:val="5D5304C5"/>
    <w:rsid w:val="5D541BC9"/>
    <w:rsid w:val="5D5480AA"/>
    <w:rsid w:val="5D548B52"/>
    <w:rsid w:val="5D548C3D"/>
    <w:rsid w:val="5D5527F3"/>
    <w:rsid w:val="5D559FDA"/>
    <w:rsid w:val="5D568617"/>
    <w:rsid w:val="5D5701DB"/>
    <w:rsid w:val="5D57C918"/>
    <w:rsid w:val="5D57FA10"/>
    <w:rsid w:val="5D587124"/>
    <w:rsid w:val="5D59E96F"/>
    <w:rsid w:val="5D5AFB33"/>
    <w:rsid w:val="5D5C66C7"/>
    <w:rsid w:val="5D5C8795"/>
    <w:rsid w:val="5D5C89F7"/>
    <w:rsid w:val="5D5C8F93"/>
    <w:rsid w:val="5D5CAC45"/>
    <w:rsid w:val="5D5D09E7"/>
    <w:rsid w:val="5D5D5D73"/>
    <w:rsid w:val="5D5DB66C"/>
    <w:rsid w:val="5D5ECE9F"/>
    <w:rsid w:val="5D5F4899"/>
    <w:rsid w:val="5D5F779E"/>
    <w:rsid w:val="5D5FB37D"/>
    <w:rsid w:val="5D60241E"/>
    <w:rsid w:val="5D605FD7"/>
    <w:rsid w:val="5D613B06"/>
    <w:rsid w:val="5D618E9D"/>
    <w:rsid w:val="5D61F526"/>
    <w:rsid w:val="5D6257E8"/>
    <w:rsid w:val="5D6291DB"/>
    <w:rsid w:val="5D637057"/>
    <w:rsid w:val="5D637558"/>
    <w:rsid w:val="5D645A34"/>
    <w:rsid w:val="5D64CE35"/>
    <w:rsid w:val="5D650E10"/>
    <w:rsid w:val="5D651E4E"/>
    <w:rsid w:val="5D656ED6"/>
    <w:rsid w:val="5D666E2E"/>
    <w:rsid w:val="5D67042B"/>
    <w:rsid w:val="5D675B51"/>
    <w:rsid w:val="5D67833A"/>
    <w:rsid w:val="5D682FA6"/>
    <w:rsid w:val="5D685361"/>
    <w:rsid w:val="5D686746"/>
    <w:rsid w:val="5D689A4B"/>
    <w:rsid w:val="5D68F460"/>
    <w:rsid w:val="5D69C60E"/>
    <w:rsid w:val="5D6A5C8D"/>
    <w:rsid w:val="5D6AF94F"/>
    <w:rsid w:val="5D6C1FB5"/>
    <w:rsid w:val="5D6C59A8"/>
    <w:rsid w:val="5D6D3FD0"/>
    <w:rsid w:val="5D6D8845"/>
    <w:rsid w:val="5D706044"/>
    <w:rsid w:val="5D706227"/>
    <w:rsid w:val="5D70891D"/>
    <w:rsid w:val="5D709696"/>
    <w:rsid w:val="5D70C2D3"/>
    <w:rsid w:val="5D718132"/>
    <w:rsid w:val="5D71C11A"/>
    <w:rsid w:val="5D71F467"/>
    <w:rsid w:val="5D758343"/>
    <w:rsid w:val="5D75EAEA"/>
    <w:rsid w:val="5D768301"/>
    <w:rsid w:val="5D76F506"/>
    <w:rsid w:val="5D776237"/>
    <w:rsid w:val="5D779437"/>
    <w:rsid w:val="5D78C1B2"/>
    <w:rsid w:val="5D795EA0"/>
    <w:rsid w:val="5D799A54"/>
    <w:rsid w:val="5D7A11DB"/>
    <w:rsid w:val="5D7A4C1C"/>
    <w:rsid w:val="5D7B051D"/>
    <w:rsid w:val="5D7D2FA7"/>
    <w:rsid w:val="5D7DE052"/>
    <w:rsid w:val="5D7E0FFC"/>
    <w:rsid w:val="5D7E3B5A"/>
    <w:rsid w:val="5D7EDA2F"/>
    <w:rsid w:val="5D7F5D7B"/>
    <w:rsid w:val="5D801791"/>
    <w:rsid w:val="5D807190"/>
    <w:rsid w:val="5D8090A4"/>
    <w:rsid w:val="5D81F81B"/>
    <w:rsid w:val="5D820795"/>
    <w:rsid w:val="5D828D18"/>
    <w:rsid w:val="5D830ABF"/>
    <w:rsid w:val="5D830E9F"/>
    <w:rsid w:val="5D831F48"/>
    <w:rsid w:val="5D844D6F"/>
    <w:rsid w:val="5D846B63"/>
    <w:rsid w:val="5D859E15"/>
    <w:rsid w:val="5D876CFD"/>
    <w:rsid w:val="5D88AE7B"/>
    <w:rsid w:val="5D895590"/>
    <w:rsid w:val="5D89C579"/>
    <w:rsid w:val="5D8A3787"/>
    <w:rsid w:val="5D8B1718"/>
    <w:rsid w:val="5D8B3FF5"/>
    <w:rsid w:val="5D8BA6FE"/>
    <w:rsid w:val="5D8BBE90"/>
    <w:rsid w:val="5D8C2094"/>
    <w:rsid w:val="5D8C6C0F"/>
    <w:rsid w:val="5D8D9CB1"/>
    <w:rsid w:val="5D8EA57F"/>
    <w:rsid w:val="5D8EA9B8"/>
    <w:rsid w:val="5D8F00E1"/>
    <w:rsid w:val="5D8F640C"/>
    <w:rsid w:val="5D90F1F1"/>
    <w:rsid w:val="5D912CA4"/>
    <w:rsid w:val="5D9167CA"/>
    <w:rsid w:val="5D92135D"/>
    <w:rsid w:val="5D92947C"/>
    <w:rsid w:val="5D930F05"/>
    <w:rsid w:val="5D942290"/>
    <w:rsid w:val="5D948E9C"/>
    <w:rsid w:val="5D94D346"/>
    <w:rsid w:val="5D9513E2"/>
    <w:rsid w:val="5D954870"/>
    <w:rsid w:val="5D958FFD"/>
    <w:rsid w:val="5D961A06"/>
    <w:rsid w:val="5D9633ED"/>
    <w:rsid w:val="5D9659B2"/>
    <w:rsid w:val="5D979FCB"/>
    <w:rsid w:val="5D98228F"/>
    <w:rsid w:val="5D98A8CB"/>
    <w:rsid w:val="5D9991E5"/>
    <w:rsid w:val="5D9ABB7F"/>
    <w:rsid w:val="5D9AF966"/>
    <w:rsid w:val="5D9C6F78"/>
    <w:rsid w:val="5D9C94C8"/>
    <w:rsid w:val="5D9D3781"/>
    <w:rsid w:val="5D9D3891"/>
    <w:rsid w:val="5D9DDAF9"/>
    <w:rsid w:val="5D9F1D41"/>
    <w:rsid w:val="5D9F7BB0"/>
    <w:rsid w:val="5D9FE0BD"/>
    <w:rsid w:val="5D9FEABD"/>
    <w:rsid w:val="5D9FF447"/>
    <w:rsid w:val="5DA06FCA"/>
    <w:rsid w:val="5DA08CF4"/>
    <w:rsid w:val="5DA1A22B"/>
    <w:rsid w:val="5DA65242"/>
    <w:rsid w:val="5DA70E2C"/>
    <w:rsid w:val="5DA753EA"/>
    <w:rsid w:val="5DA88B12"/>
    <w:rsid w:val="5DAAEFF9"/>
    <w:rsid w:val="5DAB90BC"/>
    <w:rsid w:val="5DABCB6B"/>
    <w:rsid w:val="5DABD1CC"/>
    <w:rsid w:val="5DAC0456"/>
    <w:rsid w:val="5DAC786F"/>
    <w:rsid w:val="5DACBB6F"/>
    <w:rsid w:val="5DAD047E"/>
    <w:rsid w:val="5DAE0EEE"/>
    <w:rsid w:val="5DAEB6EE"/>
    <w:rsid w:val="5DAED9D2"/>
    <w:rsid w:val="5DAF2D99"/>
    <w:rsid w:val="5DAFB55C"/>
    <w:rsid w:val="5DAFD3C0"/>
    <w:rsid w:val="5DAFFE56"/>
    <w:rsid w:val="5DB0A122"/>
    <w:rsid w:val="5DB0BF58"/>
    <w:rsid w:val="5DB12F65"/>
    <w:rsid w:val="5DB15ABD"/>
    <w:rsid w:val="5DB1C081"/>
    <w:rsid w:val="5DB20B42"/>
    <w:rsid w:val="5DB2D60B"/>
    <w:rsid w:val="5DB3E4F5"/>
    <w:rsid w:val="5DB54B9B"/>
    <w:rsid w:val="5DB563C6"/>
    <w:rsid w:val="5DB58A9B"/>
    <w:rsid w:val="5DB5C613"/>
    <w:rsid w:val="5DB5E9B2"/>
    <w:rsid w:val="5DB63E6F"/>
    <w:rsid w:val="5DB69848"/>
    <w:rsid w:val="5DB79355"/>
    <w:rsid w:val="5DB806B5"/>
    <w:rsid w:val="5DB8E85C"/>
    <w:rsid w:val="5DB993A2"/>
    <w:rsid w:val="5DBA09EB"/>
    <w:rsid w:val="5DBA5A20"/>
    <w:rsid w:val="5DBA5BFE"/>
    <w:rsid w:val="5DBABF83"/>
    <w:rsid w:val="5DBBF245"/>
    <w:rsid w:val="5DBC6CDA"/>
    <w:rsid w:val="5DBCC176"/>
    <w:rsid w:val="5DBCE298"/>
    <w:rsid w:val="5DBD70CA"/>
    <w:rsid w:val="5DBDABE5"/>
    <w:rsid w:val="5DBDF8EF"/>
    <w:rsid w:val="5DBE9C33"/>
    <w:rsid w:val="5DBEF732"/>
    <w:rsid w:val="5DBEFE66"/>
    <w:rsid w:val="5DBF13A7"/>
    <w:rsid w:val="5DBF4C31"/>
    <w:rsid w:val="5DBF4C75"/>
    <w:rsid w:val="5DBF51E7"/>
    <w:rsid w:val="5DBF77D6"/>
    <w:rsid w:val="5DBFA097"/>
    <w:rsid w:val="5DC0E29A"/>
    <w:rsid w:val="5DC265CC"/>
    <w:rsid w:val="5DC35DD5"/>
    <w:rsid w:val="5DC458E4"/>
    <w:rsid w:val="5DC5382F"/>
    <w:rsid w:val="5DC5AEE1"/>
    <w:rsid w:val="5DC6551A"/>
    <w:rsid w:val="5DC7D0C4"/>
    <w:rsid w:val="5DC8B4B2"/>
    <w:rsid w:val="5DC93A96"/>
    <w:rsid w:val="5DC99EEE"/>
    <w:rsid w:val="5DC9ADCF"/>
    <w:rsid w:val="5DCA5556"/>
    <w:rsid w:val="5DCA91C7"/>
    <w:rsid w:val="5DCABCCE"/>
    <w:rsid w:val="5DCAEE20"/>
    <w:rsid w:val="5DCB91F0"/>
    <w:rsid w:val="5DCF5AAD"/>
    <w:rsid w:val="5DCF8796"/>
    <w:rsid w:val="5DD07DD2"/>
    <w:rsid w:val="5DD13CA0"/>
    <w:rsid w:val="5DD19FF9"/>
    <w:rsid w:val="5DD1C8CE"/>
    <w:rsid w:val="5DD1E2EC"/>
    <w:rsid w:val="5DD25007"/>
    <w:rsid w:val="5DD31BDF"/>
    <w:rsid w:val="5DD3C6AA"/>
    <w:rsid w:val="5DD3F638"/>
    <w:rsid w:val="5DD475F6"/>
    <w:rsid w:val="5DD4CA8A"/>
    <w:rsid w:val="5DD4DDAA"/>
    <w:rsid w:val="5DD4E797"/>
    <w:rsid w:val="5DD541A1"/>
    <w:rsid w:val="5DD59772"/>
    <w:rsid w:val="5DD6C9EE"/>
    <w:rsid w:val="5DD78567"/>
    <w:rsid w:val="5DD7ABE3"/>
    <w:rsid w:val="5DD80790"/>
    <w:rsid w:val="5DD88F4B"/>
    <w:rsid w:val="5DD92733"/>
    <w:rsid w:val="5DD9B4AC"/>
    <w:rsid w:val="5DD9B57B"/>
    <w:rsid w:val="5DDA1063"/>
    <w:rsid w:val="5DDA27BB"/>
    <w:rsid w:val="5DDAB6D4"/>
    <w:rsid w:val="5DDB4E24"/>
    <w:rsid w:val="5DDC82B9"/>
    <w:rsid w:val="5DDCFBD4"/>
    <w:rsid w:val="5DDD6B65"/>
    <w:rsid w:val="5DDDA6EF"/>
    <w:rsid w:val="5DDDBCE5"/>
    <w:rsid w:val="5DDDE27D"/>
    <w:rsid w:val="5DDE3C90"/>
    <w:rsid w:val="5DDE8D7C"/>
    <w:rsid w:val="5DDEEF04"/>
    <w:rsid w:val="5DDF7BF5"/>
    <w:rsid w:val="5DE0BCEE"/>
    <w:rsid w:val="5DE14F29"/>
    <w:rsid w:val="5DE1AECA"/>
    <w:rsid w:val="5DE23260"/>
    <w:rsid w:val="5DE2B8BA"/>
    <w:rsid w:val="5DE3B42E"/>
    <w:rsid w:val="5DE4F879"/>
    <w:rsid w:val="5DE64E01"/>
    <w:rsid w:val="5DE7B3D5"/>
    <w:rsid w:val="5DE8BD94"/>
    <w:rsid w:val="5DE90171"/>
    <w:rsid w:val="5DE9A842"/>
    <w:rsid w:val="5DE9E1A7"/>
    <w:rsid w:val="5DEAA752"/>
    <w:rsid w:val="5DEABBD8"/>
    <w:rsid w:val="5DECE714"/>
    <w:rsid w:val="5DECECBA"/>
    <w:rsid w:val="5DED9EDC"/>
    <w:rsid w:val="5DEDB5A4"/>
    <w:rsid w:val="5DEE1924"/>
    <w:rsid w:val="5DEE5353"/>
    <w:rsid w:val="5DEEC213"/>
    <w:rsid w:val="5DEF238C"/>
    <w:rsid w:val="5DEF472A"/>
    <w:rsid w:val="5DF0779C"/>
    <w:rsid w:val="5DF1112F"/>
    <w:rsid w:val="5DF29B50"/>
    <w:rsid w:val="5DF2F884"/>
    <w:rsid w:val="5DF31CE2"/>
    <w:rsid w:val="5DF33F96"/>
    <w:rsid w:val="5DF3B8BB"/>
    <w:rsid w:val="5DF3BA93"/>
    <w:rsid w:val="5DF3FD55"/>
    <w:rsid w:val="5DF4B2C5"/>
    <w:rsid w:val="5DF4F2FE"/>
    <w:rsid w:val="5DF790CA"/>
    <w:rsid w:val="5DF84E7F"/>
    <w:rsid w:val="5DF99752"/>
    <w:rsid w:val="5DFA98C2"/>
    <w:rsid w:val="5DFAEAED"/>
    <w:rsid w:val="5DFB4277"/>
    <w:rsid w:val="5DFC33EC"/>
    <w:rsid w:val="5DFC6858"/>
    <w:rsid w:val="5DFCB51F"/>
    <w:rsid w:val="5DFCE063"/>
    <w:rsid w:val="5DFD4F61"/>
    <w:rsid w:val="5DFE144D"/>
    <w:rsid w:val="5DFE2301"/>
    <w:rsid w:val="5DFF6FDA"/>
    <w:rsid w:val="5DFF8052"/>
    <w:rsid w:val="5E00586A"/>
    <w:rsid w:val="5E0065D6"/>
    <w:rsid w:val="5E0104AB"/>
    <w:rsid w:val="5E03FD98"/>
    <w:rsid w:val="5E04E5A7"/>
    <w:rsid w:val="5E059F8D"/>
    <w:rsid w:val="5E05F010"/>
    <w:rsid w:val="5E06154E"/>
    <w:rsid w:val="5E0651B2"/>
    <w:rsid w:val="5E068A77"/>
    <w:rsid w:val="5E069BD3"/>
    <w:rsid w:val="5E072217"/>
    <w:rsid w:val="5E073847"/>
    <w:rsid w:val="5E078F6D"/>
    <w:rsid w:val="5E07F198"/>
    <w:rsid w:val="5E08BFB3"/>
    <w:rsid w:val="5E09EE33"/>
    <w:rsid w:val="5E0A1E9D"/>
    <w:rsid w:val="5E0ABC74"/>
    <w:rsid w:val="5E0D483D"/>
    <w:rsid w:val="5E0E34CE"/>
    <w:rsid w:val="5E0F069E"/>
    <w:rsid w:val="5E0F5651"/>
    <w:rsid w:val="5E0F8F85"/>
    <w:rsid w:val="5E0FEBE1"/>
    <w:rsid w:val="5E0FF1BB"/>
    <w:rsid w:val="5E111535"/>
    <w:rsid w:val="5E114AA5"/>
    <w:rsid w:val="5E11D875"/>
    <w:rsid w:val="5E12F600"/>
    <w:rsid w:val="5E1316F1"/>
    <w:rsid w:val="5E137FFB"/>
    <w:rsid w:val="5E143D42"/>
    <w:rsid w:val="5E1567D5"/>
    <w:rsid w:val="5E156C30"/>
    <w:rsid w:val="5E15C2D8"/>
    <w:rsid w:val="5E15E913"/>
    <w:rsid w:val="5E171989"/>
    <w:rsid w:val="5E19D79A"/>
    <w:rsid w:val="5E1B3CA2"/>
    <w:rsid w:val="5E1BC2DF"/>
    <w:rsid w:val="5E1C17F8"/>
    <w:rsid w:val="5E1D1596"/>
    <w:rsid w:val="5E1D2A0D"/>
    <w:rsid w:val="5E1D67A1"/>
    <w:rsid w:val="5E1DDC1B"/>
    <w:rsid w:val="5E1DFDAF"/>
    <w:rsid w:val="5E209A26"/>
    <w:rsid w:val="5E213FEC"/>
    <w:rsid w:val="5E21BAD1"/>
    <w:rsid w:val="5E22A0CD"/>
    <w:rsid w:val="5E22C2FB"/>
    <w:rsid w:val="5E22F21F"/>
    <w:rsid w:val="5E2311EC"/>
    <w:rsid w:val="5E23C152"/>
    <w:rsid w:val="5E23D498"/>
    <w:rsid w:val="5E242FC4"/>
    <w:rsid w:val="5E252982"/>
    <w:rsid w:val="5E25B36E"/>
    <w:rsid w:val="5E272D8A"/>
    <w:rsid w:val="5E29E61E"/>
    <w:rsid w:val="5E2A6527"/>
    <w:rsid w:val="5E2BCE9F"/>
    <w:rsid w:val="5E2C2FC4"/>
    <w:rsid w:val="5E2D87F5"/>
    <w:rsid w:val="5E2E1C4B"/>
    <w:rsid w:val="5E2EB61F"/>
    <w:rsid w:val="5E2FDEBE"/>
    <w:rsid w:val="5E30DE52"/>
    <w:rsid w:val="5E31BAF6"/>
    <w:rsid w:val="5E32B99D"/>
    <w:rsid w:val="5E32F56A"/>
    <w:rsid w:val="5E332EE9"/>
    <w:rsid w:val="5E33D0EA"/>
    <w:rsid w:val="5E341CD8"/>
    <w:rsid w:val="5E3467D4"/>
    <w:rsid w:val="5E359707"/>
    <w:rsid w:val="5E35D8F4"/>
    <w:rsid w:val="5E36F58C"/>
    <w:rsid w:val="5E371E45"/>
    <w:rsid w:val="5E37AFE1"/>
    <w:rsid w:val="5E383ABA"/>
    <w:rsid w:val="5E38EA42"/>
    <w:rsid w:val="5E398BBD"/>
    <w:rsid w:val="5E3A6C28"/>
    <w:rsid w:val="5E3AD4BB"/>
    <w:rsid w:val="5E3AEE70"/>
    <w:rsid w:val="5E3B16DC"/>
    <w:rsid w:val="5E3D5104"/>
    <w:rsid w:val="5E3D51D3"/>
    <w:rsid w:val="5E3E030D"/>
    <w:rsid w:val="5E3E21B5"/>
    <w:rsid w:val="5E3E37DE"/>
    <w:rsid w:val="5E3E3DA8"/>
    <w:rsid w:val="5E3E4232"/>
    <w:rsid w:val="5E401D4C"/>
    <w:rsid w:val="5E403D29"/>
    <w:rsid w:val="5E412232"/>
    <w:rsid w:val="5E412AFE"/>
    <w:rsid w:val="5E41682F"/>
    <w:rsid w:val="5E418A8A"/>
    <w:rsid w:val="5E41ED42"/>
    <w:rsid w:val="5E42275D"/>
    <w:rsid w:val="5E43AA81"/>
    <w:rsid w:val="5E442E69"/>
    <w:rsid w:val="5E444A97"/>
    <w:rsid w:val="5E452161"/>
    <w:rsid w:val="5E452DD6"/>
    <w:rsid w:val="5E45BB20"/>
    <w:rsid w:val="5E45BD6B"/>
    <w:rsid w:val="5E4665B5"/>
    <w:rsid w:val="5E4828CC"/>
    <w:rsid w:val="5E49593E"/>
    <w:rsid w:val="5E499CAE"/>
    <w:rsid w:val="5E49E946"/>
    <w:rsid w:val="5E4AF55B"/>
    <w:rsid w:val="5E4B03F5"/>
    <w:rsid w:val="5E4B3F08"/>
    <w:rsid w:val="5E4C90FC"/>
    <w:rsid w:val="5E4E05B6"/>
    <w:rsid w:val="5E4E07C1"/>
    <w:rsid w:val="5E4E24D6"/>
    <w:rsid w:val="5E4E432A"/>
    <w:rsid w:val="5E4EC0F9"/>
    <w:rsid w:val="5E4F75D1"/>
    <w:rsid w:val="5E50EFDD"/>
    <w:rsid w:val="5E519B87"/>
    <w:rsid w:val="5E525158"/>
    <w:rsid w:val="5E538952"/>
    <w:rsid w:val="5E55188A"/>
    <w:rsid w:val="5E551F84"/>
    <w:rsid w:val="5E56A224"/>
    <w:rsid w:val="5E5829B6"/>
    <w:rsid w:val="5E585788"/>
    <w:rsid w:val="5E5925F2"/>
    <w:rsid w:val="5E5952EC"/>
    <w:rsid w:val="5E5A058B"/>
    <w:rsid w:val="5E5A0C3D"/>
    <w:rsid w:val="5E5A4717"/>
    <w:rsid w:val="5E5E55A6"/>
    <w:rsid w:val="5E5F3FFF"/>
    <w:rsid w:val="5E5F6837"/>
    <w:rsid w:val="5E5F9D80"/>
    <w:rsid w:val="5E5FE62F"/>
    <w:rsid w:val="5E608264"/>
    <w:rsid w:val="5E615EBD"/>
    <w:rsid w:val="5E61F65E"/>
    <w:rsid w:val="5E620330"/>
    <w:rsid w:val="5E62D593"/>
    <w:rsid w:val="5E631619"/>
    <w:rsid w:val="5E6391BA"/>
    <w:rsid w:val="5E63CFF2"/>
    <w:rsid w:val="5E656B58"/>
    <w:rsid w:val="5E6643C6"/>
    <w:rsid w:val="5E6669B1"/>
    <w:rsid w:val="5E67287B"/>
    <w:rsid w:val="5E68098B"/>
    <w:rsid w:val="5E685CB8"/>
    <w:rsid w:val="5E687E56"/>
    <w:rsid w:val="5E69276C"/>
    <w:rsid w:val="5E69AFE3"/>
    <w:rsid w:val="5E69DD1F"/>
    <w:rsid w:val="5E69EC8E"/>
    <w:rsid w:val="5E6B6B38"/>
    <w:rsid w:val="5E6B867F"/>
    <w:rsid w:val="5E6C1F03"/>
    <w:rsid w:val="5E6C7F96"/>
    <w:rsid w:val="5E6C9974"/>
    <w:rsid w:val="5E6CA657"/>
    <w:rsid w:val="5E6CB322"/>
    <w:rsid w:val="5E6D0139"/>
    <w:rsid w:val="5E6D2F2F"/>
    <w:rsid w:val="5E6D5AB1"/>
    <w:rsid w:val="5E6F8A1E"/>
    <w:rsid w:val="5E704B10"/>
    <w:rsid w:val="5E705AE7"/>
    <w:rsid w:val="5E70A7A8"/>
    <w:rsid w:val="5E71516A"/>
    <w:rsid w:val="5E715C56"/>
    <w:rsid w:val="5E71DC0F"/>
    <w:rsid w:val="5E7302FC"/>
    <w:rsid w:val="5E737405"/>
    <w:rsid w:val="5E73E519"/>
    <w:rsid w:val="5E74079E"/>
    <w:rsid w:val="5E742584"/>
    <w:rsid w:val="5E74D05B"/>
    <w:rsid w:val="5E7635AF"/>
    <w:rsid w:val="5E766757"/>
    <w:rsid w:val="5E76A992"/>
    <w:rsid w:val="5E7792A2"/>
    <w:rsid w:val="5E782E58"/>
    <w:rsid w:val="5E78D869"/>
    <w:rsid w:val="5E795AF4"/>
    <w:rsid w:val="5E795E94"/>
    <w:rsid w:val="5E7A67A1"/>
    <w:rsid w:val="5E7AFB2D"/>
    <w:rsid w:val="5E7C33CD"/>
    <w:rsid w:val="5E7C43A5"/>
    <w:rsid w:val="5E7CE371"/>
    <w:rsid w:val="5E7D1B4E"/>
    <w:rsid w:val="5E7EB4E8"/>
    <w:rsid w:val="5E7F28C1"/>
    <w:rsid w:val="5E7F51DB"/>
    <w:rsid w:val="5E801D40"/>
    <w:rsid w:val="5E8021CB"/>
    <w:rsid w:val="5E80872D"/>
    <w:rsid w:val="5E80CBC0"/>
    <w:rsid w:val="5E810BE5"/>
    <w:rsid w:val="5E812326"/>
    <w:rsid w:val="5E813EA7"/>
    <w:rsid w:val="5E814B18"/>
    <w:rsid w:val="5E8278D6"/>
    <w:rsid w:val="5E828A45"/>
    <w:rsid w:val="5E830EB2"/>
    <w:rsid w:val="5E837B19"/>
    <w:rsid w:val="5E84ABE4"/>
    <w:rsid w:val="5E84E4A2"/>
    <w:rsid w:val="5E85771C"/>
    <w:rsid w:val="5E85E7A6"/>
    <w:rsid w:val="5E86651F"/>
    <w:rsid w:val="5E86917A"/>
    <w:rsid w:val="5E869468"/>
    <w:rsid w:val="5E86A025"/>
    <w:rsid w:val="5E871DF2"/>
    <w:rsid w:val="5E8807D6"/>
    <w:rsid w:val="5E8891B6"/>
    <w:rsid w:val="5E88989D"/>
    <w:rsid w:val="5E8A4578"/>
    <w:rsid w:val="5E8C0273"/>
    <w:rsid w:val="5E8C4AF4"/>
    <w:rsid w:val="5E8E9964"/>
    <w:rsid w:val="5E8EC712"/>
    <w:rsid w:val="5E8FD166"/>
    <w:rsid w:val="5E90CF8C"/>
    <w:rsid w:val="5E91361C"/>
    <w:rsid w:val="5E915067"/>
    <w:rsid w:val="5E928B94"/>
    <w:rsid w:val="5E9324B8"/>
    <w:rsid w:val="5E967613"/>
    <w:rsid w:val="5E96CC53"/>
    <w:rsid w:val="5E976FCB"/>
    <w:rsid w:val="5E982A5C"/>
    <w:rsid w:val="5E98A8BD"/>
    <w:rsid w:val="5E99D81B"/>
    <w:rsid w:val="5E9A5E70"/>
    <w:rsid w:val="5E9B57ED"/>
    <w:rsid w:val="5E9B689F"/>
    <w:rsid w:val="5E9B838E"/>
    <w:rsid w:val="5E9C356B"/>
    <w:rsid w:val="5E9CB17E"/>
    <w:rsid w:val="5E9D0131"/>
    <w:rsid w:val="5E9D1823"/>
    <w:rsid w:val="5E9DB167"/>
    <w:rsid w:val="5E9E48D6"/>
    <w:rsid w:val="5E9E64F6"/>
    <w:rsid w:val="5E9F98AD"/>
    <w:rsid w:val="5EA0074C"/>
    <w:rsid w:val="5EA057E9"/>
    <w:rsid w:val="5EA084CC"/>
    <w:rsid w:val="5EA18EA5"/>
    <w:rsid w:val="5EA27EE7"/>
    <w:rsid w:val="5EA28B88"/>
    <w:rsid w:val="5EA3B3C7"/>
    <w:rsid w:val="5EA3C022"/>
    <w:rsid w:val="5EA3C1B1"/>
    <w:rsid w:val="5EA4A290"/>
    <w:rsid w:val="5EA61FEE"/>
    <w:rsid w:val="5EA7533E"/>
    <w:rsid w:val="5EA8B864"/>
    <w:rsid w:val="5EA9A05C"/>
    <w:rsid w:val="5EA9A8B9"/>
    <w:rsid w:val="5EA9BBF6"/>
    <w:rsid w:val="5EA9F41A"/>
    <w:rsid w:val="5EAB6979"/>
    <w:rsid w:val="5EAB94E8"/>
    <w:rsid w:val="5EAD069B"/>
    <w:rsid w:val="5EAD2F3F"/>
    <w:rsid w:val="5EAD590F"/>
    <w:rsid w:val="5EAD7587"/>
    <w:rsid w:val="5EADB6CA"/>
    <w:rsid w:val="5EADE7E4"/>
    <w:rsid w:val="5EAEC338"/>
    <w:rsid w:val="5EAFC395"/>
    <w:rsid w:val="5EB0081F"/>
    <w:rsid w:val="5EB0AB0E"/>
    <w:rsid w:val="5EB30AF2"/>
    <w:rsid w:val="5EB3CC85"/>
    <w:rsid w:val="5EB50418"/>
    <w:rsid w:val="5EB669CB"/>
    <w:rsid w:val="5EB7A487"/>
    <w:rsid w:val="5EB92042"/>
    <w:rsid w:val="5EB97BC7"/>
    <w:rsid w:val="5EBA2D66"/>
    <w:rsid w:val="5EBA95AF"/>
    <w:rsid w:val="5EBAE7FA"/>
    <w:rsid w:val="5EBC609E"/>
    <w:rsid w:val="5EBD648E"/>
    <w:rsid w:val="5EBD80AB"/>
    <w:rsid w:val="5EBDC5F1"/>
    <w:rsid w:val="5EBDE3D0"/>
    <w:rsid w:val="5EBE40AF"/>
    <w:rsid w:val="5EBF4813"/>
    <w:rsid w:val="5EC07890"/>
    <w:rsid w:val="5EC155B8"/>
    <w:rsid w:val="5EC1E2E7"/>
    <w:rsid w:val="5EC2B201"/>
    <w:rsid w:val="5EC2E5D1"/>
    <w:rsid w:val="5EC3466A"/>
    <w:rsid w:val="5EC47C18"/>
    <w:rsid w:val="5EC4D936"/>
    <w:rsid w:val="5EC5048B"/>
    <w:rsid w:val="5EC62490"/>
    <w:rsid w:val="5EC7784F"/>
    <w:rsid w:val="5EC79CCB"/>
    <w:rsid w:val="5EC8A831"/>
    <w:rsid w:val="5EC9175B"/>
    <w:rsid w:val="5EC9A64E"/>
    <w:rsid w:val="5EC9EBC0"/>
    <w:rsid w:val="5ECAA727"/>
    <w:rsid w:val="5ECBF3FB"/>
    <w:rsid w:val="5ECBFA1A"/>
    <w:rsid w:val="5ECD4D34"/>
    <w:rsid w:val="5ECD5587"/>
    <w:rsid w:val="5ECD74C5"/>
    <w:rsid w:val="5ECDB657"/>
    <w:rsid w:val="5ECE4077"/>
    <w:rsid w:val="5ECE915C"/>
    <w:rsid w:val="5ECE96DD"/>
    <w:rsid w:val="5ECEDAA2"/>
    <w:rsid w:val="5ECF3D69"/>
    <w:rsid w:val="5ECF6996"/>
    <w:rsid w:val="5ECFB660"/>
    <w:rsid w:val="5ECFD0E9"/>
    <w:rsid w:val="5ED04B22"/>
    <w:rsid w:val="5ED2C2BC"/>
    <w:rsid w:val="5ED2C86B"/>
    <w:rsid w:val="5ED2E87B"/>
    <w:rsid w:val="5ED35A1F"/>
    <w:rsid w:val="5ED3E125"/>
    <w:rsid w:val="5ED428E0"/>
    <w:rsid w:val="5ED46F5D"/>
    <w:rsid w:val="5ED56C56"/>
    <w:rsid w:val="5ED6A3FA"/>
    <w:rsid w:val="5ED729A4"/>
    <w:rsid w:val="5ED7E528"/>
    <w:rsid w:val="5ED7FC1F"/>
    <w:rsid w:val="5ED96932"/>
    <w:rsid w:val="5ED9999B"/>
    <w:rsid w:val="5EDA7CBE"/>
    <w:rsid w:val="5EDBD5A7"/>
    <w:rsid w:val="5EDCEB25"/>
    <w:rsid w:val="5EDDB87F"/>
    <w:rsid w:val="5EDE65B6"/>
    <w:rsid w:val="5EDE8D7D"/>
    <w:rsid w:val="5EDF6277"/>
    <w:rsid w:val="5EDFAE93"/>
    <w:rsid w:val="5EE08F51"/>
    <w:rsid w:val="5EE0F579"/>
    <w:rsid w:val="5EE1FC5D"/>
    <w:rsid w:val="5EE24459"/>
    <w:rsid w:val="5EE3B8C4"/>
    <w:rsid w:val="5EE4EBAF"/>
    <w:rsid w:val="5EE58196"/>
    <w:rsid w:val="5EE5AF5D"/>
    <w:rsid w:val="5EE5CAF9"/>
    <w:rsid w:val="5EE6C6DB"/>
    <w:rsid w:val="5EE7309E"/>
    <w:rsid w:val="5EE783D5"/>
    <w:rsid w:val="5EE8A0E2"/>
    <w:rsid w:val="5EE927A4"/>
    <w:rsid w:val="5EE96BE5"/>
    <w:rsid w:val="5EEAB438"/>
    <w:rsid w:val="5EEBAD25"/>
    <w:rsid w:val="5EEC49EA"/>
    <w:rsid w:val="5EEDACF1"/>
    <w:rsid w:val="5EEDAD91"/>
    <w:rsid w:val="5EEE9A77"/>
    <w:rsid w:val="5EEEA8C2"/>
    <w:rsid w:val="5EEF09F3"/>
    <w:rsid w:val="5EEF2572"/>
    <w:rsid w:val="5EF2CB9F"/>
    <w:rsid w:val="5EF33826"/>
    <w:rsid w:val="5EF3FA01"/>
    <w:rsid w:val="5EF5560E"/>
    <w:rsid w:val="5EF600D9"/>
    <w:rsid w:val="5EF6AFD1"/>
    <w:rsid w:val="5EF6B672"/>
    <w:rsid w:val="5EF6C859"/>
    <w:rsid w:val="5EF718F0"/>
    <w:rsid w:val="5EF7CC17"/>
    <w:rsid w:val="5EF83956"/>
    <w:rsid w:val="5EF83D74"/>
    <w:rsid w:val="5EFA6B79"/>
    <w:rsid w:val="5EFB2669"/>
    <w:rsid w:val="5EFB377E"/>
    <w:rsid w:val="5EFC9620"/>
    <w:rsid w:val="5EFD17AC"/>
    <w:rsid w:val="5EFE4337"/>
    <w:rsid w:val="5EFE8001"/>
    <w:rsid w:val="5EFF2A49"/>
    <w:rsid w:val="5EFF8859"/>
    <w:rsid w:val="5EFF89F5"/>
    <w:rsid w:val="5F011229"/>
    <w:rsid w:val="5F016305"/>
    <w:rsid w:val="5F029A42"/>
    <w:rsid w:val="5F029DA7"/>
    <w:rsid w:val="5F02A6E1"/>
    <w:rsid w:val="5F02C421"/>
    <w:rsid w:val="5F02E030"/>
    <w:rsid w:val="5F035EC3"/>
    <w:rsid w:val="5F041B4E"/>
    <w:rsid w:val="5F062F86"/>
    <w:rsid w:val="5F063462"/>
    <w:rsid w:val="5F086BFF"/>
    <w:rsid w:val="5F087BF9"/>
    <w:rsid w:val="5F08B3AE"/>
    <w:rsid w:val="5F09FC67"/>
    <w:rsid w:val="5F0A1CE5"/>
    <w:rsid w:val="5F0A2A2B"/>
    <w:rsid w:val="5F0B4622"/>
    <w:rsid w:val="5F0BA844"/>
    <w:rsid w:val="5F0BC270"/>
    <w:rsid w:val="5F0CE4BD"/>
    <w:rsid w:val="5F0CE95F"/>
    <w:rsid w:val="5F0D891A"/>
    <w:rsid w:val="5F0DC7B9"/>
    <w:rsid w:val="5F0E1612"/>
    <w:rsid w:val="5F0E4994"/>
    <w:rsid w:val="5F0E591E"/>
    <w:rsid w:val="5F0F5868"/>
    <w:rsid w:val="5F0F73F6"/>
    <w:rsid w:val="5F0FB492"/>
    <w:rsid w:val="5F0FD5CF"/>
    <w:rsid w:val="5F1074A5"/>
    <w:rsid w:val="5F111822"/>
    <w:rsid w:val="5F119FB6"/>
    <w:rsid w:val="5F128C0B"/>
    <w:rsid w:val="5F143ED1"/>
    <w:rsid w:val="5F145E48"/>
    <w:rsid w:val="5F149A24"/>
    <w:rsid w:val="5F14BCBE"/>
    <w:rsid w:val="5F15BD83"/>
    <w:rsid w:val="5F16FABE"/>
    <w:rsid w:val="5F170011"/>
    <w:rsid w:val="5F17FCDF"/>
    <w:rsid w:val="5F18CFA7"/>
    <w:rsid w:val="5F192619"/>
    <w:rsid w:val="5F195244"/>
    <w:rsid w:val="5F19C5CB"/>
    <w:rsid w:val="5F19CF18"/>
    <w:rsid w:val="5F19E08F"/>
    <w:rsid w:val="5F1A0E88"/>
    <w:rsid w:val="5F1A132E"/>
    <w:rsid w:val="5F1A9653"/>
    <w:rsid w:val="5F1AC678"/>
    <w:rsid w:val="5F1C3DF7"/>
    <w:rsid w:val="5F1C6EDA"/>
    <w:rsid w:val="5F1D8B0F"/>
    <w:rsid w:val="5F1FDB6B"/>
    <w:rsid w:val="5F2003C6"/>
    <w:rsid w:val="5F216AEE"/>
    <w:rsid w:val="5F2276E5"/>
    <w:rsid w:val="5F22DCE2"/>
    <w:rsid w:val="5F240919"/>
    <w:rsid w:val="5F243E6C"/>
    <w:rsid w:val="5F24EA6D"/>
    <w:rsid w:val="5F254A62"/>
    <w:rsid w:val="5F256993"/>
    <w:rsid w:val="5F25954C"/>
    <w:rsid w:val="5F261A44"/>
    <w:rsid w:val="5F267D9F"/>
    <w:rsid w:val="5F273D76"/>
    <w:rsid w:val="5F275B91"/>
    <w:rsid w:val="5F27A465"/>
    <w:rsid w:val="5F27B57F"/>
    <w:rsid w:val="5F2891E3"/>
    <w:rsid w:val="5F28A33D"/>
    <w:rsid w:val="5F28F1E7"/>
    <w:rsid w:val="5F2AE573"/>
    <w:rsid w:val="5F2AEE4F"/>
    <w:rsid w:val="5F2AFFA8"/>
    <w:rsid w:val="5F2B2371"/>
    <w:rsid w:val="5F2C3EF4"/>
    <w:rsid w:val="5F2D033A"/>
    <w:rsid w:val="5F2F90C7"/>
    <w:rsid w:val="5F2FFB7F"/>
    <w:rsid w:val="5F300342"/>
    <w:rsid w:val="5F301FFA"/>
    <w:rsid w:val="5F30C70D"/>
    <w:rsid w:val="5F32457C"/>
    <w:rsid w:val="5F329666"/>
    <w:rsid w:val="5F32E903"/>
    <w:rsid w:val="5F33FD79"/>
    <w:rsid w:val="5F3412C0"/>
    <w:rsid w:val="5F3543EC"/>
    <w:rsid w:val="5F35B58B"/>
    <w:rsid w:val="5F360EDC"/>
    <w:rsid w:val="5F3643A2"/>
    <w:rsid w:val="5F3691B4"/>
    <w:rsid w:val="5F369905"/>
    <w:rsid w:val="5F36A71C"/>
    <w:rsid w:val="5F38CE00"/>
    <w:rsid w:val="5F39C8AA"/>
    <w:rsid w:val="5F3A739E"/>
    <w:rsid w:val="5F3AD2E6"/>
    <w:rsid w:val="5F3BABA6"/>
    <w:rsid w:val="5F3C790B"/>
    <w:rsid w:val="5F3C9619"/>
    <w:rsid w:val="5F3DC3A0"/>
    <w:rsid w:val="5F3E586A"/>
    <w:rsid w:val="5F3E5A73"/>
    <w:rsid w:val="5F3ECED2"/>
    <w:rsid w:val="5F3F4F76"/>
    <w:rsid w:val="5F3F749D"/>
    <w:rsid w:val="5F3F8951"/>
    <w:rsid w:val="5F3FAE65"/>
    <w:rsid w:val="5F418CB2"/>
    <w:rsid w:val="5F41FBBF"/>
    <w:rsid w:val="5F426013"/>
    <w:rsid w:val="5F4261E9"/>
    <w:rsid w:val="5F427248"/>
    <w:rsid w:val="5F42D07A"/>
    <w:rsid w:val="5F433705"/>
    <w:rsid w:val="5F43AD79"/>
    <w:rsid w:val="5F44292B"/>
    <w:rsid w:val="5F44486D"/>
    <w:rsid w:val="5F456C16"/>
    <w:rsid w:val="5F46897F"/>
    <w:rsid w:val="5F46B392"/>
    <w:rsid w:val="5F4761B5"/>
    <w:rsid w:val="5F47641A"/>
    <w:rsid w:val="5F47710E"/>
    <w:rsid w:val="5F484124"/>
    <w:rsid w:val="5F48F2C3"/>
    <w:rsid w:val="5F49C886"/>
    <w:rsid w:val="5F49FFFD"/>
    <w:rsid w:val="5F4B1777"/>
    <w:rsid w:val="5F4C1728"/>
    <w:rsid w:val="5F4D523D"/>
    <w:rsid w:val="5F4D6233"/>
    <w:rsid w:val="5F4DA1D1"/>
    <w:rsid w:val="5F4DBEC3"/>
    <w:rsid w:val="5F4E211E"/>
    <w:rsid w:val="5F4E6787"/>
    <w:rsid w:val="5F4EC116"/>
    <w:rsid w:val="5F4F1DCC"/>
    <w:rsid w:val="5F502CD6"/>
    <w:rsid w:val="5F506092"/>
    <w:rsid w:val="5F50C4DF"/>
    <w:rsid w:val="5F51211D"/>
    <w:rsid w:val="5F512163"/>
    <w:rsid w:val="5F51290E"/>
    <w:rsid w:val="5F5172B6"/>
    <w:rsid w:val="5F51C54A"/>
    <w:rsid w:val="5F51FCE6"/>
    <w:rsid w:val="5F5205E8"/>
    <w:rsid w:val="5F52946B"/>
    <w:rsid w:val="5F52C00D"/>
    <w:rsid w:val="5F53B819"/>
    <w:rsid w:val="5F55925F"/>
    <w:rsid w:val="5F55C7AC"/>
    <w:rsid w:val="5F5643A9"/>
    <w:rsid w:val="5F56BDD3"/>
    <w:rsid w:val="5F57D5A2"/>
    <w:rsid w:val="5F57E8F6"/>
    <w:rsid w:val="5F582717"/>
    <w:rsid w:val="5F59A31D"/>
    <w:rsid w:val="5F5AEB14"/>
    <w:rsid w:val="5F5BC280"/>
    <w:rsid w:val="5F5C1835"/>
    <w:rsid w:val="5F5D222F"/>
    <w:rsid w:val="5F5DFA18"/>
    <w:rsid w:val="5F5DFB4E"/>
    <w:rsid w:val="5F5ED9D7"/>
    <w:rsid w:val="5F5F5B97"/>
    <w:rsid w:val="5F60B89A"/>
    <w:rsid w:val="5F614F48"/>
    <w:rsid w:val="5F624342"/>
    <w:rsid w:val="5F63286B"/>
    <w:rsid w:val="5F6421A6"/>
    <w:rsid w:val="5F64B9EA"/>
    <w:rsid w:val="5F651760"/>
    <w:rsid w:val="5F653213"/>
    <w:rsid w:val="5F6595EC"/>
    <w:rsid w:val="5F6611A7"/>
    <w:rsid w:val="5F667504"/>
    <w:rsid w:val="5F67EF73"/>
    <w:rsid w:val="5F686626"/>
    <w:rsid w:val="5F6A0BA9"/>
    <w:rsid w:val="5F6A4990"/>
    <w:rsid w:val="5F6BA742"/>
    <w:rsid w:val="5F6C2685"/>
    <w:rsid w:val="5F6C8F2A"/>
    <w:rsid w:val="5F6CD296"/>
    <w:rsid w:val="5F6E812D"/>
    <w:rsid w:val="5F6EC59D"/>
    <w:rsid w:val="5F6F73E3"/>
    <w:rsid w:val="5F709C48"/>
    <w:rsid w:val="5F70DE2A"/>
    <w:rsid w:val="5F7140D6"/>
    <w:rsid w:val="5F720801"/>
    <w:rsid w:val="5F7216A1"/>
    <w:rsid w:val="5F72B6BA"/>
    <w:rsid w:val="5F745D06"/>
    <w:rsid w:val="5F746133"/>
    <w:rsid w:val="5F748150"/>
    <w:rsid w:val="5F74FFB5"/>
    <w:rsid w:val="5F766A8E"/>
    <w:rsid w:val="5F767AE4"/>
    <w:rsid w:val="5F777585"/>
    <w:rsid w:val="5F784189"/>
    <w:rsid w:val="5F7933AB"/>
    <w:rsid w:val="5F79FED1"/>
    <w:rsid w:val="5F7A48E6"/>
    <w:rsid w:val="5F7A7D83"/>
    <w:rsid w:val="5F7A91CE"/>
    <w:rsid w:val="5F7CAEB0"/>
    <w:rsid w:val="5F7CC00F"/>
    <w:rsid w:val="5F7CDDEC"/>
    <w:rsid w:val="5F7DD275"/>
    <w:rsid w:val="5F7DD281"/>
    <w:rsid w:val="5F7E8BF2"/>
    <w:rsid w:val="5F7EE6F5"/>
    <w:rsid w:val="5F7F197F"/>
    <w:rsid w:val="5F7FCDFA"/>
    <w:rsid w:val="5F8001BE"/>
    <w:rsid w:val="5F81D4DC"/>
    <w:rsid w:val="5F822856"/>
    <w:rsid w:val="5F829361"/>
    <w:rsid w:val="5F830C1F"/>
    <w:rsid w:val="5F8326D6"/>
    <w:rsid w:val="5F842DDF"/>
    <w:rsid w:val="5F846636"/>
    <w:rsid w:val="5F846DFC"/>
    <w:rsid w:val="5F84E67D"/>
    <w:rsid w:val="5F859566"/>
    <w:rsid w:val="5F8602BB"/>
    <w:rsid w:val="5F871EA9"/>
    <w:rsid w:val="5F87BBAD"/>
    <w:rsid w:val="5F87E186"/>
    <w:rsid w:val="5F88DDA9"/>
    <w:rsid w:val="5F895551"/>
    <w:rsid w:val="5F8A085B"/>
    <w:rsid w:val="5F8A49BB"/>
    <w:rsid w:val="5F8ABF83"/>
    <w:rsid w:val="5F8ABFC4"/>
    <w:rsid w:val="5F8BBC53"/>
    <w:rsid w:val="5F8C1E3A"/>
    <w:rsid w:val="5F8C2046"/>
    <w:rsid w:val="5F8D4C51"/>
    <w:rsid w:val="5F8DCCAA"/>
    <w:rsid w:val="5F8DE843"/>
    <w:rsid w:val="5F8E4B68"/>
    <w:rsid w:val="5F8F471C"/>
    <w:rsid w:val="5F91270B"/>
    <w:rsid w:val="5F924F27"/>
    <w:rsid w:val="5F9302DC"/>
    <w:rsid w:val="5F9328AB"/>
    <w:rsid w:val="5F937320"/>
    <w:rsid w:val="5F93C72C"/>
    <w:rsid w:val="5F93EB59"/>
    <w:rsid w:val="5F93FE2B"/>
    <w:rsid w:val="5F946334"/>
    <w:rsid w:val="5F94709B"/>
    <w:rsid w:val="5F94D6E3"/>
    <w:rsid w:val="5F9507D0"/>
    <w:rsid w:val="5F954A21"/>
    <w:rsid w:val="5F95EDF9"/>
    <w:rsid w:val="5F961712"/>
    <w:rsid w:val="5F964AFC"/>
    <w:rsid w:val="5F966526"/>
    <w:rsid w:val="5F96DB23"/>
    <w:rsid w:val="5F970BE5"/>
    <w:rsid w:val="5F971511"/>
    <w:rsid w:val="5F97429B"/>
    <w:rsid w:val="5F984DCD"/>
    <w:rsid w:val="5F9A15BE"/>
    <w:rsid w:val="5F9AF1FC"/>
    <w:rsid w:val="5F9B0C13"/>
    <w:rsid w:val="5F9BC6ED"/>
    <w:rsid w:val="5F9BD69B"/>
    <w:rsid w:val="5F9C2993"/>
    <w:rsid w:val="5F9C4F10"/>
    <w:rsid w:val="5F9D1F82"/>
    <w:rsid w:val="5F9D8BAB"/>
    <w:rsid w:val="5F9E00F5"/>
    <w:rsid w:val="5F9E1A73"/>
    <w:rsid w:val="5F9E5296"/>
    <w:rsid w:val="5F9E96F2"/>
    <w:rsid w:val="5F9EC4A1"/>
    <w:rsid w:val="5FA1EDD6"/>
    <w:rsid w:val="5FA270A2"/>
    <w:rsid w:val="5FA2A1D8"/>
    <w:rsid w:val="5FA2FF36"/>
    <w:rsid w:val="5FA323E5"/>
    <w:rsid w:val="5FA457F4"/>
    <w:rsid w:val="5FA479AA"/>
    <w:rsid w:val="5FA638DF"/>
    <w:rsid w:val="5FA6A931"/>
    <w:rsid w:val="5FA7C0A6"/>
    <w:rsid w:val="5FA9479A"/>
    <w:rsid w:val="5FA961A8"/>
    <w:rsid w:val="5FA993CF"/>
    <w:rsid w:val="5FA9F236"/>
    <w:rsid w:val="5FA9FC6E"/>
    <w:rsid w:val="5FAA2AC6"/>
    <w:rsid w:val="5FAAC686"/>
    <w:rsid w:val="5FAB9B52"/>
    <w:rsid w:val="5FABA72B"/>
    <w:rsid w:val="5FAC4225"/>
    <w:rsid w:val="5FAC4697"/>
    <w:rsid w:val="5FAC9B24"/>
    <w:rsid w:val="5FAD0BF0"/>
    <w:rsid w:val="5FAD66F6"/>
    <w:rsid w:val="5FAE4834"/>
    <w:rsid w:val="5FAFDCF7"/>
    <w:rsid w:val="5FB15435"/>
    <w:rsid w:val="5FB1F1CF"/>
    <w:rsid w:val="5FB257CD"/>
    <w:rsid w:val="5FB3339C"/>
    <w:rsid w:val="5FB4444B"/>
    <w:rsid w:val="5FB4ACAD"/>
    <w:rsid w:val="5FB50C91"/>
    <w:rsid w:val="5FB56C83"/>
    <w:rsid w:val="5FB68A94"/>
    <w:rsid w:val="5FB76761"/>
    <w:rsid w:val="5FB8015F"/>
    <w:rsid w:val="5FB805C4"/>
    <w:rsid w:val="5FB8AFCC"/>
    <w:rsid w:val="5FB8E30C"/>
    <w:rsid w:val="5FB9045D"/>
    <w:rsid w:val="5FB93C7C"/>
    <w:rsid w:val="5FBA4567"/>
    <w:rsid w:val="5FBB7C94"/>
    <w:rsid w:val="5FBB97C1"/>
    <w:rsid w:val="5FBBB3D0"/>
    <w:rsid w:val="5FBC13BE"/>
    <w:rsid w:val="5FBDC1F9"/>
    <w:rsid w:val="5FBF5F87"/>
    <w:rsid w:val="5FBF74CD"/>
    <w:rsid w:val="5FC14BBB"/>
    <w:rsid w:val="5FC176B9"/>
    <w:rsid w:val="5FC2450C"/>
    <w:rsid w:val="5FC347D8"/>
    <w:rsid w:val="5FC42002"/>
    <w:rsid w:val="5FC4A822"/>
    <w:rsid w:val="5FC4E87D"/>
    <w:rsid w:val="5FC5E3FC"/>
    <w:rsid w:val="5FC63963"/>
    <w:rsid w:val="5FC6F076"/>
    <w:rsid w:val="5FC79231"/>
    <w:rsid w:val="5FC8031E"/>
    <w:rsid w:val="5FC834D9"/>
    <w:rsid w:val="5FC8A6E6"/>
    <w:rsid w:val="5FC98335"/>
    <w:rsid w:val="5FCA6E0E"/>
    <w:rsid w:val="5FCAD35D"/>
    <w:rsid w:val="5FCB8718"/>
    <w:rsid w:val="5FCC557F"/>
    <w:rsid w:val="5FCCC7CF"/>
    <w:rsid w:val="5FCE94B7"/>
    <w:rsid w:val="5FCFCE63"/>
    <w:rsid w:val="5FD0AF7B"/>
    <w:rsid w:val="5FD29979"/>
    <w:rsid w:val="5FD2B22D"/>
    <w:rsid w:val="5FD356A0"/>
    <w:rsid w:val="5FD42443"/>
    <w:rsid w:val="5FD4CEA0"/>
    <w:rsid w:val="5FD51E91"/>
    <w:rsid w:val="5FD5D382"/>
    <w:rsid w:val="5FD6FEB3"/>
    <w:rsid w:val="5FD89761"/>
    <w:rsid w:val="5FD8C3C5"/>
    <w:rsid w:val="5FD8EE46"/>
    <w:rsid w:val="5FD8EF80"/>
    <w:rsid w:val="5FD91DD4"/>
    <w:rsid w:val="5FDA63BE"/>
    <w:rsid w:val="5FDB645E"/>
    <w:rsid w:val="5FDC1C03"/>
    <w:rsid w:val="5FDCBD9F"/>
    <w:rsid w:val="5FDCDF81"/>
    <w:rsid w:val="5FDCF018"/>
    <w:rsid w:val="5FDE20E6"/>
    <w:rsid w:val="5FDEBFA2"/>
    <w:rsid w:val="5FDEE985"/>
    <w:rsid w:val="5FDF2315"/>
    <w:rsid w:val="5FDFAA1F"/>
    <w:rsid w:val="5FDFAD0D"/>
    <w:rsid w:val="5FDFD304"/>
    <w:rsid w:val="5FE15680"/>
    <w:rsid w:val="5FE1EABA"/>
    <w:rsid w:val="5FE2910E"/>
    <w:rsid w:val="5FE2F171"/>
    <w:rsid w:val="5FE318CF"/>
    <w:rsid w:val="5FE36158"/>
    <w:rsid w:val="5FE48DF7"/>
    <w:rsid w:val="5FE49DAA"/>
    <w:rsid w:val="5FE5805C"/>
    <w:rsid w:val="5FE6BAF8"/>
    <w:rsid w:val="5FE76547"/>
    <w:rsid w:val="5FE80BA9"/>
    <w:rsid w:val="5FE86AF7"/>
    <w:rsid w:val="5FE96D36"/>
    <w:rsid w:val="5FE99C50"/>
    <w:rsid w:val="5FE9CCEB"/>
    <w:rsid w:val="5FEA5D10"/>
    <w:rsid w:val="5FEB1E6B"/>
    <w:rsid w:val="5FEB24BB"/>
    <w:rsid w:val="5FEB39B4"/>
    <w:rsid w:val="5FEBC71F"/>
    <w:rsid w:val="5FECB3F4"/>
    <w:rsid w:val="5FED8159"/>
    <w:rsid w:val="5FEEECF1"/>
    <w:rsid w:val="5FEFADA1"/>
    <w:rsid w:val="5FEFE2B5"/>
    <w:rsid w:val="5FF07C33"/>
    <w:rsid w:val="5FF0A707"/>
    <w:rsid w:val="5FF11150"/>
    <w:rsid w:val="5FF13FEA"/>
    <w:rsid w:val="5FF18048"/>
    <w:rsid w:val="5FF197B9"/>
    <w:rsid w:val="5FF23EBA"/>
    <w:rsid w:val="5FF25DCA"/>
    <w:rsid w:val="5FF29428"/>
    <w:rsid w:val="5FF32EE0"/>
    <w:rsid w:val="5FF4B996"/>
    <w:rsid w:val="5FF4EAD4"/>
    <w:rsid w:val="5FF5A7E8"/>
    <w:rsid w:val="5FF69422"/>
    <w:rsid w:val="5FF7695C"/>
    <w:rsid w:val="5FF7E93D"/>
    <w:rsid w:val="5FF7EADC"/>
    <w:rsid w:val="5FF7F850"/>
    <w:rsid w:val="5FF83B8D"/>
    <w:rsid w:val="5FF8FA4B"/>
    <w:rsid w:val="5FF9369D"/>
    <w:rsid w:val="5FF99919"/>
    <w:rsid w:val="5FFAB92A"/>
    <w:rsid w:val="5FFB632E"/>
    <w:rsid w:val="5FFB9BD3"/>
    <w:rsid w:val="5FFC5231"/>
    <w:rsid w:val="5FFCCAAC"/>
    <w:rsid w:val="5FFD1EFF"/>
    <w:rsid w:val="5FFD7E44"/>
    <w:rsid w:val="5FFF83D9"/>
    <w:rsid w:val="5FFF9BA9"/>
    <w:rsid w:val="5FFF9F60"/>
    <w:rsid w:val="5FFFCBA0"/>
    <w:rsid w:val="60019E3F"/>
    <w:rsid w:val="6001E7ED"/>
    <w:rsid w:val="6001F6B7"/>
    <w:rsid w:val="60030311"/>
    <w:rsid w:val="60033BC6"/>
    <w:rsid w:val="6003ECFB"/>
    <w:rsid w:val="60045E3F"/>
    <w:rsid w:val="600534C0"/>
    <w:rsid w:val="60054191"/>
    <w:rsid w:val="60058828"/>
    <w:rsid w:val="6005C70C"/>
    <w:rsid w:val="60061237"/>
    <w:rsid w:val="6007952B"/>
    <w:rsid w:val="6007B8E0"/>
    <w:rsid w:val="60088A5B"/>
    <w:rsid w:val="6008B9A1"/>
    <w:rsid w:val="60094615"/>
    <w:rsid w:val="6009532C"/>
    <w:rsid w:val="600B3977"/>
    <w:rsid w:val="600B49F1"/>
    <w:rsid w:val="600B6016"/>
    <w:rsid w:val="600C6253"/>
    <w:rsid w:val="600CA9CB"/>
    <w:rsid w:val="600D1A32"/>
    <w:rsid w:val="600DACDB"/>
    <w:rsid w:val="600F0354"/>
    <w:rsid w:val="600F2159"/>
    <w:rsid w:val="600F4466"/>
    <w:rsid w:val="600F5764"/>
    <w:rsid w:val="600FAD43"/>
    <w:rsid w:val="6010E482"/>
    <w:rsid w:val="6011A956"/>
    <w:rsid w:val="6011E05F"/>
    <w:rsid w:val="60129326"/>
    <w:rsid w:val="60136138"/>
    <w:rsid w:val="6013A76C"/>
    <w:rsid w:val="6013EF41"/>
    <w:rsid w:val="60143DAD"/>
    <w:rsid w:val="601480EE"/>
    <w:rsid w:val="60151F4B"/>
    <w:rsid w:val="601584AE"/>
    <w:rsid w:val="60160981"/>
    <w:rsid w:val="60170043"/>
    <w:rsid w:val="601755EC"/>
    <w:rsid w:val="60175DCD"/>
    <w:rsid w:val="60187BEB"/>
    <w:rsid w:val="60191FD2"/>
    <w:rsid w:val="601989A2"/>
    <w:rsid w:val="601A2A0A"/>
    <w:rsid w:val="601B6054"/>
    <w:rsid w:val="601B8831"/>
    <w:rsid w:val="601BC3C3"/>
    <w:rsid w:val="601C2C43"/>
    <w:rsid w:val="601C45C2"/>
    <w:rsid w:val="601C7FA8"/>
    <w:rsid w:val="601CFAF1"/>
    <w:rsid w:val="601D226D"/>
    <w:rsid w:val="601D25F9"/>
    <w:rsid w:val="601D34F8"/>
    <w:rsid w:val="601D3DC3"/>
    <w:rsid w:val="601E9908"/>
    <w:rsid w:val="601F79E6"/>
    <w:rsid w:val="601FF4C6"/>
    <w:rsid w:val="6020605C"/>
    <w:rsid w:val="6020B80C"/>
    <w:rsid w:val="6021C6D1"/>
    <w:rsid w:val="6023B74F"/>
    <w:rsid w:val="6023E52A"/>
    <w:rsid w:val="6024E08E"/>
    <w:rsid w:val="60250DAC"/>
    <w:rsid w:val="60295FF4"/>
    <w:rsid w:val="60299125"/>
    <w:rsid w:val="602A99F9"/>
    <w:rsid w:val="602ACCEC"/>
    <w:rsid w:val="602B09E2"/>
    <w:rsid w:val="602B80B2"/>
    <w:rsid w:val="602BC5F5"/>
    <w:rsid w:val="602CEAFF"/>
    <w:rsid w:val="602D119A"/>
    <w:rsid w:val="602FB105"/>
    <w:rsid w:val="602FF77F"/>
    <w:rsid w:val="6030CC35"/>
    <w:rsid w:val="60312094"/>
    <w:rsid w:val="60327A2B"/>
    <w:rsid w:val="6032C524"/>
    <w:rsid w:val="60334C69"/>
    <w:rsid w:val="603385C2"/>
    <w:rsid w:val="6035A739"/>
    <w:rsid w:val="603657F1"/>
    <w:rsid w:val="60369DA4"/>
    <w:rsid w:val="6036D975"/>
    <w:rsid w:val="6037B265"/>
    <w:rsid w:val="6037E48D"/>
    <w:rsid w:val="60380925"/>
    <w:rsid w:val="60385E6E"/>
    <w:rsid w:val="60395127"/>
    <w:rsid w:val="603A9EFD"/>
    <w:rsid w:val="603B19FC"/>
    <w:rsid w:val="603B5ED1"/>
    <w:rsid w:val="603C3A74"/>
    <w:rsid w:val="603D1588"/>
    <w:rsid w:val="603D706A"/>
    <w:rsid w:val="603D9E8E"/>
    <w:rsid w:val="603DED2E"/>
    <w:rsid w:val="6040DAD8"/>
    <w:rsid w:val="6040DE5F"/>
    <w:rsid w:val="6042AAF9"/>
    <w:rsid w:val="6042F183"/>
    <w:rsid w:val="604312BF"/>
    <w:rsid w:val="60435F9A"/>
    <w:rsid w:val="60437195"/>
    <w:rsid w:val="6043F1EF"/>
    <w:rsid w:val="6044BFB0"/>
    <w:rsid w:val="60462312"/>
    <w:rsid w:val="6046434D"/>
    <w:rsid w:val="60476ABC"/>
    <w:rsid w:val="6048CEF0"/>
    <w:rsid w:val="6048FFA3"/>
    <w:rsid w:val="6049CCE1"/>
    <w:rsid w:val="604A59F0"/>
    <w:rsid w:val="604CCAFF"/>
    <w:rsid w:val="604CF7BC"/>
    <w:rsid w:val="604CFD03"/>
    <w:rsid w:val="604E706B"/>
    <w:rsid w:val="604F2DCB"/>
    <w:rsid w:val="604F9309"/>
    <w:rsid w:val="604FD8BE"/>
    <w:rsid w:val="60538D30"/>
    <w:rsid w:val="60539602"/>
    <w:rsid w:val="6053E124"/>
    <w:rsid w:val="60553B93"/>
    <w:rsid w:val="60554189"/>
    <w:rsid w:val="60570C94"/>
    <w:rsid w:val="605721F8"/>
    <w:rsid w:val="60589D72"/>
    <w:rsid w:val="60595A22"/>
    <w:rsid w:val="605AE2A2"/>
    <w:rsid w:val="605B05C7"/>
    <w:rsid w:val="605C0882"/>
    <w:rsid w:val="605C0918"/>
    <w:rsid w:val="605C47EB"/>
    <w:rsid w:val="605C8070"/>
    <w:rsid w:val="605D360A"/>
    <w:rsid w:val="605E5260"/>
    <w:rsid w:val="605E7438"/>
    <w:rsid w:val="605EF2FD"/>
    <w:rsid w:val="60601CA5"/>
    <w:rsid w:val="6060DBF3"/>
    <w:rsid w:val="60618C2F"/>
    <w:rsid w:val="606220A9"/>
    <w:rsid w:val="606380ED"/>
    <w:rsid w:val="6063E646"/>
    <w:rsid w:val="6064E77A"/>
    <w:rsid w:val="606517D1"/>
    <w:rsid w:val="60656277"/>
    <w:rsid w:val="6066B2B9"/>
    <w:rsid w:val="60675CAE"/>
    <w:rsid w:val="60686A89"/>
    <w:rsid w:val="60687C35"/>
    <w:rsid w:val="6068B088"/>
    <w:rsid w:val="6068C7FF"/>
    <w:rsid w:val="606A38D7"/>
    <w:rsid w:val="606A573E"/>
    <w:rsid w:val="606ABF0A"/>
    <w:rsid w:val="606B3B7A"/>
    <w:rsid w:val="606D0942"/>
    <w:rsid w:val="606DB635"/>
    <w:rsid w:val="606FA366"/>
    <w:rsid w:val="6070FDCA"/>
    <w:rsid w:val="6071D80D"/>
    <w:rsid w:val="6071DFEF"/>
    <w:rsid w:val="60733F73"/>
    <w:rsid w:val="6073CE3B"/>
    <w:rsid w:val="607410AB"/>
    <w:rsid w:val="607443BD"/>
    <w:rsid w:val="60760E3D"/>
    <w:rsid w:val="60775A7F"/>
    <w:rsid w:val="6077C459"/>
    <w:rsid w:val="6078E674"/>
    <w:rsid w:val="60794B6A"/>
    <w:rsid w:val="60795F9D"/>
    <w:rsid w:val="607A3617"/>
    <w:rsid w:val="607A98BF"/>
    <w:rsid w:val="607AD132"/>
    <w:rsid w:val="607AE704"/>
    <w:rsid w:val="607B5300"/>
    <w:rsid w:val="607BA68C"/>
    <w:rsid w:val="607C4FD9"/>
    <w:rsid w:val="607C9546"/>
    <w:rsid w:val="607E1259"/>
    <w:rsid w:val="607EF626"/>
    <w:rsid w:val="607F2FE8"/>
    <w:rsid w:val="607FE214"/>
    <w:rsid w:val="608128FA"/>
    <w:rsid w:val="60825D99"/>
    <w:rsid w:val="608304E5"/>
    <w:rsid w:val="60841DA1"/>
    <w:rsid w:val="6084C238"/>
    <w:rsid w:val="6084F6B2"/>
    <w:rsid w:val="6084F8C9"/>
    <w:rsid w:val="60855DDD"/>
    <w:rsid w:val="60856F97"/>
    <w:rsid w:val="6085B88F"/>
    <w:rsid w:val="60864C3B"/>
    <w:rsid w:val="608A388E"/>
    <w:rsid w:val="608A63CC"/>
    <w:rsid w:val="608B3B4F"/>
    <w:rsid w:val="608B5AD9"/>
    <w:rsid w:val="608C033F"/>
    <w:rsid w:val="608C4344"/>
    <w:rsid w:val="608C6407"/>
    <w:rsid w:val="608D7A56"/>
    <w:rsid w:val="608DA8DF"/>
    <w:rsid w:val="608DC2B5"/>
    <w:rsid w:val="608DE1A9"/>
    <w:rsid w:val="608E20D6"/>
    <w:rsid w:val="608E244D"/>
    <w:rsid w:val="608FD4D0"/>
    <w:rsid w:val="6090F105"/>
    <w:rsid w:val="6092C849"/>
    <w:rsid w:val="60937197"/>
    <w:rsid w:val="60937648"/>
    <w:rsid w:val="609382AB"/>
    <w:rsid w:val="6093B8CF"/>
    <w:rsid w:val="60949D7A"/>
    <w:rsid w:val="6095FEF9"/>
    <w:rsid w:val="60976618"/>
    <w:rsid w:val="609B0300"/>
    <w:rsid w:val="609B154E"/>
    <w:rsid w:val="609BA49B"/>
    <w:rsid w:val="609BF833"/>
    <w:rsid w:val="609C6CE0"/>
    <w:rsid w:val="609C762F"/>
    <w:rsid w:val="609C92D1"/>
    <w:rsid w:val="609DB3FD"/>
    <w:rsid w:val="609DDB11"/>
    <w:rsid w:val="609F81D9"/>
    <w:rsid w:val="609F826F"/>
    <w:rsid w:val="60A0478D"/>
    <w:rsid w:val="60A0D862"/>
    <w:rsid w:val="60A0DE4A"/>
    <w:rsid w:val="60A19826"/>
    <w:rsid w:val="60A199A5"/>
    <w:rsid w:val="60A1BE7D"/>
    <w:rsid w:val="60A21B67"/>
    <w:rsid w:val="60A37DEF"/>
    <w:rsid w:val="60A447A7"/>
    <w:rsid w:val="60A49A31"/>
    <w:rsid w:val="60A4A532"/>
    <w:rsid w:val="60A4E55E"/>
    <w:rsid w:val="60A5DA78"/>
    <w:rsid w:val="60A62A6E"/>
    <w:rsid w:val="60A649CB"/>
    <w:rsid w:val="60A7206A"/>
    <w:rsid w:val="60A7CDB5"/>
    <w:rsid w:val="60A80238"/>
    <w:rsid w:val="60A8FECE"/>
    <w:rsid w:val="60A99267"/>
    <w:rsid w:val="60A9ADD8"/>
    <w:rsid w:val="60A9E334"/>
    <w:rsid w:val="60AA5D82"/>
    <w:rsid w:val="60ABA3D8"/>
    <w:rsid w:val="60ACB401"/>
    <w:rsid w:val="60AD424E"/>
    <w:rsid w:val="60AD578D"/>
    <w:rsid w:val="60AE3DA5"/>
    <w:rsid w:val="60AE6470"/>
    <w:rsid w:val="60AE95EC"/>
    <w:rsid w:val="60AEF3B6"/>
    <w:rsid w:val="60B0612C"/>
    <w:rsid w:val="60B0A098"/>
    <w:rsid w:val="60B14151"/>
    <w:rsid w:val="60B23619"/>
    <w:rsid w:val="60B27935"/>
    <w:rsid w:val="60B2F2F6"/>
    <w:rsid w:val="60B31A34"/>
    <w:rsid w:val="60B4AC5C"/>
    <w:rsid w:val="60B54307"/>
    <w:rsid w:val="60B59985"/>
    <w:rsid w:val="60B5E172"/>
    <w:rsid w:val="60B6A80B"/>
    <w:rsid w:val="60B6C7EF"/>
    <w:rsid w:val="60B79CBA"/>
    <w:rsid w:val="60B81387"/>
    <w:rsid w:val="60B83166"/>
    <w:rsid w:val="60B9A979"/>
    <w:rsid w:val="60BA0161"/>
    <w:rsid w:val="60BA93AC"/>
    <w:rsid w:val="60BB7AF2"/>
    <w:rsid w:val="60BCD698"/>
    <w:rsid w:val="60BDE218"/>
    <w:rsid w:val="60BE4AD8"/>
    <w:rsid w:val="60BF69F6"/>
    <w:rsid w:val="60BFBB1B"/>
    <w:rsid w:val="60C01C2D"/>
    <w:rsid w:val="60C303E1"/>
    <w:rsid w:val="60C32D66"/>
    <w:rsid w:val="60C3B464"/>
    <w:rsid w:val="60C45A0A"/>
    <w:rsid w:val="60C47F02"/>
    <w:rsid w:val="60C5C707"/>
    <w:rsid w:val="60C63B50"/>
    <w:rsid w:val="60C64543"/>
    <w:rsid w:val="60C6A5D6"/>
    <w:rsid w:val="60C7DCEE"/>
    <w:rsid w:val="60C85AB4"/>
    <w:rsid w:val="60C9247A"/>
    <w:rsid w:val="60CA6DB6"/>
    <w:rsid w:val="60CAB559"/>
    <w:rsid w:val="60CC1DCA"/>
    <w:rsid w:val="60CC41F9"/>
    <w:rsid w:val="60CCB58D"/>
    <w:rsid w:val="60CD3196"/>
    <w:rsid w:val="60CD7F50"/>
    <w:rsid w:val="60CE01F0"/>
    <w:rsid w:val="60CE5880"/>
    <w:rsid w:val="60CE6ED3"/>
    <w:rsid w:val="60CE9829"/>
    <w:rsid w:val="60CF2E9D"/>
    <w:rsid w:val="60CF397F"/>
    <w:rsid w:val="60CFC950"/>
    <w:rsid w:val="60D165AD"/>
    <w:rsid w:val="60D19631"/>
    <w:rsid w:val="60D19722"/>
    <w:rsid w:val="60D19F79"/>
    <w:rsid w:val="60D3852A"/>
    <w:rsid w:val="60D57FFD"/>
    <w:rsid w:val="60D61D2E"/>
    <w:rsid w:val="60D63D68"/>
    <w:rsid w:val="60D6689F"/>
    <w:rsid w:val="60D86DD6"/>
    <w:rsid w:val="60D97651"/>
    <w:rsid w:val="60D97AB0"/>
    <w:rsid w:val="60DA0A97"/>
    <w:rsid w:val="60DAC3D0"/>
    <w:rsid w:val="60DBFF8A"/>
    <w:rsid w:val="60DC7DF7"/>
    <w:rsid w:val="60DD70F1"/>
    <w:rsid w:val="60DDF649"/>
    <w:rsid w:val="60DEA7AB"/>
    <w:rsid w:val="60DECE23"/>
    <w:rsid w:val="60DEE369"/>
    <w:rsid w:val="60E0E2C5"/>
    <w:rsid w:val="60E29AFD"/>
    <w:rsid w:val="60E2F2DB"/>
    <w:rsid w:val="60E43BA9"/>
    <w:rsid w:val="60E45EB8"/>
    <w:rsid w:val="60E514B8"/>
    <w:rsid w:val="60E55F22"/>
    <w:rsid w:val="60E5D993"/>
    <w:rsid w:val="60E5F940"/>
    <w:rsid w:val="60E78C96"/>
    <w:rsid w:val="60E7BAB1"/>
    <w:rsid w:val="60E84C80"/>
    <w:rsid w:val="60E8959C"/>
    <w:rsid w:val="60EA2786"/>
    <w:rsid w:val="60EB31D6"/>
    <w:rsid w:val="60EC25C7"/>
    <w:rsid w:val="60EC2848"/>
    <w:rsid w:val="60EC6136"/>
    <w:rsid w:val="60EC803C"/>
    <w:rsid w:val="60ED40FB"/>
    <w:rsid w:val="60ED99C8"/>
    <w:rsid w:val="60EDA5C3"/>
    <w:rsid w:val="60EDA638"/>
    <w:rsid w:val="60EDC374"/>
    <w:rsid w:val="60EE425E"/>
    <w:rsid w:val="60EE5432"/>
    <w:rsid w:val="60EE6B79"/>
    <w:rsid w:val="60F15E45"/>
    <w:rsid w:val="60F20A82"/>
    <w:rsid w:val="60F25950"/>
    <w:rsid w:val="60F2B513"/>
    <w:rsid w:val="60F2DC98"/>
    <w:rsid w:val="60F31385"/>
    <w:rsid w:val="60F3A750"/>
    <w:rsid w:val="60F40FDD"/>
    <w:rsid w:val="60F46DFD"/>
    <w:rsid w:val="60F581FE"/>
    <w:rsid w:val="60F6E1F3"/>
    <w:rsid w:val="60F87AEE"/>
    <w:rsid w:val="60F91D64"/>
    <w:rsid w:val="60F9A41B"/>
    <w:rsid w:val="60FA63D4"/>
    <w:rsid w:val="60FAAC0D"/>
    <w:rsid w:val="60FBE8BF"/>
    <w:rsid w:val="60FC376D"/>
    <w:rsid w:val="60FD27BA"/>
    <w:rsid w:val="60FDE11C"/>
    <w:rsid w:val="60FE9223"/>
    <w:rsid w:val="60FF4AED"/>
    <w:rsid w:val="60FF52D8"/>
    <w:rsid w:val="60FF880D"/>
    <w:rsid w:val="61009B03"/>
    <w:rsid w:val="6100ACC6"/>
    <w:rsid w:val="6100DE8A"/>
    <w:rsid w:val="6101312A"/>
    <w:rsid w:val="6101C4F5"/>
    <w:rsid w:val="6101F0CD"/>
    <w:rsid w:val="6102A552"/>
    <w:rsid w:val="6102C53A"/>
    <w:rsid w:val="610313E8"/>
    <w:rsid w:val="61032D5C"/>
    <w:rsid w:val="610389A2"/>
    <w:rsid w:val="610422B0"/>
    <w:rsid w:val="61044F9D"/>
    <w:rsid w:val="6104ACF2"/>
    <w:rsid w:val="6105BCF5"/>
    <w:rsid w:val="6105EC84"/>
    <w:rsid w:val="610669D2"/>
    <w:rsid w:val="6106C5BC"/>
    <w:rsid w:val="6107749C"/>
    <w:rsid w:val="6107D9F7"/>
    <w:rsid w:val="61087331"/>
    <w:rsid w:val="61091ECA"/>
    <w:rsid w:val="61092B76"/>
    <w:rsid w:val="61094566"/>
    <w:rsid w:val="6109C203"/>
    <w:rsid w:val="610A1926"/>
    <w:rsid w:val="610A1BF2"/>
    <w:rsid w:val="610AAF53"/>
    <w:rsid w:val="610AFDB8"/>
    <w:rsid w:val="610BF253"/>
    <w:rsid w:val="610BF53F"/>
    <w:rsid w:val="610C2B7D"/>
    <w:rsid w:val="610D2F68"/>
    <w:rsid w:val="610DA6BC"/>
    <w:rsid w:val="610F20F2"/>
    <w:rsid w:val="610F5927"/>
    <w:rsid w:val="6110400A"/>
    <w:rsid w:val="6111168D"/>
    <w:rsid w:val="61112575"/>
    <w:rsid w:val="61114DFA"/>
    <w:rsid w:val="61122C04"/>
    <w:rsid w:val="6112D69D"/>
    <w:rsid w:val="6113F1C4"/>
    <w:rsid w:val="6114114A"/>
    <w:rsid w:val="6114203F"/>
    <w:rsid w:val="61146D48"/>
    <w:rsid w:val="61148EAA"/>
    <w:rsid w:val="6114A191"/>
    <w:rsid w:val="6114C144"/>
    <w:rsid w:val="6115A27C"/>
    <w:rsid w:val="611642C1"/>
    <w:rsid w:val="6117BD9F"/>
    <w:rsid w:val="61187064"/>
    <w:rsid w:val="61188C4D"/>
    <w:rsid w:val="61195E12"/>
    <w:rsid w:val="611A2E29"/>
    <w:rsid w:val="611A2EC6"/>
    <w:rsid w:val="611A445F"/>
    <w:rsid w:val="611A4B71"/>
    <w:rsid w:val="611AD4FE"/>
    <w:rsid w:val="611B111D"/>
    <w:rsid w:val="611B284A"/>
    <w:rsid w:val="611B5F79"/>
    <w:rsid w:val="611BF1D8"/>
    <w:rsid w:val="611CCC29"/>
    <w:rsid w:val="611D80CC"/>
    <w:rsid w:val="611DE030"/>
    <w:rsid w:val="611ECDDB"/>
    <w:rsid w:val="611F4FC4"/>
    <w:rsid w:val="611F507A"/>
    <w:rsid w:val="61200580"/>
    <w:rsid w:val="612030AE"/>
    <w:rsid w:val="6120A971"/>
    <w:rsid w:val="61218016"/>
    <w:rsid w:val="61220F6B"/>
    <w:rsid w:val="61226B3A"/>
    <w:rsid w:val="6123820F"/>
    <w:rsid w:val="6123A20E"/>
    <w:rsid w:val="6123D0C3"/>
    <w:rsid w:val="61241F1D"/>
    <w:rsid w:val="6124486F"/>
    <w:rsid w:val="6126A84F"/>
    <w:rsid w:val="6126F6B8"/>
    <w:rsid w:val="612760E5"/>
    <w:rsid w:val="61282702"/>
    <w:rsid w:val="6128B416"/>
    <w:rsid w:val="61292A25"/>
    <w:rsid w:val="6129FC39"/>
    <w:rsid w:val="612A7A67"/>
    <w:rsid w:val="612A8CC5"/>
    <w:rsid w:val="612A9B2C"/>
    <w:rsid w:val="612AE04A"/>
    <w:rsid w:val="612B1FDF"/>
    <w:rsid w:val="612B6150"/>
    <w:rsid w:val="612B9D0B"/>
    <w:rsid w:val="612BFF11"/>
    <w:rsid w:val="612C5965"/>
    <w:rsid w:val="612C5C5E"/>
    <w:rsid w:val="612CAB1F"/>
    <w:rsid w:val="612E32C3"/>
    <w:rsid w:val="612EB0EE"/>
    <w:rsid w:val="612F9F2B"/>
    <w:rsid w:val="612FCA89"/>
    <w:rsid w:val="61308CA3"/>
    <w:rsid w:val="61319229"/>
    <w:rsid w:val="6131C382"/>
    <w:rsid w:val="6131D485"/>
    <w:rsid w:val="6132AF16"/>
    <w:rsid w:val="613303AF"/>
    <w:rsid w:val="61332A76"/>
    <w:rsid w:val="6133AB54"/>
    <w:rsid w:val="6134EAC3"/>
    <w:rsid w:val="61350124"/>
    <w:rsid w:val="61351C62"/>
    <w:rsid w:val="61352A78"/>
    <w:rsid w:val="61354C78"/>
    <w:rsid w:val="613559F4"/>
    <w:rsid w:val="6135A9F2"/>
    <w:rsid w:val="6135F4D6"/>
    <w:rsid w:val="6136C0A7"/>
    <w:rsid w:val="6136C76A"/>
    <w:rsid w:val="61372BEF"/>
    <w:rsid w:val="61373151"/>
    <w:rsid w:val="613779BD"/>
    <w:rsid w:val="6137C746"/>
    <w:rsid w:val="613A3756"/>
    <w:rsid w:val="613BCB84"/>
    <w:rsid w:val="613D79EF"/>
    <w:rsid w:val="613E3E8B"/>
    <w:rsid w:val="613E4C9B"/>
    <w:rsid w:val="613EB96A"/>
    <w:rsid w:val="613F65DF"/>
    <w:rsid w:val="613F6A1A"/>
    <w:rsid w:val="61406955"/>
    <w:rsid w:val="61407229"/>
    <w:rsid w:val="61416313"/>
    <w:rsid w:val="61436BAE"/>
    <w:rsid w:val="6144FB62"/>
    <w:rsid w:val="6145332B"/>
    <w:rsid w:val="6145534F"/>
    <w:rsid w:val="614679DD"/>
    <w:rsid w:val="6146EAEF"/>
    <w:rsid w:val="61471647"/>
    <w:rsid w:val="61472214"/>
    <w:rsid w:val="6148962D"/>
    <w:rsid w:val="614928D3"/>
    <w:rsid w:val="6149F0A3"/>
    <w:rsid w:val="614A3523"/>
    <w:rsid w:val="614A5512"/>
    <w:rsid w:val="614A97B4"/>
    <w:rsid w:val="614B795B"/>
    <w:rsid w:val="614BA25E"/>
    <w:rsid w:val="614C360B"/>
    <w:rsid w:val="614C726F"/>
    <w:rsid w:val="614DAEF1"/>
    <w:rsid w:val="614DBBA7"/>
    <w:rsid w:val="614E5A3F"/>
    <w:rsid w:val="614E709F"/>
    <w:rsid w:val="615045B3"/>
    <w:rsid w:val="615085E5"/>
    <w:rsid w:val="615128AA"/>
    <w:rsid w:val="6151AE2D"/>
    <w:rsid w:val="61523FBF"/>
    <w:rsid w:val="61524FAF"/>
    <w:rsid w:val="6155F31D"/>
    <w:rsid w:val="61566F8C"/>
    <w:rsid w:val="615692AB"/>
    <w:rsid w:val="615794E6"/>
    <w:rsid w:val="6157CBF7"/>
    <w:rsid w:val="61581F48"/>
    <w:rsid w:val="615A1C1C"/>
    <w:rsid w:val="615A5650"/>
    <w:rsid w:val="615A5BAE"/>
    <w:rsid w:val="615ABAAC"/>
    <w:rsid w:val="615AD3B6"/>
    <w:rsid w:val="615B40E6"/>
    <w:rsid w:val="615C0E08"/>
    <w:rsid w:val="615C3920"/>
    <w:rsid w:val="615C3D69"/>
    <w:rsid w:val="615C6037"/>
    <w:rsid w:val="615F75C5"/>
    <w:rsid w:val="615FA784"/>
    <w:rsid w:val="615FA9AE"/>
    <w:rsid w:val="6160C1DE"/>
    <w:rsid w:val="6160F0A7"/>
    <w:rsid w:val="61616A63"/>
    <w:rsid w:val="61625B77"/>
    <w:rsid w:val="616334D1"/>
    <w:rsid w:val="616390CA"/>
    <w:rsid w:val="6163B813"/>
    <w:rsid w:val="61643CB4"/>
    <w:rsid w:val="6164B127"/>
    <w:rsid w:val="6164EC30"/>
    <w:rsid w:val="6165B25F"/>
    <w:rsid w:val="616664F4"/>
    <w:rsid w:val="6166E832"/>
    <w:rsid w:val="61671666"/>
    <w:rsid w:val="61674A39"/>
    <w:rsid w:val="61680205"/>
    <w:rsid w:val="6168A97D"/>
    <w:rsid w:val="6168D5C0"/>
    <w:rsid w:val="61690A2E"/>
    <w:rsid w:val="616C5522"/>
    <w:rsid w:val="616CC7BE"/>
    <w:rsid w:val="616DC23D"/>
    <w:rsid w:val="616DCF75"/>
    <w:rsid w:val="616E90B4"/>
    <w:rsid w:val="616E9A67"/>
    <w:rsid w:val="616F0A27"/>
    <w:rsid w:val="616F172A"/>
    <w:rsid w:val="616FBBB5"/>
    <w:rsid w:val="616FC8C5"/>
    <w:rsid w:val="616FF54F"/>
    <w:rsid w:val="61709047"/>
    <w:rsid w:val="61720F69"/>
    <w:rsid w:val="6172B2E5"/>
    <w:rsid w:val="61736A78"/>
    <w:rsid w:val="6173B43C"/>
    <w:rsid w:val="6173B735"/>
    <w:rsid w:val="6173EA4C"/>
    <w:rsid w:val="61746155"/>
    <w:rsid w:val="6174655A"/>
    <w:rsid w:val="6174D21C"/>
    <w:rsid w:val="6174F1C6"/>
    <w:rsid w:val="61761678"/>
    <w:rsid w:val="61781B5C"/>
    <w:rsid w:val="61790B91"/>
    <w:rsid w:val="61791152"/>
    <w:rsid w:val="61794655"/>
    <w:rsid w:val="617A5E3C"/>
    <w:rsid w:val="617B1BBF"/>
    <w:rsid w:val="617B450E"/>
    <w:rsid w:val="617BB21B"/>
    <w:rsid w:val="617CCFC8"/>
    <w:rsid w:val="617D45B2"/>
    <w:rsid w:val="617DCB56"/>
    <w:rsid w:val="617E3F8C"/>
    <w:rsid w:val="617F05D1"/>
    <w:rsid w:val="617F8249"/>
    <w:rsid w:val="617FF6C2"/>
    <w:rsid w:val="6180B97B"/>
    <w:rsid w:val="61811D33"/>
    <w:rsid w:val="6182C0A6"/>
    <w:rsid w:val="6182CCF2"/>
    <w:rsid w:val="61831222"/>
    <w:rsid w:val="6183C5C5"/>
    <w:rsid w:val="6183CF19"/>
    <w:rsid w:val="61842FEC"/>
    <w:rsid w:val="6185069F"/>
    <w:rsid w:val="618565CD"/>
    <w:rsid w:val="6185E354"/>
    <w:rsid w:val="618755C5"/>
    <w:rsid w:val="6187D48D"/>
    <w:rsid w:val="61881CBA"/>
    <w:rsid w:val="618822AF"/>
    <w:rsid w:val="61899EC1"/>
    <w:rsid w:val="618BAA65"/>
    <w:rsid w:val="618BB3DC"/>
    <w:rsid w:val="618C65B8"/>
    <w:rsid w:val="618C965D"/>
    <w:rsid w:val="618ED3DC"/>
    <w:rsid w:val="618EEDA6"/>
    <w:rsid w:val="619085C9"/>
    <w:rsid w:val="61909D39"/>
    <w:rsid w:val="6191AC76"/>
    <w:rsid w:val="61920C9F"/>
    <w:rsid w:val="6192BCC6"/>
    <w:rsid w:val="619394F9"/>
    <w:rsid w:val="6194D752"/>
    <w:rsid w:val="6194F9A9"/>
    <w:rsid w:val="619545C7"/>
    <w:rsid w:val="6197F252"/>
    <w:rsid w:val="61985A23"/>
    <w:rsid w:val="619933F8"/>
    <w:rsid w:val="619A6DB4"/>
    <w:rsid w:val="619B58F8"/>
    <w:rsid w:val="619BAF93"/>
    <w:rsid w:val="619C646F"/>
    <w:rsid w:val="619C9CB0"/>
    <w:rsid w:val="619CBBB0"/>
    <w:rsid w:val="619D814F"/>
    <w:rsid w:val="619DCA22"/>
    <w:rsid w:val="619E005A"/>
    <w:rsid w:val="619E5A4E"/>
    <w:rsid w:val="619EEEEC"/>
    <w:rsid w:val="61A0F855"/>
    <w:rsid w:val="61A1B0EF"/>
    <w:rsid w:val="61A206C8"/>
    <w:rsid w:val="61A21891"/>
    <w:rsid w:val="61A292F1"/>
    <w:rsid w:val="61A2E4DC"/>
    <w:rsid w:val="61A32741"/>
    <w:rsid w:val="61A4712E"/>
    <w:rsid w:val="61A50D33"/>
    <w:rsid w:val="61A589B9"/>
    <w:rsid w:val="61A63782"/>
    <w:rsid w:val="61A6D762"/>
    <w:rsid w:val="61A6FEB1"/>
    <w:rsid w:val="61A74928"/>
    <w:rsid w:val="61A7F5CB"/>
    <w:rsid w:val="61A96158"/>
    <w:rsid w:val="61A9B5F6"/>
    <w:rsid w:val="61A9D263"/>
    <w:rsid w:val="61A9E3D5"/>
    <w:rsid w:val="61AB760F"/>
    <w:rsid w:val="61AB9E9D"/>
    <w:rsid w:val="61AC2EE8"/>
    <w:rsid w:val="61AC7D00"/>
    <w:rsid w:val="61ACBC87"/>
    <w:rsid w:val="61ADB494"/>
    <w:rsid w:val="61AF518D"/>
    <w:rsid w:val="61AFA3FA"/>
    <w:rsid w:val="61B00D49"/>
    <w:rsid w:val="61B01AFB"/>
    <w:rsid w:val="61B027E0"/>
    <w:rsid w:val="61B091EC"/>
    <w:rsid w:val="61B171DD"/>
    <w:rsid w:val="61B236B6"/>
    <w:rsid w:val="61B59BD7"/>
    <w:rsid w:val="61B5D299"/>
    <w:rsid w:val="61B626EF"/>
    <w:rsid w:val="61B672E6"/>
    <w:rsid w:val="61B68AEA"/>
    <w:rsid w:val="61B6D537"/>
    <w:rsid w:val="61B703C4"/>
    <w:rsid w:val="61B77F0D"/>
    <w:rsid w:val="61B7883B"/>
    <w:rsid w:val="61B7CD85"/>
    <w:rsid w:val="61B8387C"/>
    <w:rsid w:val="61B84B7C"/>
    <w:rsid w:val="61B8812C"/>
    <w:rsid w:val="61B8C6C4"/>
    <w:rsid w:val="61B8E9FF"/>
    <w:rsid w:val="61B8F2CE"/>
    <w:rsid w:val="61B953AC"/>
    <w:rsid w:val="61BAE95D"/>
    <w:rsid w:val="61BB20C7"/>
    <w:rsid w:val="61BB631A"/>
    <w:rsid w:val="61BB6AA3"/>
    <w:rsid w:val="61BDC67E"/>
    <w:rsid w:val="61BDF9E4"/>
    <w:rsid w:val="61BE9396"/>
    <w:rsid w:val="61BECCCA"/>
    <w:rsid w:val="61C03A22"/>
    <w:rsid w:val="61C056E4"/>
    <w:rsid w:val="61C24E2C"/>
    <w:rsid w:val="61C42B56"/>
    <w:rsid w:val="61C43866"/>
    <w:rsid w:val="61C43A11"/>
    <w:rsid w:val="61C46BC0"/>
    <w:rsid w:val="61C5CD88"/>
    <w:rsid w:val="61C5DE28"/>
    <w:rsid w:val="61C74236"/>
    <w:rsid w:val="61C7ABC5"/>
    <w:rsid w:val="61C7BCC4"/>
    <w:rsid w:val="61C81B59"/>
    <w:rsid w:val="61C84236"/>
    <w:rsid w:val="61C85DD9"/>
    <w:rsid w:val="61C921F2"/>
    <w:rsid w:val="61C9DAAF"/>
    <w:rsid w:val="61CA0CC8"/>
    <w:rsid w:val="61CAAFB0"/>
    <w:rsid w:val="61CAD840"/>
    <w:rsid w:val="61CB1CD1"/>
    <w:rsid w:val="61CB4AAE"/>
    <w:rsid w:val="61CB4C40"/>
    <w:rsid w:val="61CD264C"/>
    <w:rsid w:val="61CD4746"/>
    <w:rsid w:val="61CE2AAD"/>
    <w:rsid w:val="61CE726D"/>
    <w:rsid w:val="61CEA244"/>
    <w:rsid w:val="61CEE079"/>
    <w:rsid w:val="61CF2CC0"/>
    <w:rsid w:val="61CF61BE"/>
    <w:rsid w:val="61D13CA0"/>
    <w:rsid w:val="61D21CBD"/>
    <w:rsid w:val="61D23937"/>
    <w:rsid w:val="61D2B2D3"/>
    <w:rsid w:val="61D33B21"/>
    <w:rsid w:val="61D3B3AD"/>
    <w:rsid w:val="61D46F37"/>
    <w:rsid w:val="61D4EA22"/>
    <w:rsid w:val="61D50327"/>
    <w:rsid w:val="61D5F836"/>
    <w:rsid w:val="61D66FDC"/>
    <w:rsid w:val="61D6A08A"/>
    <w:rsid w:val="61D70581"/>
    <w:rsid w:val="61D7785F"/>
    <w:rsid w:val="61D7919F"/>
    <w:rsid w:val="61D7F40C"/>
    <w:rsid w:val="61D80BCE"/>
    <w:rsid w:val="61D80E6A"/>
    <w:rsid w:val="61D8B8A4"/>
    <w:rsid w:val="61DA0760"/>
    <w:rsid w:val="61DAED95"/>
    <w:rsid w:val="61DB364A"/>
    <w:rsid w:val="61DB50EE"/>
    <w:rsid w:val="61DBDCA3"/>
    <w:rsid w:val="61DC6808"/>
    <w:rsid w:val="61DCED0A"/>
    <w:rsid w:val="61DF16CA"/>
    <w:rsid w:val="61DF7FE5"/>
    <w:rsid w:val="61E03E98"/>
    <w:rsid w:val="61E11A84"/>
    <w:rsid w:val="61E1D62F"/>
    <w:rsid w:val="61E2CBC9"/>
    <w:rsid w:val="61E2D096"/>
    <w:rsid w:val="61E44773"/>
    <w:rsid w:val="61E48365"/>
    <w:rsid w:val="61E4A28A"/>
    <w:rsid w:val="61E50A84"/>
    <w:rsid w:val="61E61E25"/>
    <w:rsid w:val="61E66811"/>
    <w:rsid w:val="61E6D095"/>
    <w:rsid w:val="61E8E45C"/>
    <w:rsid w:val="61E8F95A"/>
    <w:rsid w:val="61E8F9E5"/>
    <w:rsid w:val="61E8FA1A"/>
    <w:rsid w:val="61E933B6"/>
    <w:rsid w:val="61E9B11A"/>
    <w:rsid w:val="61E9BFD5"/>
    <w:rsid w:val="61EA5283"/>
    <w:rsid w:val="61EA7338"/>
    <w:rsid w:val="61EAA457"/>
    <w:rsid w:val="61EABB6B"/>
    <w:rsid w:val="61EBAE42"/>
    <w:rsid w:val="61EC5312"/>
    <w:rsid w:val="61ECAAD9"/>
    <w:rsid w:val="61ED0697"/>
    <w:rsid w:val="61ED9E3C"/>
    <w:rsid w:val="61EDFF07"/>
    <w:rsid w:val="61EE04B8"/>
    <w:rsid w:val="61EEA5DA"/>
    <w:rsid w:val="61EEDB7D"/>
    <w:rsid w:val="61F042E0"/>
    <w:rsid w:val="61F0AB8F"/>
    <w:rsid w:val="61F0CF87"/>
    <w:rsid w:val="61F16D0E"/>
    <w:rsid w:val="61F17625"/>
    <w:rsid w:val="61F1F65F"/>
    <w:rsid w:val="61F294F1"/>
    <w:rsid w:val="61F3378F"/>
    <w:rsid w:val="61F41EE5"/>
    <w:rsid w:val="61F41EFF"/>
    <w:rsid w:val="61F42FEC"/>
    <w:rsid w:val="61F5298A"/>
    <w:rsid w:val="61F5A852"/>
    <w:rsid w:val="61F6320A"/>
    <w:rsid w:val="61F697BB"/>
    <w:rsid w:val="61F6D119"/>
    <w:rsid w:val="61F86C70"/>
    <w:rsid w:val="61F91DDA"/>
    <w:rsid w:val="61FA4988"/>
    <w:rsid w:val="61FA661C"/>
    <w:rsid w:val="61FA73C9"/>
    <w:rsid w:val="61FACB6E"/>
    <w:rsid w:val="61FB270C"/>
    <w:rsid w:val="61FB3B7E"/>
    <w:rsid w:val="61FC09CD"/>
    <w:rsid w:val="61FC6A84"/>
    <w:rsid w:val="61FF9FEF"/>
    <w:rsid w:val="61FFD594"/>
    <w:rsid w:val="62000EFE"/>
    <w:rsid w:val="620083D7"/>
    <w:rsid w:val="62009233"/>
    <w:rsid w:val="620171A2"/>
    <w:rsid w:val="62033A0F"/>
    <w:rsid w:val="62034D26"/>
    <w:rsid w:val="6203B051"/>
    <w:rsid w:val="6203C276"/>
    <w:rsid w:val="6203DADA"/>
    <w:rsid w:val="62042FE6"/>
    <w:rsid w:val="62043AEA"/>
    <w:rsid w:val="6205AD0B"/>
    <w:rsid w:val="6206B058"/>
    <w:rsid w:val="620762D9"/>
    <w:rsid w:val="6208E090"/>
    <w:rsid w:val="620A2145"/>
    <w:rsid w:val="620AB8D9"/>
    <w:rsid w:val="620B2F21"/>
    <w:rsid w:val="620BF52C"/>
    <w:rsid w:val="620DEA44"/>
    <w:rsid w:val="620E61C1"/>
    <w:rsid w:val="620EC82A"/>
    <w:rsid w:val="620EFAAD"/>
    <w:rsid w:val="620F12E2"/>
    <w:rsid w:val="620F1C5D"/>
    <w:rsid w:val="620FFACD"/>
    <w:rsid w:val="6211180F"/>
    <w:rsid w:val="621148A2"/>
    <w:rsid w:val="6212E92F"/>
    <w:rsid w:val="62149F48"/>
    <w:rsid w:val="621506A7"/>
    <w:rsid w:val="62163B97"/>
    <w:rsid w:val="6216E22A"/>
    <w:rsid w:val="62172C62"/>
    <w:rsid w:val="621812E2"/>
    <w:rsid w:val="621865A7"/>
    <w:rsid w:val="6218D456"/>
    <w:rsid w:val="6219DEB6"/>
    <w:rsid w:val="621A08AB"/>
    <w:rsid w:val="621A0A7C"/>
    <w:rsid w:val="621A5B41"/>
    <w:rsid w:val="621AA968"/>
    <w:rsid w:val="621C92DF"/>
    <w:rsid w:val="621DD296"/>
    <w:rsid w:val="621DF008"/>
    <w:rsid w:val="621E9011"/>
    <w:rsid w:val="621E95F6"/>
    <w:rsid w:val="62210CB2"/>
    <w:rsid w:val="62218F66"/>
    <w:rsid w:val="62219C54"/>
    <w:rsid w:val="62229FD3"/>
    <w:rsid w:val="6223E8EB"/>
    <w:rsid w:val="62244EDC"/>
    <w:rsid w:val="6224D09C"/>
    <w:rsid w:val="62259F4D"/>
    <w:rsid w:val="62263452"/>
    <w:rsid w:val="62263901"/>
    <w:rsid w:val="62264A22"/>
    <w:rsid w:val="622768BF"/>
    <w:rsid w:val="6227FB8A"/>
    <w:rsid w:val="6227FC2B"/>
    <w:rsid w:val="622885D0"/>
    <w:rsid w:val="622891EC"/>
    <w:rsid w:val="6228AF84"/>
    <w:rsid w:val="62297A84"/>
    <w:rsid w:val="6229D729"/>
    <w:rsid w:val="622A5C1C"/>
    <w:rsid w:val="622A6FA8"/>
    <w:rsid w:val="622AB821"/>
    <w:rsid w:val="622B032A"/>
    <w:rsid w:val="622B92C4"/>
    <w:rsid w:val="622BDA54"/>
    <w:rsid w:val="622DFC63"/>
    <w:rsid w:val="622E224D"/>
    <w:rsid w:val="622E57AC"/>
    <w:rsid w:val="622EC665"/>
    <w:rsid w:val="622FAC05"/>
    <w:rsid w:val="6231F5E8"/>
    <w:rsid w:val="62327EAB"/>
    <w:rsid w:val="623301AC"/>
    <w:rsid w:val="6234DE8E"/>
    <w:rsid w:val="62365E88"/>
    <w:rsid w:val="6236914A"/>
    <w:rsid w:val="6236C8AC"/>
    <w:rsid w:val="6237F5F0"/>
    <w:rsid w:val="62388529"/>
    <w:rsid w:val="6238A987"/>
    <w:rsid w:val="6238C07A"/>
    <w:rsid w:val="62394372"/>
    <w:rsid w:val="623A5CFB"/>
    <w:rsid w:val="623B077F"/>
    <w:rsid w:val="623B5EE3"/>
    <w:rsid w:val="623B6413"/>
    <w:rsid w:val="623C79B4"/>
    <w:rsid w:val="623C7B27"/>
    <w:rsid w:val="623CB5AC"/>
    <w:rsid w:val="623CD94E"/>
    <w:rsid w:val="623D229B"/>
    <w:rsid w:val="623D86BD"/>
    <w:rsid w:val="623DD4B1"/>
    <w:rsid w:val="623E147C"/>
    <w:rsid w:val="623E6648"/>
    <w:rsid w:val="623E9562"/>
    <w:rsid w:val="623F387F"/>
    <w:rsid w:val="62401C53"/>
    <w:rsid w:val="624076E8"/>
    <w:rsid w:val="624137CF"/>
    <w:rsid w:val="62420612"/>
    <w:rsid w:val="62425269"/>
    <w:rsid w:val="6243F783"/>
    <w:rsid w:val="624427B6"/>
    <w:rsid w:val="6244A15A"/>
    <w:rsid w:val="62461ECE"/>
    <w:rsid w:val="62464C2F"/>
    <w:rsid w:val="62468D8F"/>
    <w:rsid w:val="6247F6EB"/>
    <w:rsid w:val="6248167F"/>
    <w:rsid w:val="62492C51"/>
    <w:rsid w:val="62494536"/>
    <w:rsid w:val="624B02F2"/>
    <w:rsid w:val="624B8A67"/>
    <w:rsid w:val="624BA985"/>
    <w:rsid w:val="624C7649"/>
    <w:rsid w:val="624D0B77"/>
    <w:rsid w:val="624D7063"/>
    <w:rsid w:val="624E966C"/>
    <w:rsid w:val="624F0F5F"/>
    <w:rsid w:val="624F65ED"/>
    <w:rsid w:val="624F89A4"/>
    <w:rsid w:val="624FC40C"/>
    <w:rsid w:val="6250036D"/>
    <w:rsid w:val="62507321"/>
    <w:rsid w:val="62512E6D"/>
    <w:rsid w:val="625251E3"/>
    <w:rsid w:val="6253DB9D"/>
    <w:rsid w:val="6253FF68"/>
    <w:rsid w:val="62553161"/>
    <w:rsid w:val="625580DE"/>
    <w:rsid w:val="62560363"/>
    <w:rsid w:val="625664AC"/>
    <w:rsid w:val="62573BDC"/>
    <w:rsid w:val="6257C6CC"/>
    <w:rsid w:val="6257D9A4"/>
    <w:rsid w:val="625899AE"/>
    <w:rsid w:val="6258AAA8"/>
    <w:rsid w:val="6258D380"/>
    <w:rsid w:val="6259E819"/>
    <w:rsid w:val="625A9C51"/>
    <w:rsid w:val="625B59C4"/>
    <w:rsid w:val="625B8356"/>
    <w:rsid w:val="625BF9E7"/>
    <w:rsid w:val="625C9783"/>
    <w:rsid w:val="625CF31A"/>
    <w:rsid w:val="625CF49C"/>
    <w:rsid w:val="625D5ACC"/>
    <w:rsid w:val="625DFCEB"/>
    <w:rsid w:val="625E0448"/>
    <w:rsid w:val="625E3A67"/>
    <w:rsid w:val="625E6E10"/>
    <w:rsid w:val="625EC1AF"/>
    <w:rsid w:val="625F0222"/>
    <w:rsid w:val="625F34BF"/>
    <w:rsid w:val="625F54FD"/>
    <w:rsid w:val="625FC704"/>
    <w:rsid w:val="62601DA7"/>
    <w:rsid w:val="626047E6"/>
    <w:rsid w:val="62606ACF"/>
    <w:rsid w:val="626341D7"/>
    <w:rsid w:val="6264120E"/>
    <w:rsid w:val="6264231C"/>
    <w:rsid w:val="62646C1D"/>
    <w:rsid w:val="6264787B"/>
    <w:rsid w:val="626479A7"/>
    <w:rsid w:val="62648E70"/>
    <w:rsid w:val="6264ADF1"/>
    <w:rsid w:val="6264D081"/>
    <w:rsid w:val="6264E85B"/>
    <w:rsid w:val="62653981"/>
    <w:rsid w:val="62659051"/>
    <w:rsid w:val="62662A8C"/>
    <w:rsid w:val="6266401A"/>
    <w:rsid w:val="62665348"/>
    <w:rsid w:val="6266AC95"/>
    <w:rsid w:val="62673D09"/>
    <w:rsid w:val="626815B9"/>
    <w:rsid w:val="62685CDE"/>
    <w:rsid w:val="62686A2B"/>
    <w:rsid w:val="6268CAA8"/>
    <w:rsid w:val="6269055D"/>
    <w:rsid w:val="62697659"/>
    <w:rsid w:val="6269EE70"/>
    <w:rsid w:val="626A60BB"/>
    <w:rsid w:val="626C6385"/>
    <w:rsid w:val="626CE1FE"/>
    <w:rsid w:val="626D281A"/>
    <w:rsid w:val="626D2AD1"/>
    <w:rsid w:val="626D854E"/>
    <w:rsid w:val="626D96BC"/>
    <w:rsid w:val="626DF194"/>
    <w:rsid w:val="626E55CA"/>
    <w:rsid w:val="626EB4B3"/>
    <w:rsid w:val="626FD59D"/>
    <w:rsid w:val="626FF60A"/>
    <w:rsid w:val="62701ED5"/>
    <w:rsid w:val="627022FE"/>
    <w:rsid w:val="627054D3"/>
    <w:rsid w:val="6272F8A6"/>
    <w:rsid w:val="627497A7"/>
    <w:rsid w:val="6274DB80"/>
    <w:rsid w:val="62762B33"/>
    <w:rsid w:val="62769777"/>
    <w:rsid w:val="6276B686"/>
    <w:rsid w:val="6276D3EB"/>
    <w:rsid w:val="627712AE"/>
    <w:rsid w:val="627768AC"/>
    <w:rsid w:val="6278620E"/>
    <w:rsid w:val="6279083F"/>
    <w:rsid w:val="6279194E"/>
    <w:rsid w:val="62798A0D"/>
    <w:rsid w:val="627A165E"/>
    <w:rsid w:val="627A4E47"/>
    <w:rsid w:val="627AD24C"/>
    <w:rsid w:val="627AF663"/>
    <w:rsid w:val="627E7E0E"/>
    <w:rsid w:val="627EF326"/>
    <w:rsid w:val="627EFD88"/>
    <w:rsid w:val="62807064"/>
    <w:rsid w:val="6280924F"/>
    <w:rsid w:val="62810A1C"/>
    <w:rsid w:val="6282616F"/>
    <w:rsid w:val="62829522"/>
    <w:rsid w:val="62847DB3"/>
    <w:rsid w:val="628537A1"/>
    <w:rsid w:val="62857AC4"/>
    <w:rsid w:val="6285968F"/>
    <w:rsid w:val="6286C9FA"/>
    <w:rsid w:val="6286FE1E"/>
    <w:rsid w:val="628704AB"/>
    <w:rsid w:val="62872EDB"/>
    <w:rsid w:val="628837F5"/>
    <w:rsid w:val="628918D6"/>
    <w:rsid w:val="62895E2D"/>
    <w:rsid w:val="628A5074"/>
    <w:rsid w:val="628AD52B"/>
    <w:rsid w:val="628B203F"/>
    <w:rsid w:val="628B3E90"/>
    <w:rsid w:val="628BFA65"/>
    <w:rsid w:val="628D6F7B"/>
    <w:rsid w:val="628F8ABB"/>
    <w:rsid w:val="62902603"/>
    <w:rsid w:val="62907F4B"/>
    <w:rsid w:val="629167A7"/>
    <w:rsid w:val="62923A60"/>
    <w:rsid w:val="6293400A"/>
    <w:rsid w:val="62936B55"/>
    <w:rsid w:val="6293A8E6"/>
    <w:rsid w:val="62940A65"/>
    <w:rsid w:val="62941D26"/>
    <w:rsid w:val="6294642B"/>
    <w:rsid w:val="629467CF"/>
    <w:rsid w:val="6294C918"/>
    <w:rsid w:val="62954BC6"/>
    <w:rsid w:val="6295E2D6"/>
    <w:rsid w:val="629626DC"/>
    <w:rsid w:val="6296C81E"/>
    <w:rsid w:val="62975217"/>
    <w:rsid w:val="62979C7C"/>
    <w:rsid w:val="62984592"/>
    <w:rsid w:val="6298F3EE"/>
    <w:rsid w:val="6299D5D1"/>
    <w:rsid w:val="6299E23C"/>
    <w:rsid w:val="629AB7A8"/>
    <w:rsid w:val="629AECDD"/>
    <w:rsid w:val="629B71D1"/>
    <w:rsid w:val="629C2A90"/>
    <w:rsid w:val="629D018B"/>
    <w:rsid w:val="629D951E"/>
    <w:rsid w:val="629E4B47"/>
    <w:rsid w:val="629E9659"/>
    <w:rsid w:val="629EF5D8"/>
    <w:rsid w:val="629F68C8"/>
    <w:rsid w:val="62A05864"/>
    <w:rsid w:val="62A1515B"/>
    <w:rsid w:val="62A2037C"/>
    <w:rsid w:val="62A2848C"/>
    <w:rsid w:val="62A3F446"/>
    <w:rsid w:val="62A426AF"/>
    <w:rsid w:val="62A49FAE"/>
    <w:rsid w:val="62A50882"/>
    <w:rsid w:val="62A54CA6"/>
    <w:rsid w:val="62A6E360"/>
    <w:rsid w:val="62A74033"/>
    <w:rsid w:val="62A79226"/>
    <w:rsid w:val="62A79EAB"/>
    <w:rsid w:val="62A7E78B"/>
    <w:rsid w:val="62A9E5C6"/>
    <w:rsid w:val="62AA52A4"/>
    <w:rsid w:val="62AB0762"/>
    <w:rsid w:val="62AC7D14"/>
    <w:rsid w:val="62AC85D6"/>
    <w:rsid w:val="62ACEB78"/>
    <w:rsid w:val="62ADE5EA"/>
    <w:rsid w:val="62ADF700"/>
    <w:rsid w:val="62AE3438"/>
    <w:rsid w:val="62AE99C4"/>
    <w:rsid w:val="62AFC2D4"/>
    <w:rsid w:val="62B003F4"/>
    <w:rsid w:val="62B0A3BD"/>
    <w:rsid w:val="62B0CE70"/>
    <w:rsid w:val="62B21EDC"/>
    <w:rsid w:val="62B27B75"/>
    <w:rsid w:val="62B2B349"/>
    <w:rsid w:val="62B2C6CD"/>
    <w:rsid w:val="62B2F6B8"/>
    <w:rsid w:val="62B38A32"/>
    <w:rsid w:val="62B40647"/>
    <w:rsid w:val="62B41C54"/>
    <w:rsid w:val="62B47BC1"/>
    <w:rsid w:val="62B4FEBC"/>
    <w:rsid w:val="62B5141B"/>
    <w:rsid w:val="62B58357"/>
    <w:rsid w:val="62B5D53E"/>
    <w:rsid w:val="62B66765"/>
    <w:rsid w:val="62B687A6"/>
    <w:rsid w:val="62B8CE02"/>
    <w:rsid w:val="62B929EF"/>
    <w:rsid w:val="62BA813C"/>
    <w:rsid w:val="62BAB472"/>
    <w:rsid w:val="62BABD14"/>
    <w:rsid w:val="62BAD082"/>
    <w:rsid w:val="62BBBF0E"/>
    <w:rsid w:val="62BBD423"/>
    <w:rsid w:val="62BD39F2"/>
    <w:rsid w:val="62BDFAA9"/>
    <w:rsid w:val="62BF616A"/>
    <w:rsid w:val="62BF6CB8"/>
    <w:rsid w:val="62BF9DC8"/>
    <w:rsid w:val="62C06D45"/>
    <w:rsid w:val="62C0B50E"/>
    <w:rsid w:val="62C103E2"/>
    <w:rsid w:val="62C2335C"/>
    <w:rsid w:val="62C24221"/>
    <w:rsid w:val="62C2521D"/>
    <w:rsid w:val="62C40BE3"/>
    <w:rsid w:val="62C4506C"/>
    <w:rsid w:val="62C456DE"/>
    <w:rsid w:val="62C46FB4"/>
    <w:rsid w:val="62C4C958"/>
    <w:rsid w:val="62C4EBDF"/>
    <w:rsid w:val="62C72DFC"/>
    <w:rsid w:val="62C83A9F"/>
    <w:rsid w:val="62C95672"/>
    <w:rsid w:val="62C9F62C"/>
    <w:rsid w:val="62CB24D2"/>
    <w:rsid w:val="62CB60E5"/>
    <w:rsid w:val="62CBB212"/>
    <w:rsid w:val="62CC7C8B"/>
    <w:rsid w:val="62CD1083"/>
    <w:rsid w:val="62CD2A9B"/>
    <w:rsid w:val="62CD88F7"/>
    <w:rsid w:val="62CDD892"/>
    <w:rsid w:val="62CDDB36"/>
    <w:rsid w:val="62CDFEDB"/>
    <w:rsid w:val="62CEEDEA"/>
    <w:rsid w:val="62D012D4"/>
    <w:rsid w:val="62D0C0EF"/>
    <w:rsid w:val="62D0CF0D"/>
    <w:rsid w:val="62D2FA04"/>
    <w:rsid w:val="62D3FE5D"/>
    <w:rsid w:val="62D4573D"/>
    <w:rsid w:val="62D54974"/>
    <w:rsid w:val="62D80835"/>
    <w:rsid w:val="62D91BC6"/>
    <w:rsid w:val="62D937EE"/>
    <w:rsid w:val="62D967D8"/>
    <w:rsid w:val="62D9B89A"/>
    <w:rsid w:val="62DA3CFC"/>
    <w:rsid w:val="62DB1C69"/>
    <w:rsid w:val="62DB5BB9"/>
    <w:rsid w:val="62DD2701"/>
    <w:rsid w:val="62DD3374"/>
    <w:rsid w:val="62DEB2DB"/>
    <w:rsid w:val="62DECE37"/>
    <w:rsid w:val="62DFD49C"/>
    <w:rsid w:val="62DFDC50"/>
    <w:rsid w:val="62E17FE6"/>
    <w:rsid w:val="62E1CD33"/>
    <w:rsid w:val="62E22339"/>
    <w:rsid w:val="62E22702"/>
    <w:rsid w:val="62E2D69C"/>
    <w:rsid w:val="62E42F30"/>
    <w:rsid w:val="62E4DD2A"/>
    <w:rsid w:val="62E57D06"/>
    <w:rsid w:val="62E5801F"/>
    <w:rsid w:val="62E5E96E"/>
    <w:rsid w:val="62E5F09A"/>
    <w:rsid w:val="62E689BA"/>
    <w:rsid w:val="62E6F11B"/>
    <w:rsid w:val="62E76607"/>
    <w:rsid w:val="62E76FC7"/>
    <w:rsid w:val="62E7BB24"/>
    <w:rsid w:val="62E7DC64"/>
    <w:rsid w:val="62E84607"/>
    <w:rsid w:val="62E8E30C"/>
    <w:rsid w:val="62E8E74D"/>
    <w:rsid w:val="62E9DE21"/>
    <w:rsid w:val="62EA512F"/>
    <w:rsid w:val="62EA88ED"/>
    <w:rsid w:val="62EB07DC"/>
    <w:rsid w:val="62ED3187"/>
    <w:rsid w:val="62EDAA3D"/>
    <w:rsid w:val="62EEBF34"/>
    <w:rsid w:val="62EFCA50"/>
    <w:rsid w:val="62F02FB4"/>
    <w:rsid w:val="62F19BF3"/>
    <w:rsid w:val="62F1F550"/>
    <w:rsid w:val="62F2C269"/>
    <w:rsid w:val="62F37344"/>
    <w:rsid w:val="62F50A8D"/>
    <w:rsid w:val="62F57502"/>
    <w:rsid w:val="62F5DC7B"/>
    <w:rsid w:val="62F62687"/>
    <w:rsid w:val="62F72C25"/>
    <w:rsid w:val="62F88E59"/>
    <w:rsid w:val="62F89D8F"/>
    <w:rsid w:val="62F94748"/>
    <w:rsid w:val="62F951BE"/>
    <w:rsid w:val="62F962EC"/>
    <w:rsid w:val="62F9D26B"/>
    <w:rsid w:val="62FB4C65"/>
    <w:rsid w:val="62FD60F4"/>
    <w:rsid w:val="62FD9117"/>
    <w:rsid w:val="62FDA4F3"/>
    <w:rsid w:val="62FEC0DC"/>
    <w:rsid w:val="62FF8830"/>
    <w:rsid w:val="62FF9511"/>
    <w:rsid w:val="6300A05C"/>
    <w:rsid w:val="630104B9"/>
    <w:rsid w:val="6301298E"/>
    <w:rsid w:val="6301412F"/>
    <w:rsid w:val="63029F03"/>
    <w:rsid w:val="6303DCFC"/>
    <w:rsid w:val="6303E323"/>
    <w:rsid w:val="6303FB3A"/>
    <w:rsid w:val="63041EB1"/>
    <w:rsid w:val="63051DF9"/>
    <w:rsid w:val="6305D00D"/>
    <w:rsid w:val="63069680"/>
    <w:rsid w:val="63082366"/>
    <w:rsid w:val="630880CA"/>
    <w:rsid w:val="63090AB4"/>
    <w:rsid w:val="63094365"/>
    <w:rsid w:val="63099587"/>
    <w:rsid w:val="630A70D4"/>
    <w:rsid w:val="630A7F1B"/>
    <w:rsid w:val="630B61C7"/>
    <w:rsid w:val="630BBB67"/>
    <w:rsid w:val="630E04E5"/>
    <w:rsid w:val="630E50A4"/>
    <w:rsid w:val="630E7FC4"/>
    <w:rsid w:val="630E905A"/>
    <w:rsid w:val="630F8743"/>
    <w:rsid w:val="6311E0A3"/>
    <w:rsid w:val="6314BA65"/>
    <w:rsid w:val="6314F5FE"/>
    <w:rsid w:val="6316C9C8"/>
    <w:rsid w:val="63176911"/>
    <w:rsid w:val="631877F2"/>
    <w:rsid w:val="631890B3"/>
    <w:rsid w:val="6318D3E6"/>
    <w:rsid w:val="6318DBBF"/>
    <w:rsid w:val="6319CC6F"/>
    <w:rsid w:val="631B0AF0"/>
    <w:rsid w:val="631B8778"/>
    <w:rsid w:val="631B9A41"/>
    <w:rsid w:val="631BC43A"/>
    <w:rsid w:val="631BFC71"/>
    <w:rsid w:val="631C820D"/>
    <w:rsid w:val="631CF031"/>
    <w:rsid w:val="631DC63E"/>
    <w:rsid w:val="631DDA25"/>
    <w:rsid w:val="631E623E"/>
    <w:rsid w:val="631FD238"/>
    <w:rsid w:val="631FED63"/>
    <w:rsid w:val="6320DEDE"/>
    <w:rsid w:val="6320E52E"/>
    <w:rsid w:val="63210210"/>
    <w:rsid w:val="63211C97"/>
    <w:rsid w:val="63222919"/>
    <w:rsid w:val="632294BF"/>
    <w:rsid w:val="632343C6"/>
    <w:rsid w:val="63238AE9"/>
    <w:rsid w:val="6323ED1B"/>
    <w:rsid w:val="6325E910"/>
    <w:rsid w:val="632616F5"/>
    <w:rsid w:val="63266DAE"/>
    <w:rsid w:val="63279872"/>
    <w:rsid w:val="632899D6"/>
    <w:rsid w:val="63290AFE"/>
    <w:rsid w:val="632AE6F7"/>
    <w:rsid w:val="632B4624"/>
    <w:rsid w:val="632B7D0D"/>
    <w:rsid w:val="632C11B6"/>
    <w:rsid w:val="632D691E"/>
    <w:rsid w:val="632F1D3A"/>
    <w:rsid w:val="633029DF"/>
    <w:rsid w:val="63306E5B"/>
    <w:rsid w:val="633078CC"/>
    <w:rsid w:val="6330CF7A"/>
    <w:rsid w:val="63311211"/>
    <w:rsid w:val="63317638"/>
    <w:rsid w:val="63322DA3"/>
    <w:rsid w:val="6332FB8C"/>
    <w:rsid w:val="6333325C"/>
    <w:rsid w:val="63333F56"/>
    <w:rsid w:val="6333BA89"/>
    <w:rsid w:val="633598F8"/>
    <w:rsid w:val="63359978"/>
    <w:rsid w:val="6336CCBC"/>
    <w:rsid w:val="6336D4D3"/>
    <w:rsid w:val="633731E6"/>
    <w:rsid w:val="6337553F"/>
    <w:rsid w:val="6337747D"/>
    <w:rsid w:val="6337D045"/>
    <w:rsid w:val="6339D514"/>
    <w:rsid w:val="633A2579"/>
    <w:rsid w:val="633CD621"/>
    <w:rsid w:val="633E38A6"/>
    <w:rsid w:val="63415DD5"/>
    <w:rsid w:val="63427F5A"/>
    <w:rsid w:val="6342CD3A"/>
    <w:rsid w:val="63430E0F"/>
    <w:rsid w:val="634435EE"/>
    <w:rsid w:val="63444EB1"/>
    <w:rsid w:val="63449847"/>
    <w:rsid w:val="6344C8FA"/>
    <w:rsid w:val="634523E9"/>
    <w:rsid w:val="6346B783"/>
    <w:rsid w:val="6346D35A"/>
    <w:rsid w:val="6346DF9A"/>
    <w:rsid w:val="6347832F"/>
    <w:rsid w:val="6347D852"/>
    <w:rsid w:val="63485371"/>
    <w:rsid w:val="63490633"/>
    <w:rsid w:val="63493D41"/>
    <w:rsid w:val="63496390"/>
    <w:rsid w:val="6349C9BE"/>
    <w:rsid w:val="6349CA40"/>
    <w:rsid w:val="634AD531"/>
    <w:rsid w:val="634ADDF7"/>
    <w:rsid w:val="634B882A"/>
    <w:rsid w:val="634CBB91"/>
    <w:rsid w:val="634DA104"/>
    <w:rsid w:val="634E6D0E"/>
    <w:rsid w:val="634EC4CE"/>
    <w:rsid w:val="634F4DF5"/>
    <w:rsid w:val="635027D1"/>
    <w:rsid w:val="635123A3"/>
    <w:rsid w:val="63518B31"/>
    <w:rsid w:val="6351E72F"/>
    <w:rsid w:val="6353D3F5"/>
    <w:rsid w:val="635453D2"/>
    <w:rsid w:val="6354DFD8"/>
    <w:rsid w:val="6355D4AB"/>
    <w:rsid w:val="6356622A"/>
    <w:rsid w:val="63566AA4"/>
    <w:rsid w:val="6356A278"/>
    <w:rsid w:val="6357DB7D"/>
    <w:rsid w:val="6359388A"/>
    <w:rsid w:val="63596486"/>
    <w:rsid w:val="635A2B9A"/>
    <w:rsid w:val="635B6B12"/>
    <w:rsid w:val="635BC2A2"/>
    <w:rsid w:val="635CB1A1"/>
    <w:rsid w:val="635DBEB6"/>
    <w:rsid w:val="635DD87E"/>
    <w:rsid w:val="63604263"/>
    <w:rsid w:val="63620F49"/>
    <w:rsid w:val="6363A4AF"/>
    <w:rsid w:val="63640C5C"/>
    <w:rsid w:val="636439EB"/>
    <w:rsid w:val="6364C870"/>
    <w:rsid w:val="636504A1"/>
    <w:rsid w:val="6365A16A"/>
    <w:rsid w:val="6365D9BC"/>
    <w:rsid w:val="6365ED67"/>
    <w:rsid w:val="6367C6B4"/>
    <w:rsid w:val="63681FB5"/>
    <w:rsid w:val="63683145"/>
    <w:rsid w:val="6368DC93"/>
    <w:rsid w:val="63691407"/>
    <w:rsid w:val="636B5A03"/>
    <w:rsid w:val="636B5AD5"/>
    <w:rsid w:val="636C6D68"/>
    <w:rsid w:val="636D7EF8"/>
    <w:rsid w:val="636E1B2B"/>
    <w:rsid w:val="636F81E0"/>
    <w:rsid w:val="63700AA1"/>
    <w:rsid w:val="6370DC12"/>
    <w:rsid w:val="63719FC9"/>
    <w:rsid w:val="63724E19"/>
    <w:rsid w:val="63729A38"/>
    <w:rsid w:val="637326D8"/>
    <w:rsid w:val="6374D0FA"/>
    <w:rsid w:val="6374FA1D"/>
    <w:rsid w:val="63752C52"/>
    <w:rsid w:val="63755CDD"/>
    <w:rsid w:val="6375B18C"/>
    <w:rsid w:val="6376401E"/>
    <w:rsid w:val="63768233"/>
    <w:rsid w:val="63773A3D"/>
    <w:rsid w:val="637782FC"/>
    <w:rsid w:val="637784AD"/>
    <w:rsid w:val="63779BCD"/>
    <w:rsid w:val="63779C21"/>
    <w:rsid w:val="63789532"/>
    <w:rsid w:val="63792A86"/>
    <w:rsid w:val="6379D02C"/>
    <w:rsid w:val="637A4BBB"/>
    <w:rsid w:val="637A98E9"/>
    <w:rsid w:val="637B3F14"/>
    <w:rsid w:val="637B6EB6"/>
    <w:rsid w:val="637BD6A8"/>
    <w:rsid w:val="637C2309"/>
    <w:rsid w:val="637C609A"/>
    <w:rsid w:val="637C675B"/>
    <w:rsid w:val="637C92B3"/>
    <w:rsid w:val="637CC211"/>
    <w:rsid w:val="637D8CB9"/>
    <w:rsid w:val="637E3B14"/>
    <w:rsid w:val="637ECA1F"/>
    <w:rsid w:val="637F4267"/>
    <w:rsid w:val="637FFC43"/>
    <w:rsid w:val="638027B8"/>
    <w:rsid w:val="63808644"/>
    <w:rsid w:val="6381326E"/>
    <w:rsid w:val="63817D81"/>
    <w:rsid w:val="6381DFE5"/>
    <w:rsid w:val="6382C001"/>
    <w:rsid w:val="63840935"/>
    <w:rsid w:val="6384C8FE"/>
    <w:rsid w:val="6384E59E"/>
    <w:rsid w:val="6384F805"/>
    <w:rsid w:val="638613A8"/>
    <w:rsid w:val="6386833C"/>
    <w:rsid w:val="6386EADA"/>
    <w:rsid w:val="6387342C"/>
    <w:rsid w:val="6388257C"/>
    <w:rsid w:val="63884C56"/>
    <w:rsid w:val="63886FB3"/>
    <w:rsid w:val="63888CA6"/>
    <w:rsid w:val="6388BB8A"/>
    <w:rsid w:val="6388CC68"/>
    <w:rsid w:val="63897396"/>
    <w:rsid w:val="638973CF"/>
    <w:rsid w:val="6389E97D"/>
    <w:rsid w:val="638A1E29"/>
    <w:rsid w:val="638A6952"/>
    <w:rsid w:val="638A8507"/>
    <w:rsid w:val="638B126D"/>
    <w:rsid w:val="638B147B"/>
    <w:rsid w:val="638BC819"/>
    <w:rsid w:val="638BDD8A"/>
    <w:rsid w:val="638CA675"/>
    <w:rsid w:val="638CDAFB"/>
    <w:rsid w:val="638DD128"/>
    <w:rsid w:val="638DE96C"/>
    <w:rsid w:val="638E6D5C"/>
    <w:rsid w:val="638E7854"/>
    <w:rsid w:val="638E78ED"/>
    <w:rsid w:val="638EA016"/>
    <w:rsid w:val="638EBDD6"/>
    <w:rsid w:val="638EF58D"/>
    <w:rsid w:val="638F0018"/>
    <w:rsid w:val="638F76A2"/>
    <w:rsid w:val="63905646"/>
    <w:rsid w:val="6390DD63"/>
    <w:rsid w:val="63913785"/>
    <w:rsid w:val="63914981"/>
    <w:rsid w:val="6391B8B6"/>
    <w:rsid w:val="6392A9A7"/>
    <w:rsid w:val="639312BC"/>
    <w:rsid w:val="639339B2"/>
    <w:rsid w:val="639359C4"/>
    <w:rsid w:val="63946EEE"/>
    <w:rsid w:val="63961DBD"/>
    <w:rsid w:val="6396C9C1"/>
    <w:rsid w:val="63972291"/>
    <w:rsid w:val="63972919"/>
    <w:rsid w:val="63977A36"/>
    <w:rsid w:val="6398CF81"/>
    <w:rsid w:val="6398E7A0"/>
    <w:rsid w:val="639A2AC8"/>
    <w:rsid w:val="639B1CF6"/>
    <w:rsid w:val="639BC0B9"/>
    <w:rsid w:val="639BE3AF"/>
    <w:rsid w:val="639C0858"/>
    <w:rsid w:val="639C0D33"/>
    <w:rsid w:val="639CB476"/>
    <w:rsid w:val="639D3144"/>
    <w:rsid w:val="639D5D0B"/>
    <w:rsid w:val="639F4903"/>
    <w:rsid w:val="63A004C6"/>
    <w:rsid w:val="63A01013"/>
    <w:rsid w:val="63A0213D"/>
    <w:rsid w:val="63A0DE0A"/>
    <w:rsid w:val="63A133F9"/>
    <w:rsid w:val="63A16192"/>
    <w:rsid w:val="63A18C24"/>
    <w:rsid w:val="63A1B15A"/>
    <w:rsid w:val="63A24E25"/>
    <w:rsid w:val="63A2BD85"/>
    <w:rsid w:val="63A2D516"/>
    <w:rsid w:val="63A4236C"/>
    <w:rsid w:val="63A49EA0"/>
    <w:rsid w:val="63A4FD40"/>
    <w:rsid w:val="63A526FD"/>
    <w:rsid w:val="63A5322A"/>
    <w:rsid w:val="63A5FF5D"/>
    <w:rsid w:val="63A6BA9F"/>
    <w:rsid w:val="63A81CB3"/>
    <w:rsid w:val="63A8D010"/>
    <w:rsid w:val="63A9485E"/>
    <w:rsid w:val="63AA7111"/>
    <w:rsid w:val="63AB45AF"/>
    <w:rsid w:val="63AB628D"/>
    <w:rsid w:val="63AB8266"/>
    <w:rsid w:val="63AC64D2"/>
    <w:rsid w:val="63AC9EBA"/>
    <w:rsid w:val="63ACD039"/>
    <w:rsid w:val="63ACE2C8"/>
    <w:rsid w:val="63AD5ABD"/>
    <w:rsid w:val="63AD7F6B"/>
    <w:rsid w:val="63ADE191"/>
    <w:rsid w:val="63AEA431"/>
    <w:rsid w:val="63AEE6C6"/>
    <w:rsid w:val="63AFB654"/>
    <w:rsid w:val="63B0E9B4"/>
    <w:rsid w:val="63B0F01F"/>
    <w:rsid w:val="63B0F6E1"/>
    <w:rsid w:val="63B14805"/>
    <w:rsid w:val="63B1A226"/>
    <w:rsid w:val="63B1A469"/>
    <w:rsid w:val="63B27892"/>
    <w:rsid w:val="63B3883B"/>
    <w:rsid w:val="63B3C265"/>
    <w:rsid w:val="63B4463B"/>
    <w:rsid w:val="63B5AEC5"/>
    <w:rsid w:val="63B5D713"/>
    <w:rsid w:val="63B6CE3C"/>
    <w:rsid w:val="63B74533"/>
    <w:rsid w:val="63B82BF2"/>
    <w:rsid w:val="63B973AA"/>
    <w:rsid w:val="63BA917E"/>
    <w:rsid w:val="63BBB19B"/>
    <w:rsid w:val="63BBBE4A"/>
    <w:rsid w:val="63BBF26C"/>
    <w:rsid w:val="63BC0B3E"/>
    <w:rsid w:val="63BC1342"/>
    <w:rsid w:val="63BD25CC"/>
    <w:rsid w:val="63BD2A30"/>
    <w:rsid w:val="63BE05E4"/>
    <w:rsid w:val="63BFCA77"/>
    <w:rsid w:val="63C0A874"/>
    <w:rsid w:val="63C0E525"/>
    <w:rsid w:val="63C16711"/>
    <w:rsid w:val="63C19A04"/>
    <w:rsid w:val="63C2955F"/>
    <w:rsid w:val="63C2A7FB"/>
    <w:rsid w:val="63C2CB77"/>
    <w:rsid w:val="63C2E436"/>
    <w:rsid w:val="63C327B7"/>
    <w:rsid w:val="63C39B54"/>
    <w:rsid w:val="63C41B7C"/>
    <w:rsid w:val="63C42030"/>
    <w:rsid w:val="63C48E84"/>
    <w:rsid w:val="63C4936B"/>
    <w:rsid w:val="63C599D6"/>
    <w:rsid w:val="63C5A949"/>
    <w:rsid w:val="63C609F8"/>
    <w:rsid w:val="63C6A84C"/>
    <w:rsid w:val="63C719CD"/>
    <w:rsid w:val="63C778EB"/>
    <w:rsid w:val="63C7809A"/>
    <w:rsid w:val="63C78C8D"/>
    <w:rsid w:val="63CA12B6"/>
    <w:rsid w:val="63CA2889"/>
    <w:rsid w:val="63CA7014"/>
    <w:rsid w:val="63CB8C2E"/>
    <w:rsid w:val="63CBBCE1"/>
    <w:rsid w:val="63CC189F"/>
    <w:rsid w:val="63CC5032"/>
    <w:rsid w:val="63CCBF29"/>
    <w:rsid w:val="63CCE1CF"/>
    <w:rsid w:val="63CDA3E5"/>
    <w:rsid w:val="63CDDB30"/>
    <w:rsid w:val="63CDF23B"/>
    <w:rsid w:val="63CE55B5"/>
    <w:rsid w:val="63CEE180"/>
    <w:rsid w:val="63CF46B5"/>
    <w:rsid w:val="63CF81F4"/>
    <w:rsid w:val="63D07C75"/>
    <w:rsid w:val="63D1BEF8"/>
    <w:rsid w:val="63D24FE9"/>
    <w:rsid w:val="63D2DBCD"/>
    <w:rsid w:val="63D2E448"/>
    <w:rsid w:val="63D3AFBB"/>
    <w:rsid w:val="63D58317"/>
    <w:rsid w:val="63D62D86"/>
    <w:rsid w:val="63D6D349"/>
    <w:rsid w:val="63D890F3"/>
    <w:rsid w:val="63D9A52F"/>
    <w:rsid w:val="63DB0A2A"/>
    <w:rsid w:val="63DBD819"/>
    <w:rsid w:val="63DC8D71"/>
    <w:rsid w:val="63DCA1BE"/>
    <w:rsid w:val="63DD67EE"/>
    <w:rsid w:val="63DE6D4E"/>
    <w:rsid w:val="63DECFE2"/>
    <w:rsid w:val="63DF8496"/>
    <w:rsid w:val="63E0648D"/>
    <w:rsid w:val="63E1E6FD"/>
    <w:rsid w:val="63E21EAE"/>
    <w:rsid w:val="63E233D2"/>
    <w:rsid w:val="63E30694"/>
    <w:rsid w:val="63E36514"/>
    <w:rsid w:val="63E38BF6"/>
    <w:rsid w:val="63E439F8"/>
    <w:rsid w:val="63E46D75"/>
    <w:rsid w:val="63E4E6FF"/>
    <w:rsid w:val="63E50AD0"/>
    <w:rsid w:val="63E5BBE3"/>
    <w:rsid w:val="63E5EFA4"/>
    <w:rsid w:val="63E699AD"/>
    <w:rsid w:val="63E9827A"/>
    <w:rsid w:val="63EA5F0D"/>
    <w:rsid w:val="63EB8015"/>
    <w:rsid w:val="63EB8AC5"/>
    <w:rsid w:val="63ECA92C"/>
    <w:rsid w:val="63ECDB2D"/>
    <w:rsid w:val="63ED5180"/>
    <w:rsid w:val="63EDA005"/>
    <w:rsid w:val="63EDF898"/>
    <w:rsid w:val="63EF1B6A"/>
    <w:rsid w:val="63EF21BD"/>
    <w:rsid w:val="63EF664E"/>
    <w:rsid w:val="63EF6DBF"/>
    <w:rsid w:val="63EFA0AF"/>
    <w:rsid w:val="63F0355E"/>
    <w:rsid w:val="63F0CC05"/>
    <w:rsid w:val="63F23BA8"/>
    <w:rsid w:val="63F35F0D"/>
    <w:rsid w:val="63F43C26"/>
    <w:rsid w:val="63F45B59"/>
    <w:rsid w:val="63F530E9"/>
    <w:rsid w:val="63F67146"/>
    <w:rsid w:val="63F68179"/>
    <w:rsid w:val="63F692C0"/>
    <w:rsid w:val="63F6AA75"/>
    <w:rsid w:val="63F76409"/>
    <w:rsid w:val="63F788C1"/>
    <w:rsid w:val="63F7E84A"/>
    <w:rsid w:val="63F7ED17"/>
    <w:rsid w:val="63F87F2E"/>
    <w:rsid w:val="63F92627"/>
    <w:rsid w:val="63F93226"/>
    <w:rsid w:val="63FA24C0"/>
    <w:rsid w:val="63FAC9CA"/>
    <w:rsid w:val="63FB3176"/>
    <w:rsid w:val="63FBA3DB"/>
    <w:rsid w:val="63FBEC1A"/>
    <w:rsid w:val="63FC2B35"/>
    <w:rsid w:val="63FC3391"/>
    <w:rsid w:val="63FC3CDD"/>
    <w:rsid w:val="63FCA3B0"/>
    <w:rsid w:val="63FCB50D"/>
    <w:rsid w:val="63FCB643"/>
    <w:rsid w:val="63FD0199"/>
    <w:rsid w:val="63FD1B98"/>
    <w:rsid w:val="63FD9A15"/>
    <w:rsid w:val="63FE1978"/>
    <w:rsid w:val="63FFB9CA"/>
    <w:rsid w:val="6402E500"/>
    <w:rsid w:val="640350E2"/>
    <w:rsid w:val="64046A97"/>
    <w:rsid w:val="64057FFC"/>
    <w:rsid w:val="64079AFA"/>
    <w:rsid w:val="640817B0"/>
    <w:rsid w:val="6408AA89"/>
    <w:rsid w:val="64096872"/>
    <w:rsid w:val="640A9504"/>
    <w:rsid w:val="640AAEFE"/>
    <w:rsid w:val="640B4DC3"/>
    <w:rsid w:val="640BA686"/>
    <w:rsid w:val="640C2B63"/>
    <w:rsid w:val="640E9590"/>
    <w:rsid w:val="640EAC08"/>
    <w:rsid w:val="640F1D7B"/>
    <w:rsid w:val="640F87ED"/>
    <w:rsid w:val="640F8882"/>
    <w:rsid w:val="640FB99D"/>
    <w:rsid w:val="64115588"/>
    <w:rsid w:val="6411DE03"/>
    <w:rsid w:val="64126EAA"/>
    <w:rsid w:val="6413E2F8"/>
    <w:rsid w:val="64142336"/>
    <w:rsid w:val="64148BEF"/>
    <w:rsid w:val="6415DE79"/>
    <w:rsid w:val="64160EC9"/>
    <w:rsid w:val="641659B1"/>
    <w:rsid w:val="64166709"/>
    <w:rsid w:val="6416ECE2"/>
    <w:rsid w:val="64176AA1"/>
    <w:rsid w:val="6417C323"/>
    <w:rsid w:val="641814E2"/>
    <w:rsid w:val="64192583"/>
    <w:rsid w:val="6419A0AF"/>
    <w:rsid w:val="641A3D69"/>
    <w:rsid w:val="641B8753"/>
    <w:rsid w:val="641B9AED"/>
    <w:rsid w:val="641E2A1B"/>
    <w:rsid w:val="641E9C01"/>
    <w:rsid w:val="641F5131"/>
    <w:rsid w:val="641FC542"/>
    <w:rsid w:val="64204FF2"/>
    <w:rsid w:val="64205447"/>
    <w:rsid w:val="64207379"/>
    <w:rsid w:val="6421A73C"/>
    <w:rsid w:val="64256819"/>
    <w:rsid w:val="642729AC"/>
    <w:rsid w:val="64274AC8"/>
    <w:rsid w:val="6427AB77"/>
    <w:rsid w:val="6427FE9B"/>
    <w:rsid w:val="64286767"/>
    <w:rsid w:val="64293A61"/>
    <w:rsid w:val="6429D68D"/>
    <w:rsid w:val="642A503B"/>
    <w:rsid w:val="642A86E6"/>
    <w:rsid w:val="642B455E"/>
    <w:rsid w:val="642BEB78"/>
    <w:rsid w:val="642C4FCD"/>
    <w:rsid w:val="642CE1DF"/>
    <w:rsid w:val="642E2F26"/>
    <w:rsid w:val="642E8BF9"/>
    <w:rsid w:val="642F1E6C"/>
    <w:rsid w:val="642F4D2A"/>
    <w:rsid w:val="642F700A"/>
    <w:rsid w:val="642F8938"/>
    <w:rsid w:val="643050D1"/>
    <w:rsid w:val="64306276"/>
    <w:rsid w:val="6430A573"/>
    <w:rsid w:val="6430D0F8"/>
    <w:rsid w:val="6431BB91"/>
    <w:rsid w:val="6431F78F"/>
    <w:rsid w:val="6432861E"/>
    <w:rsid w:val="6432A67C"/>
    <w:rsid w:val="6432CA91"/>
    <w:rsid w:val="6433DA31"/>
    <w:rsid w:val="6434234D"/>
    <w:rsid w:val="6435FCF7"/>
    <w:rsid w:val="64368F4A"/>
    <w:rsid w:val="643793FA"/>
    <w:rsid w:val="64388B16"/>
    <w:rsid w:val="64393DF2"/>
    <w:rsid w:val="6439C2BE"/>
    <w:rsid w:val="643B40A0"/>
    <w:rsid w:val="643C4AB5"/>
    <w:rsid w:val="643C618D"/>
    <w:rsid w:val="643D2997"/>
    <w:rsid w:val="643D5E44"/>
    <w:rsid w:val="643DC502"/>
    <w:rsid w:val="643E48C0"/>
    <w:rsid w:val="643EE2F3"/>
    <w:rsid w:val="643EFE20"/>
    <w:rsid w:val="643F0243"/>
    <w:rsid w:val="643F0473"/>
    <w:rsid w:val="643F7694"/>
    <w:rsid w:val="643FE1CE"/>
    <w:rsid w:val="6440225C"/>
    <w:rsid w:val="6440ECBB"/>
    <w:rsid w:val="6441675B"/>
    <w:rsid w:val="6441731E"/>
    <w:rsid w:val="6442606B"/>
    <w:rsid w:val="6442C854"/>
    <w:rsid w:val="6443F459"/>
    <w:rsid w:val="644433A8"/>
    <w:rsid w:val="64449593"/>
    <w:rsid w:val="6444B8B1"/>
    <w:rsid w:val="64456B8B"/>
    <w:rsid w:val="6446F307"/>
    <w:rsid w:val="644724F8"/>
    <w:rsid w:val="64472973"/>
    <w:rsid w:val="64491060"/>
    <w:rsid w:val="644A167C"/>
    <w:rsid w:val="644A4A1D"/>
    <w:rsid w:val="644A8D5F"/>
    <w:rsid w:val="644AAED3"/>
    <w:rsid w:val="644B517B"/>
    <w:rsid w:val="644BA901"/>
    <w:rsid w:val="644BCE9F"/>
    <w:rsid w:val="644BF660"/>
    <w:rsid w:val="644C5B65"/>
    <w:rsid w:val="644C5CE2"/>
    <w:rsid w:val="644CD14C"/>
    <w:rsid w:val="644D1964"/>
    <w:rsid w:val="644D4091"/>
    <w:rsid w:val="644EE14B"/>
    <w:rsid w:val="6450CF5A"/>
    <w:rsid w:val="64520936"/>
    <w:rsid w:val="64529796"/>
    <w:rsid w:val="6452A800"/>
    <w:rsid w:val="64530FCC"/>
    <w:rsid w:val="6453A7D1"/>
    <w:rsid w:val="645479C3"/>
    <w:rsid w:val="645542B9"/>
    <w:rsid w:val="64554FC1"/>
    <w:rsid w:val="645619DA"/>
    <w:rsid w:val="6456ABE4"/>
    <w:rsid w:val="6457C6AB"/>
    <w:rsid w:val="64589480"/>
    <w:rsid w:val="6458D01A"/>
    <w:rsid w:val="64590509"/>
    <w:rsid w:val="64596451"/>
    <w:rsid w:val="645A7339"/>
    <w:rsid w:val="645B4CAB"/>
    <w:rsid w:val="645C415B"/>
    <w:rsid w:val="645DD265"/>
    <w:rsid w:val="645FDB78"/>
    <w:rsid w:val="646029A4"/>
    <w:rsid w:val="64602B9F"/>
    <w:rsid w:val="6460412D"/>
    <w:rsid w:val="6460AA0D"/>
    <w:rsid w:val="646249C1"/>
    <w:rsid w:val="646264B2"/>
    <w:rsid w:val="64629D02"/>
    <w:rsid w:val="64646427"/>
    <w:rsid w:val="64657AAE"/>
    <w:rsid w:val="64658AA4"/>
    <w:rsid w:val="6466391C"/>
    <w:rsid w:val="6466702F"/>
    <w:rsid w:val="6466F14D"/>
    <w:rsid w:val="646736AF"/>
    <w:rsid w:val="6468AB88"/>
    <w:rsid w:val="6468E500"/>
    <w:rsid w:val="646B6259"/>
    <w:rsid w:val="646B9222"/>
    <w:rsid w:val="646D524C"/>
    <w:rsid w:val="646DE040"/>
    <w:rsid w:val="646FCBDC"/>
    <w:rsid w:val="64700047"/>
    <w:rsid w:val="64718A48"/>
    <w:rsid w:val="64721FAA"/>
    <w:rsid w:val="64737910"/>
    <w:rsid w:val="6474CB2C"/>
    <w:rsid w:val="64754FB8"/>
    <w:rsid w:val="6476A2CA"/>
    <w:rsid w:val="64771E0B"/>
    <w:rsid w:val="64784890"/>
    <w:rsid w:val="647903D5"/>
    <w:rsid w:val="6479239F"/>
    <w:rsid w:val="647972BD"/>
    <w:rsid w:val="6479AE24"/>
    <w:rsid w:val="647B76CB"/>
    <w:rsid w:val="647C10D5"/>
    <w:rsid w:val="647D2E72"/>
    <w:rsid w:val="647D622C"/>
    <w:rsid w:val="647D7BEF"/>
    <w:rsid w:val="647E1A39"/>
    <w:rsid w:val="647E2D3F"/>
    <w:rsid w:val="647E3AE8"/>
    <w:rsid w:val="647EB768"/>
    <w:rsid w:val="647F3225"/>
    <w:rsid w:val="6480394D"/>
    <w:rsid w:val="6480B33D"/>
    <w:rsid w:val="6480D31B"/>
    <w:rsid w:val="6481FAA2"/>
    <w:rsid w:val="64823F8E"/>
    <w:rsid w:val="6482C17C"/>
    <w:rsid w:val="64843CD3"/>
    <w:rsid w:val="6484B95E"/>
    <w:rsid w:val="6484C225"/>
    <w:rsid w:val="6484CF46"/>
    <w:rsid w:val="6485F3DE"/>
    <w:rsid w:val="648696C9"/>
    <w:rsid w:val="6486D790"/>
    <w:rsid w:val="6486FF70"/>
    <w:rsid w:val="6487DA8B"/>
    <w:rsid w:val="6489FAAC"/>
    <w:rsid w:val="648A9AF6"/>
    <w:rsid w:val="648AF2C7"/>
    <w:rsid w:val="648AFB1D"/>
    <w:rsid w:val="648BFEB5"/>
    <w:rsid w:val="648CC4C9"/>
    <w:rsid w:val="648DC064"/>
    <w:rsid w:val="6490237A"/>
    <w:rsid w:val="6490247E"/>
    <w:rsid w:val="6490388E"/>
    <w:rsid w:val="64915A7F"/>
    <w:rsid w:val="64922F6F"/>
    <w:rsid w:val="6492E30D"/>
    <w:rsid w:val="6492F45E"/>
    <w:rsid w:val="6493206A"/>
    <w:rsid w:val="649366C2"/>
    <w:rsid w:val="649384C0"/>
    <w:rsid w:val="6493B55B"/>
    <w:rsid w:val="6493F04D"/>
    <w:rsid w:val="649505C4"/>
    <w:rsid w:val="649517FC"/>
    <w:rsid w:val="64958D88"/>
    <w:rsid w:val="6495F530"/>
    <w:rsid w:val="6498F5CF"/>
    <w:rsid w:val="64997DC7"/>
    <w:rsid w:val="64998734"/>
    <w:rsid w:val="649A6646"/>
    <w:rsid w:val="649A98ED"/>
    <w:rsid w:val="649AD026"/>
    <w:rsid w:val="649CA5EB"/>
    <w:rsid w:val="649CA629"/>
    <w:rsid w:val="649CF28A"/>
    <w:rsid w:val="649D1B1C"/>
    <w:rsid w:val="649D2EB6"/>
    <w:rsid w:val="649D4E93"/>
    <w:rsid w:val="649ED76D"/>
    <w:rsid w:val="649F0D2B"/>
    <w:rsid w:val="649F15A7"/>
    <w:rsid w:val="649F85CB"/>
    <w:rsid w:val="649FD9AF"/>
    <w:rsid w:val="64A14FBB"/>
    <w:rsid w:val="64A166D1"/>
    <w:rsid w:val="64A1E89B"/>
    <w:rsid w:val="64A1EE29"/>
    <w:rsid w:val="64A25BB0"/>
    <w:rsid w:val="64A29B06"/>
    <w:rsid w:val="64A2E653"/>
    <w:rsid w:val="64A338DB"/>
    <w:rsid w:val="64A3751D"/>
    <w:rsid w:val="64A44EA1"/>
    <w:rsid w:val="64A453E5"/>
    <w:rsid w:val="64A45C51"/>
    <w:rsid w:val="64A5CF5E"/>
    <w:rsid w:val="64A62072"/>
    <w:rsid w:val="64A7EA87"/>
    <w:rsid w:val="64A92E93"/>
    <w:rsid w:val="64AA21A0"/>
    <w:rsid w:val="64AA3101"/>
    <w:rsid w:val="64AAA371"/>
    <w:rsid w:val="64AACA7D"/>
    <w:rsid w:val="64AAEA18"/>
    <w:rsid w:val="64AAF7A1"/>
    <w:rsid w:val="64ABD9F6"/>
    <w:rsid w:val="64ABF565"/>
    <w:rsid w:val="64ACC357"/>
    <w:rsid w:val="64AD3322"/>
    <w:rsid w:val="64ADA2BD"/>
    <w:rsid w:val="64AEE5FD"/>
    <w:rsid w:val="64AF2ADE"/>
    <w:rsid w:val="64AF7A6B"/>
    <w:rsid w:val="64AFBFD2"/>
    <w:rsid w:val="64B0533C"/>
    <w:rsid w:val="64B06759"/>
    <w:rsid w:val="64B07458"/>
    <w:rsid w:val="64B0ED71"/>
    <w:rsid w:val="64B1368B"/>
    <w:rsid w:val="64B22DC1"/>
    <w:rsid w:val="64B269BF"/>
    <w:rsid w:val="64B2EA52"/>
    <w:rsid w:val="64B3ECCC"/>
    <w:rsid w:val="64B4C7CC"/>
    <w:rsid w:val="64B503FF"/>
    <w:rsid w:val="64B53F06"/>
    <w:rsid w:val="64B66353"/>
    <w:rsid w:val="64B779BE"/>
    <w:rsid w:val="64B7F644"/>
    <w:rsid w:val="64B84777"/>
    <w:rsid w:val="64B8721F"/>
    <w:rsid w:val="64B8BD25"/>
    <w:rsid w:val="64B8FB86"/>
    <w:rsid w:val="64B9037F"/>
    <w:rsid w:val="64BAB841"/>
    <w:rsid w:val="64BAE97E"/>
    <w:rsid w:val="64BC5A08"/>
    <w:rsid w:val="64BC78A3"/>
    <w:rsid w:val="64BCB6FB"/>
    <w:rsid w:val="64BD312F"/>
    <w:rsid w:val="64BDECEC"/>
    <w:rsid w:val="64BE3764"/>
    <w:rsid w:val="64C026E5"/>
    <w:rsid w:val="64C03161"/>
    <w:rsid w:val="64C0D58F"/>
    <w:rsid w:val="64C0F951"/>
    <w:rsid w:val="64C3E9E5"/>
    <w:rsid w:val="64C40314"/>
    <w:rsid w:val="64C44092"/>
    <w:rsid w:val="64C4F487"/>
    <w:rsid w:val="64C54848"/>
    <w:rsid w:val="64C612D1"/>
    <w:rsid w:val="64C70ABC"/>
    <w:rsid w:val="64C79660"/>
    <w:rsid w:val="64C8D2BF"/>
    <w:rsid w:val="64CA890E"/>
    <w:rsid w:val="64CABC30"/>
    <w:rsid w:val="64CC15EF"/>
    <w:rsid w:val="64CD8B7C"/>
    <w:rsid w:val="64CDF029"/>
    <w:rsid w:val="64CE2A2B"/>
    <w:rsid w:val="64CE4544"/>
    <w:rsid w:val="64CEFBF9"/>
    <w:rsid w:val="64CF3DB8"/>
    <w:rsid w:val="64CF5836"/>
    <w:rsid w:val="64CFDDBD"/>
    <w:rsid w:val="64D0548B"/>
    <w:rsid w:val="64D11C6D"/>
    <w:rsid w:val="64D15969"/>
    <w:rsid w:val="64D1B73B"/>
    <w:rsid w:val="64D30598"/>
    <w:rsid w:val="64D4C888"/>
    <w:rsid w:val="64D4ECFE"/>
    <w:rsid w:val="64D52CF9"/>
    <w:rsid w:val="64D5D530"/>
    <w:rsid w:val="64D76748"/>
    <w:rsid w:val="64D78F11"/>
    <w:rsid w:val="64D81CE6"/>
    <w:rsid w:val="64D9DDE1"/>
    <w:rsid w:val="64DACB36"/>
    <w:rsid w:val="64DBC1A6"/>
    <w:rsid w:val="64DD4FFE"/>
    <w:rsid w:val="64DD9C80"/>
    <w:rsid w:val="64DDBBAE"/>
    <w:rsid w:val="64DEA7C2"/>
    <w:rsid w:val="64DEC94A"/>
    <w:rsid w:val="64DED764"/>
    <w:rsid w:val="64DF1446"/>
    <w:rsid w:val="64DFF508"/>
    <w:rsid w:val="64E055D1"/>
    <w:rsid w:val="64E06FFF"/>
    <w:rsid w:val="64E0CC86"/>
    <w:rsid w:val="64E1141A"/>
    <w:rsid w:val="64E180C1"/>
    <w:rsid w:val="64E1CEFC"/>
    <w:rsid w:val="64E1DEA6"/>
    <w:rsid w:val="64E2D327"/>
    <w:rsid w:val="64E2FA27"/>
    <w:rsid w:val="64E3C171"/>
    <w:rsid w:val="64E3D335"/>
    <w:rsid w:val="64E3D974"/>
    <w:rsid w:val="64E4F02C"/>
    <w:rsid w:val="64E567FC"/>
    <w:rsid w:val="64E6AFDB"/>
    <w:rsid w:val="64E6E305"/>
    <w:rsid w:val="64E7C262"/>
    <w:rsid w:val="64E89ADB"/>
    <w:rsid w:val="64E8D958"/>
    <w:rsid w:val="64E96955"/>
    <w:rsid w:val="64E9EFB6"/>
    <w:rsid w:val="64EA6F64"/>
    <w:rsid w:val="64EAC6F6"/>
    <w:rsid w:val="64EB8A41"/>
    <w:rsid w:val="64EC25A1"/>
    <w:rsid w:val="64EC28E0"/>
    <w:rsid w:val="64ED0CA4"/>
    <w:rsid w:val="64ED496E"/>
    <w:rsid w:val="64EDA5D5"/>
    <w:rsid w:val="64EE48A6"/>
    <w:rsid w:val="64EE7285"/>
    <w:rsid w:val="64EF1BD9"/>
    <w:rsid w:val="64EF2975"/>
    <w:rsid w:val="64EF7FCC"/>
    <w:rsid w:val="64EFA927"/>
    <w:rsid w:val="64F0899C"/>
    <w:rsid w:val="64F1F43F"/>
    <w:rsid w:val="64F21E60"/>
    <w:rsid w:val="64F289A2"/>
    <w:rsid w:val="64F28BB3"/>
    <w:rsid w:val="64F30C2B"/>
    <w:rsid w:val="64F345E7"/>
    <w:rsid w:val="64F36D0C"/>
    <w:rsid w:val="64F3D989"/>
    <w:rsid w:val="64F44F57"/>
    <w:rsid w:val="64F4A52E"/>
    <w:rsid w:val="64F553F6"/>
    <w:rsid w:val="64F56CBD"/>
    <w:rsid w:val="64F58823"/>
    <w:rsid w:val="64F78A7A"/>
    <w:rsid w:val="64F81A7A"/>
    <w:rsid w:val="64F8BC39"/>
    <w:rsid w:val="64F94F49"/>
    <w:rsid w:val="64F99509"/>
    <w:rsid w:val="64F9AB0E"/>
    <w:rsid w:val="64F9F798"/>
    <w:rsid w:val="64FA9DE9"/>
    <w:rsid w:val="64FB0F1B"/>
    <w:rsid w:val="64FB3B1F"/>
    <w:rsid w:val="64FB3FCE"/>
    <w:rsid w:val="64FB9ADF"/>
    <w:rsid w:val="64FF8A29"/>
    <w:rsid w:val="65007D51"/>
    <w:rsid w:val="65009DA5"/>
    <w:rsid w:val="6500D11C"/>
    <w:rsid w:val="65022F6C"/>
    <w:rsid w:val="65029A1E"/>
    <w:rsid w:val="6502B583"/>
    <w:rsid w:val="6503557B"/>
    <w:rsid w:val="6504FD13"/>
    <w:rsid w:val="65051658"/>
    <w:rsid w:val="65052919"/>
    <w:rsid w:val="65056CB8"/>
    <w:rsid w:val="6505A87D"/>
    <w:rsid w:val="6506006B"/>
    <w:rsid w:val="65063BD0"/>
    <w:rsid w:val="6506B324"/>
    <w:rsid w:val="650767D0"/>
    <w:rsid w:val="65080164"/>
    <w:rsid w:val="65080294"/>
    <w:rsid w:val="6509CF1E"/>
    <w:rsid w:val="650A899D"/>
    <w:rsid w:val="650B3EEB"/>
    <w:rsid w:val="650B4293"/>
    <w:rsid w:val="650BF855"/>
    <w:rsid w:val="650CF590"/>
    <w:rsid w:val="650E37D9"/>
    <w:rsid w:val="650E6496"/>
    <w:rsid w:val="650F815C"/>
    <w:rsid w:val="650FCAB2"/>
    <w:rsid w:val="65117444"/>
    <w:rsid w:val="6511A165"/>
    <w:rsid w:val="65133CEB"/>
    <w:rsid w:val="65136C82"/>
    <w:rsid w:val="6513F4F4"/>
    <w:rsid w:val="65140E2F"/>
    <w:rsid w:val="651427B6"/>
    <w:rsid w:val="651451DF"/>
    <w:rsid w:val="65147DA7"/>
    <w:rsid w:val="65168E12"/>
    <w:rsid w:val="65168F00"/>
    <w:rsid w:val="6516B0EE"/>
    <w:rsid w:val="651756D5"/>
    <w:rsid w:val="65177F82"/>
    <w:rsid w:val="6518C521"/>
    <w:rsid w:val="6519EF22"/>
    <w:rsid w:val="651ACA31"/>
    <w:rsid w:val="651B6A43"/>
    <w:rsid w:val="651BF7C1"/>
    <w:rsid w:val="651CDB0C"/>
    <w:rsid w:val="651CF497"/>
    <w:rsid w:val="651D02CF"/>
    <w:rsid w:val="651E173C"/>
    <w:rsid w:val="651EA978"/>
    <w:rsid w:val="651EAC96"/>
    <w:rsid w:val="651EDE6C"/>
    <w:rsid w:val="65207D76"/>
    <w:rsid w:val="6520AEE9"/>
    <w:rsid w:val="652198D3"/>
    <w:rsid w:val="6521D6BA"/>
    <w:rsid w:val="652272FF"/>
    <w:rsid w:val="6522AE0F"/>
    <w:rsid w:val="6522E35D"/>
    <w:rsid w:val="6522EEB7"/>
    <w:rsid w:val="6523219F"/>
    <w:rsid w:val="6523A35C"/>
    <w:rsid w:val="6523C0CF"/>
    <w:rsid w:val="6523C54C"/>
    <w:rsid w:val="65243182"/>
    <w:rsid w:val="652561D2"/>
    <w:rsid w:val="6526D624"/>
    <w:rsid w:val="65271678"/>
    <w:rsid w:val="65273332"/>
    <w:rsid w:val="652769E3"/>
    <w:rsid w:val="65295B61"/>
    <w:rsid w:val="652989EA"/>
    <w:rsid w:val="6529952E"/>
    <w:rsid w:val="6529E13D"/>
    <w:rsid w:val="652A201C"/>
    <w:rsid w:val="652A70CC"/>
    <w:rsid w:val="652A7411"/>
    <w:rsid w:val="652B6665"/>
    <w:rsid w:val="652C07E9"/>
    <w:rsid w:val="652C0C4C"/>
    <w:rsid w:val="652C4201"/>
    <w:rsid w:val="652C5DF1"/>
    <w:rsid w:val="652C72C8"/>
    <w:rsid w:val="652D76E3"/>
    <w:rsid w:val="652D7E17"/>
    <w:rsid w:val="652D8FCA"/>
    <w:rsid w:val="652DBACE"/>
    <w:rsid w:val="652DD57C"/>
    <w:rsid w:val="652E0102"/>
    <w:rsid w:val="652E05BD"/>
    <w:rsid w:val="652F2D0C"/>
    <w:rsid w:val="652F68C4"/>
    <w:rsid w:val="652FFA65"/>
    <w:rsid w:val="6530A1B4"/>
    <w:rsid w:val="6531508E"/>
    <w:rsid w:val="65315098"/>
    <w:rsid w:val="65329C45"/>
    <w:rsid w:val="6532F1F3"/>
    <w:rsid w:val="6534E545"/>
    <w:rsid w:val="6535C504"/>
    <w:rsid w:val="653678B9"/>
    <w:rsid w:val="6536B6BB"/>
    <w:rsid w:val="6536E240"/>
    <w:rsid w:val="6537CA27"/>
    <w:rsid w:val="65383863"/>
    <w:rsid w:val="6538C1A5"/>
    <w:rsid w:val="6538EFC9"/>
    <w:rsid w:val="65392108"/>
    <w:rsid w:val="653988E4"/>
    <w:rsid w:val="653996F1"/>
    <w:rsid w:val="653AD7C7"/>
    <w:rsid w:val="653B48D9"/>
    <w:rsid w:val="653B7F9B"/>
    <w:rsid w:val="653BD63A"/>
    <w:rsid w:val="653C513D"/>
    <w:rsid w:val="653CCE1B"/>
    <w:rsid w:val="653D53E6"/>
    <w:rsid w:val="653DE138"/>
    <w:rsid w:val="653DF1E5"/>
    <w:rsid w:val="654018A1"/>
    <w:rsid w:val="6540B4E2"/>
    <w:rsid w:val="6540BF38"/>
    <w:rsid w:val="6540F080"/>
    <w:rsid w:val="65412BE8"/>
    <w:rsid w:val="654183DB"/>
    <w:rsid w:val="654185F4"/>
    <w:rsid w:val="6541CE7D"/>
    <w:rsid w:val="654234FD"/>
    <w:rsid w:val="6542722D"/>
    <w:rsid w:val="6542EEFC"/>
    <w:rsid w:val="65434CDD"/>
    <w:rsid w:val="65439D33"/>
    <w:rsid w:val="65447559"/>
    <w:rsid w:val="6545C7BE"/>
    <w:rsid w:val="6545FD66"/>
    <w:rsid w:val="6546473B"/>
    <w:rsid w:val="654690A9"/>
    <w:rsid w:val="6546C05B"/>
    <w:rsid w:val="65475D25"/>
    <w:rsid w:val="6547D2FD"/>
    <w:rsid w:val="6549A50E"/>
    <w:rsid w:val="654A0843"/>
    <w:rsid w:val="654A5C4C"/>
    <w:rsid w:val="654B5984"/>
    <w:rsid w:val="654B7B9C"/>
    <w:rsid w:val="654D230A"/>
    <w:rsid w:val="654E57C1"/>
    <w:rsid w:val="654E5C35"/>
    <w:rsid w:val="654E6ADE"/>
    <w:rsid w:val="654E8AD3"/>
    <w:rsid w:val="65509B51"/>
    <w:rsid w:val="655103DD"/>
    <w:rsid w:val="65525955"/>
    <w:rsid w:val="65539E6B"/>
    <w:rsid w:val="65540283"/>
    <w:rsid w:val="6554EFFA"/>
    <w:rsid w:val="65551567"/>
    <w:rsid w:val="655523A3"/>
    <w:rsid w:val="6555A021"/>
    <w:rsid w:val="6555D3CF"/>
    <w:rsid w:val="65566732"/>
    <w:rsid w:val="6556E665"/>
    <w:rsid w:val="65570C51"/>
    <w:rsid w:val="65573BF6"/>
    <w:rsid w:val="65581C12"/>
    <w:rsid w:val="6558B862"/>
    <w:rsid w:val="6558D17D"/>
    <w:rsid w:val="65593A41"/>
    <w:rsid w:val="655997BC"/>
    <w:rsid w:val="655A0E99"/>
    <w:rsid w:val="655A708D"/>
    <w:rsid w:val="655B25CC"/>
    <w:rsid w:val="655B7858"/>
    <w:rsid w:val="655D2C90"/>
    <w:rsid w:val="655D4F8F"/>
    <w:rsid w:val="655D954B"/>
    <w:rsid w:val="655E4417"/>
    <w:rsid w:val="655E6A25"/>
    <w:rsid w:val="655ECBB9"/>
    <w:rsid w:val="655F8A3D"/>
    <w:rsid w:val="655FC454"/>
    <w:rsid w:val="655FD1E1"/>
    <w:rsid w:val="656043B1"/>
    <w:rsid w:val="656044DF"/>
    <w:rsid w:val="6561C8A7"/>
    <w:rsid w:val="65626351"/>
    <w:rsid w:val="6562CF5A"/>
    <w:rsid w:val="65631EC9"/>
    <w:rsid w:val="65643434"/>
    <w:rsid w:val="65657702"/>
    <w:rsid w:val="6565E111"/>
    <w:rsid w:val="6566D156"/>
    <w:rsid w:val="65678989"/>
    <w:rsid w:val="656845A3"/>
    <w:rsid w:val="65685B94"/>
    <w:rsid w:val="65687973"/>
    <w:rsid w:val="6568E201"/>
    <w:rsid w:val="6568F5B9"/>
    <w:rsid w:val="6569AFF2"/>
    <w:rsid w:val="656A022D"/>
    <w:rsid w:val="656A1B4C"/>
    <w:rsid w:val="656EF6A4"/>
    <w:rsid w:val="656F8BA1"/>
    <w:rsid w:val="656FF2A3"/>
    <w:rsid w:val="656FFADF"/>
    <w:rsid w:val="6570AF46"/>
    <w:rsid w:val="657114CF"/>
    <w:rsid w:val="6571B849"/>
    <w:rsid w:val="65724857"/>
    <w:rsid w:val="657264FC"/>
    <w:rsid w:val="65736D36"/>
    <w:rsid w:val="657398D1"/>
    <w:rsid w:val="6573CD42"/>
    <w:rsid w:val="65742897"/>
    <w:rsid w:val="65746B7C"/>
    <w:rsid w:val="6574A988"/>
    <w:rsid w:val="6575228A"/>
    <w:rsid w:val="657523F8"/>
    <w:rsid w:val="65757E58"/>
    <w:rsid w:val="6575B737"/>
    <w:rsid w:val="6576B36A"/>
    <w:rsid w:val="65780A71"/>
    <w:rsid w:val="6578DAD9"/>
    <w:rsid w:val="657AD91F"/>
    <w:rsid w:val="657B73E5"/>
    <w:rsid w:val="657BB222"/>
    <w:rsid w:val="657C410E"/>
    <w:rsid w:val="657D6AF2"/>
    <w:rsid w:val="657DDF32"/>
    <w:rsid w:val="657E0017"/>
    <w:rsid w:val="657E6D71"/>
    <w:rsid w:val="657E9E6D"/>
    <w:rsid w:val="657F9744"/>
    <w:rsid w:val="657FB363"/>
    <w:rsid w:val="6580041E"/>
    <w:rsid w:val="6580C4A4"/>
    <w:rsid w:val="6581AA7D"/>
    <w:rsid w:val="6582AFD2"/>
    <w:rsid w:val="6582ED5B"/>
    <w:rsid w:val="6583C686"/>
    <w:rsid w:val="658482CA"/>
    <w:rsid w:val="6584E509"/>
    <w:rsid w:val="6585F18A"/>
    <w:rsid w:val="6586498B"/>
    <w:rsid w:val="658710AA"/>
    <w:rsid w:val="6587242A"/>
    <w:rsid w:val="65872900"/>
    <w:rsid w:val="65873E63"/>
    <w:rsid w:val="6587E13C"/>
    <w:rsid w:val="65892694"/>
    <w:rsid w:val="658981DA"/>
    <w:rsid w:val="6589E2FB"/>
    <w:rsid w:val="658A2BA3"/>
    <w:rsid w:val="658A6174"/>
    <w:rsid w:val="658BBF2F"/>
    <w:rsid w:val="658C840E"/>
    <w:rsid w:val="658E3C91"/>
    <w:rsid w:val="658E3F68"/>
    <w:rsid w:val="658E8AF4"/>
    <w:rsid w:val="658F19CD"/>
    <w:rsid w:val="658F2109"/>
    <w:rsid w:val="658F5434"/>
    <w:rsid w:val="659091C7"/>
    <w:rsid w:val="6592766F"/>
    <w:rsid w:val="6592C3AB"/>
    <w:rsid w:val="6593D5B9"/>
    <w:rsid w:val="6593F233"/>
    <w:rsid w:val="659589A5"/>
    <w:rsid w:val="6595B3EB"/>
    <w:rsid w:val="659651B1"/>
    <w:rsid w:val="6596AE8C"/>
    <w:rsid w:val="65970546"/>
    <w:rsid w:val="6599158E"/>
    <w:rsid w:val="659996BD"/>
    <w:rsid w:val="6599FD94"/>
    <w:rsid w:val="659A1903"/>
    <w:rsid w:val="659B2763"/>
    <w:rsid w:val="659BACA2"/>
    <w:rsid w:val="659BC8C9"/>
    <w:rsid w:val="659CFB14"/>
    <w:rsid w:val="659D5834"/>
    <w:rsid w:val="659D73E0"/>
    <w:rsid w:val="659EACC8"/>
    <w:rsid w:val="659F4E16"/>
    <w:rsid w:val="659FBB5E"/>
    <w:rsid w:val="65A0ADFB"/>
    <w:rsid w:val="65A33133"/>
    <w:rsid w:val="65A34FEF"/>
    <w:rsid w:val="65A492CD"/>
    <w:rsid w:val="65A4A935"/>
    <w:rsid w:val="65A6F666"/>
    <w:rsid w:val="65A7215A"/>
    <w:rsid w:val="65A7FC53"/>
    <w:rsid w:val="65A84A91"/>
    <w:rsid w:val="65A8B54C"/>
    <w:rsid w:val="65AA7BF5"/>
    <w:rsid w:val="65AAD32A"/>
    <w:rsid w:val="65AB1FA1"/>
    <w:rsid w:val="65AB4A51"/>
    <w:rsid w:val="65ABD7A0"/>
    <w:rsid w:val="65AC1452"/>
    <w:rsid w:val="65AD0C6C"/>
    <w:rsid w:val="65AD1B5A"/>
    <w:rsid w:val="65AD46DB"/>
    <w:rsid w:val="65AE0543"/>
    <w:rsid w:val="65AFDF31"/>
    <w:rsid w:val="65B023B6"/>
    <w:rsid w:val="65B0C6D8"/>
    <w:rsid w:val="65B0F755"/>
    <w:rsid w:val="65B2AF31"/>
    <w:rsid w:val="65B30748"/>
    <w:rsid w:val="65B43074"/>
    <w:rsid w:val="65B5D0DE"/>
    <w:rsid w:val="65B6397E"/>
    <w:rsid w:val="65B640B4"/>
    <w:rsid w:val="65B645AB"/>
    <w:rsid w:val="65B64EF1"/>
    <w:rsid w:val="65B6BFF0"/>
    <w:rsid w:val="65B6CA24"/>
    <w:rsid w:val="65B8207D"/>
    <w:rsid w:val="65B90306"/>
    <w:rsid w:val="65B9049B"/>
    <w:rsid w:val="65B9F373"/>
    <w:rsid w:val="65BB03CC"/>
    <w:rsid w:val="65BB2561"/>
    <w:rsid w:val="65BB64D4"/>
    <w:rsid w:val="65BE4E46"/>
    <w:rsid w:val="65BEF5C1"/>
    <w:rsid w:val="65BF52A4"/>
    <w:rsid w:val="65C059F4"/>
    <w:rsid w:val="65C16C7F"/>
    <w:rsid w:val="65C21E27"/>
    <w:rsid w:val="65C24D8C"/>
    <w:rsid w:val="65C3490C"/>
    <w:rsid w:val="65C4CA29"/>
    <w:rsid w:val="65C4FF49"/>
    <w:rsid w:val="65C5B250"/>
    <w:rsid w:val="65C68F58"/>
    <w:rsid w:val="65C78479"/>
    <w:rsid w:val="65C7881B"/>
    <w:rsid w:val="65C7D5E4"/>
    <w:rsid w:val="65C813FB"/>
    <w:rsid w:val="65C8BC68"/>
    <w:rsid w:val="65C9A7A1"/>
    <w:rsid w:val="65CA2612"/>
    <w:rsid w:val="65CAB0DD"/>
    <w:rsid w:val="65CAD701"/>
    <w:rsid w:val="65CB580C"/>
    <w:rsid w:val="65CC1634"/>
    <w:rsid w:val="65CC4D26"/>
    <w:rsid w:val="65CC4E2B"/>
    <w:rsid w:val="65CC5DA9"/>
    <w:rsid w:val="65CCE9E0"/>
    <w:rsid w:val="65CCED3F"/>
    <w:rsid w:val="65CD3941"/>
    <w:rsid w:val="65CDB63E"/>
    <w:rsid w:val="65CE4DA5"/>
    <w:rsid w:val="65CEE0E8"/>
    <w:rsid w:val="65CF377E"/>
    <w:rsid w:val="65D03A36"/>
    <w:rsid w:val="65D1F9D7"/>
    <w:rsid w:val="65D23BAD"/>
    <w:rsid w:val="65D244FC"/>
    <w:rsid w:val="65D36ED8"/>
    <w:rsid w:val="65D4D3F9"/>
    <w:rsid w:val="65D53FE4"/>
    <w:rsid w:val="65D57CC2"/>
    <w:rsid w:val="65D5EF33"/>
    <w:rsid w:val="65D6E77B"/>
    <w:rsid w:val="65D732AE"/>
    <w:rsid w:val="65D7A285"/>
    <w:rsid w:val="65D89771"/>
    <w:rsid w:val="65D9756C"/>
    <w:rsid w:val="65D986CA"/>
    <w:rsid w:val="65D9FC5E"/>
    <w:rsid w:val="65DA6E90"/>
    <w:rsid w:val="65DA8313"/>
    <w:rsid w:val="65DBB394"/>
    <w:rsid w:val="65DCBC38"/>
    <w:rsid w:val="65DF2459"/>
    <w:rsid w:val="65DF69FC"/>
    <w:rsid w:val="65DF6B9D"/>
    <w:rsid w:val="65DF9C49"/>
    <w:rsid w:val="65DFC9D6"/>
    <w:rsid w:val="65DFCC23"/>
    <w:rsid w:val="65E0AE23"/>
    <w:rsid w:val="65E0B764"/>
    <w:rsid w:val="65E117DE"/>
    <w:rsid w:val="65E13B68"/>
    <w:rsid w:val="65E164B4"/>
    <w:rsid w:val="65E2A24C"/>
    <w:rsid w:val="65E47D22"/>
    <w:rsid w:val="65E48C25"/>
    <w:rsid w:val="65E4E00D"/>
    <w:rsid w:val="65E597F4"/>
    <w:rsid w:val="65E59821"/>
    <w:rsid w:val="65E5BF0C"/>
    <w:rsid w:val="65E63F6E"/>
    <w:rsid w:val="65E6BBEF"/>
    <w:rsid w:val="65E6D455"/>
    <w:rsid w:val="65E7C5BF"/>
    <w:rsid w:val="65E7FCC3"/>
    <w:rsid w:val="65E81A7B"/>
    <w:rsid w:val="65E85EA2"/>
    <w:rsid w:val="65E9232A"/>
    <w:rsid w:val="65EB15B5"/>
    <w:rsid w:val="65EB595F"/>
    <w:rsid w:val="65EBCDBD"/>
    <w:rsid w:val="65EBDAAF"/>
    <w:rsid w:val="65EC5888"/>
    <w:rsid w:val="65ECB00C"/>
    <w:rsid w:val="65ED036B"/>
    <w:rsid w:val="65EE3741"/>
    <w:rsid w:val="65EE3A00"/>
    <w:rsid w:val="65EE6B0B"/>
    <w:rsid w:val="65EE9C11"/>
    <w:rsid w:val="65EFEB16"/>
    <w:rsid w:val="65F016FA"/>
    <w:rsid w:val="65F028F0"/>
    <w:rsid w:val="65F0C8D6"/>
    <w:rsid w:val="65F2344C"/>
    <w:rsid w:val="65F25A98"/>
    <w:rsid w:val="65F28708"/>
    <w:rsid w:val="65F2DEDE"/>
    <w:rsid w:val="65F34057"/>
    <w:rsid w:val="65F34B04"/>
    <w:rsid w:val="65F3A341"/>
    <w:rsid w:val="65F3F905"/>
    <w:rsid w:val="65F41C19"/>
    <w:rsid w:val="65F64736"/>
    <w:rsid w:val="65F65517"/>
    <w:rsid w:val="65F68FAD"/>
    <w:rsid w:val="65F7C86C"/>
    <w:rsid w:val="65F7FC19"/>
    <w:rsid w:val="65F882C3"/>
    <w:rsid w:val="65F8D8FB"/>
    <w:rsid w:val="65F9C276"/>
    <w:rsid w:val="65F9CA36"/>
    <w:rsid w:val="65F9E50B"/>
    <w:rsid w:val="65F9F153"/>
    <w:rsid w:val="65FAAE14"/>
    <w:rsid w:val="65FC459C"/>
    <w:rsid w:val="65FC93D7"/>
    <w:rsid w:val="65FD39BE"/>
    <w:rsid w:val="65FDD41D"/>
    <w:rsid w:val="65FDE19C"/>
    <w:rsid w:val="65FE115A"/>
    <w:rsid w:val="65FF774E"/>
    <w:rsid w:val="66007FB7"/>
    <w:rsid w:val="6600BEE1"/>
    <w:rsid w:val="6600F43F"/>
    <w:rsid w:val="66016ED9"/>
    <w:rsid w:val="6601F231"/>
    <w:rsid w:val="66026C7B"/>
    <w:rsid w:val="6602AA1D"/>
    <w:rsid w:val="66035AA9"/>
    <w:rsid w:val="6603A5F8"/>
    <w:rsid w:val="6604CDB5"/>
    <w:rsid w:val="6605361D"/>
    <w:rsid w:val="660588B0"/>
    <w:rsid w:val="6605B3F8"/>
    <w:rsid w:val="66066E94"/>
    <w:rsid w:val="66075E14"/>
    <w:rsid w:val="6608D83C"/>
    <w:rsid w:val="6608E5A7"/>
    <w:rsid w:val="66090F2A"/>
    <w:rsid w:val="6609BD00"/>
    <w:rsid w:val="660A91F1"/>
    <w:rsid w:val="660B43B1"/>
    <w:rsid w:val="660BBBC8"/>
    <w:rsid w:val="660BCBF9"/>
    <w:rsid w:val="660C8652"/>
    <w:rsid w:val="660C9E26"/>
    <w:rsid w:val="660CD016"/>
    <w:rsid w:val="660CE0BB"/>
    <w:rsid w:val="660DC930"/>
    <w:rsid w:val="6610B80C"/>
    <w:rsid w:val="6610C90F"/>
    <w:rsid w:val="66116C13"/>
    <w:rsid w:val="6611D67A"/>
    <w:rsid w:val="6611E155"/>
    <w:rsid w:val="6613C9BC"/>
    <w:rsid w:val="66147A28"/>
    <w:rsid w:val="66147CAF"/>
    <w:rsid w:val="6615B09F"/>
    <w:rsid w:val="66165682"/>
    <w:rsid w:val="6616D1E0"/>
    <w:rsid w:val="6617AF3D"/>
    <w:rsid w:val="6617F3C8"/>
    <w:rsid w:val="661831D5"/>
    <w:rsid w:val="661877CE"/>
    <w:rsid w:val="6618C22D"/>
    <w:rsid w:val="6618CD64"/>
    <w:rsid w:val="66192C30"/>
    <w:rsid w:val="66195BA7"/>
    <w:rsid w:val="661B6CA8"/>
    <w:rsid w:val="661CFA41"/>
    <w:rsid w:val="661D7CA5"/>
    <w:rsid w:val="661D9FCD"/>
    <w:rsid w:val="661E5323"/>
    <w:rsid w:val="661E91DD"/>
    <w:rsid w:val="661EAC96"/>
    <w:rsid w:val="661ECB12"/>
    <w:rsid w:val="661F8730"/>
    <w:rsid w:val="66207E6B"/>
    <w:rsid w:val="6620864C"/>
    <w:rsid w:val="6620922C"/>
    <w:rsid w:val="6620B7C7"/>
    <w:rsid w:val="6620D6EE"/>
    <w:rsid w:val="662190F7"/>
    <w:rsid w:val="6621C115"/>
    <w:rsid w:val="6622B475"/>
    <w:rsid w:val="66238A78"/>
    <w:rsid w:val="66238C74"/>
    <w:rsid w:val="6623FB64"/>
    <w:rsid w:val="6625B71C"/>
    <w:rsid w:val="662617BA"/>
    <w:rsid w:val="6627955B"/>
    <w:rsid w:val="6627AB52"/>
    <w:rsid w:val="6627CC65"/>
    <w:rsid w:val="66285F3B"/>
    <w:rsid w:val="6628A140"/>
    <w:rsid w:val="662A1F6F"/>
    <w:rsid w:val="662B74C5"/>
    <w:rsid w:val="662C8355"/>
    <w:rsid w:val="662CA9E3"/>
    <w:rsid w:val="662D9231"/>
    <w:rsid w:val="662FBD7E"/>
    <w:rsid w:val="66309824"/>
    <w:rsid w:val="66320BB5"/>
    <w:rsid w:val="66321C76"/>
    <w:rsid w:val="66328097"/>
    <w:rsid w:val="663373C8"/>
    <w:rsid w:val="66345566"/>
    <w:rsid w:val="66357D59"/>
    <w:rsid w:val="66364D42"/>
    <w:rsid w:val="6636868F"/>
    <w:rsid w:val="66378A9C"/>
    <w:rsid w:val="6637F80B"/>
    <w:rsid w:val="6638370B"/>
    <w:rsid w:val="663967CE"/>
    <w:rsid w:val="663A9821"/>
    <w:rsid w:val="663AE3FD"/>
    <w:rsid w:val="663B83FB"/>
    <w:rsid w:val="663C3465"/>
    <w:rsid w:val="663D2B36"/>
    <w:rsid w:val="663F5D56"/>
    <w:rsid w:val="663F95CB"/>
    <w:rsid w:val="663FB507"/>
    <w:rsid w:val="66406E7A"/>
    <w:rsid w:val="6640F543"/>
    <w:rsid w:val="66435F91"/>
    <w:rsid w:val="66437681"/>
    <w:rsid w:val="664385CF"/>
    <w:rsid w:val="66444C20"/>
    <w:rsid w:val="6645C0F0"/>
    <w:rsid w:val="664621CC"/>
    <w:rsid w:val="6646311C"/>
    <w:rsid w:val="664751C7"/>
    <w:rsid w:val="6647C142"/>
    <w:rsid w:val="6647C350"/>
    <w:rsid w:val="6647C621"/>
    <w:rsid w:val="66490F2A"/>
    <w:rsid w:val="66494C11"/>
    <w:rsid w:val="664977BA"/>
    <w:rsid w:val="66498C2D"/>
    <w:rsid w:val="6649E7EE"/>
    <w:rsid w:val="664A718C"/>
    <w:rsid w:val="664AF5DF"/>
    <w:rsid w:val="664B685E"/>
    <w:rsid w:val="664B8223"/>
    <w:rsid w:val="664C0953"/>
    <w:rsid w:val="664C21D8"/>
    <w:rsid w:val="664C2AB1"/>
    <w:rsid w:val="664CDAEC"/>
    <w:rsid w:val="664D1ADC"/>
    <w:rsid w:val="664D2406"/>
    <w:rsid w:val="664E29C3"/>
    <w:rsid w:val="664ECA3D"/>
    <w:rsid w:val="664F76A8"/>
    <w:rsid w:val="664FC4B2"/>
    <w:rsid w:val="66503DB7"/>
    <w:rsid w:val="6650B275"/>
    <w:rsid w:val="6650E32B"/>
    <w:rsid w:val="6650F223"/>
    <w:rsid w:val="66515AB2"/>
    <w:rsid w:val="6651C463"/>
    <w:rsid w:val="66535FE0"/>
    <w:rsid w:val="665455E3"/>
    <w:rsid w:val="6655E1D9"/>
    <w:rsid w:val="665691CD"/>
    <w:rsid w:val="6656EEC3"/>
    <w:rsid w:val="6656FE0D"/>
    <w:rsid w:val="66575876"/>
    <w:rsid w:val="6657AE12"/>
    <w:rsid w:val="66589AA8"/>
    <w:rsid w:val="66595372"/>
    <w:rsid w:val="6659DE4E"/>
    <w:rsid w:val="665A6530"/>
    <w:rsid w:val="665AAFC7"/>
    <w:rsid w:val="665ABEE5"/>
    <w:rsid w:val="665B6610"/>
    <w:rsid w:val="665C5E34"/>
    <w:rsid w:val="665C8C3B"/>
    <w:rsid w:val="665DBD2E"/>
    <w:rsid w:val="665E1570"/>
    <w:rsid w:val="665E820E"/>
    <w:rsid w:val="665E888E"/>
    <w:rsid w:val="665F9A79"/>
    <w:rsid w:val="66607D6E"/>
    <w:rsid w:val="6661C51F"/>
    <w:rsid w:val="6662898D"/>
    <w:rsid w:val="6662CD65"/>
    <w:rsid w:val="66632866"/>
    <w:rsid w:val="6664B32D"/>
    <w:rsid w:val="6664B435"/>
    <w:rsid w:val="6665487D"/>
    <w:rsid w:val="666720C8"/>
    <w:rsid w:val="66687CCB"/>
    <w:rsid w:val="6669C435"/>
    <w:rsid w:val="666B2C8A"/>
    <w:rsid w:val="666BF34E"/>
    <w:rsid w:val="666BFA91"/>
    <w:rsid w:val="666D5855"/>
    <w:rsid w:val="666E58A1"/>
    <w:rsid w:val="666F28D9"/>
    <w:rsid w:val="66709E2F"/>
    <w:rsid w:val="6670E65C"/>
    <w:rsid w:val="6671420A"/>
    <w:rsid w:val="667217A9"/>
    <w:rsid w:val="6673446D"/>
    <w:rsid w:val="667371FF"/>
    <w:rsid w:val="6673E811"/>
    <w:rsid w:val="66740B88"/>
    <w:rsid w:val="667476E3"/>
    <w:rsid w:val="667558BD"/>
    <w:rsid w:val="6675883A"/>
    <w:rsid w:val="6675950F"/>
    <w:rsid w:val="66774BCA"/>
    <w:rsid w:val="66780042"/>
    <w:rsid w:val="6678B1C8"/>
    <w:rsid w:val="667A888C"/>
    <w:rsid w:val="667AC90B"/>
    <w:rsid w:val="667B68D1"/>
    <w:rsid w:val="667C1BD9"/>
    <w:rsid w:val="667C89BF"/>
    <w:rsid w:val="667D9656"/>
    <w:rsid w:val="667FB3A6"/>
    <w:rsid w:val="667FCFC7"/>
    <w:rsid w:val="66806248"/>
    <w:rsid w:val="66808ECE"/>
    <w:rsid w:val="6681AF75"/>
    <w:rsid w:val="6681E970"/>
    <w:rsid w:val="668248AA"/>
    <w:rsid w:val="668385E0"/>
    <w:rsid w:val="66838CE2"/>
    <w:rsid w:val="6683958F"/>
    <w:rsid w:val="6683A19C"/>
    <w:rsid w:val="6683C84F"/>
    <w:rsid w:val="6684EC53"/>
    <w:rsid w:val="66851607"/>
    <w:rsid w:val="6687A41E"/>
    <w:rsid w:val="6687AAE9"/>
    <w:rsid w:val="668825F0"/>
    <w:rsid w:val="6688CC22"/>
    <w:rsid w:val="668A567C"/>
    <w:rsid w:val="668A657B"/>
    <w:rsid w:val="668A765F"/>
    <w:rsid w:val="668ABEBC"/>
    <w:rsid w:val="668B2836"/>
    <w:rsid w:val="668B5BD5"/>
    <w:rsid w:val="668CC127"/>
    <w:rsid w:val="668D39C2"/>
    <w:rsid w:val="668E5670"/>
    <w:rsid w:val="668E65A3"/>
    <w:rsid w:val="668F586A"/>
    <w:rsid w:val="668FA570"/>
    <w:rsid w:val="66902A78"/>
    <w:rsid w:val="6690EA86"/>
    <w:rsid w:val="66913A69"/>
    <w:rsid w:val="66928384"/>
    <w:rsid w:val="6692AE1A"/>
    <w:rsid w:val="66938B76"/>
    <w:rsid w:val="6696CA4B"/>
    <w:rsid w:val="6697D18F"/>
    <w:rsid w:val="6697EACE"/>
    <w:rsid w:val="6698CFFF"/>
    <w:rsid w:val="669A6450"/>
    <w:rsid w:val="669B6885"/>
    <w:rsid w:val="669CA3F8"/>
    <w:rsid w:val="669D28CB"/>
    <w:rsid w:val="669D44B4"/>
    <w:rsid w:val="669DF611"/>
    <w:rsid w:val="669E843F"/>
    <w:rsid w:val="669E9016"/>
    <w:rsid w:val="669F8C2D"/>
    <w:rsid w:val="669FF4E6"/>
    <w:rsid w:val="66A049D5"/>
    <w:rsid w:val="66A04DA7"/>
    <w:rsid w:val="66A0F914"/>
    <w:rsid w:val="66A26659"/>
    <w:rsid w:val="66A273B2"/>
    <w:rsid w:val="66A278E6"/>
    <w:rsid w:val="66A28F6E"/>
    <w:rsid w:val="66A314D8"/>
    <w:rsid w:val="66A478CF"/>
    <w:rsid w:val="66A54B62"/>
    <w:rsid w:val="66A567CB"/>
    <w:rsid w:val="66A5B302"/>
    <w:rsid w:val="66A5DF0C"/>
    <w:rsid w:val="66A65B91"/>
    <w:rsid w:val="66A672E1"/>
    <w:rsid w:val="66A6EA3D"/>
    <w:rsid w:val="66A7071C"/>
    <w:rsid w:val="66A71843"/>
    <w:rsid w:val="66A72445"/>
    <w:rsid w:val="66A7A610"/>
    <w:rsid w:val="66A81700"/>
    <w:rsid w:val="66A8A12B"/>
    <w:rsid w:val="66A8D895"/>
    <w:rsid w:val="66A91CCC"/>
    <w:rsid w:val="66A99505"/>
    <w:rsid w:val="66A9BB2C"/>
    <w:rsid w:val="66AB274B"/>
    <w:rsid w:val="66AB8831"/>
    <w:rsid w:val="66ABAEF3"/>
    <w:rsid w:val="66AC0B34"/>
    <w:rsid w:val="66ACEEAD"/>
    <w:rsid w:val="66B00525"/>
    <w:rsid w:val="66B0F315"/>
    <w:rsid w:val="66B2101A"/>
    <w:rsid w:val="66B27431"/>
    <w:rsid w:val="66B5A586"/>
    <w:rsid w:val="66B6AEF2"/>
    <w:rsid w:val="66B74F6F"/>
    <w:rsid w:val="66B7BB06"/>
    <w:rsid w:val="66B8EEF4"/>
    <w:rsid w:val="66B96E42"/>
    <w:rsid w:val="66B9AA26"/>
    <w:rsid w:val="66BA7CBC"/>
    <w:rsid w:val="66BAF451"/>
    <w:rsid w:val="66BB61C2"/>
    <w:rsid w:val="66BB7E0E"/>
    <w:rsid w:val="66BBA0B2"/>
    <w:rsid w:val="66BBBB27"/>
    <w:rsid w:val="66BBDF2F"/>
    <w:rsid w:val="66BDFEF4"/>
    <w:rsid w:val="66BF00BB"/>
    <w:rsid w:val="66BF46E2"/>
    <w:rsid w:val="66BFF5B4"/>
    <w:rsid w:val="66C0A72D"/>
    <w:rsid w:val="66C0DB1C"/>
    <w:rsid w:val="66C16EF6"/>
    <w:rsid w:val="66C17CE7"/>
    <w:rsid w:val="66C17F80"/>
    <w:rsid w:val="66C32E57"/>
    <w:rsid w:val="66C337EF"/>
    <w:rsid w:val="66C36EC1"/>
    <w:rsid w:val="66C394F9"/>
    <w:rsid w:val="66C4A1B8"/>
    <w:rsid w:val="66C4F585"/>
    <w:rsid w:val="66C56F59"/>
    <w:rsid w:val="66C56FEB"/>
    <w:rsid w:val="66C6035C"/>
    <w:rsid w:val="66C6AAA9"/>
    <w:rsid w:val="66C762ED"/>
    <w:rsid w:val="66C9A144"/>
    <w:rsid w:val="66CA0BC2"/>
    <w:rsid w:val="66CB8C86"/>
    <w:rsid w:val="66CC1AA9"/>
    <w:rsid w:val="66CC4B94"/>
    <w:rsid w:val="66CC6150"/>
    <w:rsid w:val="66CC68AB"/>
    <w:rsid w:val="66CD7FE5"/>
    <w:rsid w:val="66CDDED2"/>
    <w:rsid w:val="66CE8B85"/>
    <w:rsid w:val="66CE8CC3"/>
    <w:rsid w:val="66CFE8C5"/>
    <w:rsid w:val="66D0E33B"/>
    <w:rsid w:val="66D0FEC2"/>
    <w:rsid w:val="66D292B2"/>
    <w:rsid w:val="66D2EBD6"/>
    <w:rsid w:val="66D45580"/>
    <w:rsid w:val="66D4DC0A"/>
    <w:rsid w:val="66D52921"/>
    <w:rsid w:val="66D54621"/>
    <w:rsid w:val="66D7199A"/>
    <w:rsid w:val="66D764C9"/>
    <w:rsid w:val="66D7BEF6"/>
    <w:rsid w:val="66D93183"/>
    <w:rsid w:val="66D9E654"/>
    <w:rsid w:val="66DAACCB"/>
    <w:rsid w:val="66DADB3C"/>
    <w:rsid w:val="66DB592D"/>
    <w:rsid w:val="66DC86F8"/>
    <w:rsid w:val="66DD39F4"/>
    <w:rsid w:val="66DD9479"/>
    <w:rsid w:val="66E0158D"/>
    <w:rsid w:val="66E0237A"/>
    <w:rsid w:val="66E03F25"/>
    <w:rsid w:val="66E0436A"/>
    <w:rsid w:val="66E0DB41"/>
    <w:rsid w:val="66E12A4F"/>
    <w:rsid w:val="66E212D5"/>
    <w:rsid w:val="66E2DB33"/>
    <w:rsid w:val="66E35E3A"/>
    <w:rsid w:val="66E3E223"/>
    <w:rsid w:val="66E42CB5"/>
    <w:rsid w:val="66E4A9C1"/>
    <w:rsid w:val="66E4C239"/>
    <w:rsid w:val="66E4CAFA"/>
    <w:rsid w:val="66E58862"/>
    <w:rsid w:val="66E5C12C"/>
    <w:rsid w:val="66E5E6DD"/>
    <w:rsid w:val="66E63006"/>
    <w:rsid w:val="66E667A4"/>
    <w:rsid w:val="66E66F0C"/>
    <w:rsid w:val="66E689CB"/>
    <w:rsid w:val="66E71ED6"/>
    <w:rsid w:val="66E76DDA"/>
    <w:rsid w:val="66E806E2"/>
    <w:rsid w:val="66E8A2EB"/>
    <w:rsid w:val="66E8B18A"/>
    <w:rsid w:val="66EB18DE"/>
    <w:rsid w:val="66EB488B"/>
    <w:rsid w:val="66EBD7B8"/>
    <w:rsid w:val="66EC4C4C"/>
    <w:rsid w:val="66EC8932"/>
    <w:rsid w:val="66EE6452"/>
    <w:rsid w:val="66EEFF87"/>
    <w:rsid w:val="66EF0526"/>
    <w:rsid w:val="66EF087B"/>
    <w:rsid w:val="66EFE298"/>
    <w:rsid w:val="66F0B9CB"/>
    <w:rsid w:val="66F17A15"/>
    <w:rsid w:val="66F1DC0E"/>
    <w:rsid w:val="66F300B7"/>
    <w:rsid w:val="66F36F3E"/>
    <w:rsid w:val="66F5233E"/>
    <w:rsid w:val="66F581D0"/>
    <w:rsid w:val="66F58587"/>
    <w:rsid w:val="66F5B928"/>
    <w:rsid w:val="66F67C64"/>
    <w:rsid w:val="66F69ECC"/>
    <w:rsid w:val="66F72848"/>
    <w:rsid w:val="66F75C54"/>
    <w:rsid w:val="66F75FC6"/>
    <w:rsid w:val="66F83B8B"/>
    <w:rsid w:val="66F89617"/>
    <w:rsid w:val="66F9A5E9"/>
    <w:rsid w:val="66F9BEA9"/>
    <w:rsid w:val="66FB2640"/>
    <w:rsid w:val="66FB723B"/>
    <w:rsid w:val="66FB9D82"/>
    <w:rsid w:val="66FD3B7F"/>
    <w:rsid w:val="66FD428F"/>
    <w:rsid w:val="66FD9024"/>
    <w:rsid w:val="66FDDBC3"/>
    <w:rsid w:val="66FE2941"/>
    <w:rsid w:val="66FE4AC4"/>
    <w:rsid w:val="66FF7B0A"/>
    <w:rsid w:val="66FFD8FE"/>
    <w:rsid w:val="6700DBCD"/>
    <w:rsid w:val="67018855"/>
    <w:rsid w:val="6702001B"/>
    <w:rsid w:val="6702103C"/>
    <w:rsid w:val="67023820"/>
    <w:rsid w:val="67023BF5"/>
    <w:rsid w:val="670353D2"/>
    <w:rsid w:val="6703AF0A"/>
    <w:rsid w:val="6703CD3A"/>
    <w:rsid w:val="67044194"/>
    <w:rsid w:val="67046CAB"/>
    <w:rsid w:val="67057A0E"/>
    <w:rsid w:val="6705A9E2"/>
    <w:rsid w:val="67071470"/>
    <w:rsid w:val="67073D7B"/>
    <w:rsid w:val="6707A2FE"/>
    <w:rsid w:val="6708DBC5"/>
    <w:rsid w:val="6708FA58"/>
    <w:rsid w:val="6709C5D5"/>
    <w:rsid w:val="670A0B1F"/>
    <w:rsid w:val="670B54A1"/>
    <w:rsid w:val="670B751B"/>
    <w:rsid w:val="670BBC27"/>
    <w:rsid w:val="670C3D69"/>
    <w:rsid w:val="670C7692"/>
    <w:rsid w:val="670CAECF"/>
    <w:rsid w:val="670D3D83"/>
    <w:rsid w:val="670D42BF"/>
    <w:rsid w:val="670E27AF"/>
    <w:rsid w:val="670ECD08"/>
    <w:rsid w:val="670EDE55"/>
    <w:rsid w:val="670FE4EF"/>
    <w:rsid w:val="671024BF"/>
    <w:rsid w:val="67106649"/>
    <w:rsid w:val="67127D77"/>
    <w:rsid w:val="67137E9D"/>
    <w:rsid w:val="6713B82D"/>
    <w:rsid w:val="6713E829"/>
    <w:rsid w:val="671415ED"/>
    <w:rsid w:val="67142BDD"/>
    <w:rsid w:val="67145755"/>
    <w:rsid w:val="67148009"/>
    <w:rsid w:val="6714B9C2"/>
    <w:rsid w:val="671551EF"/>
    <w:rsid w:val="67166DEF"/>
    <w:rsid w:val="6716F4E5"/>
    <w:rsid w:val="671716B5"/>
    <w:rsid w:val="6717A065"/>
    <w:rsid w:val="6717A810"/>
    <w:rsid w:val="6717EFDF"/>
    <w:rsid w:val="671AD74D"/>
    <w:rsid w:val="671B4556"/>
    <w:rsid w:val="671B7E29"/>
    <w:rsid w:val="671B8064"/>
    <w:rsid w:val="671CE48D"/>
    <w:rsid w:val="671D88AB"/>
    <w:rsid w:val="671D96DE"/>
    <w:rsid w:val="671DAE4D"/>
    <w:rsid w:val="671DC659"/>
    <w:rsid w:val="671DEDF0"/>
    <w:rsid w:val="671E1B2A"/>
    <w:rsid w:val="671E60CE"/>
    <w:rsid w:val="671F4BC1"/>
    <w:rsid w:val="671F64A1"/>
    <w:rsid w:val="672069CC"/>
    <w:rsid w:val="672084A6"/>
    <w:rsid w:val="672132E9"/>
    <w:rsid w:val="67218EDC"/>
    <w:rsid w:val="67228408"/>
    <w:rsid w:val="672333C2"/>
    <w:rsid w:val="67242E7E"/>
    <w:rsid w:val="6724F52D"/>
    <w:rsid w:val="67252F69"/>
    <w:rsid w:val="67263CCE"/>
    <w:rsid w:val="6726A656"/>
    <w:rsid w:val="67279A56"/>
    <w:rsid w:val="6728B10E"/>
    <w:rsid w:val="6728C0AF"/>
    <w:rsid w:val="6729334E"/>
    <w:rsid w:val="672958C3"/>
    <w:rsid w:val="67299343"/>
    <w:rsid w:val="6729EAB3"/>
    <w:rsid w:val="672A52B1"/>
    <w:rsid w:val="672AF51A"/>
    <w:rsid w:val="672AF924"/>
    <w:rsid w:val="672B2D87"/>
    <w:rsid w:val="672B853B"/>
    <w:rsid w:val="672C00BC"/>
    <w:rsid w:val="67304F22"/>
    <w:rsid w:val="67312B30"/>
    <w:rsid w:val="6731658B"/>
    <w:rsid w:val="6731B4A1"/>
    <w:rsid w:val="6731BF97"/>
    <w:rsid w:val="67351ACD"/>
    <w:rsid w:val="673690C2"/>
    <w:rsid w:val="67372A87"/>
    <w:rsid w:val="673760CF"/>
    <w:rsid w:val="6738F892"/>
    <w:rsid w:val="6739902A"/>
    <w:rsid w:val="673A39F3"/>
    <w:rsid w:val="673A3B4B"/>
    <w:rsid w:val="673AEF22"/>
    <w:rsid w:val="673BE06E"/>
    <w:rsid w:val="673D457E"/>
    <w:rsid w:val="673D86EB"/>
    <w:rsid w:val="673DCF27"/>
    <w:rsid w:val="673E296E"/>
    <w:rsid w:val="673E8885"/>
    <w:rsid w:val="673E98A9"/>
    <w:rsid w:val="673EB0B9"/>
    <w:rsid w:val="673EBFFF"/>
    <w:rsid w:val="673F5252"/>
    <w:rsid w:val="6740E0EA"/>
    <w:rsid w:val="67414077"/>
    <w:rsid w:val="6741BBBE"/>
    <w:rsid w:val="67427A06"/>
    <w:rsid w:val="67457CBE"/>
    <w:rsid w:val="67485EC4"/>
    <w:rsid w:val="6748FC49"/>
    <w:rsid w:val="6749F785"/>
    <w:rsid w:val="674A0668"/>
    <w:rsid w:val="674AAC4A"/>
    <w:rsid w:val="674BDEBB"/>
    <w:rsid w:val="674C3854"/>
    <w:rsid w:val="674C568A"/>
    <w:rsid w:val="674C8A5C"/>
    <w:rsid w:val="674D3B7C"/>
    <w:rsid w:val="674DF41A"/>
    <w:rsid w:val="674E4A70"/>
    <w:rsid w:val="674E4F56"/>
    <w:rsid w:val="674EB361"/>
    <w:rsid w:val="674EFD09"/>
    <w:rsid w:val="674F7CE5"/>
    <w:rsid w:val="674FCBCF"/>
    <w:rsid w:val="6750A69C"/>
    <w:rsid w:val="6750CA52"/>
    <w:rsid w:val="6750EC45"/>
    <w:rsid w:val="6751A5E2"/>
    <w:rsid w:val="675224A2"/>
    <w:rsid w:val="6752CDFB"/>
    <w:rsid w:val="6752D284"/>
    <w:rsid w:val="67540B63"/>
    <w:rsid w:val="67543919"/>
    <w:rsid w:val="67550586"/>
    <w:rsid w:val="6755D0BB"/>
    <w:rsid w:val="67565341"/>
    <w:rsid w:val="675672EB"/>
    <w:rsid w:val="6756E584"/>
    <w:rsid w:val="67570210"/>
    <w:rsid w:val="675741C3"/>
    <w:rsid w:val="6758F0D3"/>
    <w:rsid w:val="67592916"/>
    <w:rsid w:val="67598B9D"/>
    <w:rsid w:val="6759947D"/>
    <w:rsid w:val="6759BCDB"/>
    <w:rsid w:val="6759BEAD"/>
    <w:rsid w:val="6759CACE"/>
    <w:rsid w:val="675A1D36"/>
    <w:rsid w:val="675AA09A"/>
    <w:rsid w:val="675C39EC"/>
    <w:rsid w:val="675D4BE2"/>
    <w:rsid w:val="675F258F"/>
    <w:rsid w:val="675F6A46"/>
    <w:rsid w:val="675FEFDC"/>
    <w:rsid w:val="67608E5B"/>
    <w:rsid w:val="6760DAE6"/>
    <w:rsid w:val="6761B5C0"/>
    <w:rsid w:val="67624273"/>
    <w:rsid w:val="6762BC4D"/>
    <w:rsid w:val="67639F0A"/>
    <w:rsid w:val="6763CA1A"/>
    <w:rsid w:val="67642113"/>
    <w:rsid w:val="67642CD6"/>
    <w:rsid w:val="676458D2"/>
    <w:rsid w:val="676530CA"/>
    <w:rsid w:val="6766A470"/>
    <w:rsid w:val="6767C39E"/>
    <w:rsid w:val="676871BA"/>
    <w:rsid w:val="676905AE"/>
    <w:rsid w:val="67696901"/>
    <w:rsid w:val="676AD2E3"/>
    <w:rsid w:val="676BF0D6"/>
    <w:rsid w:val="676C394D"/>
    <w:rsid w:val="676E740E"/>
    <w:rsid w:val="676EA37B"/>
    <w:rsid w:val="676F897E"/>
    <w:rsid w:val="67700781"/>
    <w:rsid w:val="67710CCB"/>
    <w:rsid w:val="67716F5D"/>
    <w:rsid w:val="67730A34"/>
    <w:rsid w:val="677343CD"/>
    <w:rsid w:val="6773E401"/>
    <w:rsid w:val="6774E364"/>
    <w:rsid w:val="67752040"/>
    <w:rsid w:val="6775D3CE"/>
    <w:rsid w:val="677638A1"/>
    <w:rsid w:val="67769A28"/>
    <w:rsid w:val="67771604"/>
    <w:rsid w:val="677773B4"/>
    <w:rsid w:val="6777A18B"/>
    <w:rsid w:val="6779201E"/>
    <w:rsid w:val="6779C27C"/>
    <w:rsid w:val="6779FE7A"/>
    <w:rsid w:val="677A0EB5"/>
    <w:rsid w:val="677A622A"/>
    <w:rsid w:val="677ABDD1"/>
    <w:rsid w:val="677CFEB4"/>
    <w:rsid w:val="677F3875"/>
    <w:rsid w:val="677F645F"/>
    <w:rsid w:val="6781362C"/>
    <w:rsid w:val="67813F3C"/>
    <w:rsid w:val="67817406"/>
    <w:rsid w:val="6782327E"/>
    <w:rsid w:val="6783CAA3"/>
    <w:rsid w:val="6784837A"/>
    <w:rsid w:val="6784D734"/>
    <w:rsid w:val="678507FE"/>
    <w:rsid w:val="67857CD6"/>
    <w:rsid w:val="6785BBE0"/>
    <w:rsid w:val="67869C33"/>
    <w:rsid w:val="6786C987"/>
    <w:rsid w:val="6787AF93"/>
    <w:rsid w:val="678890CD"/>
    <w:rsid w:val="6788E218"/>
    <w:rsid w:val="678A99C9"/>
    <w:rsid w:val="678AB00A"/>
    <w:rsid w:val="678BFC5E"/>
    <w:rsid w:val="678C4DC1"/>
    <w:rsid w:val="678DB76B"/>
    <w:rsid w:val="678DC52D"/>
    <w:rsid w:val="678E3603"/>
    <w:rsid w:val="678F1D42"/>
    <w:rsid w:val="678F4D7B"/>
    <w:rsid w:val="678FB3A4"/>
    <w:rsid w:val="67903072"/>
    <w:rsid w:val="6792288A"/>
    <w:rsid w:val="67947981"/>
    <w:rsid w:val="6794E0BF"/>
    <w:rsid w:val="6794F687"/>
    <w:rsid w:val="67956DB5"/>
    <w:rsid w:val="6795E9AF"/>
    <w:rsid w:val="67968AE8"/>
    <w:rsid w:val="67968EA9"/>
    <w:rsid w:val="67975277"/>
    <w:rsid w:val="679798B6"/>
    <w:rsid w:val="67981CF4"/>
    <w:rsid w:val="6798A671"/>
    <w:rsid w:val="67996FE6"/>
    <w:rsid w:val="67997E4F"/>
    <w:rsid w:val="6799B047"/>
    <w:rsid w:val="679A191A"/>
    <w:rsid w:val="679A369D"/>
    <w:rsid w:val="679B4375"/>
    <w:rsid w:val="679C115B"/>
    <w:rsid w:val="679C305E"/>
    <w:rsid w:val="679CB52D"/>
    <w:rsid w:val="679CD551"/>
    <w:rsid w:val="679CE5A2"/>
    <w:rsid w:val="679D721C"/>
    <w:rsid w:val="679FBDF1"/>
    <w:rsid w:val="67A04434"/>
    <w:rsid w:val="67A10906"/>
    <w:rsid w:val="67A12127"/>
    <w:rsid w:val="67A16905"/>
    <w:rsid w:val="67A1AEE0"/>
    <w:rsid w:val="67A23BCC"/>
    <w:rsid w:val="67A2EFDE"/>
    <w:rsid w:val="67A39B57"/>
    <w:rsid w:val="67A44BC9"/>
    <w:rsid w:val="67A45A87"/>
    <w:rsid w:val="67A46844"/>
    <w:rsid w:val="67A4C596"/>
    <w:rsid w:val="67A5E483"/>
    <w:rsid w:val="67A73558"/>
    <w:rsid w:val="67A86A2A"/>
    <w:rsid w:val="67A8B6A4"/>
    <w:rsid w:val="67A8E4B6"/>
    <w:rsid w:val="67AABC42"/>
    <w:rsid w:val="67AC35E2"/>
    <w:rsid w:val="67AC36C2"/>
    <w:rsid w:val="67ACAF58"/>
    <w:rsid w:val="67AD11F2"/>
    <w:rsid w:val="67AD4D0F"/>
    <w:rsid w:val="67AD61CF"/>
    <w:rsid w:val="67AEDCFC"/>
    <w:rsid w:val="67AEEF17"/>
    <w:rsid w:val="67B001B6"/>
    <w:rsid w:val="67B0AE70"/>
    <w:rsid w:val="67B1AFCA"/>
    <w:rsid w:val="67B22D3F"/>
    <w:rsid w:val="67B246A3"/>
    <w:rsid w:val="67B28386"/>
    <w:rsid w:val="67B55631"/>
    <w:rsid w:val="67B597E8"/>
    <w:rsid w:val="67B633A3"/>
    <w:rsid w:val="67B65CB4"/>
    <w:rsid w:val="67B8C975"/>
    <w:rsid w:val="67B932C1"/>
    <w:rsid w:val="67B9705A"/>
    <w:rsid w:val="67B98600"/>
    <w:rsid w:val="67B993F5"/>
    <w:rsid w:val="67B9D337"/>
    <w:rsid w:val="67B9E15B"/>
    <w:rsid w:val="67B9FEF7"/>
    <w:rsid w:val="67BAAE9F"/>
    <w:rsid w:val="67BB1F47"/>
    <w:rsid w:val="67BB2247"/>
    <w:rsid w:val="67BBADE2"/>
    <w:rsid w:val="67BC90E8"/>
    <w:rsid w:val="67BD4A95"/>
    <w:rsid w:val="67BEBA75"/>
    <w:rsid w:val="67BFBA14"/>
    <w:rsid w:val="67C0C273"/>
    <w:rsid w:val="67C0EAD9"/>
    <w:rsid w:val="67C0FB6C"/>
    <w:rsid w:val="67C123FE"/>
    <w:rsid w:val="67C161BC"/>
    <w:rsid w:val="67C21B42"/>
    <w:rsid w:val="67C2DABC"/>
    <w:rsid w:val="67C33295"/>
    <w:rsid w:val="67C3FE93"/>
    <w:rsid w:val="67C480F2"/>
    <w:rsid w:val="67C71185"/>
    <w:rsid w:val="67C7B886"/>
    <w:rsid w:val="67C8CD55"/>
    <w:rsid w:val="67CA42E4"/>
    <w:rsid w:val="67CB05A2"/>
    <w:rsid w:val="67CB18A4"/>
    <w:rsid w:val="67CB8202"/>
    <w:rsid w:val="67CC5EA2"/>
    <w:rsid w:val="67CC5FF0"/>
    <w:rsid w:val="67CC8CBF"/>
    <w:rsid w:val="67CD4F27"/>
    <w:rsid w:val="67CD5E62"/>
    <w:rsid w:val="67CEE734"/>
    <w:rsid w:val="67CF1A19"/>
    <w:rsid w:val="67CF1A5F"/>
    <w:rsid w:val="67CF633D"/>
    <w:rsid w:val="67D010D1"/>
    <w:rsid w:val="67D0A5AC"/>
    <w:rsid w:val="67D13F06"/>
    <w:rsid w:val="67D19C1D"/>
    <w:rsid w:val="67D1A7EC"/>
    <w:rsid w:val="67D2A9EE"/>
    <w:rsid w:val="67D3FB56"/>
    <w:rsid w:val="67D450C6"/>
    <w:rsid w:val="67D4B81D"/>
    <w:rsid w:val="67D5458B"/>
    <w:rsid w:val="67D5BAFA"/>
    <w:rsid w:val="67D7C155"/>
    <w:rsid w:val="67D7CFE1"/>
    <w:rsid w:val="67D9C1DB"/>
    <w:rsid w:val="67DAB393"/>
    <w:rsid w:val="67DB647A"/>
    <w:rsid w:val="67DC57E7"/>
    <w:rsid w:val="67DD5CE6"/>
    <w:rsid w:val="67DD82C8"/>
    <w:rsid w:val="67DF4C42"/>
    <w:rsid w:val="67DFA986"/>
    <w:rsid w:val="67E03109"/>
    <w:rsid w:val="67E06873"/>
    <w:rsid w:val="67E0A77C"/>
    <w:rsid w:val="67E0E39E"/>
    <w:rsid w:val="67E1A3DA"/>
    <w:rsid w:val="67E1BEC1"/>
    <w:rsid w:val="67E1CCED"/>
    <w:rsid w:val="67E22900"/>
    <w:rsid w:val="67E370CF"/>
    <w:rsid w:val="67E3E59D"/>
    <w:rsid w:val="67E3F9F9"/>
    <w:rsid w:val="67E45B7A"/>
    <w:rsid w:val="67E4AEA5"/>
    <w:rsid w:val="67E4B497"/>
    <w:rsid w:val="67E63BCB"/>
    <w:rsid w:val="67E640C7"/>
    <w:rsid w:val="67E76A84"/>
    <w:rsid w:val="67E827D4"/>
    <w:rsid w:val="67E8A38E"/>
    <w:rsid w:val="67E943AB"/>
    <w:rsid w:val="67EA93E8"/>
    <w:rsid w:val="67EACCD7"/>
    <w:rsid w:val="67EB4709"/>
    <w:rsid w:val="67EC0649"/>
    <w:rsid w:val="67ECE1F4"/>
    <w:rsid w:val="67ED1C7A"/>
    <w:rsid w:val="67EE361A"/>
    <w:rsid w:val="67EEA7DD"/>
    <w:rsid w:val="67EEBBD6"/>
    <w:rsid w:val="67EF1D6D"/>
    <w:rsid w:val="67F0D768"/>
    <w:rsid w:val="67F0F02E"/>
    <w:rsid w:val="67F14743"/>
    <w:rsid w:val="67F27EAD"/>
    <w:rsid w:val="67F468B7"/>
    <w:rsid w:val="67F4C371"/>
    <w:rsid w:val="67F57AA3"/>
    <w:rsid w:val="67F5855D"/>
    <w:rsid w:val="67F6C23A"/>
    <w:rsid w:val="67F794A5"/>
    <w:rsid w:val="67F7D99C"/>
    <w:rsid w:val="67F7F82B"/>
    <w:rsid w:val="67F8E30E"/>
    <w:rsid w:val="67F9B252"/>
    <w:rsid w:val="67F9FA83"/>
    <w:rsid w:val="67FB1BAB"/>
    <w:rsid w:val="67FB2CAE"/>
    <w:rsid w:val="67FBDB4D"/>
    <w:rsid w:val="67FC176B"/>
    <w:rsid w:val="67FC5817"/>
    <w:rsid w:val="67FC6952"/>
    <w:rsid w:val="67FCA893"/>
    <w:rsid w:val="67FD52BB"/>
    <w:rsid w:val="67FDCD42"/>
    <w:rsid w:val="67FE5162"/>
    <w:rsid w:val="67FFA699"/>
    <w:rsid w:val="67FFDB5F"/>
    <w:rsid w:val="6800E96C"/>
    <w:rsid w:val="68017C10"/>
    <w:rsid w:val="6801F2E8"/>
    <w:rsid w:val="680211F4"/>
    <w:rsid w:val="68031ED2"/>
    <w:rsid w:val="6803BAFB"/>
    <w:rsid w:val="6803F2EC"/>
    <w:rsid w:val="68071465"/>
    <w:rsid w:val="6807DE11"/>
    <w:rsid w:val="6808ADD0"/>
    <w:rsid w:val="6808BC69"/>
    <w:rsid w:val="6809AC01"/>
    <w:rsid w:val="680A7D00"/>
    <w:rsid w:val="680C19F7"/>
    <w:rsid w:val="680E26AF"/>
    <w:rsid w:val="680E7FC9"/>
    <w:rsid w:val="680E9576"/>
    <w:rsid w:val="6812F3E8"/>
    <w:rsid w:val="68143005"/>
    <w:rsid w:val="681431F9"/>
    <w:rsid w:val="68148BDD"/>
    <w:rsid w:val="6815513A"/>
    <w:rsid w:val="6815BD9F"/>
    <w:rsid w:val="68160D20"/>
    <w:rsid w:val="681741C3"/>
    <w:rsid w:val="68196856"/>
    <w:rsid w:val="6819A08C"/>
    <w:rsid w:val="681B3A0D"/>
    <w:rsid w:val="681BF6F1"/>
    <w:rsid w:val="681C0B44"/>
    <w:rsid w:val="681CA7B1"/>
    <w:rsid w:val="681CB07B"/>
    <w:rsid w:val="681D9026"/>
    <w:rsid w:val="681EBA52"/>
    <w:rsid w:val="681EF564"/>
    <w:rsid w:val="681FB11E"/>
    <w:rsid w:val="681FEB97"/>
    <w:rsid w:val="682018EE"/>
    <w:rsid w:val="68216932"/>
    <w:rsid w:val="6821DD78"/>
    <w:rsid w:val="68221362"/>
    <w:rsid w:val="682274E5"/>
    <w:rsid w:val="6823A885"/>
    <w:rsid w:val="682443AA"/>
    <w:rsid w:val="682540C1"/>
    <w:rsid w:val="6826245F"/>
    <w:rsid w:val="6826E8E6"/>
    <w:rsid w:val="68274029"/>
    <w:rsid w:val="6827C908"/>
    <w:rsid w:val="68281D56"/>
    <w:rsid w:val="6828A95F"/>
    <w:rsid w:val="6828CBFA"/>
    <w:rsid w:val="6829EA79"/>
    <w:rsid w:val="682A01AA"/>
    <w:rsid w:val="682A64FB"/>
    <w:rsid w:val="682A818F"/>
    <w:rsid w:val="682CE816"/>
    <w:rsid w:val="682D0FB1"/>
    <w:rsid w:val="682D4197"/>
    <w:rsid w:val="682D5D00"/>
    <w:rsid w:val="682F1DE7"/>
    <w:rsid w:val="682F66BD"/>
    <w:rsid w:val="68301836"/>
    <w:rsid w:val="68307F95"/>
    <w:rsid w:val="6830B683"/>
    <w:rsid w:val="6832F09F"/>
    <w:rsid w:val="6833CB79"/>
    <w:rsid w:val="68343CF3"/>
    <w:rsid w:val="68350FCD"/>
    <w:rsid w:val="6835822E"/>
    <w:rsid w:val="6836A968"/>
    <w:rsid w:val="68378950"/>
    <w:rsid w:val="6837B9E4"/>
    <w:rsid w:val="6837C95A"/>
    <w:rsid w:val="68384F75"/>
    <w:rsid w:val="68386A16"/>
    <w:rsid w:val="68393FB1"/>
    <w:rsid w:val="6839BA14"/>
    <w:rsid w:val="6839C627"/>
    <w:rsid w:val="6839D22C"/>
    <w:rsid w:val="683A7A5C"/>
    <w:rsid w:val="683A8A1A"/>
    <w:rsid w:val="683B2FC9"/>
    <w:rsid w:val="683BFF7E"/>
    <w:rsid w:val="683CD15B"/>
    <w:rsid w:val="683D42DC"/>
    <w:rsid w:val="683D5FB0"/>
    <w:rsid w:val="683DDDF0"/>
    <w:rsid w:val="683F0E0E"/>
    <w:rsid w:val="683F7746"/>
    <w:rsid w:val="68407596"/>
    <w:rsid w:val="6840E04E"/>
    <w:rsid w:val="684121B7"/>
    <w:rsid w:val="6841836B"/>
    <w:rsid w:val="6842A07E"/>
    <w:rsid w:val="68449950"/>
    <w:rsid w:val="6844F5ED"/>
    <w:rsid w:val="6845209D"/>
    <w:rsid w:val="68453B89"/>
    <w:rsid w:val="68458157"/>
    <w:rsid w:val="6845DCC0"/>
    <w:rsid w:val="68476CD9"/>
    <w:rsid w:val="68477070"/>
    <w:rsid w:val="68490513"/>
    <w:rsid w:val="684996E7"/>
    <w:rsid w:val="684B3665"/>
    <w:rsid w:val="684C468D"/>
    <w:rsid w:val="684CBB1E"/>
    <w:rsid w:val="684D3866"/>
    <w:rsid w:val="684D3C40"/>
    <w:rsid w:val="684D56E0"/>
    <w:rsid w:val="684DBB40"/>
    <w:rsid w:val="684E2221"/>
    <w:rsid w:val="684F7CDD"/>
    <w:rsid w:val="6850746F"/>
    <w:rsid w:val="6850D805"/>
    <w:rsid w:val="6851F5C0"/>
    <w:rsid w:val="685249C0"/>
    <w:rsid w:val="6852A919"/>
    <w:rsid w:val="6852B06E"/>
    <w:rsid w:val="68543653"/>
    <w:rsid w:val="68548FAE"/>
    <w:rsid w:val="6854C045"/>
    <w:rsid w:val="6854C377"/>
    <w:rsid w:val="6854EB92"/>
    <w:rsid w:val="6855130F"/>
    <w:rsid w:val="68566FB5"/>
    <w:rsid w:val="68569BCF"/>
    <w:rsid w:val="6857A554"/>
    <w:rsid w:val="6857D001"/>
    <w:rsid w:val="6858F3D1"/>
    <w:rsid w:val="685954E2"/>
    <w:rsid w:val="68598594"/>
    <w:rsid w:val="68598947"/>
    <w:rsid w:val="6859FA7C"/>
    <w:rsid w:val="685B183B"/>
    <w:rsid w:val="685B4E9C"/>
    <w:rsid w:val="685BE524"/>
    <w:rsid w:val="685BF516"/>
    <w:rsid w:val="685C611B"/>
    <w:rsid w:val="685D155A"/>
    <w:rsid w:val="685D4E0E"/>
    <w:rsid w:val="685D8911"/>
    <w:rsid w:val="685F133B"/>
    <w:rsid w:val="685FA016"/>
    <w:rsid w:val="685FAF8A"/>
    <w:rsid w:val="685FCC32"/>
    <w:rsid w:val="68602353"/>
    <w:rsid w:val="68609EC0"/>
    <w:rsid w:val="6860EA7F"/>
    <w:rsid w:val="68614EDE"/>
    <w:rsid w:val="68628D7E"/>
    <w:rsid w:val="68628F20"/>
    <w:rsid w:val="6862F442"/>
    <w:rsid w:val="68634A39"/>
    <w:rsid w:val="68637232"/>
    <w:rsid w:val="68639EBA"/>
    <w:rsid w:val="6864E3C8"/>
    <w:rsid w:val="686503BF"/>
    <w:rsid w:val="68651972"/>
    <w:rsid w:val="68658F8D"/>
    <w:rsid w:val="6866198F"/>
    <w:rsid w:val="686681CA"/>
    <w:rsid w:val="68688DC1"/>
    <w:rsid w:val="68691430"/>
    <w:rsid w:val="686AF405"/>
    <w:rsid w:val="686B1F43"/>
    <w:rsid w:val="686DE9CD"/>
    <w:rsid w:val="686DF8F8"/>
    <w:rsid w:val="686F2001"/>
    <w:rsid w:val="686F569B"/>
    <w:rsid w:val="68722874"/>
    <w:rsid w:val="687300FE"/>
    <w:rsid w:val="6874876D"/>
    <w:rsid w:val="687543A3"/>
    <w:rsid w:val="6875472A"/>
    <w:rsid w:val="687564FF"/>
    <w:rsid w:val="68761851"/>
    <w:rsid w:val="687664D6"/>
    <w:rsid w:val="687687B2"/>
    <w:rsid w:val="6876A1DC"/>
    <w:rsid w:val="68770923"/>
    <w:rsid w:val="6877629E"/>
    <w:rsid w:val="687788A0"/>
    <w:rsid w:val="68785CBD"/>
    <w:rsid w:val="687868F2"/>
    <w:rsid w:val="6878773A"/>
    <w:rsid w:val="6878D96F"/>
    <w:rsid w:val="687A1540"/>
    <w:rsid w:val="687A7DDC"/>
    <w:rsid w:val="687B6362"/>
    <w:rsid w:val="687B886F"/>
    <w:rsid w:val="687C880F"/>
    <w:rsid w:val="687D8213"/>
    <w:rsid w:val="688170A3"/>
    <w:rsid w:val="688307B5"/>
    <w:rsid w:val="68832A4B"/>
    <w:rsid w:val="68838CD9"/>
    <w:rsid w:val="6883C354"/>
    <w:rsid w:val="688451F1"/>
    <w:rsid w:val="6884D4DD"/>
    <w:rsid w:val="68852B9E"/>
    <w:rsid w:val="6885B484"/>
    <w:rsid w:val="6885EA37"/>
    <w:rsid w:val="688675ED"/>
    <w:rsid w:val="68878435"/>
    <w:rsid w:val="6887C27D"/>
    <w:rsid w:val="688868F1"/>
    <w:rsid w:val="68887E51"/>
    <w:rsid w:val="6888B64E"/>
    <w:rsid w:val="6888B968"/>
    <w:rsid w:val="6888C67B"/>
    <w:rsid w:val="6889EA30"/>
    <w:rsid w:val="688AB4D4"/>
    <w:rsid w:val="688AF50D"/>
    <w:rsid w:val="688B031E"/>
    <w:rsid w:val="688B8BC3"/>
    <w:rsid w:val="688C4C91"/>
    <w:rsid w:val="688E74DB"/>
    <w:rsid w:val="688FA862"/>
    <w:rsid w:val="688FD364"/>
    <w:rsid w:val="6891CDEE"/>
    <w:rsid w:val="6892195E"/>
    <w:rsid w:val="68922873"/>
    <w:rsid w:val="6893043A"/>
    <w:rsid w:val="6893C3F4"/>
    <w:rsid w:val="68948ADC"/>
    <w:rsid w:val="6894D6D4"/>
    <w:rsid w:val="6894DEA2"/>
    <w:rsid w:val="689519E5"/>
    <w:rsid w:val="6896B80F"/>
    <w:rsid w:val="689796AF"/>
    <w:rsid w:val="68982F36"/>
    <w:rsid w:val="6898A6B7"/>
    <w:rsid w:val="6898E3BE"/>
    <w:rsid w:val="6898F227"/>
    <w:rsid w:val="6898FEC4"/>
    <w:rsid w:val="6899D035"/>
    <w:rsid w:val="689A3303"/>
    <w:rsid w:val="689ADF43"/>
    <w:rsid w:val="689AEABE"/>
    <w:rsid w:val="689B4D48"/>
    <w:rsid w:val="689D0318"/>
    <w:rsid w:val="689DDD58"/>
    <w:rsid w:val="689E1FF1"/>
    <w:rsid w:val="689EC9CC"/>
    <w:rsid w:val="689F5147"/>
    <w:rsid w:val="689F8921"/>
    <w:rsid w:val="689FDD1D"/>
    <w:rsid w:val="68A15110"/>
    <w:rsid w:val="68A16B4E"/>
    <w:rsid w:val="68A16E41"/>
    <w:rsid w:val="68A19F94"/>
    <w:rsid w:val="68A1FA86"/>
    <w:rsid w:val="68A21ED9"/>
    <w:rsid w:val="68A25712"/>
    <w:rsid w:val="68A26056"/>
    <w:rsid w:val="68A33D2E"/>
    <w:rsid w:val="68A33E4F"/>
    <w:rsid w:val="68A36DA0"/>
    <w:rsid w:val="68A43A50"/>
    <w:rsid w:val="68A51FAC"/>
    <w:rsid w:val="68A52FDD"/>
    <w:rsid w:val="68A60820"/>
    <w:rsid w:val="68A68B4B"/>
    <w:rsid w:val="68A7233A"/>
    <w:rsid w:val="68A7D197"/>
    <w:rsid w:val="68A8BC64"/>
    <w:rsid w:val="68A8F513"/>
    <w:rsid w:val="68A9692C"/>
    <w:rsid w:val="68A9ADD8"/>
    <w:rsid w:val="68A9F040"/>
    <w:rsid w:val="68AA13F5"/>
    <w:rsid w:val="68AA45DE"/>
    <w:rsid w:val="68AAE24D"/>
    <w:rsid w:val="68AB1744"/>
    <w:rsid w:val="68AB95DB"/>
    <w:rsid w:val="68AC12EC"/>
    <w:rsid w:val="68AC8C6D"/>
    <w:rsid w:val="68ACA7FB"/>
    <w:rsid w:val="68AD0D89"/>
    <w:rsid w:val="68AD7C42"/>
    <w:rsid w:val="68ADDC3D"/>
    <w:rsid w:val="68AE22FA"/>
    <w:rsid w:val="68AEF0E8"/>
    <w:rsid w:val="68B093B1"/>
    <w:rsid w:val="68B0D686"/>
    <w:rsid w:val="68B0D9D8"/>
    <w:rsid w:val="68B14119"/>
    <w:rsid w:val="68B1852D"/>
    <w:rsid w:val="68B2BCBC"/>
    <w:rsid w:val="68B30725"/>
    <w:rsid w:val="68B314DA"/>
    <w:rsid w:val="68B5AE35"/>
    <w:rsid w:val="68B794AA"/>
    <w:rsid w:val="68B7F7C2"/>
    <w:rsid w:val="68B8FA88"/>
    <w:rsid w:val="68BA6D27"/>
    <w:rsid w:val="68BB84E5"/>
    <w:rsid w:val="68BBA7CF"/>
    <w:rsid w:val="68BC478D"/>
    <w:rsid w:val="68BC4BD1"/>
    <w:rsid w:val="68BC7148"/>
    <w:rsid w:val="68BDF473"/>
    <w:rsid w:val="68BE1188"/>
    <w:rsid w:val="68BE2FC5"/>
    <w:rsid w:val="68BE9ADE"/>
    <w:rsid w:val="68BEBA46"/>
    <w:rsid w:val="68BF6F46"/>
    <w:rsid w:val="68BFA391"/>
    <w:rsid w:val="68BFFC26"/>
    <w:rsid w:val="68C0B384"/>
    <w:rsid w:val="68C0D03B"/>
    <w:rsid w:val="68C0FBF1"/>
    <w:rsid w:val="68C16E30"/>
    <w:rsid w:val="68C23075"/>
    <w:rsid w:val="68C29BB3"/>
    <w:rsid w:val="68C2CFD3"/>
    <w:rsid w:val="68C3AD66"/>
    <w:rsid w:val="68C6544E"/>
    <w:rsid w:val="68C68C8C"/>
    <w:rsid w:val="68C6D5F7"/>
    <w:rsid w:val="68C6D7F6"/>
    <w:rsid w:val="68C74646"/>
    <w:rsid w:val="68C7625F"/>
    <w:rsid w:val="68C78A86"/>
    <w:rsid w:val="68C7BC9A"/>
    <w:rsid w:val="68C92779"/>
    <w:rsid w:val="68C97FF2"/>
    <w:rsid w:val="68C997BB"/>
    <w:rsid w:val="68CA9CD1"/>
    <w:rsid w:val="68CAA02F"/>
    <w:rsid w:val="68CB6606"/>
    <w:rsid w:val="68CCF0FC"/>
    <w:rsid w:val="68CD03F1"/>
    <w:rsid w:val="68CE2CDC"/>
    <w:rsid w:val="68CEB7D5"/>
    <w:rsid w:val="68CF035A"/>
    <w:rsid w:val="68D041C0"/>
    <w:rsid w:val="68D107B5"/>
    <w:rsid w:val="68D24E79"/>
    <w:rsid w:val="68D2D914"/>
    <w:rsid w:val="68D2ED38"/>
    <w:rsid w:val="68D37F0D"/>
    <w:rsid w:val="68D3E153"/>
    <w:rsid w:val="68D44D3F"/>
    <w:rsid w:val="68D4C022"/>
    <w:rsid w:val="68D4C05C"/>
    <w:rsid w:val="68D4DE35"/>
    <w:rsid w:val="68D51178"/>
    <w:rsid w:val="68D59D83"/>
    <w:rsid w:val="68D67C85"/>
    <w:rsid w:val="68D69319"/>
    <w:rsid w:val="68D69DF7"/>
    <w:rsid w:val="68D75DFF"/>
    <w:rsid w:val="68D78BB8"/>
    <w:rsid w:val="68D8C404"/>
    <w:rsid w:val="68D95E7C"/>
    <w:rsid w:val="68DA49B2"/>
    <w:rsid w:val="68DAC795"/>
    <w:rsid w:val="68DADE87"/>
    <w:rsid w:val="68DB993F"/>
    <w:rsid w:val="68DBAFCE"/>
    <w:rsid w:val="68DC819C"/>
    <w:rsid w:val="68DC8379"/>
    <w:rsid w:val="68DCFA44"/>
    <w:rsid w:val="68DDDB11"/>
    <w:rsid w:val="68DEF539"/>
    <w:rsid w:val="68DEF827"/>
    <w:rsid w:val="68DFA90F"/>
    <w:rsid w:val="68E0635A"/>
    <w:rsid w:val="68E0982E"/>
    <w:rsid w:val="68E18291"/>
    <w:rsid w:val="68E2B2E3"/>
    <w:rsid w:val="68E2DF21"/>
    <w:rsid w:val="68E54CF0"/>
    <w:rsid w:val="68E5B1BA"/>
    <w:rsid w:val="68E70031"/>
    <w:rsid w:val="68E77582"/>
    <w:rsid w:val="68E836C6"/>
    <w:rsid w:val="68E8DE7F"/>
    <w:rsid w:val="68E8F20D"/>
    <w:rsid w:val="68EB677C"/>
    <w:rsid w:val="68EB7237"/>
    <w:rsid w:val="68EB87EE"/>
    <w:rsid w:val="68EBD0B8"/>
    <w:rsid w:val="68ED2BD9"/>
    <w:rsid w:val="68ED394B"/>
    <w:rsid w:val="68ED97B7"/>
    <w:rsid w:val="68F0198F"/>
    <w:rsid w:val="68F1193A"/>
    <w:rsid w:val="68F2928E"/>
    <w:rsid w:val="68F33808"/>
    <w:rsid w:val="68F392F4"/>
    <w:rsid w:val="68F5D9A6"/>
    <w:rsid w:val="68F5FD48"/>
    <w:rsid w:val="68F66EC4"/>
    <w:rsid w:val="68F7B5F9"/>
    <w:rsid w:val="68F813AE"/>
    <w:rsid w:val="68F8FC1A"/>
    <w:rsid w:val="68F952DA"/>
    <w:rsid w:val="68F9E1CB"/>
    <w:rsid w:val="68FC0EFE"/>
    <w:rsid w:val="68FC4C2C"/>
    <w:rsid w:val="68FC516A"/>
    <w:rsid w:val="68FC66F9"/>
    <w:rsid w:val="68FCE1EA"/>
    <w:rsid w:val="68FD8338"/>
    <w:rsid w:val="68FDDF69"/>
    <w:rsid w:val="68FDE949"/>
    <w:rsid w:val="68FE287C"/>
    <w:rsid w:val="68FFE79D"/>
    <w:rsid w:val="690137C5"/>
    <w:rsid w:val="69025329"/>
    <w:rsid w:val="690266C9"/>
    <w:rsid w:val="6903006D"/>
    <w:rsid w:val="69032B41"/>
    <w:rsid w:val="6903374A"/>
    <w:rsid w:val="6903DE67"/>
    <w:rsid w:val="69043F01"/>
    <w:rsid w:val="6904B4A3"/>
    <w:rsid w:val="69057A67"/>
    <w:rsid w:val="69059899"/>
    <w:rsid w:val="69059BB4"/>
    <w:rsid w:val="69059CE0"/>
    <w:rsid w:val="6905B0E3"/>
    <w:rsid w:val="6906D89D"/>
    <w:rsid w:val="69078CEF"/>
    <w:rsid w:val="69079060"/>
    <w:rsid w:val="6907C04A"/>
    <w:rsid w:val="6907EC8E"/>
    <w:rsid w:val="69089CDC"/>
    <w:rsid w:val="6908D6CD"/>
    <w:rsid w:val="6909DFE7"/>
    <w:rsid w:val="6909F91C"/>
    <w:rsid w:val="690A285D"/>
    <w:rsid w:val="690A7499"/>
    <w:rsid w:val="690B27A9"/>
    <w:rsid w:val="690C593A"/>
    <w:rsid w:val="690C8631"/>
    <w:rsid w:val="690C99CA"/>
    <w:rsid w:val="690CF3F0"/>
    <w:rsid w:val="690E79C8"/>
    <w:rsid w:val="690EBB9D"/>
    <w:rsid w:val="690F45B7"/>
    <w:rsid w:val="690F86CE"/>
    <w:rsid w:val="690FA31A"/>
    <w:rsid w:val="690FF11D"/>
    <w:rsid w:val="69106508"/>
    <w:rsid w:val="69110E34"/>
    <w:rsid w:val="6911A8BA"/>
    <w:rsid w:val="69122C3C"/>
    <w:rsid w:val="691257ED"/>
    <w:rsid w:val="69139C5E"/>
    <w:rsid w:val="6914F8E7"/>
    <w:rsid w:val="6916EC90"/>
    <w:rsid w:val="6917D9F5"/>
    <w:rsid w:val="691A11DC"/>
    <w:rsid w:val="691A850A"/>
    <w:rsid w:val="691BA6CD"/>
    <w:rsid w:val="691DFE5B"/>
    <w:rsid w:val="691E8FF0"/>
    <w:rsid w:val="691E9866"/>
    <w:rsid w:val="691EF1E5"/>
    <w:rsid w:val="691F9B04"/>
    <w:rsid w:val="69210E24"/>
    <w:rsid w:val="69216909"/>
    <w:rsid w:val="69216DEE"/>
    <w:rsid w:val="6921993E"/>
    <w:rsid w:val="6922189E"/>
    <w:rsid w:val="69226233"/>
    <w:rsid w:val="6922B7F8"/>
    <w:rsid w:val="6922C013"/>
    <w:rsid w:val="69234A49"/>
    <w:rsid w:val="6923A5BF"/>
    <w:rsid w:val="6923EAEA"/>
    <w:rsid w:val="6923EC73"/>
    <w:rsid w:val="69245ECA"/>
    <w:rsid w:val="6924934B"/>
    <w:rsid w:val="69253829"/>
    <w:rsid w:val="692538B2"/>
    <w:rsid w:val="69256984"/>
    <w:rsid w:val="69258E47"/>
    <w:rsid w:val="6927A0F5"/>
    <w:rsid w:val="692824B3"/>
    <w:rsid w:val="6928561E"/>
    <w:rsid w:val="692971F0"/>
    <w:rsid w:val="692A668A"/>
    <w:rsid w:val="692A8603"/>
    <w:rsid w:val="692BB4EF"/>
    <w:rsid w:val="692BB782"/>
    <w:rsid w:val="692BF7B5"/>
    <w:rsid w:val="692C7C07"/>
    <w:rsid w:val="692D1F84"/>
    <w:rsid w:val="692DBF94"/>
    <w:rsid w:val="692EA426"/>
    <w:rsid w:val="692EFAC7"/>
    <w:rsid w:val="692F31C0"/>
    <w:rsid w:val="692FCFE0"/>
    <w:rsid w:val="693018C5"/>
    <w:rsid w:val="6931F648"/>
    <w:rsid w:val="69329910"/>
    <w:rsid w:val="6932D29D"/>
    <w:rsid w:val="69330645"/>
    <w:rsid w:val="69332A64"/>
    <w:rsid w:val="69340625"/>
    <w:rsid w:val="69342F88"/>
    <w:rsid w:val="693551DF"/>
    <w:rsid w:val="693574DF"/>
    <w:rsid w:val="693661C5"/>
    <w:rsid w:val="6936E468"/>
    <w:rsid w:val="6936EB77"/>
    <w:rsid w:val="693867AC"/>
    <w:rsid w:val="6938D41C"/>
    <w:rsid w:val="6938F2F7"/>
    <w:rsid w:val="69392586"/>
    <w:rsid w:val="6939ECA4"/>
    <w:rsid w:val="693A0080"/>
    <w:rsid w:val="693A3CC5"/>
    <w:rsid w:val="693BD8C4"/>
    <w:rsid w:val="693C5ED0"/>
    <w:rsid w:val="693DD42C"/>
    <w:rsid w:val="693DF23A"/>
    <w:rsid w:val="693EDFA6"/>
    <w:rsid w:val="693F04CE"/>
    <w:rsid w:val="6941533A"/>
    <w:rsid w:val="69415989"/>
    <w:rsid w:val="69416503"/>
    <w:rsid w:val="69420179"/>
    <w:rsid w:val="6942C7E4"/>
    <w:rsid w:val="69431760"/>
    <w:rsid w:val="6944510D"/>
    <w:rsid w:val="694454B7"/>
    <w:rsid w:val="694480A0"/>
    <w:rsid w:val="6944F5D9"/>
    <w:rsid w:val="694597AD"/>
    <w:rsid w:val="69475948"/>
    <w:rsid w:val="6947DD7C"/>
    <w:rsid w:val="6948FD32"/>
    <w:rsid w:val="6949B33D"/>
    <w:rsid w:val="694B46CF"/>
    <w:rsid w:val="694CCC45"/>
    <w:rsid w:val="694D9B6B"/>
    <w:rsid w:val="694DC039"/>
    <w:rsid w:val="694DD862"/>
    <w:rsid w:val="694E2F1E"/>
    <w:rsid w:val="694F85D3"/>
    <w:rsid w:val="694FD61A"/>
    <w:rsid w:val="6952461B"/>
    <w:rsid w:val="69539E6A"/>
    <w:rsid w:val="69555EDF"/>
    <w:rsid w:val="695571ED"/>
    <w:rsid w:val="6955A093"/>
    <w:rsid w:val="6955B36A"/>
    <w:rsid w:val="695740AE"/>
    <w:rsid w:val="6957668F"/>
    <w:rsid w:val="69576B9E"/>
    <w:rsid w:val="6957C599"/>
    <w:rsid w:val="6957D757"/>
    <w:rsid w:val="6959856B"/>
    <w:rsid w:val="69599F40"/>
    <w:rsid w:val="695B1948"/>
    <w:rsid w:val="695B81EB"/>
    <w:rsid w:val="695BE944"/>
    <w:rsid w:val="695D00A1"/>
    <w:rsid w:val="695DF662"/>
    <w:rsid w:val="695EB7AE"/>
    <w:rsid w:val="695EE312"/>
    <w:rsid w:val="695F597E"/>
    <w:rsid w:val="696031AC"/>
    <w:rsid w:val="69607017"/>
    <w:rsid w:val="6960E3F6"/>
    <w:rsid w:val="6960F45F"/>
    <w:rsid w:val="6961863C"/>
    <w:rsid w:val="6962E73F"/>
    <w:rsid w:val="69639DE8"/>
    <w:rsid w:val="6963D9D4"/>
    <w:rsid w:val="6965A107"/>
    <w:rsid w:val="6965B1AE"/>
    <w:rsid w:val="6966C6E2"/>
    <w:rsid w:val="69677A26"/>
    <w:rsid w:val="6967C3EC"/>
    <w:rsid w:val="6969ACE3"/>
    <w:rsid w:val="696B7A6C"/>
    <w:rsid w:val="696D8C0C"/>
    <w:rsid w:val="696E317E"/>
    <w:rsid w:val="696E4BAF"/>
    <w:rsid w:val="696EEC4A"/>
    <w:rsid w:val="696FED36"/>
    <w:rsid w:val="6970257A"/>
    <w:rsid w:val="6970340B"/>
    <w:rsid w:val="6970F735"/>
    <w:rsid w:val="69711BE7"/>
    <w:rsid w:val="6971640A"/>
    <w:rsid w:val="6971E869"/>
    <w:rsid w:val="69720A7D"/>
    <w:rsid w:val="6972131E"/>
    <w:rsid w:val="6972A33E"/>
    <w:rsid w:val="6973201F"/>
    <w:rsid w:val="697330F9"/>
    <w:rsid w:val="69740236"/>
    <w:rsid w:val="69758E6E"/>
    <w:rsid w:val="6975D847"/>
    <w:rsid w:val="697638AF"/>
    <w:rsid w:val="6976FFB0"/>
    <w:rsid w:val="697787DD"/>
    <w:rsid w:val="69778935"/>
    <w:rsid w:val="6977C5BD"/>
    <w:rsid w:val="6977D2F9"/>
    <w:rsid w:val="6978985D"/>
    <w:rsid w:val="6979E015"/>
    <w:rsid w:val="697A0642"/>
    <w:rsid w:val="697A6F06"/>
    <w:rsid w:val="697AAAAB"/>
    <w:rsid w:val="697B65FF"/>
    <w:rsid w:val="697C3354"/>
    <w:rsid w:val="697D8552"/>
    <w:rsid w:val="697FEDFE"/>
    <w:rsid w:val="69807A6D"/>
    <w:rsid w:val="6980E77A"/>
    <w:rsid w:val="69812835"/>
    <w:rsid w:val="69823540"/>
    <w:rsid w:val="6982AB92"/>
    <w:rsid w:val="6982CC8F"/>
    <w:rsid w:val="698326D9"/>
    <w:rsid w:val="6983330F"/>
    <w:rsid w:val="69836AAE"/>
    <w:rsid w:val="6983A17E"/>
    <w:rsid w:val="69850449"/>
    <w:rsid w:val="69853AEF"/>
    <w:rsid w:val="6985582D"/>
    <w:rsid w:val="698611CD"/>
    <w:rsid w:val="69867A12"/>
    <w:rsid w:val="698685BA"/>
    <w:rsid w:val="698838EF"/>
    <w:rsid w:val="6989C27A"/>
    <w:rsid w:val="698A55EC"/>
    <w:rsid w:val="698AF077"/>
    <w:rsid w:val="698B0FEE"/>
    <w:rsid w:val="698B33D0"/>
    <w:rsid w:val="698C2729"/>
    <w:rsid w:val="698C824A"/>
    <w:rsid w:val="698D3CB6"/>
    <w:rsid w:val="698DBE56"/>
    <w:rsid w:val="698E6539"/>
    <w:rsid w:val="698F24E1"/>
    <w:rsid w:val="698F689F"/>
    <w:rsid w:val="698F8179"/>
    <w:rsid w:val="699051CC"/>
    <w:rsid w:val="69910E5A"/>
    <w:rsid w:val="69916A95"/>
    <w:rsid w:val="69920805"/>
    <w:rsid w:val="6992352B"/>
    <w:rsid w:val="69937068"/>
    <w:rsid w:val="69939C97"/>
    <w:rsid w:val="6993CF7C"/>
    <w:rsid w:val="699416DB"/>
    <w:rsid w:val="69951A4E"/>
    <w:rsid w:val="6995E235"/>
    <w:rsid w:val="69968798"/>
    <w:rsid w:val="69970DDF"/>
    <w:rsid w:val="69972B45"/>
    <w:rsid w:val="6997418C"/>
    <w:rsid w:val="699773A1"/>
    <w:rsid w:val="69983391"/>
    <w:rsid w:val="69987AF5"/>
    <w:rsid w:val="69993743"/>
    <w:rsid w:val="69997209"/>
    <w:rsid w:val="699974A3"/>
    <w:rsid w:val="699A7289"/>
    <w:rsid w:val="699A995A"/>
    <w:rsid w:val="699AA8A7"/>
    <w:rsid w:val="699ADAB3"/>
    <w:rsid w:val="699AE139"/>
    <w:rsid w:val="699BDE19"/>
    <w:rsid w:val="699C5217"/>
    <w:rsid w:val="699CB79A"/>
    <w:rsid w:val="699CC9B6"/>
    <w:rsid w:val="699E91FF"/>
    <w:rsid w:val="699EEC03"/>
    <w:rsid w:val="699F8159"/>
    <w:rsid w:val="699FEDE5"/>
    <w:rsid w:val="69A0083D"/>
    <w:rsid w:val="69A2488E"/>
    <w:rsid w:val="69A2A784"/>
    <w:rsid w:val="69A2BD23"/>
    <w:rsid w:val="69A2F23D"/>
    <w:rsid w:val="69A32431"/>
    <w:rsid w:val="69A52D21"/>
    <w:rsid w:val="69A6487B"/>
    <w:rsid w:val="69A71688"/>
    <w:rsid w:val="69A766EB"/>
    <w:rsid w:val="69A83702"/>
    <w:rsid w:val="69A87FDF"/>
    <w:rsid w:val="69A99C93"/>
    <w:rsid w:val="69A9E501"/>
    <w:rsid w:val="69AA9F4C"/>
    <w:rsid w:val="69AAF727"/>
    <w:rsid w:val="69ABD07A"/>
    <w:rsid w:val="69AC17A5"/>
    <w:rsid w:val="69AC1A19"/>
    <w:rsid w:val="69ACA96B"/>
    <w:rsid w:val="69AD74B0"/>
    <w:rsid w:val="69AD8029"/>
    <w:rsid w:val="69AE452D"/>
    <w:rsid w:val="69AE6E3A"/>
    <w:rsid w:val="69AF8DE6"/>
    <w:rsid w:val="69AFD435"/>
    <w:rsid w:val="69B07B48"/>
    <w:rsid w:val="69B2A5A4"/>
    <w:rsid w:val="69B2A96D"/>
    <w:rsid w:val="69B2FBE8"/>
    <w:rsid w:val="69B3445B"/>
    <w:rsid w:val="69B3AEA3"/>
    <w:rsid w:val="69B3DC8B"/>
    <w:rsid w:val="69B3E0BA"/>
    <w:rsid w:val="69B44D3D"/>
    <w:rsid w:val="69B62653"/>
    <w:rsid w:val="69B8C2FB"/>
    <w:rsid w:val="69BA9E92"/>
    <w:rsid w:val="69BAC58C"/>
    <w:rsid w:val="69BAE289"/>
    <w:rsid w:val="69BAFC0E"/>
    <w:rsid w:val="69BBCA40"/>
    <w:rsid w:val="69BD2116"/>
    <w:rsid w:val="69BD4AD9"/>
    <w:rsid w:val="69BD7374"/>
    <w:rsid w:val="69BE42AA"/>
    <w:rsid w:val="69BE6477"/>
    <w:rsid w:val="69BEBB27"/>
    <w:rsid w:val="69BF9A75"/>
    <w:rsid w:val="69BFA85B"/>
    <w:rsid w:val="69BFDA77"/>
    <w:rsid w:val="69C0615E"/>
    <w:rsid w:val="69C07E76"/>
    <w:rsid w:val="69C20CD7"/>
    <w:rsid w:val="69C27621"/>
    <w:rsid w:val="69C2DCD1"/>
    <w:rsid w:val="69C34018"/>
    <w:rsid w:val="69C3425B"/>
    <w:rsid w:val="69C3BF9C"/>
    <w:rsid w:val="69C4799D"/>
    <w:rsid w:val="69C49C5B"/>
    <w:rsid w:val="69C599DA"/>
    <w:rsid w:val="69C5D9A6"/>
    <w:rsid w:val="69C64AE0"/>
    <w:rsid w:val="69C6866F"/>
    <w:rsid w:val="69C71361"/>
    <w:rsid w:val="69C7ED16"/>
    <w:rsid w:val="69CA5A73"/>
    <w:rsid w:val="69CA7861"/>
    <w:rsid w:val="69CAB301"/>
    <w:rsid w:val="69CB4A11"/>
    <w:rsid w:val="69CB7501"/>
    <w:rsid w:val="69CC49B9"/>
    <w:rsid w:val="69CC76EC"/>
    <w:rsid w:val="69CC86E4"/>
    <w:rsid w:val="69CCF050"/>
    <w:rsid w:val="69CD3517"/>
    <w:rsid w:val="69CD40C1"/>
    <w:rsid w:val="69CD48A4"/>
    <w:rsid w:val="69CD6B10"/>
    <w:rsid w:val="69CE531C"/>
    <w:rsid w:val="69CFC7CA"/>
    <w:rsid w:val="69CFE2B5"/>
    <w:rsid w:val="69D0CE3A"/>
    <w:rsid w:val="69D0EFAF"/>
    <w:rsid w:val="69D18A05"/>
    <w:rsid w:val="69D37168"/>
    <w:rsid w:val="69D43FC1"/>
    <w:rsid w:val="69D441D1"/>
    <w:rsid w:val="69D441D3"/>
    <w:rsid w:val="69D46BAA"/>
    <w:rsid w:val="69D47ED5"/>
    <w:rsid w:val="69D488E4"/>
    <w:rsid w:val="69D49899"/>
    <w:rsid w:val="69D5280B"/>
    <w:rsid w:val="69D621E3"/>
    <w:rsid w:val="69D7AE75"/>
    <w:rsid w:val="69D7B233"/>
    <w:rsid w:val="69D8BA63"/>
    <w:rsid w:val="69D909A0"/>
    <w:rsid w:val="69DA9A36"/>
    <w:rsid w:val="69DAC23A"/>
    <w:rsid w:val="69DB3BB8"/>
    <w:rsid w:val="69DB449E"/>
    <w:rsid w:val="69DB5FDF"/>
    <w:rsid w:val="69DB67FA"/>
    <w:rsid w:val="69DC57D3"/>
    <w:rsid w:val="69DC8D75"/>
    <w:rsid w:val="69DCEA88"/>
    <w:rsid w:val="69DE5CDF"/>
    <w:rsid w:val="69DEE0D9"/>
    <w:rsid w:val="69DEF01F"/>
    <w:rsid w:val="69DF4DDE"/>
    <w:rsid w:val="69E11FFF"/>
    <w:rsid w:val="69E16E8E"/>
    <w:rsid w:val="69E17A17"/>
    <w:rsid w:val="69E1C130"/>
    <w:rsid w:val="69E209E5"/>
    <w:rsid w:val="69E2509E"/>
    <w:rsid w:val="69E29395"/>
    <w:rsid w:val="69E2F364"/>
    <w:rsid w:val="69E682EB"/>
    <w:rsid w:val="69E71304"/>
    <w:rsid w:val="69E893D7"/>
    <w:rsid w:val="69E8A073"/>
    <w:rsid w:val="69E9FF4E"/>
    <w:rsid w:val="69EAD0B0"/>
    <w:rsid w:val="69EB25D5"/>
    <w:rsid w:val="69EC2A31"/>
    <w:rsid w:val="69EC7A44"/>
    <w:rsid w:val="69ECF14F"/>
    <w:rsid w:val="69ED6425"/>
    <w:rsid w:val="69EF1949"/>
    <w:rsid w:val="69EF33EF"/>
    <w:rsid w:val="69EFC416"/>
    <w:rsid w:val="69EFF8A5"/>
    <w:rsid w:val="69F03C43"/>
    <w:rsid w:val="69F16A7B"/>
    <w:rsid w:val="69F1B170"/>
    <w:rsid w:val="69F25B39"/>
    <w:rsid w:val="69F25F25"/>
    <w:rsid w:val="69F3769F"/>
    <w:rsid w:val="69F4BCEE"/>
    <w:rsid w:val="69F5B04C"/>
    <w:rsid w:val="69F63CD1"/>
    <w:rsid w:val="69F85DEB"/>
    <w:rsid w:val="69F9B058"/>
    <w:rsid w:val="69F9EDB4"/>
    <w:rsid w:val="69FAE28B"/>
    <w:rsid w:val="69FB3E13"/>
    <w:rsid w:val="69FC26BF"/>
    <w:rsid w:val="69FD624C"/>
    <w:rsid w:val="69FE0F76"/>
    <w:rsid w:val="69FE81F0"/>
    <w:rsid w:val="69FF5651"/>
    <w:rsid w:val="69FFADA4"/>
    <w:rsid w:val="6A001EE0"/>
    <w:rsid w:val="6A0076E0"/>
    <w:rsid w:val="6A0085A3"/>
    <w:rsid w:val="6A00D944"/>
    <w:rsid w:val="6A01146E"/>
    <w:rsid w:val="6A013214"/>
    <w:rsid w:val="6A013CE2"/>
    <w:rsid w:val="6A01B653"/>
    <w:rsid w:val="6A023B1C"/>
    <w:rsid w:val="6A036952"/>
    <w:rsid w:val="6A03B4F8"/>
    <w:rsid w:val="6A03FD2D"/>
    <w:rsid w:val="6A04723A"/>
    <w:rsid w:val="6A04C5C6"/>
    <w:rsid w:val="6A053CCC"/>
    <w:rsid w:val="6A05A121"/>
    <w:rsid w:val="6A05B67F"/>
    <w:rsid w:val="6A066919"/>
    <w:rsid w:val="6A077033"/>
    <w:rsid w:val="6A077985"/>
    <w:rsid w:val="6A078D04"/>
    <w:rsid w:val="6A0868BF"/>
    <w:rsid w:val="6A09A7E9"/>
    <w:rsid w:val="6A0A0326"/>
    <w:rsid w:val="6A0A2654"/>
    <w:rsid w:val="6A0A5C50"/>
    <w:rsid w:val="6A0A6074"/>
    <w:rsid w:val="6A0CD9F7"/>
    <w:rsid w:val="6A0D1879"/>
    <w:rsid w:val="6A0D73BA"/>
    <w:rsid w:val="6A0DFE63"/>
    <w:rsid w:val="6A0E77F2"/>
    <w:rsid w:val="6A0F3180"/>
    <w:rsid w:val="6A0FA160"/>
    <w:rsid w:val="6A102018"/>
    <w:rsid w:val="6A109E1D"/>
    <w:rsid w:val="6A10F58C"/>
    <w:rsid w:val="6A11C685"/>
    <w:rsid w:val="6A121865"/>
    <w:rsid w:val="6A141F0B"/>
    <w:rsid w:val="6A144518"/>
    <w:rsid w:val="6A15244B"/>
    <w:rsid w:val="6A15B69F"/>
    <w:rsid w:val="6A15C498"/>
    <w:rsid w:val="6A15F11D"/>
    <w:rsid w:val="6A163DC1"/>
    <w:rsid w:val="6A16E703"/>
    <w:rsid w:val="6A17ED34"/>
    <w:rsid w:val="6A180578"/>
    <w:rsid w:val="6A183124"/>
    <w:rsid w:val="6A18576C"/>
    <w:rsid w:val="6A1C1C00"/>
    <w:rsid w:val="6A1DE93B"/>
    <w:rsid w:val="6A1E541F"/>
    <w:rsid w:val="6A1E7697"/>
    <w:rsid w:val="6A1F22C3"/>
    <w:rsid w:val="6A1FC3E9"/>
    <w:rsid w:val="6A201FEE"/>
    <w:rsid w:val="6A21BB0F"/>
    <w:rsid w:val="6A21F959"/>
    <w:rsid w:val="6A2358D4"/>
    <w:rsid w:val="6A23BA95"/>
    <w:rsid w:val="6A248A19"/>
    <w:rsid w:val="6A248FF8"/>
    <w:rsid w:val="6A24F6B2"/>
    <w:rsid w:val="6A26C6BB"/>
    <w:rsid w:val="6A279D3D"/>
    <w:rsid w:val="6A28B5A3"/>
    <w:rsid w:val="6A28D8E2"/>
    <w:rsid w:val="6A296A68"/>
    <w:rsid w:val="6A2A09CC"/>
    <w:rsid w:val="6A2A76CB"/>
    <w:rsid w:val="6A2BDAA1"/>
    <w:rsid w:val="6A2D60DF"/>
    <w:rsid w:val="6A2E02D0"/>
    <w:rsid w:val="6A2E5BE0"/>
    <w:rsid w:val="6A2EA2BB"/>
    <w:rsid w:val="6A2EB8F1"/>
    <w:rsid w:val="6A2F040E"/>
    <w:rsid w:val="6A2FD623"/>
    <w:rsid w:val="6A324D29"/>
    <w:rsid w:val="6A330121"/>
    <w:rsid w:val="6A332157"/>
    <w:rsid w:val="6A333B72"/>
    <w:rsid w:val="6A358D7B"/>
    <w:rsid w:val="6A36329D"/>
    <w:rsid w:val="6A36506B"/>
    <w:rsid w:val="6A365FE8"/>
    <w:rsid w:val="6A37FAFA"/>
    <w:rsid w:val="6A389E3A"/>
    <w:rsid w:val="6A38ADB8"/>
    <w:rsid w:val="6A38E749"/>
    <w:rsid w:val="6A398DB8"/>
    <w:rsid w:val="6A3A1467"/>
    <w:rsid w:val="6A3AEB4D"/>
    <w:rsid w:val="6A3C8C78"/>
    <w:rsid w:val="6A3D0A1E"/>
    <w:rsid w:val="6A3D4C47"/>
    <w:rsid w:val="6A3D6491"/>
    <w:rsid w:val="6A3EDB6C"/>
    <w:rsid w:val="6A3EF106"/>
    <w:rsid w:val="6A3FC285"/>
    <w:rsid w:val="6A40498F"/>
    <w:rsid w:val="6A40597D"/>
    <w:rsid w:val="6A40A948"/>
    <w:rsid w:val="6A419D6D"/>
    <w:rsid w:val="6A41E789"/>
    <w:rsid w:val="6A428F5A"/>
    <w:rsid w:val="6A43205E"/>
    <w:rsid w:val="6A434230"/>
    <w:rsid w:val="6A44C54B"/>
    <w:rsid w:val="6A44C5FD"/>
    <w:rsid w:val="6A44CB59"/>
    <w:rsid w:val="6A452182"/>
    <w:rsid w:val="6A478991"/>
    <w:rsid w:val="6A47906F"/>
    <w:rsid w:val="6A47E0D4"/>
    <w:rsid w:val="6A486318"/>
    <w:rsid w:val="6A491AE7"/>
    <w:rsid w:val="6A498898"/>
    <w:rsid w:val="6A4A170B"/>
    <w:rsid w:val="6A4A2F48"/>
    <w:rsid w:val="6A4B3923"/>
    <w:rsid w:val="6A4B65EA"/>
    <w:rsid w:val="6A4C3BA1"/>
    <w:rsid w:val="6A4C9207"/>
    <w:rsid w:val="6A4CAE9E"/>
    <w:rsid w:val="6A4D2DA4"/>
    <w:rsid w:val="6A4DB598"/>
    <w:rsid w:val="6A4DD355"/>
    <w:rsid w:val="6A4E34AC"/>
    <w:rsid w:val="6A4E958F"/>
    <w:rsid w:val="6A4F4B0D"/>
    <w:rsid w:val="6A4FFB4E"/>
    <w:rsid w:val="6A521AE1"/>
    <w:rsid w:val="6A52354F"/>
    <w:rsid w:val="6A5251A7"/>
    <w:rsid w:val="6A5377E8"/>
    <w:rsid w:val="6A5443FE"/>
    <w:rsid w:val="6A54D1A7"/>
    <w:rsid w:val="6A55064E"/>
    <w:rsid w:val="6A561A2A"/>
    <w:rsid w:val="6A563D21"/>
    <w:rsid w:val="6A56F420"/>
    <w:rsid w:val="6A57505E"/>
    <w:rsid w:val="6A57E5FC"/>
    <w:rsid w:val="6A58CA15"/>
    <w:rsid w:val="6A594658"/>
    <w:rsid w:val="6A594C49"/>
    <w:rsid w:val="6A5AB108"/>
    <w:rsid w:val="6A5AD0D2"/>
    <w:rsid w:val="6A5AF1BC"/>
    <w:rsid w:val="6A5B2232"/>
    <w:rsid w:val="6A5B32DF"/>
    <w:rsid w:val="6A5BA206"/>
    <w:rsid w:val="6A5BB223"/>
    <w:rsid w:val="6A5C47DF"/>
    <w:rsid w:val="6A5C6122"/>
    <w:rsid w:val="6A5C9120"/>
    <w:rsid w:val="6A5E348A"/>
    <w:rsid w:val="6A5E6A88"/>
    <w:rsid w:val="6A5E6EE7"/>
    <w:rsid w:val="6A611F96"/>
    <w:rsid w:val="6A613FEE"/>
    <w:rsid w:val="6A626E9E"/>
    <w:rsid w:val="6A62A393"/>
    <w:rsid w:val="6A62AB11"/>
    <w:rsid w:val="6A630C8A"/>
    <w:rsid w:val="6A6357BE"/>
    <w:rsid w:val="6A6440B1"/>
    <w:rsid w:val="6A64973A"/>
    <w:rsid w:val="6A65EB43"/>
    <w:rsid w:val="6A666789"/>
    <w:rsid w:val="6A66BA08"/>
    <w:rsid w:val="6A674263"/>
    <w:rsid w:val="6A67E47E"/>
    <w:rsid w:val="6A695B9F"/>
    <w:rsid w:val="6A69E370"/>
    <w:rsid w:val="6A6A6932"/>
    <w:rsid w:val="6A6B26C4"/>
    <w:rsid w:val="6A6C6ADC"/>
    <w:rsid w:val="6A6C9160"/>
    <w:rsid w:val="6A6C9CE0"/>
    <w:rsid w:val="6A6DC859"/>
    <w:rsid w:val="6A6EF36A"/>
    <w:rsid w:val="6A70762D"/>
    <w:rsid w:val="6A7123CA"/>
    <w:rsid w:val="6A721204"/>
    <w:rsid w:val="6A723DBB"/>
    <w:rsid w:val="6A72D71B"/>
    <w:rsid w:val="6A72DFAE"/>
    <w:rsid w:val="6A734FA7"/>
    <w:rsid w:val="6A737BDB"/>
    <w:rsid w:val="6A738859"/>
    <w:rsid w:val="6A73DD95"/>
    <w:rsid w:val="6A75172B"/>
    <w:rsid w:val="6A757EE5"/>
    <w:rsid w:val="6A75B7DB"/>
    <w:rsid w:val="6A7747B1"/>
    <w:rsid w:val="6A790194"/>
    <w:rsid w:val="6A7A0D65"/>
    <w:rsid w:val="6A7A1911"/>
    <w:rsid w:val="6A7AF88A"/>
    <w:rsid w:val="6A7B1EB6"/>
    <w:rsid w:val="6A7C13D6"/>
    <w:rsid w:val="6A7DE802"/>
    <w:rsid w:val="6A7E623E"/>
    <w:rsid w:val="6A7FEF04"/>
    <w:rsid w:val="6A80304E"/>
    <w:rsid w:val="6A80E1D9"/>
    <w:rsid w:val="6A827263"/>
    <w:rsid w:val="6A82A387"/>
    <w:rsid w:val="6A8376F0"/>
    <w:rsid w:val="6A83B4D8"/>
    <w:rsid w:val="6A83BAF5"/>
    <w:rsid w:val="6A83CAD7"/>
    <w:rsid w:val="6A84041E"/>
    <w:rsid w:val="6A845525"/>
    <w:rsid w:val="6A84AC85"/>
    <w:rsid w:val="6A84AD31"/>
    <w:rsid w:val="6A863BFE"/>
    <w:rsid w:val="6A865F84"/>
    <w:rsid w:val="6A868076"/>
    <w:rsid w:val="6A86A903"/>
    <w:rsid w:val="6A875976"/>
    <w:rsid w:val="6A87D479"/>
    <w:rsid w:val="6A88535E"/>
    <w:rsid w:val="6A88A5F3"/>
    <w:rsid w:val="6A891D2C"/>
    <w:rsid w:val="6A8A14A0"/>
    <w:rsid w:val="6A8A2D1F"/>
    <w:rsid w:val="6A8A4BE8"/>
    <w:rsid w:val="6A8B19B7"/>
    <w:rsid w:val="6A8B50FD"/>
    <w:rsid w:val="6A8BBB4F"/>
    <w:rsid w:val="6A8C1FE5"/>
    <w:rsid w:val="6A8C339D"/>
    <w:rsid w:val="6A8C42BC"/>
    <w:rsid w:val="6A8C7F77"/>
    <w:rsid w:val="6A8DD481"/>
    <w:rsid w:val="6A8EF224"/>
    <w:rsid w:val="6A8F3634"/>
    <w:rsid w:val="6A8F6837"/>
    <w:rsid w:val="6A8F6CF0"/>
    <w:rsid w:val="6A8F9922"/>
    <w:rsid w:val="6A8FFBBE"/>
    <w:rsid w:val="6A9067CB"/>
    <w:rsid w:val="6A90EEFC"/>
    <w:rsid w:val="6A915D9D"/>
    <w:rsid w:val="6A91729E"/>
    <w:rsid w:val="6A918670"/>
    <w:rsid w:val="6A938940"/>
    <w:rsid w:val="6A9390A3"/>
    <w:rsid w:val="6A93C3E2"/>
    <w:rsid w:val="6A951CA2"/>
    <w:rsid w:val="6A95BF74"/>
    <w:rsid w:val="6A96C104"/>
    <w:rsid w:val="6A970FA8"/>
    <w:rsid w:val="6A972B88"/>
    <w:rsid w:val="6A97D82F"/>
    <w:rsid w:val="6A9956BA"/>
    <w:rsid w:val="6A99C272"/>
    <w:rsid w:val="6A9A44F1"/>
    <w:rsid w:val="6A9C5762"/>
    <w:rsid w:val="6A9C7BA4"/>
    <w:rsid w:val="6A9D40A8"/>
    <w:rsid w:val="6A9DCC8C"/>
    <w:rsid w:val="6A9DF22C"/>
    <w:rsid w:val="6A9E4622"/>
    <w:rsid w:val="6A9E5EBE"/>
    <w:rsid w:val="6A9E7764"/>
    <w:rsid w:val="6A9E9470"/>
    <w:rsid w:val="6A9EB48A"/>
    <w:rsid w:val="6A9EE79D"/>
    <w:rsid w:val="6A9F596B"/>
    <w:rsid w:val="6A9FD4CD"/>
    <w:rsid w:val="6AA0174D"/>
    <w:rsid w:val="6AA16E15"/>
    <w:rsid w:val="6AA1DD0A"/>
    <w:rsid w:val="6AA216DB"/>
    <w:rsid w:val="6AA40233"/>
    <w:rsid w:val="6AA45F96"/>
    <w:rsid w:val="6AA738C3"/>
    <w:rsid w:val="6AA75120"/>
    <w:rsid w:val="6AA7974F"/>
    <w:rsid w:val="6AA81DF2"/>
    <w:rsid w:val="6AA8E82A"/>
    <w:rsid w:val="6AA9B41B"/>
    <w:rsid w:val="6AA9C268"/>
    <w:rsid w:val="6AABE20A"/>
    <w:rsid w:val="6AAC5CF0"/>
    <w:rsid w:val="6AAD2B01"/>
    <w:rsid w:val="6AAE3071"/>
    <w:rsid w:val="6AAEA9E2"/>
    <w:rsid w:val="6AAF134E"/>
    <w:rsid w:val="6AAF8897"/>
    <w:rsid w:val="6AAFE5AA"/>
    <w:rsid w:val="6AB055BE"/>
    <w:rsid w:val="6AB06D9F"/>
    <w:rsid w:val="6AB0855F"/>
    <w:rsid w:val="6AB0A40E"/>
    <w:rsid w:val="6AB0D49C"/>
    <w:rsid w:val="6AB123CE"/>
    <w:rsid w:val="6AB1E828"/>
    <w:rsid w:val="6AB24A83"/>
    <w:rsid w:val="6AB299CA"/>
    <w:rsid w:val="6AB3C589"/>
    <w:rsid w:val="6AB4B270"/>
    <w:rsid w:val="6AB54A60"/>
    <w:rsid w:val="6AB58A5F"/>
    <w:rsid w:val="6AB63227"/>
    <w:rsid w:val="6AB7075D"/>
    <w:rsid w:val="6AB763C9"/>
    <w:rsid w:val="6AB78460"/>
    <w:rsid w:val="6AB8B771"/>
    <w:rsid w:val="6AB8B9E0"/>
    <w:rsid w:val="6AB8E2D0"/>
    <w:rsid w:val="6ABADB63"/>
    <w:rsid w:val="6ABBA69F"/>
    <w:rsid w:val="6ABBDA23"/>
    <w:rsid w:val="6ABC0F4A"/>
    <w:rsid w:val="6ABCAB24"/>
    <w:rsid w:val="6ABDB7AF"/>
    <w:rsid w:val="6ABDE4FF"/>
    <w:rsid w:val="6ABE07B0"/>
    <w:rsid w:val="6ABE50E5"/>
    <w:rsid w:val="6ABEF611"/>
    <w:rsid w:val="6ABF24AD"/>
    <w:rsid w:val="6ABF36CF"/>
    <w:rsid w:val="6ABFC8C6"/>
    <w:rsid w:val="6AC02C92"/>
    <w:rsid w:val="6AC07032"/>
    <w:rsid w:val="6AC28E4C"/>
    <w:rsid w:val="6AC39606"/>
    <w:rsid w:val="6AC54C58"/>
    <w:rsid w:val="6AC5C103"/>
    <w:rsid w:val="6AC62F5F"/>
    <w:rsid w:val="6AC7AB53"/>
    <w:rsid w:val="6AC829A2"/>
    <w:rsid w:val="6AC87BE3"/>
    <w:rsid w:val="6AC904AA"/>
    <w:rsid w:val="6ACA5F31"/>
    <w:rsid w:val="6ACAB71F"/>
    <w:rsid w:val="6ACAE859"/>
    <w:rsid w:val="6ACB1A69"/>
    <w:rsid w:val="6ACBC15A"/>
    <w:rsid w:val="6ACC09DE"/>
    <w:rsid w:val="6ACC4D69"/>
    <w:rsid w:val="6ACCD945"/>
    <w:rsid w:val="6ACCFF24"/>
    <w:rsid w:val="6ACD6BDE"/>
    <w:rsid w:val="6ACDB15E"/>
    <w:rsid w:val="6ACDC48C"/>
    <w:rsid w:val="6ACE0A26"/>
    <w:rsid w:val="6ACE1207"/>
    <w:rsid w:val="6ACE1824"/>
    <w:rsid w:val="6ACE4D8F"/>
    <w:rsid w:val="6ACF7516"/>
    <w:rsid w:val="6ACF880D"/>
    <w:rsid w:val="6AD02341"/>
    <w:rsid w:val="6AD07645"/>
    <w:rsid w:val="6AD0B9B5"/>
    <w:rsid w:val="6AD19708"/>
    <w:rsid w:val="6AD1A488"/>
    <w:rsid w:val="6AD2082C"/>
    <w:rsid w:val="6AD22731"/>
    <w:rsid w:val="6AD2B5DF"/>
    <w:rsid w:val="6AD3309A"/>
    <w:rsid w:val="6AD36B2F"/>
    <w:rsid w:val="6AD3E928"/>
    <w:rsid w:val="6AD3EFB4"/>
    <w:rsid w:val="6AD4307E"/>
    <w:rsid w:val="6AD4732F"/>
    <w:rsid w:val="6AD51636"/>
    <w:rsid w:val="6AD5D35E"/>
    <w:rsid w:val="6AD83119"/>
    <w:rsid w:val="6AD848E0"/>
    <w:rsid w:val="6AD8BDAF"/>
    <w:rsid w:val="6AD94297"/>
    <w:rsid w:val="6AD9E1BF"/>
    <w:rsid w:val="6ADC56CA"/>
    <w:rsid w:val="6ADCCFE5"/>
    <w:rsid w:val="6ADCF25F"/>
    <w:rsid w:val="6ADD56B1"/>
    <w:rsid w:val="6ADE0BED"/>
    <w:rsid w:val="6ADE644B"/>
    <w:rsid w:val="6ADEE61A"/>
    <w:rsid w:val="6ADF4ABA"/>
    <w:rsid w:val="6AE04A60"/>
    <w:rsid w:val="6AE136E9"/>
    <w:rsid w:val="6AE28143"/>
    <w:rsid w:val="6AE397AF"/>
    <w:rsid w:val="6AE3D419"/>
    <w:rsid w:val="6AE459AD"/>
    <w:rsid w:val="6AE48226"/>
    <w:rsid w:val="6AE5BDF5"/>
    <w:rsid w:val="6AE65B25"/>
    <w:rsid w:val="6AE6E3A1"/>
    <w:rsid w:val="6AE73838"/>
    <w:rsid w:val="6AE82BCF"/>
    <w:rsid w:val="6AE8F268"/>
    <w:rsid w:val="6AE96E38"/>
    <w:rsid w:val="6AE9FE52"/>
    <w:rsid w:val="6AEA704F"/>
    <w:rsid w:val="6AEACF1C"/>
    <w:rsid w:val="6AEC65DE"/>
    <w:rsid w:val="6AECA155"/>
    <w:rsid w:val="6AECAE33"/>
    <w:rsid w:val="6AEEA8AC"/>
    <w:rsid w:val="6AEF3262"/>
    <w:rsid w:val="6AF01D88"/>
    <w:rsid w:val="6AF14AA3"/>
    <w:rsid w:val="6AF21EAA"/>
    <w:rsid w:val="6AF2A98C"/>
    <w:rsid w:val="6AF2D98C"/>
    <w:rsid w:val="6AF33BFF"/>
    <w:rsid w:val="6AF373D5"/>
    <w:rsid w:val="6AF4075C"/>
    <w:rsid w:val="6AF49350"/>
    <w:rsid w:val="6AF4B149"/>
    <w:rsid w:val="6AF51F8D"/>
    <w:rsid w:val="6AF5A8FC"/>
    <w:rsid w:val="6AF6B397"/>
    <w:rsid w:val="6AF6CA08"/>
    <w:rsid w:val="6AF6D8C3"/>
    <w:rsid w:val="6AF76FA2"/>
    <w:rsid w:val="6AF7CFFF"/>
    <w:rsid w:val="6AF831FD"/>
    <w:rsid w:val="6AF93280"/>
    <w:rsid w:val="6AF93347"/>
    <w:rsid w:val="6AF9BC04"/>
    <w:rsid w:val="6AFA44F4"/>
    <w:rsid w:val="6AFA4571"/>
    <w:rsid w:val="6AFA5819"/>
    <w:rsid w:val="6AFA5D27"/>
    <w:rsid w:val="6AFAA26C"/>
    <w:rsid w:val="6AFABA4A"/>
    <w:rsid w:val="6AFB3062"/>
    <w:rsid w:val="6AFB9EC5"/>
    <w:rsid w:val="6AFC398C"/>
    <w:rsid w:val="6AFC82A8"/>
    <w:rsid w:val="6AFC92BE"/>
    <w:rsid w:val="6AFCA613"/>
    <w:rsid w:val="6AFCA7B8"/>
    <w:rsid w:val="6AFCD782"/>
    <w:rsid w:val="6AFD4B62"/>
    <w:rsid w:val="6AFDA202"/>
    <w:rsid w:val="6AFE576F"/>
    <w:rsid w:val="6AFE7095"/>
    <w:rsid w:val="6AFE8EA2"/>
    <w:rsid w:val="6AFEB307"/>
    <w:rsid w:val="6B006E60"/>
    <w:rsid w:val="6B013CA0"/>
    <w:rsid w:val="6B01C4FA"/>
    <w:rsid w:val="6B042007"/>
    <w:rsid w:val="6B04D0E5"/>
    <w:rsid w:val="6B04EFE9"/>
    <w:rsid w:val="6B055DC2"/>
    <w:rsid w:val="6B0574EA"/>
    <w:rsid w:val="6B058828"/>
    <w:rsid w:val="6B05D825"/>
    <w:rsid w:val="6B05FAE4"/>
    <w:rsid w:val="6B0646F4"/>
    <w:rsid w:val="6B06CA4B"/>
    <w:rsid w:val="6B06F2E9"/>
    <w:rsid w:val="6B0776F0"/>
    <w:rsid w:val="6B07978C"/>
    <w:rsid w:val="6B07BB3C"/>
    <w:rsid w:val="6B07BF31"/>
    <w:rsid w:val="6B08A5A0"/>
    <w:rsid w:val="6B0A080E"/>
    <w:rsid w:val="6B0A5AB1"/>
    <w:rsid w:val="6B0AA1AC"/>
    <w:rsid w:val="6B0AA449"/>
    <w:rsid w:val="6B0B6155"/>
    <w:rsid w:val="6B0B92DE"/>
    <w:rsid w:val="6B0BAF1A"/>
    <w:rsid w:val="6B0BEC35"/>
    <w:rsid w:val="6B0C843D"/>
    <w:rsid w:val="6B0C8D45"/>
    <w:rsid w:val="6B0CEFDE"/>
    <w:rsid w:val="6B0DC426"/>
    <w:rsid w:val="6B0DDA56"/>
    <w:rsid w:val="6B0F1F70"/>
    <w:rsid w:val="6B0F2CAF"/>
    <w:rsid w:val="6B0F9287"/>
    <w:rsid w:val="6B10335F"/>
    <w:rsid w:val="6B11E1F7"/>
    <w:rsid w:val="6B136B1D"/>
    <w:rsid w:val="6B15217D"/>
    <w:rsid w:val="6B15F7DA"/>
    <w:rsid w:val="6B165A0E"/>
    <w:rsid w:val="6B186A65"/>
    <w:rsid w:val="6B189F51"/>
    <w:rsid w:val="6B18F409"/>
    <w:rsid w:val="6B1BF730"/>
    <w:rsid w:val="6B1D04E3"/>
    <w:rsid w:val="6B1D216F"/>
    <w:rsid w:val="6B1E0EAA"/>
    <w:rsid w:val="6B1EC147"/>
    <w:rsid w:val="6B1F55BC"/>
    <w:rsid w:val="6B201D19"/>
    <w:rsid w:val="6B2053DB"/>
    <w:rsid w:val="6B21D420"/>
    <w:rsid w:val="6B21DC29"/>
    <w:rsid w:val="6B224D72"/>
    <w:rsid w:val="6B23C03F"/>
    <w:rsid w:val="6B246D36"/>
    <w:rsid w:val="6B24C9DE"/>
    <w:rsid w:val="6B25C153"/>
    <w:rsid w:val="6B25D11C"/>
    <w:rsid w:val="6B25F4A5"/>
    <w:rsid w:val="6B26194E"/>
    <w:rsid w:val="6B2705BB"/>
    <w:rsid w:val="6B273E62"/>
    <w:rsid w:val="6B27D32A"/>
    <w:rsid w:val="6B284F4E"/>
    <w:rsid w:val="6B287F73"/>
    <w:rsid w:val="6B291A77"/>
    <w:rsid w:val="6B2985F8"/>
    <w:rsid w:val="6B29C2D8"/>
    <w:rsid w:val="6B29DF68"/>
    <w:rsid w:val="6B2A1FCE"/>
    <w:rsid w:val="6B2BADE0"/>
    <w:rsid w:val="6B2BED37"/>
    <w:rsid w:val="6B2C508D"/>
    <w:rsid w:val="6B2DE4D0"/>
    <w:rsid w:val="6B2E00DC"/>
    <w:rsid w:val="6B2EAAC0"/>
    <w:rsid w:val="6B2F0DF8"/>
    <w:rsid w:val="6B2F4B61"/>
    <w:rsid w:val="6B2F5F1B"/>
    <w:rsid w:val="6B2F9A55"/>
    <w:rsid w:val="6B2FB2E6"/>
    <w:rsid w:val="6B304931"/>
    <w:rsid w:val="6B30843E"/>
    <w:rsid w:val="6B314AFD"/>
    <w:rsid w:val="6B31EDFD"/>
    <w:rsid w:val="6B31F25C"/>
    <w:rsid w:val="6B329560"/>
    <w:rsid w:val="6B32C699"/>
    <w:rsid w:val="6B335793"/>
    <w:rsid w:val="6B3369BA"/>
    <w:rsid w:val="6B33CD80"/>
    <w:rsid w:val="6B340866"/>
    <w:rsid w:val="6B34C866"/>
    <w:rsid w:val="6B36336F"/>
    <w:rsid w:val="6B3673A4"/>
    <w:rsid w:val="6B377CB0"/>
    <w:rsid w:val="6B380CCE"/>
    <w:rsid w:val="6B385FB4"/>
    <w:rsid w:val="6B3884BD"/>
    <w:rsid w:val="6B38F7B0"/>
    <w:rsid w:val="6B39A670"/>
    <w:rsid w:val="6B3B2E8D"/>
    <w:rsid w:val="6B3BF663"/>
    <w:rsid w:val="6B3C604A"/>
    <w:rsid w:val="6B3CD3FB"/>
    <w:rsid w:val="6B3DD374"/>
    <w:rsid w:val="6B3EF492"/>
    <w:rsid w:val="6B3F45E4"/>
    <w:rsid w:val="6B40FC51"/>
    <w:rsid w:val="6B41256F"/>
    <w:rsid w:val="6B413623"/>
    <w:rsid w:val="6B4342E3"/>
    <w:rsid w:val="6B434E4A"/>
    <w:rsid w:val="6B438510"/>
    <w:rsid w:val="6B44CCA5"/>
    <w:rsid w:val="6B45C184"/>
    <w:rsid w:val="6B45D864"/>
    <w:rsid w:val="6B467A77"/>
    <w:rsid w:val="6B46E310"/>
    <w:rsid w:val="6B4773C0"/>
    <w:rsid w:val="6B47E7F0"/>
    <w:rsid w:val="6B4854A7"/>
    <w:rsid w:val="6B487290"/>
    <w:rsid w:val="6B487810"/>
    <w:rsid w:val="6B487A56"/>
    <w:rsid w:val="6B4898E4"/>
    <w:rsid w:val="6B49DE2C"/>
    <w:rsid w:val="6B4A009B"/>
    <w:rsid w:val="6B4A5875"/>
    <w:rsid w:val="6B4B89DB"/>
    <w:rsid w:val="6B4BE968"/>
    <w:rsid w:val="6B4BFB00"/>
    <w:rsid w:val="6B4C2E43"/>
    <w:rsid w:val="6B4C481E"/>
    <w:rsid w:val="6B4C6D59"/>
    <w:rsid w:val="6B4CDA14"/>
    <w:rsid w:val="6B4D3755"/>
    <w:rsid w:val="6B4D4841"/>
    <w:rsid w:val="6B4DF2F2"/>
    <w:rsid w:val="6B4E440B"/>
    <w:rsid w:val="6B4FEBAF"/>
    <w:rsid w:val="6B501CBA"/>
    <w:rsid w:val="6B5032C6"/>
    <w:rsid w:val="6B50973F"/>
    <w:rsid w:val="6B50FCBD"/>
    <w:rsid w:val="6B51F118"/>
    <w:rsid w:val="6B5216BE"/>
    <w:rsid w:val="6B52CFF8"/>
    <w:rsid w:val="6B53493F"/>
    <w:rsid w:val="6B53D967"/>
    <w:rsid w:val="6B55AFA6"/>
    <w:rsid w:val="6B55FCBE"/>
    <w:rsid w:val="6B565CDA"/>
    <w:rsid w:val="6B5749D0"/>
    <w:rsid w:val="6B58482A"/>
    <w:rsid w:val="6B58C93E"/>
    <w:rsid w:val="6B58D41F"/>
    <w:rsid w:val="6B592E66"/>
    <w:rsid w:val="6B5C5483"/>
    <w:rsid w:val="6B5CA327"/>
    <w:rsid w:val="6B5D53B5"/>
    <w:rsid w:val="6B5DD1C2"/>
    <w:rsid w:val="6B5DF9D1"/>
    <w:rsid w:val="6B5E0D49"/>
    <w:rsid w:val="6B5E3560"/>
    <w:rsid w:val="6B5EEAA7"/>
    <w:rsid w:val="6B5F4E76"/>
    <w:rsid w:val="6B609BE4"/>
    <w:rsid w:val="6B60CCF0"/>
    <w:rsid w:val="6B6109F9"/>
    <w:rsid w:val="6B6141F7"/>
    <w:rsid w:val="6B61D5B9"/>
    <w:rsid w:val="6B62237F"/>
    <w:rsid w:val="6B62F184"/>
    <w:rsid w:val="6B631A11"/>
    <w:rsid w:val="6B632FE2"/>
    <w:rsid w:val="6B63FCEA"/>
    <w:rsid w:val="6B642FEC"/>
    <w:rsid w:val="6B644C64"/>
    <w:rsid w:val="6B64EA78"/>
    <w:rsid w:val="6B66228C"/>
    <w:rsid w:val="6B66A9A5"/>
    <w:rsid w:val="6B66B905"/>
    <w:rsid w:val="6B66D45A"/>
    <w:rsid w:val="6B670A69"/>
    <w:rsid w:val="6B673F46"/>
    <w:rsid w:val="6B681D23"/>
    <w:rsid w:val="6B68F45E"/>
    <w:rsid w:val="6B691A22"/>
    <w:rsid w:val="6B6988A6"/>
    <w:rsid w:val="6B69DD44"/>
    <w:rsid w:val="6B6A6CAF"/>
    <w:rsid w:val="6B6B0368"/>
    <w:rsid w:val="6B6B3C10"/>
    <w:rsid w:val="6B6BC0A5"/>
    <w:rsid w:val="6B6C6B9D"/>
    <w:rsid w:val="6B6C9F9E"/>
    <w:rsid w:val="6B6CBB76"/>
    <w:rsid w:val="6B6D09E3"/>
    <w:rsid w:val="6B6D4248"/>
    <w:rsid w:val="6B6DA8F6"/>
    <w:rsid w:val="6B6E936F"/>
    <w:rsid w:val="6B6F4E01"/>
    <w:rsid w:val="6B70AC4B"/>
    <w:rsid w:val="6B720E65"/>
    <w:rsid w:val="6B722923"/>
    <w:rsid w:val="6B726447"/>
    <w:rsid w:val="6B728005"/>
    <w:rsid w:val="6B729BD5"/>
    <w:rsid w:val="6B73F9EF"/>
    <w:rsid w:val="6B7408F7"/>
    <w:rsid w:val="6B74E2E1"/>
    <w:rsid w:val="6B74F830"/>
    <w:rsid w:val="6B751A84"/>
    <w:rsid w:val="6B75E055"/>
    <w:rsid w:val="6B771ADE"/>
    <w:rsid w:val="6B77397B"/>
    <w:rsid w:val="6B77AFB8"/>
    <w:rsid w:val="6B77B8E1"/>
    <w:rsid w:val="6B7847ED"/>
    <w:rsid w:val="6B789ED3"/>
    <w:rsid w:val="6B793033"/>
    <w:rsid w:val="6B7BB951"/>
    <w:rsid w:val="6B7CEA0C"/>
    <w:rsid w:val="6B7D0FC4"/>
    <w:rsid w:val="6B7D1637"/>
    <w:rsid w:val="6B7E3567"/>
    <w:rsid w:val="6B7E4F91"/>
    <w:rsid w:val="6B7EDD09"/>
    <w:rsid w:val="6B7F8BE4"/>
    <w:rsid w:val="6B800669"/>
    <w:rsid w:val="6B8146D5"/>
    <w:rsid w:val="6B818BDD"/>
    <w:rsid w:val="6B81F544"/>
    <w:rsid w:val="6B821421"/>
    <w:rsid w:val="6B82492E"/>
    <w:rsid w:val="6B839F61"/>
    <w:rsid w:val="6B83D511"/>
    <w:rsid w:val="6B83E8A0"/>
    <w:rsid w:val="6B83FC0F"/>
    <w:rsid w:val="6B84753B"/>
    <w:rsid w:val="6B84B016"/>
    <w:rsid w:val="6B85D398"/>
    <w:rsid w:val="6B8677B0"/>
    <w:rsid w:val="6B86F4F5"/>
    <w:rsid w:val="6B87B32D"/>
    <w:rsid w:val="6B880D8D"/>
    <w:rsid w:val="6B88B0F7"/>
    <w:rsid w:val="6B88FDFF"/>
    <w:rsid w:val="6B892DCB"/>
    <w:rsid w:val="6B8A06FA"/>
    <w:rsid w:val="6B8A349E"/>
    <w:rsid w:val="6B8B63CE"/>
    <w:rsid w:val="6B8BA0FE"/>
    <w:rsid w:val="6B8C9DDA"/>
    <w:rsid w:val="6B8D3694"/>
    <w:rsid w:val="6B8E4AC5"/>
    <w:rsid w:val="6B8ED66A"/>
    <w:rsid w:val="6B90414F"/>
    <w:rsid w:val="6B917C56"/>
    <w:rsid w:val="6B923923"/>
    <w:rsid w:val="6B936BC6"/>
    <w:rsid w:val="6B93D014"/>
    <w:rsid w:val="6B942E45"/>
    <w:rsid w:val="6B9452FE"/>
    <w:rsid w:val="6B95F4F8"/>
    <w:rsid w:val="6B9613C4"/>
    <w:rsid w:val="6B962A08"/>
    <w:rsid w:val="6B96D6FC"/>
    <w:rsid w:val="6B97987E"/>
    <w:rsid w:val="6B97BA36"/>
    <w:rsid w:val="6B9959EB"/>
    <w:rsid w:val="6B997F41"/>
    <w:rsid w:val="6B9986EE"/>
    <w:rsid w:val="6B9B62EC"/>
    <w:rsid w:val="6B9BCE95"/>
    <w:rsid w:val="6B9C0C23"/>
    <w:rsid w:val="6B9C6912"/>
    <w:rsid w:val="6B9C6FDD"/>
    <w:rsid w:val="6B9CA7A8"/>
    <w:rsid w:val="6B9D2CC1"/>
    <w:rsid w:val="6B9DDA8B"/>
    <w:rsid w:val="6B9E2A3F"/>
    <w:rsid w:val="6B9E4F95"/>
    <w:rsid w:val="6B9E8B63"/>
    <w:rsid w:val="6B9FD8C1"/>
    <w:rsid w:val="6BA198D8"/>
    <w:rsid w:val="6BA379E6"/>
    <w:rsid w:val="6BA3F6C8"/>
    <w:rsid w:val="6BA4E64B"/>
    <w:rsid w:val="6BA5503A"/>
    <w:rsid w:val="6BA594CE"/>
    <w:rsid w:val="6BA5959F"/>
    <w:rsid w:val="6BA6102F"/>
    <w:rsid w:val="6BA6C54B"/>
    <w:rsid w:val="6BA71935"/>
    <w:rsid w:val="6BA9824D"/>
    <w:rsid w:val="6BAA1A21"/>
    <w:rsid w:val="6BAA70D2"/>
    <w:rsid w:val="6BAA9A81"/>
    <w:rsid w:val="6BAB3FB2"/>
    <w:rsid w:val="6BACFF32"/>
    <w:rsid w:val="6BAD3AC8"/>
    <w:rsid w:val="6BAF4F1A"/>
    <w:rsid w:val="6BB01DF4"/>
    <w:rsid w:val="6BB0889F"/>
    <w:rsid w:val="6BB195C4"/>
    <w:rsid w:val="6BB1D872"/>
    <w:rsid w:val="6BB26DBC"/>
    <w:rsid w:val="6BB45BAD"/>
    <w:rsid w:val="6BB45E19"/>
    <w:rsid w:val="6BB50942"/>
    <w:rsid w:val="6BB559D6"/>
    <w:rsid w:val="6BB728D3"/>
    <w:rsid w:val="6BB74FDC"/>
    <w:rsid w:val="6BB7A365"/>
    <w:rsid w:val="6BB88655"/>
    <w:rsid w:val="6BBBC7AD"/>
    <w:rsid w:val="6BBC1BC3"/>
    <w:rsid w:val="6BBC2161"/>
    <w:rsid w:val="6BBC739B"/>
    <w:rsid w:val="6BBCE9A9"/>
    <w:rsid w:val="6BBD2D55"/>
    <w:rsid w:val="6BBE1946"/>
    <w:rsid w:val="6BBEE949"/>
    <w:rsid w:val="6BBF4AE0"/>
    <w:rsid w:val="6BBF54CA"/>
    <w:rsid w:val="6BBF663E"/>
    <w:rsid w:val="6BBF8210"/>
    <w:rsid w:val="6BBF84CB"/>
    <w:rsid w:val="6BC0509D"/>
    <w:rsid w:val="6BC06AB5"/>
    <w:rsid w:val="6BC46E51"/>
    <w:rsid w:val="6BC4B00E"/>
    <w:rsid w:val="6BC4C327"/>
    <w:rsid w:val="6BC560A9"/>
    <w:rsid w:val="6BC5C6E9"/>
    <w:rsid w:val="6BC79B74"/>
    <w:rsid w:val="6BC79C29"/>
    <w:rsid w:val="6BC7CE59"/>
    <w:rsid w:val="6BC7E684"/>
    <w:rsid w:val="6BC848B1"/>
    <w:rsid w:val="6BC906CD"/>
    <w:rsid w:val="6BCA59AC"/>
    <w:rsid w:val="6BCB91EB"/>
    <w:rsid w:val="6BCBCF00"/>
    <w:rsid w:val="6BCBD559"/>
    <w:rsid w:val="6BCBDA0B"/>
    <w:rsid w:val="6BCC8AE8"/>
    <w:rsid w:val="6BCDFC87"/>
    <w:rsid w:val="6BCE2E65"/>
    <w:rsid w:val="6BCE3699"/>
    <w:rsid w:val="6BCEF1B8"/>
    <w:rsid w:val="6BCFA550"/>
    <w:rsid w:val="6BD0E3CB"/>
    <w:rsid w:val="6BD124B6"/>
    <w:rsid w:val="6BD24796"/>
    <w:rsid w:val="6BD2FDCD"/>
    <w:rsid w:val="6BD31185"/>
    <w:rsid w:val="6BD31B3D"/>
    <w:rsid w:val="6BD45F3F"/>
    <w:rsid w:val="6BD46DDF"/>
    <w:rsid w:val="6BD491FE"/>
    <w:rsid w:val="6BD52126"/>
    <w:rsid w:val="6BD65657"/>
    <w:rsid w:val="6BD76B59"/>
    <w:rsid w:val="6BD85A79"/>
    <w:rsid w:val="6BD97FD3"/>
    <w:rsid w:val="6BDA70D6"/>
    <w:rsid w:val="6BDB8006"/>
    <w:rsid w:val="6BDC0674"/>
    <w:rsid w:val="6BDC45E2"/>
    <w:rsid w:val="6BDC8F46"/>
    <w:rsid w:val="6BDC911A"/>
    <w:rsid w:val="6BDCC592"/>
    <w:rsid w:val="6BDCDC36"/>
    <w:rsid w:val="6BDD49FD"/>
    <w:rsid w:val="6BDE73CF"/>
    <w:rsid w:val="6BDEB08A"/>
    <w:rsid w:val="6BE00CE3"/>
    <w:rsid w:val="6BE0598B"/>
    <w:rsid w:val="6BE0CC57"/>
    <w:rsid w:val="6BE15533"/>
    <w:rsid w:val="6BE29AE0"/>
    <w:rsid w:val="6BE35CDB"/>
    <w:rsid w:val="6BE3A1A6"/>
    <w:rsid w:val="6BE3D890"/>
    <w:rsid w:val="6BE42DE3"/>
    <w:rsid w:val="6BE4441C"/>
    <w:rsid w:val="6BE5AE63"/>
    <w:rsid w:val="6BE63DDE"/>
    <w:rsid w:val="6BE6C754"/>
    <w:rsid w:val="6BE6CF67"/>
    <w:rsid w:val="6BE721D2"/>
    <w:rsid w:val="6BE78EF0"/>
    <w:rsid w:val="6BE82FCC"/>
    <w:rsid w:val="6BE8B46B"/>
    <w:rsid w:val="6BEAE51C"/>
    <w:rsid w:val="6BEB6D3D"/>
    <w:rsid w:val="6BECE609"/>
    <w:rsid w:val="6BEEA905"/>
    <w:rsid w:val="6BF0EB37"/>
    <w:rsid w:val="6BF13BF7"/>
    <w:rsid w:val="6BF1465D"/>
    <w:rsid w:val="6BF1F80D"/>
    <w:rsid w:val="6BF22143"/>
    <w:rsid w:val="6BF3F1BB"/>
    <w:rsid w:val="6BF4C425"/>
    <w:rsid w:val="6BF51CAA"/>
    <w:rsid w:val="6BF5459B"/>
    <w:rsid w:val="6BF64C4E"/>
    <w:rsid w:val="6BF6CB9B"/>
    <w:rsid w:val="6BF6E0BC"/>
    <w:rsid w:val="6BF7657A"/>
    <w:rsid w:val="6BF83E3C"/>
    <w:rsid w:val="6BF86427"/>
    <w:rsid w:val="6BF91A67"/>
    <w:rsid w:val="6BF92F06"/>
    <w:rsid w:val="6BF9CEF3"/>
    <w:rsid w:val="6BF9E5CC"/>
    <w:rsid w:val="6BFA55C4"/>
    <w:rsid w:val="6BFAA522"/>
    <w:rsid w:val="6BFB1CCD"/>
    <w:rsid w:val="6BFB3EBF"/>
    <w:rsid w:val="6BFC166F"/>
    <w:rsid w:val="6BFC2984"/>
    <w:rsid w:val="6BFCCF1B"/>
    <w:rsid w:val="6BFD2BC5"/>
    <w:rsid w:val="6BFD7E58"/>
    <w:rsid w:val="6BFD9A5A"/>
    <w:rsid w:val="6BFDB764"/>
    <w:rsid w:val="6BFDDDF1"/>
    <w:rsid w:val="6BFDE7F6"/>
    <w:rsid w:val="6BFEFB2D"/>
    <w:rsid w:val="6BFF43F7"/>
    <w:rsid w:val="6BFF9001"/>
    <w:rsid w:val="6BFF9B13"/>
    <w:rsid w:val="6BFFC2C9"/>
    <w:rsid w:val="6C006D28"/>
    <w:rsid w:val="6C01161C"/>
    <w:rsid w:val="6C016DB7"/>
    <w:rsid w:val="6C017ED3"/>
    <w:rsid w:val="6C0195C2"/>
    <w:rsid w:val="6C023A9B"/>
    <w:rsid w:val="6C0263A9"/>
    <w:rsid w:val="6C02A272"/>
    <w:rsid w:val="6C035875"/>
    <w:rsid w:val="6C03F623"/>
    <w:rsid w:val="6C0448B3"/>
    <w:rsid w:val="6C04B7E0"/>
    <w:rsid w:val="6C050D2A"/>
    <w:rsid w:val="6C0623D5"/>
    <w:rsid w:val="6C06525E"/>
    <w:rsid w:val="6C067EF3"/>
    <w:rsid w:val="6C0770E5"/>
    <w:rsid w:val="6C0800E3"/>
    <w:rsid w:val="6C091E32"/>
    <w:rsid w:val="6C097091"/>
    <w:rsid w:val="6C0A124D"/>
    <w:rsid w:val="6C0BFE21"/>
    <w:rsid w:val="6C0C7359"/>
    <w:rsid w:val="6C0D08D6"/>
    <w:rsid w:val="6C0D47C6"/>
    <w:rsid w:val="6C0E7980"/>
    <w:rsid w:val="6C0E90A0"/>
    <w:rsid w:val="6C0EBBD3"/>
    <w:rsid w:val="6C0EE0CC"/>
    <w:rsid w:val="6C0EE985"/>
    <w:rsid w:val="6C0EFB59"/>
    <w:rsid w:val="6C1012BC"/>
    <w:rsid w:val="6C119F00"/>
    <w:rsid w:val="6C11A6C6"/>
    <w:rsid w:val="6C11C3A3"/>
    <w:rsid w:val="6C11C8CE"/>
    <w:rsid w:val="6C125F20"/>
    <w:rsid w:val="6C131E85"/>
    <w:rsid w:val="6C145220"/>
    <w:rsid w:val="6C14BCDE"/>
    <w:rsid w:val="6C153C07"/>
    <w:rsid w:val="6C15DC2C"/>
    <w:rsid w:val="6C1838E4"/>
    <w:rsid w:val="6C18C8A5"/>
    <w:rsid w:val="6C18D849"/>
    <w:rsid w:val="6C1928C6"/>
    <w:rsid w:val="6C194F46"/>
    <w:rsid w:val="6C196D84"/>
    <w:rsid w:val="6C19AB48"/>
    <w:rsid w:val="6C1A3846"/>
    <w:rsid w:val="6C1B7670"/>
    <w:rsid w:val="6C1B9CCB"/>
    <w:rsid w:val="6C1C5FCA"/>
    <w:rsid w:val="6C1E9A55"/>
    <w:rsid w:val="6C1F5235"/>
    <w:rsid w:val="6C1FA87C"/>
    <w:rsid w:val="6C20638D"/>
    <w:rsid w:val="6C213A2D"/>
    <w:rsid w:val="6C22FCCA"/>
    <w:rsid w:val="6C233EB4"/>
    <w:rsid w:val="6C23C5DF"/>
    <w:rsid w:val="6C24D370"/>
    <w:rsid w:val="6C24F8CE"/>
    <w:rsid w:val="6C2610E6"/>
    <w:rsid w:val="6C26CBAB"/>
    <w:rsid w:val="6C270776"/>
    <w:rsid w:val="6C271068"/>
    <w:rsid w:val="6C2853B9"/>
    <w:rsid w:val="6C2887EB"/>
    <w:rsid w:val="6C2A001E"/>
    <w:rsid w:val="6C2B0807"/>
    <w:rsid w:val="6C2B0ACD"/>
    <w:rsid w:val="6C2B4D73"/>
    <w:rsid w:val="6C2B7628"/>
    <w:rsid w:val="6C2B8D62"/>
    <w:rsid w:val="6C2BBE31"/>
    <w:rsid w:val="6C2C4F7D"/>
    <w:rsid w:val="6C2D656E"/>
    <w:rsid w:val="6C2E0898"/>
    <w:rsid w:val="6C30E164"/>
    <w:rsid w:val="6C31492A"/>
    <w:rsid w:val="6C3181EE"/>
    <w:rsid w:val="6C33064B"/>
    <w:rsid w:val="6C331021"/>
    <w:rsid w:val="6C3327C7"/>
    <w:rsid w:val="6C3481FB"/>
    <w:rsid w:val="6C34EAAF"/>
    <w:rsid w:val="6C3514E8"/>
    <w:rsid w:val="6C372CF3"/>
    <w:rsid w:val="6C37370F"/>
    <w:rsid w:val="6C37461F"/>
    <w:rsid w:val="6C37E6B3"/>
    <w:rsid w:val="6C381B16"/>
    <w:rsid w:val="6C38611B"/>
    <w:rsid w:val="6C388ACD"/>
    <w:rsid w:val="6C390B5D"/>
    <w:rsid w:val="6C39C65B"/>
    <w:rsid w:val="6C3A13DE"/>
    <w:rsid w:val="6C3A1884"/>
    <w:rsid w:val="6C3A3A27"/>
    <w:rsid w:val="6C3B381D"/>
    <w:rsid w:val="6C3BF383"/>
    <w:rsid w:val="6C3C52B7"/>
    <w:rsid w:val="6C3CA47E"/>
    <w:rsid w:val="6C3D75C1"/>
    <w:rsid w:val="6C3DC89D"/>
    <w:rsid w:val="6C3DD489"/>
    <w:rsid w:val="6C3EA3FD"/>
    <w:rsid w:val="6C3ECAB4"/>
    <w:rsid w:val="6C3F6339"/>
    <w:rsid w:val="6C426C1F"/>
    <w:rsid w:val="6C429F64"/>
    <w:rsid w:val="6C43194D"/>
    <w:rsid w:val="6C43307E"/>
    <w:rsid w:val="6C4381F9"/>
    <w:rsid w:val="6C4441B7"/>
    <w:rsid w:val="6C44779C"/>
    <w:rsid w:val="6C4530B4"/>
    <w:rsid w:val="6C46ABB2"/>
    <w:rsid w:val="6C46CE1F"/>
    <w:rsid w:val="6C46F3E6"/>
    <w:rsid w:val="6C47D0C0"/>
    <w:rsid w:val="6C4956E8"/>
    <w:rsid w:val="6C497C86"/>
    <w:rsid w:val="6C498328"/>
    <w:rsid w:val="6C498669"/>
    <w:rsid w:val="6C4F297E"/>
    <w:rsid w:val="6C4F3B6E"/>
    <w:rsid w:val="6C4FFEAE"/>
    <w:rsid w:val="6C509835"/>
    <w:rsid w:val="6C512A55"/>
    <w:rsid w:val="6C512C94"/>
    <w:rsid w:val="6C517A4A"/>
    <w:rsid w:val="6C521AD2"/>
    <w:rsid w:val="6C52A02E"/>
    <w:rsid w:val="6C52A0D0"/>
    <w:rsid w:val="6C534043"/>
    <w:rsid w:val="6C53A894"/>
    <w:rsid w:val="6C53BDF2"/>
    <w:rsid w:val="6C53F4A8"/>
    <w:rsid w:val="6C5408B7"/>
    <w:rsid w:val="6C551B11"/>
    <w:rsid w:val="6C5552FB"/>
    <w:rsid w:val="6C568080"/>
    <w:rsid w:val="6C5681B6"/>
    <w:rsid w:val="6C5748EE"/>
    <w:rsid w:val="6C57749A"/>
    <w:rsid w:val="6C59E39B"/>
    <w:rsid w:val="6C5A60FD"/>
    <w:rsid w:val="6C5AC459"/>
    <w:rsid w:val="6C5BBBBA"/>
    <w:rsid w:val="6C5C861B"/>
    <w:rsid w:val="6C5CD2C4"/>
    <w:rsid w:val="6C5CD8EB"/>
    <w:rsid w:val="6C5D7DD5"/>
    <w:rsid w:val="6C5D82CE"/>
    <w:rsid w:val="6C5DF5D7"/>
    <w:rsid w:val="6C5E4430"/>
    <w:rsid w:val="6C5E50F4"/>
    <w:rsid w:val="6C5F2C8A"/>
    <w:rsid w:val="6C5F9FB8"/>
    <w:rsid w:val="6C5FBDC1"/>
    <w:rsid w:val="6C5FEC67"/>
    <w:rsid w:val="6C601D25"/>
    <w:rsid w:val="6C60A71E"/>
    <w:rsid w:val="6C60CE1D"/>
    <w:rsid w:val="6C610693"/>
    <w:rsid w:val="6C61AC15"/>
    <w:rsid w:val="6C6318E8"/>
    <w:rsid w:val="6C632340"/>
    <w:rsid w:val="6C63E533"/>
    <w:rsid w:val="6C64091D"/>
    <w:rsid w:val="6C649AAD"/>
    <w:rsid w:val="6C64C6CE"/>
    <w:rsid w:val="6C64E3B4"/>
    <w:rsid w:val="6C66273C"/>
    <w:rsid w:val="6C66CA99"/>
    <w:rsid w:val="6C67228A"/>
    <w:rsid w:val="6C67966E"/>
    <w:rsid w:val="6C67FA7C"/>
    <w:rsid w:val="6C68803D"/>
    <w:rsid w:val="6C68D369"/>
    <w:rsid w:val="6C6A4803"/>
    <w:rsid w:val="6C6AA169"/>
    <w:rsid w:val="6C6B3F39"/>
    <w:rsid w:val="6C6BAE71"/>
    <w:rsid w:val="6C6C0E45"/>
    <w:rsid w:val="6C6C73D6"/>
    <w:rsid w:val="6C6DED0A"/>
    <w:rsid w:val="6C6DEEF8"/>
    <w:rsid w:val="6C6F2692"/>
    <w:rsid w:val="6C6F9580"/>
    <w:rsid w:val="6C70D814"/>
    <w:rsid w:val="6C710219"/>
    <w:rsid w:val="6C721169"/>
    <w:rsid w:val="6C7317FA"/>
    <w:rsid w:val="6C731C8A"/>
    <w:rsid w:val="6C731D4B"/>
    <w:rsid w:val="6C73BC64"/>
    <w:rsid w:val="6C73D470"/>
    <w:rsid w:val="6C741B85"/>
    <w:rsid w:val="6C74C893"/>
    <w:rsid w:val="6C74E01A"/>
    <w:rsid w:val="6C74E5AA"/>
    <w:rsid w:val="6C75D4E4"/>
    <w:rsid w:val="6C77F042"/>
    <w:rsid w:val="6C799396"/>
    <w:rsid w:val="6C7A5145"/>
    <w:rsid w:val="6C7C2F83"/>
    <w:rsid w:val="6C7D44E5"/>
    <w:rsid w:val="6C7FA012"/>
    <w:rsid w:val="6C7FC1C2"/>
    <w:rsid w:val="6C7FE63D"/>
    <w:rsid w:val="6C80E260"/>
    <w:rsid w:val="6C818B54"/>
    <w:rsid w:val="6C82A315"/>
    <w:rsid w:val="6C833577"/>
    <w:rsid w:val="6C8391E2"/>
    <w:rsid w:val="6C849654"/>
    <w:rsid w:val="6C849A68"/>
    <w:rsid w:val="6C84C453"/>
    <w:rsid w:val="6C851C88"/>
    <w:rsid w:val="6C853C7A"/>
    <w:rsid w:val="6C8551CD"/>
    <w:rsid w:val="6C8609A7"/>
    <w:rsid w:val="6C8625AA"/>
    <w:rsid w:val="6C8640B0"/>
    <w:rsid w:val="6C876BCF"/>
    <w:rsid w:val="6C8811A8"/>
    <w:rsid w:val="6C88805D"/>
    <w:rsid w:val="6C89D488"/>
    <w:rsid w:val="6C89E1E8"/>
    <w:rsid w:val="6C8A6BF9"/>
    <w:rsid w:val="6C8ABD4B"/>
    <w:rsid w:val="6C8B36F6"/>
    <w:rsid w:val="6C8BA4DB"/>
    <w:rsid w:val="6C8E1AC7"/>
    <w:rsid w:val="6C8EB75D"/>
    <w:rsid w:val="6C8EF000"/>
    <w:rsid w:val="6C90F55A"/>
    <w:rsid w:val="6C90FB09"/>
    <w:rsid w:val="6C9128EB"/>
    <w:rsid w:val="6C917EC7"/>
    <w:rsid w:val="6C91E969"/>
    <w:rsid w:val="6C924606"/>
    <w:rsid w:val="6C92836E"/>
    <w:rsid w:val="6C928ACA"/>
    <w:rsid w:val="6C9290E4"/>
    <w:rsid w:val="6C931634"/>
    <w:rsid w:val="6C942B55"/>
    <w:rsid w:val="6C95C3FF"/>
    <w:rsid w:val="6C95DED4"/>
    <w:rsid w:val="6C9616A5"/>
    <w:rsid w:val="6C963AE7"/>
    <w:rsid w:val="6C976FB6"/>
    <w:rsid w:val="6C978E96"/>
    <w:rsid w:val="6C97C17E"/>
    <w:rsid w:val="6C97D4B6"/>
    <w:rsid w:val="6C97E51A"/>
    <w:rsid w:val="6C98DDE1"/>
    <w:rsid w:val="6C993CEE"/>
    <w:rsid w:val="6C998232"/>
    <w:rsid w:val="6C9AF013"/>
    <w:rsid w:val="6C9B7FE9"/>
    <w:rsid w:val="6C9BC23D"/>
    <w:rsid w:val="6C9D9004"/>
    <w:rsid w:val="6C9E21E4"/>
    <w:rsid w:val="6C9E9AE0"/>
    <w:rsid w:val="6C9F9298"/>
    <w:rsid w:val="6C9FA7BB"/>
    <w:rsid w:val="6C9FF0D3"/>
    <w:rsid w:val="6CA07618"/>
    <w:rsid w:val="6CA10B53"/>
    <w:rsid w:val="6CA11C73"/>
    <w:rsid w:val="6CA19675"/>
    <w:rsid w:val="6CA28A7A"/>
    <w:rsid w:val="6CA28B82"/>
    <w:rsid w:val="6CA29D77"/>
    <w:rsid w:val="6CA2FEF0"/>
    <w:rsid w:val="6CA3DE09"/>
    <w:rsid w:val="6CA4735D"/>
    <w:rsid w:val="6CA50717"/>
    <w:rsid w:val="6CA579A3"/>
    <w:rsid w:val="6CA61DBB"/>
    <w:rsid w:val="6CA683CF"/>
    <w:rsid w:val="6CA77034"/>
    <w:rsid w:val="6CA7A754"/>
    <w:rsid w:val="6CA80CC9"/>
    <w:rsid w:val="6CA81E60"/>
    <w:rsid w:val="6CA8E068"/>
    <w:rsid w:val="6CA9C289"/>
    <w:rsid w:val="6CA9F088"/>
    <w:rsid w:val="6CAA3958"/>
    <w:rsid w:val="6CAAE2D8"/>
    <w:rsid w:val="6CAAFD9D"/>
    <w:rsid w:val="6CAB3F6F"/>
    <w:rsid w:val="6CABB776"/>
    <w:rsid w:val="6CABF7F6"/>
    <w:rsid w:val="6CAC5979"/>
    <w:rsid w:val="6CAC6C6E"/>
    <w:rsid w:val="6CAD33F6"/>
    <w:rsid w:val="6CAE4A97"/>
    <w:rsid w:val="6CAE516E"/>
    <w:rsid w:val="6CAF3670"/>
    <w:rsid w:val="6CAF6E36"/>
    <w:rsid w:val="6CAF8519"/>
    <w:rsid w:val="6CAFBD0E"/>
    <w:rsid w:val="6CB04955"/>
    <w:rsid w:val="6CB04B32"/>
    <w:rsid w:val="6CB0E37A"/>
    <w:rsid w:val="6CB178AE"/>
    <w:rsid w:val="6CB21CDC"/>
    <w:rsid w:val="6CB3D3DD"/>
    <w:rsid w:val="6CB3FCC1"/>
    <w:rsid w:val="6CB40947"/>
    <w:rsid w:val="6CB42741"/>
    <w:rsid w:val="6CB42BA3"/>
    <w:rsid w:val="6CB5B3AF"/>
    <w:rsid w:val="6CB5F482"/>
    <w:rsid w:val="6CB611CD"/>
    <w:rsid w:val="6CB63F21"/>
    <w:rsid w:val="6CB7094B"/>
    <w:rsid w:val="6CB726D0"/>
    <w:rsid w:val="6CB7352E"/>
    <w:rsid w:val="6CB79C55"/>
    <w:rsid w:val="6CB85042"/>
    <w:rsid w:val="6CBAAD7F"/>
    <w:rsid w:val="6CBAB53B"/>
    <w:rsid w:val="6CBADA4D"/>
    <w:rsid w:val="6CBCACD7"/>
    <w:rsid w:val="6CBCC593"/>
    <w:rsid w:val="6CBCCB52"/>
    <w:rsid w:val="6CBCFE37"/>
    <w:rsid w:val="6CBD5377"/>
    <w:rsid w:val="6CBE0F37"/>
    <w:rsid w:val="6CBE478D"/>
    <w:rsid w:val="6CBE65A5"/>
    <w:rsid w:val="6CBEE6C4"/>
    <w:rsid w:val="6CBF61CC"/>
    <w:rsid w:val="6CBFD663"/>
    <w:rsid w:val="6CC036E8"/>
    <w:rsid w:val="6CC21BA7"/>
    <w:rsid w:val="6CC34579"/>
    <w:rsid w:val="6CC3B2D6"/>
    <w:rsid w:val="6CC45E93"/>
    <w:rsid w:val="6CC4BB6A"/>
    <w:rsid w:val="6CC557E7"/>
    <w:rsid w:val="6CC5FAF1"/>
    <w:rsid w:val="6CC7934E"/>
    <w:rsid w:val="6CC905EB"/>
    <w:rsid w:val="6CC97B76"/>
    <w:rsid w:val="6CC9B1ED"/>
    <w:rsid w:val="6CC9B588"/>
    <w:rsid w:val="6CCA4BEB"/>
    <w:rsid w:val="6CCA8DC3"/>
    <w:rsid w:val="6CCAEF32"/>
    <w:rsid w:val="6CCB2283"/>
    <w:rsid w:val="6CCD541D"/>
    <w:rsid w:val="6CCDDBEE"/>
    <w:rsid w:val="6CCF3E03"/>
    <w:rsid w:val="6CCFB891"/>
    <w:rsid w:val="6CD020E5"/>
    <w:rsid w:val="6CD0C0B1"/>
    <w:rsid w:val="6CD0C57A"/>
    <w:rsid w:val="6CD0E767"/>
    <w:rsid w:val="6CD124C1"/>
    <w:rsid w:val="6CD2134B"/>
    <w:rsid w:val="6CD272DA"/>
    <w:rsid w:val="6CD28501"/>
    <w:rsid w:val="6CD352D9"/>
    <w:rsid w:val="6CD429DA"/>
    <w:rsid w:val="6CD5BEAD"/>
    <w:rsid w:val="6CD5F773"/>
    <w:rsid w:val="6CD6C0E9"/>
    <w:rsid w:val="6CD75420"/>
    <w:rsid w:val="6CD7C460"/>
    <w:rsid w:val="6CD7E726"/>
    <w:rsid w:val="6CD8817E"/>
    <w:rsid w:val="6CD94EF0"/>
    <w:rsid w:val="6CD99DF0"/>
    <w:rsid w:val="6CDA6264"/>
    <w:rsid w:val="6CDACC57"/>
    <w:rsid w:val="6CDB65A7"/>
    <w:rsid w:val="6CDB951B"/>
    <w:rsid w:val="6CDBBBF5"/>
    <w:rsid w:val="6CDC34E6"/>
    <w:rsid w:val="6CDC5CEA"/>
    <w:rsid w:val="6CDCDACB"/>
    <w:rsid w:val="6CDD0709"/>
    <w:rsid w:val="6CDD8917"/>
    <w:rsid w:val="6CDE3B51"/>
    <w:rsid w:val="6CDEEA6A"/>
    <w:rsid w:val="6CDF1434"/>
    <w:rsid w:val="6CE33FDA"/>
    <w:rsid w:val="6CE37C31"/>
    <w:rsid w:val="6CE3B867"/>
    <w:rsid w:val="6CE4AD1B"/>
    <w:rsid w:val="6CE5B098"/>
    <w:rsid w:val="6CE5D545"/>
    <w:rsid w:val="6CE65237"/>
    <w:rsid w:val="6CE78B10"/>
    <w:rsid w:val="6CE7B2BC"/>
    <w:rsid w:val="6CE7BDC2"/>
    <w:rsid w:val="6CE8C586"/>
    <w:rsid w:val="6CE9E2D6"/>
    <w:rsid w:val="6CEA2F28"/>
    <w:rsid w:val="6CEB309E"/>
    <w:rsid w:val="6CEDC76E"/>
    <w:rsid w:val="6CEE12F2"/>
    <w:rsid w:val="6CEE6E57"/>
    <w:rsid w:val="6CEED62E"/>
    <w:rsid w:val="6CEF954D"/>
    <w:rsid w:val="6CEFB9E2"/>
    <w:rsid w:val="6CEFCA8E"/>
    <w:rsid w:val="6CEFEC93"/>
    <w:rsid w:val="6CF08EC6"/>
    <w:rsid w:val="6CF0998C"/>
    <w:rsid w:val="6CF25BD5"/>
    <w:rsid w:val="6CF374C7"/>
    <w:rsid w:val="6CF3B040"/>
    <w:rsid w:val="6CF3B78D"/>
    <w:rsid w:val="6CF438E2"/>
    <w:rsid w:val="6CF45B71"/>
    <w:rsid w:val="6CF619AC"/>
    <w:rsid w:val="6CF6266F"/>
    <w:rsid w:val="6CF67291"/>
    <w:rsid w:val="6CF6AD45"/>
    <w:rsid w:val="6CF711C8"/>
    <w:rsid w:val="6CF7CD2A"/>
    <w:rsid w:val="6CF8AA8F"/>
    <w:rsid w:val="6CF90E00"/>
    <w:rsid w:val="6CF9E147"/>
    <w:rsid w:val="6CFA405F"/>
    <w:rsid w:val="6CFC2FF7"/>
    <w:rsid w:val="6CFDE93D"/>
    <w:rsid w:val="6CFE616F"/>
    <w:rsid w:val="6CFF422B"/>
    <w:rsid w:val="6D0010A2"/>
    <w:rsid w:val="6D011191"/>
    <w:rsid w:val="6D01D994"/>
    <w:rsid w:val="6D01ED28"/>
    <w:rsid w:val="6D033C6E"/>
    <w:rsid w:val="6D040109"/>
    <w:rsid w:val="6D0402CE"/>
    <w:rsid w:val="6D048946"/>
    <w:rsid w:val="6D0571A4"/>
    <w:rsid w:val="6D05E290"/>
    <w:rsid w:val="6D05F6B0"/>
    <w:rsid w:val="6D062158"/>
    <w:rsid w:val="6D0661DE"/>
    <w:rsid w:val="6D06AF91"/>
    <w:rsid w:val="6D08A132"/>
    <w:rsid w:val="6D08F8F3"/>
    <w:rsid w:val="6D09071D"/>
    <w:rsid w:val="6D0AB44D"/>
    <w:rsid w:val="6D0B58FB"/>
    <w:rsid w:val="6D0C1A7F"/>
    <w:rsid w:val="6D0D258F"/>
    <w:rsid w:val="6D0DAA49"/>
    <w:rsid w:val="6D0E3CE5"/>
    <w:rsid w:val="6D0F62EB"/>
    <w:rsid w:val="6D0F7F16"/>
    <w:rsid w:val="6D0F8239"/>
    <w:rsid w:val="6D0FDE69"/>
    <w:rsid w:val="6D113AD3"/>
    <w:rsid w:val="6D11A7A5"/>
    <w:rsid w:val="6D11DFB7"/>
    <w:rsid w:val="6D124463"/>
    <w:rsid w:val="6D1286DF"/>
    <w:rsid w:val="6D1352CF"/>
    <w:rsid w:val="6D138364"/>
    <w:rsid w:val="6D1671BF"/>
    <w:rsid w:val="6D16720B"/>
    <w:rsid w:val="6D16A685"/>
    <w:rsid w:val="6D16C58D"/>
    <w:rsid w:val="6D18585E"/>
    <w:rsid w:val="6D186710"/>
    <w:rsid w:val="6D1895C1"/>
    <w:rsid w:val="6D18ECE6"/>
    <w:rsid w:val="6D1A2958"/>
    <w:rsid w:val="6D1A4A8C"/>
    <w:rsid w:val="6D1A6466"/>
    <w:rsid w:val="6D1A67B0"/>
    <w:rsid w:val="6D1B111B"/>
    <w:rsid w:val="6D1B1D80"/>
    <w:rsid w:val="6D1B7D2B"/>
    <w:rsid w:val="6D1C751B"/>
    <w:rsid w:val="6D1C9413"/>
    <w:rsid w:val="6D1CFAFA"/>
    <w:rsid w:val="6D1E4F55"/>
    <w:rsid w:val="6D1E9FC9"/>
    <w:rsid w:val="6D1F8170"/>
    <w:rsid w:val="6D1FA882"/>
    <w:rsid w:val="6D20AF0D"/>
    <w:rsid w:val="6D213AAF"/>
    <w:rsid w:val="6D2162E1"/>
    <w:rsid w:val="6D216ED4"/>
    <w:rsid w:val="6D21CEC4"/>
    <w:rsid w:val="6D21E4A7"/>
    <w:rsid w:val="6D21F12F"/>
    <w:rsid w:val="6D22AEE9"/>
    <w:rsid w:val="6D22C595"/>
    <w:rsid w:val="6D232DB9"/>
    <w:rsid w:val="6D23574E"/>
    <w:rsid w:val="6D239320"/>
    <w:rsid w:val="6D23DEE4"/>
    <w:rsid w:val="6D23E956"/>
    <w:rsid w:val="6D2411BC"/>
    <w:rsid w:val="6D25B210"/>
    <w:rsid w:val="6D25E704"/>
    <w:rsid w:val="6D26E41F"/>
    <w:rsid w:val="6D27283B"/>
    <w:rsid w:val="6D272FCB"/>
    <w:rsid w:val="6D2771CF"/>
    <w:rsid w:val="6D283CF1"/>
    <w:rsid w:val="6D287BC4"/>
    <w:rsid w:val="6D28FCB1"/>
    <w:rsid w:val="6D295AFB"/>
    <w:rsid w:val="6D29FD60"/>
    <w:rsid w:val="6D2A9758"/>
    <w:rsid w:val="6D2AB956"/>
    <w:rsid w:val="6D2B1696"/>
    <w:rsid w:val="6D2B17DF"/>
    <w:rsid w:val="6D2C5F22"/>
    <w:rsid w:val="6D2D109C"/>
    <w:rsid w:val="6D2D4B7B"/>
    <w:rsid w:val="6D2DB473"/>
    <w:rsid w:val="6D2DBCD4"/>
    <w:rsid w:val="6D2E2C94"/>
    <w:rsid w:val="6D2F3F38"/>
    <w:rsid w:val="6D3303CC"/>
    <w:rsid w:val="6D331446"/>
    <w:rsid w:val="6D33B4A5"/>
    <w:rsid w:val="6D3534EA"/>
    <w:rsid w:val="6D35EC2D"/>
    <w:rsid w:val="6D35EF78"/>
    <w:rsid w:val="6D368BF2"/>
    <w:rsid w:val="6D36DDCB"/>
    <w:rsid w:val="6D378CA6"/>
    <w:rsid w:val="6D382AB5"/>
    <w:rsid w:val="6D382EA0"/>
    <w:rsid w:val="6D38D99C"/>
    <w:rsid w:val="6D39B2E0"/>
    <w:rsid w:val="6D39CEE4"/>
    <w:rsid w:val="6D39F5CA"/>
    <w:rsid w:val="6D3A226B"/>
    <w:rsid w:val="6D3B318D"/>
    <w:rsid w:val="6D3B79DA"/>
    <w:rsid w:val="6D3BEB51"/>
    <w:rsid w:val="6D3D42F0"/>
    <w:rsid w:val="6D3D9CA6"/>
    <w:rsid w:val="6D3E0B1A"/>
    <w:rsid w:val="6D405EFE"/>
    <w:rsid w:val="6D406088"/>
    <w:rsid w:val="6D40E93A"/>
    <w:rsid w:val="6D4107BD"/>
    <w:rsid w:val="6D418DA9"/>
    <w:rsid w:val="6D44021C"/>
    <w:rsid w:val="6D441A0A"/>
    <w:rsid w:val="6D456E23"/>
    <w:rsid w:val="6D46329C"/>
    <w:rsid w:val="6D46ED69"/>
    <w:rsid w:val="6D47CCC7"/>
    <w:rsid w:val="6D48F16E"/>
    <w:rsid w:val="6D494CF3"/>
    <w:rsid w:val="6D4A94DB"/>
    <w:rsid w:val="6D4C1586"/>
    <w:rsid w:val="6D4C5BA8"/>
    <w:rsid w:val="6D4C8187"/>
    <w:rsid w:val="6D4D1C8E"/>
    <w:rsid w:val="6D4D2D74"/>
    <w:rsid w:val="6D4D5478"/>
    <w:rsid w:val="6D4E0541"/>
    <w:rsid w:val="6D4ED918"/>
    <w:rsid w:val="6D4F0E31"/>
    <w:rsid w:val="6D50209F"/>
    <w:rsid w:val="6D506F92"/>
    <w:rsid w:val="6D508A5D"/>
    <w:rsid w:val="6D535837"/>
    <w:rsid w:val="6D537275"/>
    <w:rsid w:val="6D5433E7"/>
    <w:rsid w:val="6D54B586"/>
    <w:rsid w:val="6D54FB70"/>
    <w:rsid w:val="6D55B606"/>
    <w:rsid w:val="6D56D620"/>
    <w:rsid w:val="6D58180E"/>
    <w:rsid w:val="6D58219F"/>
    <w:rsid w:val="6D58667A"/>
    <w:rsid w:val="6D5B4208"/>
    <w:rsid w:val="6D5B4EB4"/>
    <w:rsid w:val="6D5C320E"/>
    <w:rsid w:val="6D5DF4AB"/>
    <w:rsid w:val="6D5FE336"/>
    <w:rsid w:val="6D60357E"/>
    <w:rsid w:val="6D608A42"/>
    <w:rsid w:val="6D61DE04"/>
    <w:rsid w:val="6D625A22"/>
    <w:rsid w:val="6D62A492"/>
    <w:rsid w:val="6D632966"/>
    <w:rsid w:val="6D653950"/>
    <w:rsid w:val="6D66D44F"/>
    <w:rsid w:val="6D66E832"/>
    <w:rsid w:val="6D66EAF3"/>
    <w:rsid w:val="6D6810C7"/>
    <w:rsid w:val="6D68643D"/>
    <w:rsid w:val="6D68806F"/>
    <w:rsid w:val="6D6A01A8"/>
    <w:rsid w:val="6D6A6438"/>
    <w:rsid w:val="6D6AD0DF"/>
    <w:rsid w:val="6D6B15F0"/>
    <w:rsid w:val="6D6C0AB5"/>
    <w:rsid w:val="6D6C4EB6"/>
    <w:rsid w:val="6D6CD0C9"/>
    <w:rsid w:val="6D6D609A"/>
    <w:rsid w:val="6D6DF95D"/>
    <w:rsid w:val="6D6EAC9B"/>
    <w:rsid w:val="6D704106"/>
    <w:rsid w:val="6D7240B4"/>
    <w:rsid w:val="6D7323B5"/>
    <w:rsid w:val="6D7324AD"/>
    <w:rsid w:val="6D736375"/>
    <w:rsid w:val="6D741AA5"/>
    <w:rsid w:val="6D74BAEC"/>
    <w:rsid w:val="6D7636BC"/>
    <w:rsid w:val="6D765898"/>
    <w:rsid w:val="6D770A48"/>
    <w:rsid w:val="6D779566"/>
    <w:rsid w:val="6D7920C3"/>
    <w:rsid w:val="6D798AFF"/>
    <w:rsid w:val="6D79BA4E"/>
    <w:rsid w:val="6D79F142"/>
    <w:rsid w:val="6D7A7AC3"/>
    <w:rsid w:val="6D7B1CC4"/>
    <w:rsid w:val="6D7BFAA8"/>
    <w:rsid w:val="6D7C0805"/>
    <w:rsid w:val="6D7C0F45"/>
    <w:rsid w:val="6D7C18BE"/>
    <w:rsid w:val="6D7C22BD"/>
    <w:rsid w:val="6D7C8C74"/>
    <w:rsid w:val="6D7E35F0"/>
    <w:rsid w:val="6D7E8CA6"/>
    <w:rsid w:val="6D7E979B"/>
    <w:rsid w:val="6D7EE2A2"/>
    <w:rsid w:val="6D7F22B5"/>
    <w:rsid w:val="6D7F6A99"/>
    <w:rsid w:val="6D80E9E7"/>
    <w:rsid w:val="6D814EA5"/>
    <w:rsid w:val="6D829E9E"/>
    <w:rsid w:val="6D82BDF5"/>
    <w:rsid w:val="6D82C5EC"/>
    <w:rsid w:val="6D838482"/>
    <w:rsid w:val="6D844834"/>
    <w:rsid w:val="6D84D443"/>
    <w:rsid w:val="6D85A5CE"/>
    <w:rsid w:val="6D86BE3E"/>
    <w:rsid w:val="6D879D9D"/>
    <w:rsid w:val="6D87FA7C"/>
    <w:rsid w:val="6D8824B7"/>
    <w:rsid w:val="6D8AEB7F"/>
    <w:rsid w:val="6D8B45F8"/>
    <w:rsid w:val="6D8D125E"/>
    <w:rsid w:val="6D8E1EF4"/>
    <w:rsid w:val="6D90ED0B"/>
    <w:rsid w:val="6D916150"/>
    <w:rsid w:val="6D921863"/>
    <w:rsid w:val="6D924620"/>
    <w:rsid w:val="6D926095"/>
    <w:rsid w:val="6D92B251"/>
    <w:rsid w:val="6D92B3AA"/>
    <w:rsid w:val="6D92FA4F"/>
    <w:rsid w:val="6D93A3A5"/>
    <w:rsid w:val="6D96D5B0"/>
    <w:rsid w:val="6D98034A"/>
    <w:rsid w:val="6D989D3F"/>
    <w:rsid w:val="6D98CFBB"/>
    <w:rsid w:val="6D9A41D5"/>
    <w:rsid w:val="6D9A44C6"/>
    <w:rsid w:val="6D9ABC88"/>
    <w:rsid w:val="6D9B1AB9"/>
    <w:rsid w:val="6D9B2FAF"/>
    <w:rsid w:val="6D9B3B71"/>
    <w:rsid w:val="6D9B5042"/>
    <w:rsid w:val="6D9C2A7C"/>
    <w:rsid w:val="6D9C6236"/>
    <w:rsid w:val="6D9CBAA4"/>
    <w:rsid w:val="6D9D4090"/>
    <w:rsid w:val="6D9E85FB"/>
    <w:rsid w:val="6D9F3AC4"/>
    <w:rsid w:val="6D9FC102"/>
    <w:rsid w:val="6DA0000B"/>
    <w:rsid w:val="6DA01B31"/>
    <w:rsid w:val="6DA39F8D"/>
    <w:rsid w:val="6DA3B6FA"/>
    <w:rsid w:val="6DA4C156"/>
    <w:rsid w:val="6DA4D52A"/>
    <w:rsid w:val="6DA6712B"/>
    <w:rsid w:val="6DA6CEDF"/>
    <w:rsid w:val="6DA6E1CA"/>
    <w:rsid w:val="6DA7FACF"/>
    <w:rsid w:val="6DA83F90"/>
    <w:rsid w:val="6DAA9835"/>
    <w:rsid w:val="6DAAEB48"/>
    <w:rsid w:val="6DAAF242"/>
    <w:rsid w:val="6DAB0465"/>
    <w:rsid w:val="6DAB0A2A"/>
    <w:rsid w:val="6DACBC8B"/>
    <w:rsid w:val="6DADBAD5"/>
    <w:rsid w:val="6DAF1256"/>
    <w:rsid w:val="6DAFB749"/>
    <w:rsid w:val="6DAFBF83"/>
    <w:rsid w:val="6DB14F07"/>
    <w:rsid w:val="6DB18997"/>
    <w:rsid w:val="6DB20A1F"/>
    <w:rsid w:val="6DB3F887"/>
    <w:rsid w:val="6DB40422"/>
    <w:rsid w:val="6DB49CB1"/>
    <w:rsid w:val="6DB4D4BC"/>
    <w:rsid w:val="6DB56187"/>
    <w:rsid w:val="6DB5DAE0"/>
    <w:rsid w:val="6DB6CB1C"/>
    <w:rsid w:val="6DB75406"/>
    <w:rsid w:val="6DB79B4D"/>
    <w:rsid w:val="6DB7C401"/>
    <w:rsid w:val="6DB88B00"/>
    <w:rsid w:val="6DB968E8"/>
    <w:rsid w:val="6DB97151"/>
    <w:rsid w:val="6DB9A2CF"/>
    <w:rsid w:val="6DBBC0FA"/>
    <w:rsid w:val="6DBC9B79"/>
    <w:rsid w:val="6DBDC25C"/>
    <w:rsid w:val="6DBDD088"/>
    <w:rsid w:val="6DBE7199"/>
    <w:rsid w:val="6DBFEA72"/>
    <w:rsid w:val="6DC00A68"/>
    <w:rsid w:val="6DC11221"/>
    <w:rsid w:val="6DC17DC1"/>
    <w:rsid w:val="6DC1C678"/>
    <w:rsid w:val="6DC1C906"/>
    <w:rsid w:val="6DC2F81C"/>
    <w:rsid w:val="6DC3CEC9"/>
    <w:rsid w:val="6DC4E0E3"/>
    <w:rsid w:val="6DC512E1"/>
    <w:rsid w:val="6DC584D3"/>
    <w:rsid w:val="6DC69F58"/>
    <w:rsid w:val="6DC6EEAB"/>
    <w:rsid w:val="6DC7B04C"/>
    <w:rsid w:val="6DC8A966"/>
    <w:rsid w:val="6DC9CA52"/>
    <w:rsid w:val="6DCA0E43"/>
    <w:rsid w:val="6DCAD744"/>
    <w:rsid w:val="6DCB71A2"/>
    <w:rsid w:val="6DCBD984"/>
    <w:rsid w:val="6DCD0BDA"/>
    <w:rsid w:val="6DCF6FF5"/>
    <w:rsid w:val="6DD2355C"/>
    <w:rsid w:val="6DD31FF9"/>
    <w:rsid w:val="6DD4206D"/>
    <w:rsid w:val="6DD432F4"/>
    <w:rsid w:val="6DD47A3B"/>
    <w:rsid w:val="6DD4A2AD"/>
    <w:rsid w:val="6DD4F55A"/>
    <w:rsid w:val="6DD5D56C"/>
    <w:rsid w:val="6DD5E34F"/>
    <w:rsid w:val="6DD6159F"/>
    <w:rsid w:val="6DD68063"/>
    <w:rsid w:val="6DD99D7B"/>
    <w:rsid w:val="6DDA42EF"/>
    <w:rsid w:val="6DDA5142"/>
    <w:rsid w:val="6DDB27F1"/>
    <w:rsid w:val="6DDBC6CF"/>
    <w:rsid w:val="6DDBDB8E"/>
    <w:rsid w:val="6DDC7287"/>
    <w:rsid w:val="6DDD049A"/>
    <w:rsid w:val="6DDD5D3D"/>
    <w:rsid w:val="6DDDB79B"/>
    <w:rsid w:val="6DDDBE60"/>
    <w:rsid w:val="6DDE1ABE"/>
    <w:rsid w:val="6DDE84B8"/>
    <w:rsid w:val="6DDEECED"/>
    <w:rsid w:val="6DDF7189"/>
    <w:rsid w:val="6DDF8EB7"/>
    <w:rsid w:val="6DDF933D"/>
    <w:rsid w:val="6DDFF6F0"/>
    <w:rsid w:val="6DE04836"/>
    <w:rsid w:val="6DE08C6A"/>
    <w:rsid w:val="6DE1A0B8"/>
    <w:rsid w:val="6DE20FE5"/>
    <w:rsid w:val="6DE2C75B"/>
    <w:rsid w:val="6DE2CA9C"/>
    <w:rsid w:val="6DE30C5E"/>
    <w:rsid w:val="6DE32693"/>
    <w:rsid w:val="6DE3DBFD"/>
    <w:rsid w:val="6DE403DA"/>
    <w:rsid w:val="6DE47F79"/>
    <w:rsid w:val="6DE4D136"/>
    <w:rsid w:val="6DE5FF13"/>
    <w:rsid w:val="6DE6602C"/>
    <w:rsid w:val="6DE74FA0"/>
    <w:rsid w:val="6DE7F95A"/>
    <w:rsid w:val="6DE8A890"/>
    <w:rsid w:val="6DE8BC6B"/>
    <w:rsid w:val="6DE9700C"/>
    <w:rsid w:val="6DE97A31"/>
    <w:rsid w:val="6DE9BE7E"/>
    <w:rsid w:val="6DE9D4B1"/>
    <w:rsid w:val="6DE9F852"/>
    <w:rsid w:val="6DEA1896"/>
    <w:rsid w:val="6DEAC1F9"/>
    <w:rsid w:val="6DEB692E"/>
    <w:rsid w:val="6DEC5E94"/>
    <w:rsid w:val="6DEC8EC5"/>
    <w:rsid w:val="6DECA6B0"/>
    <w:rsid w:val="6DECB571"/>
    <w:rsid w:val="6DECD278"/>
    <w:rsid w:val="6DED8A26"/>
    <w:rsid w:val="6DEDA613"/>
    <w:rsid w:val="6DEDB975"/>
    <w:rsid w:val="6DEE6185"/>
    <w:rsid w:val="6DEEC272"/>
    <w:rsid w:val="6DEF2C65"/>
    <w:rsid w:val="6DEF4CAE"/>
    <w:rsid w:val="6DF03464"/>
    <w:rsid w:val="6DF0867F"/>
    <w:rsid w:val="6DF1495B"/>
    <w:rsid w:val="6DF1D267"/>
    <w:rsid w:val="6DF1D42B"/>
    <w:rsid w:val="6DF21B2C"/>
    <w:rsid w:val="6DF2A938"/>
    <w:rsid w:val="6DF4698B"/>
    <w:rsid w:val="6DF4B2CC"/>
    <w:rsid w:val="6DF528F4"/>
    <w:rsid w:val="6DF543E6"/>
    <w:rsid w:val="6DF54CBC"/>
    <w:rsid w:val="6DF57DBB"/>
    <w:rsid w:val="6DF5B526"/>
    <w:rsid w:val="6DF64E83"/>
    <w:rsid w:val="6DF66C8D"/>
    <w:rsid w:val="6DF7B30E"/>
    <w:rsid w:val="6DF822AC"/>
    <w:rsid w:val="6DF97D16"/>
    <w:rsid w:val="6DFA6BE1"/>
    <w:rsid w:val="6DFB580D"/>
    <w:rsid w:val="6DFBCB4D"/>
    <w:rsid w:val="6DFDE1E0"/>
    <w:rsid w:val="6DFEA591"/>
    <w:rsid w:val="6E000DFB"/>
    <w:rsid w:val="6E00A86B"/>
    <w:rsid w:val="6E019D43"/>
    <w:rsid w:val="6E01BCB8"/>
    <w:rsid w:val="6E023B23"/>
    <w:rsid w:val="6E02F0E9"/>
    <w:rsid w:val="6E05BABA"/>
    <w:rsid w:val="6E072DB4"/>
    <w:rsid w:val="6E07BCD8"/>
    <w:rsid w:val="6E087C42"/>
    <w:rsid w:val="6E09AF66"/>
    <w:rsid w:val="6E09B991"/>
    <w:rsid w:val="6E09FD6E"/>
    <w:rsid w:val="6E0B3EE0"/>
    <w:rsid w:val="6E0C2503"/>
    <w:rsid w:val="6E0D8F5F"/>
    <w:rsid w:val="6E0E8D4C"/>
    <w:rsid w:val="6E0EDCDA"/>
    <w:rsid w:val="6E1000B6"/>
    <w:rsid w:val="6E10728C"/>
    <w:rsid w:val="6E10763F"/>
    <w:rsid w:val="6E126913"/>
    <w:rsid w:val="6E12EFBC"/>
    <w:rsid w:val="6E13173A"/>
    <w:rsid w:val="6E132B61"/>
    <w:rsid w:val="6E14270E"/>
    <w:rsid w:val="6E14BD11"/>
    <w:rsid w:val="6E15A675"/>
    <w:rsid w:val="6E15D7D1"/>
    <w:rsid w:val="6E165238"/>
    <w:rsid w:val="6E16B734"/>
    <w:rsid w:val="6E177112"/>
    <w:rsid w:val="6E1867A4"/>
    <w:rsid w:val="6E1886C3"/>
    <w:rsid w:val="6E19894D"/>
    <w:rsid w:val="6E19F058"/>
    <w:rsid w:val="6E1A5282"/>
    <w:rsid w:val="6E1B5254"/>
    <w:rsid w:val="6E1CB6C2"/>
    <w:rsid w:val="6E1D8231"/>
    <w:rsid w:val="6E1F4851"/>
    <w:rsid w:val="6E1F631C"/>
    <w:rsid w:val="6E1FA5A3"/>
    <w:rsid w:val="6E1FADDF"/>
    <w:rsid w:val="6E1FE61B"/>
    <w:rsid w:val="6E1FEA41"/>
    <w:rsid w:val="6E20E5ED"/>
    <w:rsid w:val="6E211CC2"/>
    <w:rsid w:val="6E21FF84"/>
    <w:rsid w:val="6E2243FD"/>
    <w:rsid w:val="6E22FA88"/>
    <w:rsid w:val="6E2336ED"/>
    <w:rsid w:val="6E2376AC"/>
    <w:rsid w:val="6E24650D"/>
    <w:rsid w:val="6E247A37"/>
    <w:rsid w:val="6E24E697"/>
    <w:rsid w:val="6E25DEBD"/>
    <w:rsid w:val="6E265201"/>
    <w:rsid w:val="6E265B11"/>
    <w:rsid w:val="6E267C38"/>
    <w:rsid w:val="6E278D03"/>
    <w:rsid w:val="6E289159"/>
    <w:rsid w:val="6E2897BC"/>
    <w:rsid w:val="6E2897EF"/>
    <w:rsid w:val="6E293C20"/>
    <w:rsid w:val="6E2A2221"/>
    <w:rsid w:val="6E2AC0BD"/>
    <w:rsid w:val="6E2AFAD1"/>
    <w:rsid w:val="6E2B62F4"/>
    <w:rsid w:val="6E2C0082"/>
    <w:rsid w:val="6E2C1EC4"/>
    <w:rsid w:val="6E2DBE57"/>
    <w:rsid w:val="6E2EE0CC"/>
    <w:rsid w:val="6E2F945C"/>
    <w:rsid w:val="6E327EEC"/>
    <w:rsid w:val="6E32B396"/>
    <w:rsid w:val="6E33C1F6"/>
    <w:rsid w:val="6E33F13F"/>
    <w:rsid w:val="6E342899"/>
    <w:rsid w:val="6E345F84"/>
    <w:rsid w:val="6E34949B"/>
    <w:rsid w:val="6E34DF55"/>
    <w:rsid w:val="6E3537F9"/>
    <w:rsid w:val="6E35D981"/>
    <w:rsid w:val="6E36A41A"/>
    <w:rsid w:val="6E36B046"/>
    <w:rsid w:val="6E370551"/>
    <w:rsid w:val="6E3712BA"/>
    <w:rsid w:val="6E3727B9"/>
    <w:rsid w:val="6E37798B"/>
    <w:rsid w:val="6E3791B7"/>
    <w:rsid w:val="6E385E01"/>
    <w:rsid w:val="6E39181F"/>
    <w:rsid w:val="6E39CD53"/>
    <w:rsid w:val="6E39FBB8"/>
    <w:rsid w:val="6E3A56E3"/>
    <w:rsid w:val="6E3A7F42"/>
    <w:rsid w:val="6E3AF0C3"/>
    <w:rsid w:val="6E3B2073"/>
    <w:rsid w:val="6E3B3EEB"/>
    <w:rsid w:val="6E3B8EC1"/>
    <w:rsid w:val="6E3CD4BE"/>
    <w:rsid w:val="6E3E0AC2"/>
    <w:rsid w:val="6E3E5BE3"/>
    <w:rsid w:val="6E3FB9AE"/>
    <w:rsid w:val="6E4007EC"/>
    <w:rsid w:val="6E406519"/>
    <w:rsid w:val="6E415E6F"/>
    <w:rsid w:val="6E4227FF"/>
    <w:rsid w:val="6E425687"/>
    <w:rsid w:val="6E42B726"/>
    <w:rsid w:val="6E42CE24"/>
    <w:rsid w:val="6E42EB98"/>
    <w:rsid w:val="6E43A934"/>
    <w:rsid w:val="6E43C99B"/>
    <w:rsid w:val="6E45314A"/>
    <w:rsid w:val="6E468B4D"/>
    <w:rsid w:val="6E480B01"/>
    <w:rsid w:val="6E48DBD8"/>
    <w:rsid w:val="6E4962E1"/>
    <w:rsid w:val="6E49AEB3"/>
    <w:rsid w:val="6E4A66A5"/>
    <w:rsid w:val="6E4AB9B9"/>
    <w:rsid w:val="6E4B3270"/>
    <w:rsid w:val="6E4B52F4"/>
    <w:rsid w:val="6E4C301C"/>
    <w:rsid w:val="6E4CF200"/>
    <w:rsid w:val="6E4D1969"/>
    <w:rsid w:val="6E4ED005"/>
    <w:rsid w:val="6E4EFD85"/>
    <w:rsid w:val="6E4F1904"/>
    <w:rsid w:val="6E4F84E7"/>
    <w:rsid w:val="6E50667D"/>
    <w:rsid w:val="6E50DDDD"/>
    <w:rsid w:val="6E511F22"/>
    <w:rsid w:val="6E513F9C"/>
    <w:rsid w:val="6E5325FA"/>
    <w:rsid w:val="6E54A6EF"/>
    <w:rsid w:val="6E55303E"/>
    <w:rsid w:val="6E570C84"/>
    <w:rsid w:val="6E5789CE"/>
    <w:rsid w:val="6E584E7A"/>
    <w:rsid w:val="6E58865C"/>
    <w:rsid w:val="6E5B317C"/>
    <w:rsid w:val="6E5B4C4F"/>
    <w:rsid w:val="6E5B652E"/>
    <w:rsid w:val="6E5B9CCB"/>
    <w:rsid w:val="6E5BAEDB"/>
    <w:rsid w:val="6E5BCB5E"/>
    <w:rsid w:val="6E5C73C2"/>
    <w:rsid w:val="6E5CF8EC"/>
    <w:rsid w:val="6E5D1DD0"/>
    <w:rsid w:val="6E5DB4CE"/>
    <w:rsid w:val="6E5DC7C2"/>
    <w:rsid w:val="6E5E23A5"/>
    <w:rsid w:val="6E5E37CB"/>
    <w:rsid w:val="6E5EB202"/>
    <w:rsid w:val="6E5FA7EE"/>
    <w:rsid w:val="6E5FBAFD"/>
    <w:rsid w:val="6E603000"/>
    <w:rsid w:val="6E605894"/>
    <w:rsid w:val="6E6073FA"/>
    <w:rsid w:val="6E6080E2"/>
    <w:rsid w:val="6E60B5FA"/>
    <w:rsid w:val="6E60C5C4"/>
    <w:rsid w:val="6E6124D4"/>
    <w:rsid w:val="6E61AAAA"/>
    <w:rsid w:val="6E62D02B"/>
    <w:rsid w:val="6E62DEB0"/>
    <w:rsid w:val="6E642672"/>
    <w:rsid w:val="6E659F26"/>
    <w:rsid w:val="6E65C0D4"/>
    <w:rsid w:val="6E65DC85"/>
    <w:rsid w:val="6E664453"/>
    <w:rsid w:val="6E66CC00"/>
    <w:rsid w:val="6E675D5F"/>
    <w:rsid w:val="6E67CDDB"/>
    <w:rsid w:val="6E67E752"/>
    <w:rsid w:val="6E686B9F"/>
    <w:rsid w:val="6E688F2E"/>
    <w:rsid w:val="6E696BF6"/>
    <w:rsid w:val="6E69B1E8"/>
    <w:rsid w:val="6E6A0E52"/>
    <w:rsid w:val="6E6A3F9C"/>
    <w:rsid w:val="6E6A428A"/>
    <w:rsid w:val="6E6B2391"/>
    <w:rsid w:val="6E6B9696"/>
    <w:rsid w:val="6E6C2E0A"/>
    <w:rsid w:val="6E6D4950"/>
    <w:rsid w:val="6E6DB075"/>
    <w:rsid w:val="6E6EA4C4"/>
    <w:rsid w:val="6E6EA9C7"/>
    <w:rsid w:val="6E6F71B7"/>
    <w:rsid w:val="6E700BA7"/>
    <w:rsid w:val="6E70F370"/>
    <w:rsid w:val="6E716662"/>
    <w:rsid w:val="6E72082C"/>
    <w:rsid w:val="6E725389"/>
    <w:rsid w:val="6E728B1C"/>
    <w:rsid w:val="6E732D33"/>
    <w:rsid w:val="6E734469"/>
    <w:rsid w:val="6E73CEDD"/>
    <w:rsid w:val="6E74B80C"/>
    <w:rsid w:val="6E780660"/>
    <w:rsid w:val="6E7888D9"/>
    <w:rsid w:val="6E78A864"/>
    <w:rsid w:val="6E7993AF"/>
    <w:rsid w:val="6E7A484F"/>
    <w:rsid w:val="6E7B4A76"/>
    <w:rsid w:val="6E7BC178"/>
    <w:rsid w:val="6E7BD62D"/>
    <w:rsid w:val="6E7C074B"/>
    <w:rsid w:val="6E7C3469"/>
    <w:rsid w:val="6E7C884D"/>
    <w:rsid w:val="6E7C8977"/>
    <w:rsid w:val="6E7CE883"/>
    <w:rsid w:val="6E7D2B6F"/>
    <w:rsid w:val="6E7DB6A1"/>
    <w:rsid w:val="6E7DF01C"/>
    <w:rsid w:val="6E7EA63C"/>
    <w:rsid w:val="6E7F10FF"/>
    <w:rsid w:val="6E801D6B"/>
    <w:rsid w:val="6E80438B"/>
    <w:rsid w:val="6E8077D9"/>
    <w:rsid w:val="6E81023D"/>
    <w:rsid w:val="6E8186FB"/>
    <w:rsid w:val="6E820256"/>
    <w:rsid w:val="6E826F85"/>
    <w:rsid w:val="6E827F0B"/>
    <w:rsid w:val="6E82AE1E"/>
    <w:rsid w:val="6E82FEAF"/>
    <w:rsid w:val="6E838786"/>
    <w:rsid w:val="6E845F4B"/>
    <w:rsid w:val="6E846F0E"/>
    <w:rsid w:val="6E84B5AC"/>
    <w:rsid w:val="6E859A8F"/>
    <w:rsid w:val="6E85ADE7"/>
    <w:rsid w:val="6E85D8F9"/>
    <w:rsid w:val="6E869D9D"/>
    <w:rsid w:val="6E871567"/>
    <w:rsid w:val="6E875F61"/>
    <w:rsid w:val="6E879511"/>
    <w:rsid w:val="6E88BE69"/>
    <w:rsid w:val="6E89362C"/>
    <w:rsid w:val="6E897835"/>
    <w:rsid w:val="6E8A0426"/>
    <w:rsid w:val="6E8A4C87"/>
    <w:rsid w:val="6E8B5289"/>
    <w:rsid w:val="6E8B874D"/>
    <w:rsid w:val="6E8C6207"/>
    <w:rsid w:val="6E8C8B0A"/>
    <w:rsid w:val="6E8CF6A3"/>
    <w:rsid w:val="6E8D4197"/>
    <w:rsid w:val="6E8DBC07"/>
    <w:rsid w:val="6E8E91D1"/>
    <w:rsid w:val="6E8EED86"/>
    <w:rsid w:val="6E8F4909"/>
    <w:rsid w:val="6E8F58D8"/>
    <w:rsid w:val="6E903ED1"/>
    <w:rsid w:val="6E90EF94"/>
    <w:rsid w:val="6E91C3CE"/>
    <w:rsid w:val="6E9218A5"/>
    <w:rsid w:val="6E928DDD"/>
    <w:rsid w:val="6E933ACC"/>
    <w:rsid w:val="6E93F42C"/>
    <w:rsid w:val="6E956621"/>
    <w:rsid w:val="6E95E3D5"/>
    <w:rsid w:val="6E96099D"/>
    <w:rsid w:val="6E961E5E"/>
    <w:rsid w:val="6E967090"/>
    <w:rsid w:val="6E96CF22"/>
    <w:rsid w:val="6E979C57"/>
    <w:rsid w:val="6E982E48"/>
    <w:rsid w:val="6E98B896"/>
    <w:rsid w:val="6E9A376F"/>
    <w:rsid w:val="6E9A5C07"/>
    <w:rsid w:val="6E9A7A54"/>
    <w:rsid w:val="6E9AEC15"/>
    <w:rsid w:val="6E9B0637"/>
    <w:rsid w:val="6E9B09E8"/>
    <w:rsid w:val="6E9B4B63"/>
    <w:rsid w:val="6E9C8EE3"/>
    <w:rsid w:val="6E9CDBA1"/>
    <w:rsid w:val="6E9D2C87"/>
    <w:rsid w:val="6E9D632D"/>
    <w:rsid w:val="6E9F343B"/>
    <w:rsid w:val="6E9F774D"/>
    <w:rsid w:val="6E9FF9CA"/>
    <w:rsid w:val="6EA04E40"/>
    <w:rsid w:val="6EA07577"/>
    <w:rsid w:val="6EA191EE"/>
    <w:rsid w:val="6EA27E76"/>
    <w:rsid w:val="6EA29C6C"/>
    <w:rsid w:val="6EA34344"/>
    <w:rsid w:val="6EA518CC"/>
    <w:rsid w:val="6EA54427"/>
    <w:rsid w:val="6EA5EC1F"/>
    <w:rsid w:val="6EA67522"/>
    <w:rsid w:val="6EA77646"/>
    <w:rsid w:val="6EA85E01"/>
    <w:rsid w:val="6EA861AB"/>
    <w:rsid w:val="6EA8E668"/>
    <w:rsid w:val="6EA8E6C6"/>
    <w:rsid w:val="6EA9A1DD"/>
    <w:rsid w:val="6EAA8B41"/>
    <w:rsid w:val="6EAA90E4"/>
    <w:rsid w:val="6EAAF328"/>
    <w:rsid w:val="6EAC3327"/>
    <w:rsid w:val="6EAC6E1F"/>
    <w:rsid w:val="6EACD522"/>
    <w:rsid w:val="6EAD8B2B"/>
    <w:rsid w:val="6EAE327A"/>
    <w:rsid w:val="6EAE596E"/>
    <w:rsid w:val="6EAEC795"/>
    <w:rsid w:val="6EAFCD8E"/>
    <w:rsid w:val="6EB0172D"/>
    <w:rsid w:val="6EB022C5"/>
    <w:rsid w:val="6EB075FA"/>
    <w:rsid w:val="6EB0FE55"/>
    <w:rsid w:val="6EB1011B"/>
    <w:rsid w:val="6EB13162"/>
    <w:rsid w:val="6EB24F47"/>
    <w:rsid w:val="6EB38242"/>
    <w:rsid w:val="6EB3E82C"/>
    <w:rsid w:val="6EB46DBF"/>
    <w:rsid w:val="6EB55DE4"/>
    <w:rsid w:val="6EB59111"/>
    <w:rsid w:val="6EB5F070"/>
    <w:rsid w:val="6EB6C214"/>
    <w:rsid w:val="6EB706D7"/>
    <w:rsid w:val="6EB8C5BA"/>
    <w:rsid w:val="6EB95D89"/>
    <w:rsid w:val="6EB993EC"/>
    <w:rsid w:val="6EB9C788"/>
    <w:rsid w:val="6EBA431B"/>
    <w:rsid w:val="6EBA81B0"/>
    <w:rsid w:val="6EBBE66A"/>
    <w:rsid w:val="6EBCFC36"/>
    <w:rsid w:val="6EBD0807"/>
    <w:rsid w:val="6EBD5E45"/>
    <w:rsid w:val="6EBEA4D0"/>
    <w:rsid w:val="6EC074DA"/>
    <w:rsid w:val="6EC1C1E7"/>
    <w:rsid w:val="6EC26A29"/>
    <w:rsid w:val="6EC29E0A"/>
    <w:rsid w:val="6EC2CCC3"/>
    <w:rsid w:val="6EC3638B"/>
    <w:rsid w:val="6EC42F07"/>
    <w:rsid w:val="6EC6206F"/>
    <w:rsid w:val="6EC6ABBD"/>
    <w:rsid w:val="6EC86178"/>
    <w:rsid w:val="6EC99D60"/>
    <w:rsid w:val="6EC9C64B"/>
    <w:rsid w:val="6ECA3095"/>
    <w:rsid w:val="6ECAB448"/>
    <w:rsid w:val="6ECB916C"/>
    <w:rsid w:val="6ECC8379"/>
    <w:rsid w:val="6ECCCA2C"/>
    <w:rsid w:val="6ECD05D8"/>
    <w:rsid w:val="6ECD4B23"/>
    <w:rsid w:val="6ECD4D77"/>
    <w:rsid w:val="6ECD59D6"/>
    <w:rsid w:val="6ECD5AFA"/>
    <w:rsid w:val="6ECE1DFB"/>
    <w:rsid w:val="6ECE3175"/>
    <w:rsid w:val="6ECE64E6"/>
    <w:rsid w:val="6ECE829A"/>
    <w:rsid w:val="6ECE87A4"/>
    <w:rsid w:val="6ED1666B"/>
    <w:rsid w:val="6ED17FEE"/>
    <w:rsid w:val="6ED22FA7"/>
    <w:rsid w:val="6ED4A1C2"/>
    <w:rsid w:val="6ED4C012"/>
    <w:rsid w:val="6ED4D0D7"/>
    <w:rsid w:val="6ED4E22E"/>
    <w:rsid w:val="6ED4F90E"/>
    <w:rsid w:val="6ED5A366"/>
    <w:rsid w:val="6ED690E2"/>
    <w:rsid w:val="6ED697EF"/>
    <w:rsid w:val="6ED7FF7D"/>
    <w:rsid w:val="6ED824A6"/>
    <w:rsid w:val="6ED8D5A5"/>
    <w:rsid w:val="6ED9563F"/>
    <w:rsid w:val="6EDA87F2"/>
    <w:rsid w:val="6EDAEB20"/>
    <w:rsid w:val="6EDAEC53"/>
    <w:rsid w:val="6EDC2051"/>
    <w:rsid w:val="6EDC6EC8"/>
    <w:rsid w:val="6EDC78E4"/>
    <w:rsid w:val="6EDCD66E"/>
    <w:rsid w:val="6EDD98A8"/>
    <w:rsid w:val="6EDDBC62"/>
    <w:rsid w:val="6EDEB2FA"/>
    <w:rsid w:val="6EDF46DF"/>
    <w:rsid w:val="6EDF82B2"/>
    <w:rsid w:val="6EDFFB84"/>
    <w:rsid w:val="6EE0144D"/>
    <w:rsid w:val="6EE03CBA"/>
    <w:rsid w:val="6EE0B4E1"/>
    <w:rsid w:val="6EE234EE"/>
    <w:rsid w:val="6EE28128"/>
    <w:rsid w:val="6EE3DAED"/>
    <w:rsid w:val="6EE54DE1"/>
    <w:rsid w:val="6EE57524"/>
    <w:rsid w:val="6EE672DE"/>
    <w:rsid w:val="6EE71599"/>
    <w:rsid w:val="6EE735DC"/>
    <w:rsid w:val="6EE75387"/>
    <w:rsid w:val="6EE7FAFF"/>
    <w:rsid w:val="6EE811C9"/>
    <w:rsid w:val="6EE86EF0"/>
    <w:rsid w:val="6EE87EA9"/>
    <w:rsid w:val="6EE8CEB1"/>
    <w:rsid w:val="6EE9BCC1"/>
    <w:rsid w:val="6EEA99D1"/>
    <w:rsid w:val="6EEB4F1F"/>
    <w:rsid w:val="6EEB7AB8"/>
    <w:rsid w:val="6EEC93D1"/>
    <w:rsid w:val="6EED78D4"/>
    <w:rsid w:val="6EEEB430"/>
    <w:rsid w:val="6EEF234D"/>
    <w:rsid w:val="6EEF8F7F"/>
    <w:rsid w:val="6EF0C829"/>
    <w:rsid w:val="6EF138A8"/>
    <w:rsid w:val="6EF15262"/>
    <w:rsid w:val="6EF168AF"/>
    <w:rsid w:val="6EF279AB"/>
    <w:rsid w:val="6EF29D51"/>
    <w:rsid w:val="6EF33A08"/>
    <w:rsid w:val="6EF3A6E1"/>
    <w:rsid w:val="6EF41270"/>
    <w:rsid w:val="6EF43C2F"/>
    <w:rsid w:val="6EF4BB8C"/>
    <w:rsid w:val="6EF54979"/>
    <w:rsid w:val="6EF5BE0C"/>
    <w:rsid w:val="6EF6C9C4"/>
    <w:rsid w:val="6EF715DF"/>
    <w:rsid w:val="6EF79B93"/>
    <w:rsid w:val="6EF7B8BB"/>
    <w:rsid w:val="6EF8A4FF"/>
    <w:rsid w:val="6EF91CAE"/>
    <w:rsid w:val="6EFA384B"/>
    <w:rsid w:val="6EFB261F"/>
    <w:rsid w:val="6EFB6F36"/>
    <w:rsid w:val="6EFBF3FD"/>
    <w:rsid w:val="6EFC626D"/>
    <w:rsid w:val="6EFE3274"/>
    <w:rsid w:val="6EFE4F90"/>
    <w:rsid w:val="6EFE632B"/>
    <w:rsid w:val="6EFEFEA4"/>
    <w:rsid w:val="6EFF0F5C"/>
    <w:rsid w:val="6F01747F"/>
    <w:rsid w:val="6F01C07A"/>
    <w:rsid w:val="6F026139"/>
    <w:rsid w:val="6F0278B8"/>
    <w:rsid w:val="6F032FD9"/>
    <w:rsid w:val="6F039E0E"/>
    <w:rsid w:val="6F0419B8"/>
    <w:rsid w:val="6F041AF4"/>
    <w:rsid w:val="6F0436CA"/>
    <w:rsid w:val="6F055122"/>
    <w:rsid w:val="6F057DC7"/>
    <w:rsid w:val="6F0638F3"/>
    <w:rsid w:val="6F0671D6"/>
    <w:rsid w:val="6F07920F"/>
    <w:rsid w:val="6F0889AF"/>
    <w:rsid w:val="6F0940AB"/>
    <w:rsid w:val="6F095366"/>
    <w:rsid w:val="6F09B589"/>
    <w:rsid w:val="6F0A7616"/>
    <w:rsid w:val="6F0ACA46"/>
    <w:rsid w:val="6F0BAEA0"/>
    <w:rsid w:val="6F0C4418"/>
    <w:rsid w:val="6F0C514A"/>
    <w:rsid w:val="6F0CB644"/>
    <w:rsid w:val="6F0D5DB0"/>
    <w:rsid w:val="6F0E4E3A"/>
    <w:rsid w:val="6F0ECDA3"/>
    <w:rsid w:val="6F0F3729"/>
    <w:rsid w:val="6F113D3A"/>
    <w:rsid w:val="6F118CBB"/>
    <w:rsid w:val="6F11994E"/>
    <w:rsid w:val="6F119953"/>
    <w:rsid w:val="6F124DCC"/>
    <w:rsid w:val="6F129653"/>
    <w:rsid w:val="6F134BBE"/>
    <w:rsid w:val="6F1381DD"/>
    <w:rsid w:val="6F13BF5B"/>
    <w:rsid w:val="6F13D0EB"/>
    <w:rsid w:val="6F1463C8"/>
    <w:rsid w:val="6F1528C7"/>
    <w:rsid w:val="6F157602"/>
    <w:rsid w:val="6F161CFC"/>
    <w:rsid w:val="6F16369D"/>
    <w:rsid w:val="6F1648A0"/>
    <w:rsid w:val="6F173F0D"/>
    <w:rsid w:val="6F1878C0"/>
    <w:rsid w:val="6F18AAF5"/>
    <w:rsid w:val="6F18E2C2"/>
    <w:rsid w:val="6F1975AB"/>
    <w:rsid w:val="6F19BF91"/>
    <w:rsid w:val="6F1C6F66"/>
    <w:rsid w:val="6F1E0A81"/>
    <w:rsid w:val="6F1E905B"/>
    <w:rsid w:val="6F1E9B6C"/>
    <w:rsid w:val="6F1F406D"/>
    <w:rsid w:val="6F2025E3"/>
    <w:rsid w:val="6F20E99F"/>
    <w:rsid w:val="6F21737B"/>
    <w:rsid w:val="6F218627"/>
    <w:rsid w:val="6F218894"/>
    <w:rsid w:val="6F219536"/>
    <w:rsid w:val="6F221802"/>
    <w:rsid w:val="6F22B634"/>
    <w:rsid w:val="6F230712"/>
    <w:rsid w:val="6F23F168"/>
    <w:rsid w:val="6F248DA9"/>
    <w:rsid w:val="6F24D1C2"/>
    <w:rsid w:val="6F24DD54"/>
    <w:rsid w:val="6F250B56"/>
    <w:rsid w:val="6F251ED4"/>
    <w:rsid w:val="6F257F3E"/>
    <w:rsid w:val="6F25A462"/>
    <w:rsid w:val="6F25A8DF"/>
    <w:rsid w:val="6F263663"/>
    <w:rsid w:val="6F265538"/>
    <w:rsid w:val="6F265CB0"/>
    <w:rsid w:val="6F26A54E"/>
    <w:rsid w:val="6F26C3FC"/>
    <w:rsid w:val="6F26CECA"/>
    <w:rsid w:val="6F29E2EE"/>
    <w:rsid w:val="6F2A4A27"/>
    <w:rsid w:val="6F2B3A54"/>
    <w:rsid w:val="6F2B978A"/>
    <w:rsid w:val="6F2BA268"/>
    <w:rsid w:val="6F2CC4AE"/>
    <w:rsid w:val="6F2CE35E"/>
    <w:rsid w:val="6F2CF1DA"/>
    <w:rsid w:val="6F2D2011"/>
    <w:rsid w:val="6F2E3AB6"/>
    <w:rsid w:val="6F2E56F2"/>
    <w:rsid w:val="6F2E5BDF"/>
    <w:rsid w:val="6F2F1329"/>
    <w:rsid w:val="6F2F6FAD"/>
    <w:rsid w:val="6F2FBCD1"/>
    <w:rsid w:val="6F308D42"/>
    <w:rsid w:val="6F309D74"/>
    <w:rsid w:val="6F31188C"/>
    <w:rsid w:val="6F32656C"/>
    <w:rsid w:val="6F330A04"/>
    <w:rsid w:val="6F338506"/>
    <w:rsid w:val="6F33B4A6"/>
    <w:rsid w:val="6F33C2AA"/>
    <w:rsid w:val="6F3448AD"/>
    <w:rsid w:val="6F34B53D"/>
    <w:rsid w:val="6F34C9D0"/>
    <w:rsid w:val="6F34DBBB"/>
    <w:rsid w:val="6F34E36F"/>
    <w:rsid w:val="6F34E62C"/>
    <w:rsid w:val="6F351ED7"/>
    <w:rsid w:val="6F355826"/>
    <w:rsid w:val="6F35EF85"/>
    <w:rsid w:val="6F362712"/>
    <w:rsid w:val="6F363C12"/>
    <w:rsid w:val="6F36CB5C"/>
    <w:rsid w:val="6F37B145"/>
    <w:rsid w:val="6F3896B2"/>
    <w:rsid w:val="6F394F66"/>
    <w:rsid w:val="6F39F0A9"/>
    <w:rsid w:val="6F3A4D13"/>
    <w:rsid w:val="6F3BF8A1"/>
    <w:rsid w:val="6F3D4B34"/>
    <w:rsid w:val="6F3D78D8"/>
    <w:rsid w:val="6F3DFA7E"/>
    <w:rsid w:val="6F3E4200"/>
    <w:rsid w:val="6F3F4F2D"/>
    <w:rsid w:val="6F3FA63E"/>
    <w:rsid w:val="6F411677"/>
    <w:rsid w:val="6F417BEC"/>
    <w:rsid w:val="6F41A7CE"/>
    <w:rsid w:val="6F41B8F2"/>
    <w:rsid w:val="6F424A8A"/>
    <w:rsid w:val="6F4260BA"/>
    <w:rsid w:val="6F438667"/>
    <w:rsid w:val="6F44DDF0"/>
    <w:rsid w:val="6F45274C"/>
    <w:rsid w:val="6F4542DC"/>
    <w:rsid w:val="6F466447"/>
    <w:rsid w:val="6F47175C"/>
    <w:rsid w:val="6F471E48"/>
    <w:rsid w:val="6F478EB4"/>
    <w:rsid w:val="6F47B35F"/>
    <w:rsid w:val="6F482748"/>
    <w:rsid w:val="6F485999"/>
    <w:rsid w:val="6F487593"/>
    <w:rsid w:val="6F48FB75"/>
    <w:rsid w:val="6F498B36"/>
    <w:rsid w:val="6F4997E9"/>
    <w:rsid w:val="6F49CAD2"/>
    <w:rsid w:val="6F4A2D5D"/>
    <w:rsid w:val="6F4A54BC"/>
    <w:rsid w:val="6F4B7164"/>
    <w:rsid w:val="6F4C16D3"/>
    <w:rsid w:val="6F4C6F1D"/>
    <w:rsid w:val="6F4CDADE"/>
    <w:rsid w:val="6F4DF6C4"/>
    <w:rsid w:val="6F4EDB73"/>
    <w:rsid w:val="6F4F1766"/>
    <w:rsid w:val="6F4F53D4"/>
    <w:rsid w:val="6F5020E1"/>
    <w:rsid w:val="6F502190"/>
    <w:rsid w:val="6F511D21"/>
    <w:rsid w:val="6F511F82"/>
    <w:rsid w:val="6F518AF3"/>
    <w:rsid w:val="6F538277"/>
    <w:rsid w:val="6F53A380"/>
    <w:rsid w:val="6F540009"/>
    <w:rsid w:val="6F54872A"/>
    <w:rsid w:val="6F54C5EE"/>
    <w:rsid w:val="6F558301"/>
    <w:rsid w:val="6F55D87A"/>
    <w:rsid w:val="6F56534C"/>
    <w:rsid w:val="6F56C631"/>
    <w:rsid w:val="6F56CED2"/>
    <w:rsid w:val="6F56F381"/>
    <w:rsid w:val="6F57B4BF"/>
    <w:rsid w:val="6F5886AF"/>
    <w:rsid w:val="6F588963"/>
    <w:rsid w:val="6F5963DC"/>
    <w:rsid w:val="6F5A159C"/>
    <w:rsid w:val="6F5B0838"/>
    <w:rsid w:val="6F5B6AB8"/>
    <w:rsid w:val="6F5C3B93"/>
    <w:rsid w:val="6F5C5A88"/>
    <w:rsid w:val="6F5CCD9B"/>
    <w:rsid w:val="6F5D749D"/>
    <w:rsid w:val="6F5DC829"/>
    <w:rsid w:val="6F5E6D7E"/>
    <w:rsid w:val="6F5F7BE9"/>
    <w:rsid w:val="6F5F9208"/>
    <w:rsid w:val="6F5FAC51"/>
    <w:rsid w:val="6F603FB3"/>
    <w:rsid w:val="6F611D8B"/>
    <w:rsid w:val="6F6235D8"/>
    <w:rsid w:val="6F6363FC"/>
    <w:rsid w:val="6F64082A"/>
    <w:rsid w:val="6F64E646"/>
    <w:rsid w:val="6F67D528"/>
    <w:rsid w:val="6F680B29"/>
    <w:rsid w:val="6F681BC9"/>
    <w:rsid w:val="6F691B8F"/>
    <w:rsid w:val="6F6A3480"/>
    <w:rsid w:val="6F6A9821"/>
    <w:rsid w:val="6F6C3EBA"/>
    <w:rsid w:val="6F6C43EA"/>
    <w:rsid w:val="6F6CE4B6"/>
    <w:rsid w:val="6F6D03B6"/>
    <w:rsid w:val="6F6D6867"/>
    <w:rsid w:val="6F6E4413"/>
    <w:rsid w:val="6F6F34DA"/>
    <w:rsid w:val="6F6F7068"/>
    <w:rsid w:val="6F70D642"/>
    <w:rsid w:val="6F71022E"/>
    <w:rsid w:val="6F71310E"/>
    <w:rsid w:val="6F72DF9B"/>
    <w:rsid w:val="6F733047"/>
    <w:rsid w:val="6F733253"/>
    <w:rsid w:val="6F733583"/>
    <w:rsid w:val="6F73B6FB"/>
    <w:rsid w:val="6F756A20"/>
    <w:rsid w:val="6F763C28"/>
    <w:rsid w:val="6F774D5E"/>
    <w:rsid w:val="6F780EE4"/>
    <w:rsid w:val="6F78EA78"/>
    <w:rsid w:val="6F798E59"/>
    <w:rsid w:val="6F7A0411"/>
    <w:rsid w:val="6F7B7922"/>
    <w:rsid w:val="6F7B83F9"/>
    <w:rsid w:val="6F7C31A5"/>
    <w:rsid w:val="6F7D1D34"/>
    <w:rsid w:val="6F7DC6C8"/>
    <w:rsid w:val="6F7E9FE4"/>
    <w:rsid w:val="6F7F13A3"/>
    <w:rsid w:val="6F7FB371"/>
    <w:rsid w:val="6F8049AD"/>
    <w:rsid w:val="6F8091A6"/>
    <w:rsid w:val="6F8247B4"/>
    <w:rsid w:val="6F82E3D9"/>
    <w:rsid w:val="6F84DD8E"/>
    <w:rsid w:val="6F85296A"/>
    <w:rsid w:val="6F8574EF"/>
    <w:rsid w:val="6F865713"/>
    <w:rsid w:val="6F8665BE"/>
    <w:rsid w:val="6F86AA3D"/>
    <w:rsid w:val="6F86C505"/>
    <w:rsid w:val="6F86D0A5"/>
    <w:rsid w:val="6F86FC64"/>
    <w:rsid w:val="6F87437B"/>
    <w:rsid w:val="6F87E66D"/>
    <w:rsid w:val="6F89188C"/>
    <w:rsid w:val="6F8AA359"/>
    <w:rsid w:val="6F8C2580"/>
    <w:rsid w:val="6F8C8E24"/>
    <w:rsid w:val="6F8CF835"/>
    <w:rsid w:val="6F8D3AEA"/>
    <w:rsid w:val="6F8E0E5A"/>
    <w:rsid w:val="6F8E4A8D"/>
    <w:rsid w:val="6F8EA3A2"/>
    <w:rsid w:val="6F8EAF6F"/>
    <w:rsid w:val="6F8EDECC"/>
    <w:rsid w:val="6F8FAD40"/>
    <w:rsid w:val="6F9155A9"/>
    <w:rsid w:val="6F91DDB4"/>
    <w:rsid w:val="6F925014"/>
    <w:rsid w:val="6F92A037"/>
    <w:rsid w:val="6F92D589"/>
    <w:rsid w:val="6F93B0FC"/>
    <w:rsid w:val="6F94E081"/>
    <w:rsid w:val="6F955989"/>
    <w:rsid w:val="6F967911"/>
    <w:rsid w:val="6F96C923"/>
    <w:rsid w:val="6F96E838"/>
    <w:rsid w:val="6F980CDA"/>
    <w:rsid w:val="6F984EEB"/>
    <w:rsid w:val="6F995561"/>
    <w:rsid w:val="6F9A05E9"/>
    <w:rsid w:val="6F9DA294"/>
    <w:rsid w:val="6F9E930B"/>
    <w:rsid w:val="6F9FE72C"/>
    <w:rsid w:val="6FA0893E"/>
    <w:rsid w:val="6FA0C513"/>
    <w:rsid w:val="6FA135AF"/>
    <w:rsid w:val="6FA22D5A"/>
    <w:rsid w:val="6FA279AF"/>
    <w:rsid w:val="6FA28FB9"/>
    <w:rsid w:val="6FA2AB31"/>
    <w:rsid w:val="6FA3B25A"/>
    <w:rsid w:val="6FA3B651"/>
    <w:rsid w:val="6FA4DA19"/>
    <w:rsid w:val="6FA54A9F"/>
    <w:rsid w:val="6FA655E1"/>
    <w:rsid w:val="6FA658E1"/>
    <w:rsid w:val="6FA6C861"/>
    <w:rsid w:val="6FA6FA40"/>
    <w:rsid w:val="6FA8FA11"/>
    <w:rsid w:val="6FAA086A"/>
    <w:rsid w:val="6FAA1A02"/>
    <w:rsid w:val="6FAA80CA"/>
    <w:rsid w:val="6FAAB55D"/>
    <w:rsid w:val="6FAB322C"/>
    <w:rsid w:val="6FAB4C0D"/>
    <w:rsid w:val="6FABD84B"/>
    <w:rsid w:val="6FACF898"/>
    <w:rsid w:val="6FAD3018"/>
    <w:rsid w:val="6FAD37DE"/>
    <w:rsid w:val="6FAE67CB"/>
    <w:rsid w:val="6FAF19F6"/>
    <w:rsid w:val="6FAF28EE"/>
    <w:rsid w:val="6FAFFD46"/>
    <w:rsid w:val="6FB0A7B1"/>
    <w:rsid w:val="6FB2F1E7"/>
    <w:rsid w:val="6FB300F5"/>
    <w:rsid w:val="6FB3674C"/>
    <w:rsid w:val="6FB39D3E"/>
    <w:rsid w:val="6FB5FD4B"/>
    <w:rsid w:val="6FB60E86"/>
    <w:rsid w:val="6FB65438"/>
    <w:rsid w:val="6FB700E0"/>
    <w:rsid w:val="6FB7C4E7"/>
    <w:rsid w:val="6FB98641"/>
    <w:rsid w:val="6FB98A98"/>
    <w:rsid w:val="6FB9AE25"/>
    <w:rsid w:val="6FBA9D77"/>
    <w:rsid w:val="6FBBB197"/>
    <w:rsid w:val="6FBBBE3C"/>
    <w:rsid w:val="6FBBF31C"/>
    <w:rsid w:val="6FBC0774"/>
    <w:rsid w:val="6FBDB58E"/>
    <w:rsid w:val="6FBDFDC6"/>
    <w:rsid w:val="6FBE6E92"/>
    <w:rsid w:val="6FBEF434"/>
    <w:rsid w:val="6FC05938"/>
    <w:rsid w:val="6FC0789E"/>
    <w:rsid w:val="6FC15DC7"/>
    <w:rsid w:val="6FC18B28"/>
    <w:rsid w:val="6FC1F983"/>
    <w:rsid w:val="6FC2458C"/>
    <w:rsid w:val="6FC2D455"/>
    <w:rsid w:val="6FC37211"/>
    <w:rsid w:val="6FC3DF21"/>
    <w:rsid w:val="6FC3F9F2"/>
    <w:rsid w:val="6FC47B17"/>
    <w:rsid w:val="6FC553AC"/>
    <w:rsid w:val="6FC5B0D7"/>
    <w:rsid w:val="6FC6E819"/>
    <w:rsid w:val="6FC75325"/>
    <w:rsid w:val="6FC787BB"/>
    <w:rsid w:val="6FC7AED7"/>
    <w:rsid w:val="6FC8688C"/>
    <w:rsid w:val="6FC94F11"/>
    <w:rsid w:val="6FCA4DCB"/>
    <w:rsid w:val="6FCA6468"/>
    <w:rsid w:val="6FCA6CBE"/>
    <w:rsid w:val="6FCB4048"/>
    <w:rsid w:val="6FCB5158"/>
    <w:rsid w:val="6FCCDD7C"/>
    <w:rsid w:val="6FCCE136"/>
    <w:rsid w:val="6FCD0B10"/>
    <w:rsid w:val="6FCD1194"/>
    <w:rsid w:val="6FCD9F38"/>
    <w:rsid w:val="6FCDA260"/>
    <w:rsid w:val="6FCDB2A1"/>
    <w:rsid w:val="6FCE2D28"/>
    <w:rsid w:val="6FCF6D6B"/>
    <w:rsid w:val="6FCF7B7C"/>
    <w:rsid w:val="6FCFFCBC"/>
    <w:rsid w:val="6FD09DB4"/>
    <w:rsid w:val="6FD0F9B8"/>
    <w:rsid w:val="6FD14811"/>
    <w:rsid w:val="6FD163B1"/>
    <w:rsid w:val="6FD17CD7"/>
    <w:rsid w:val="6FD1A9E6"/>
    <w:rsid w:val="6FD26C2B"/>
    <w:rsid w:val="6FD2B9A0"/>
    <w:rsid w:val="6FD2E7A3"/>
    <w:rsid w:val="6FD2E9D9"/>
    <w:rsid w:val="6FD2F566"/>
    <w:rsid w:val="6FD3524F"/>
    <w:rsid w:val="6FD3C301"/>
    <w:rsid w:val="6FD4C3D1"/>
    <w:rsid w:val="6FD56295"/>
    <w:rsid w:val="6FD64FA3"/>
    <w:rsid w:val="6FD82BC5"/>
    <w:rsid w:val="6FDA2C44"/>
    <w:rsid w:val="6FDAF745"/>
    <w:rsid w:val="6FDB0C95"/>
    <w:rsid w:val="6FDC8413"/>
    <w:rsid w:val="6FDC8A91"/>
    <w:rsid w:val="6FDCD119"/>
    <w:rsid w:val="6FDD1EAA"/>
    <w:rsid w:val="6FDD4084"/>
    <w:rsid w:val="6FDDEC34"/>
    <w:rsid w:val="6FDE0DE3"/>
    <w:rsid w:val="6FDF2128"/>
    <w:rsid w:val="6FDF5D79"/>
    <w:rsid w:val="6FDFB051"/>
    <w:rsid w:val="6FDFB97A"/>
    <w:rsid w:val="6FE06E50"/>
    <w:rsid w:val="6FE0B5B3"/>
    <w:rsid w:val="6FE288B2"/>
    <w:rsid w:val="6FE28E64"/>
    <w:rsid w:val="6FE327CA"/>
    <w:rsid w:val="6FE32887"/>
    <w:rsid w:val="6FE39BF5"/>
    <w:rsid w:val="6FE3E497"/>
    <w:rsid w:val="6FE3ED4F"/>
    <w:rsid w:val="6FE40C55"/>
    <w:rsid w:val="6FE47F29"/>
    <w:rsid w:val="6FE53529"/>
    <w:rsid w:val="6FE5F37D"/>
    <w:rsid w:val="6FE62847"/>
    <w:rsid w:val="6FE650AF"/>
    <w:rsid w:val="6FE66FD0"/>
    <w:rsid w:val="6FE70EF8"/>
    <w:rsid w:val="6FE74060"/>
    <w:rsid w:val="6FE82A9A"/>
    <w:rsid w:val="6FE8417C"/>
    <w:rsid w:val="6FE94697"/>
    <w:rsid w:val="6FE947C6"/>
    <w:rsid w:val="6FE9EF5E"/>
    <w:rsid w:val="6FEA33FD"/>
    <w:rsid w:val="6FEB9B7A"/>
    <w:rsid w:val="6FEBE66F"/>
    <w:rsid w:val="6FEC96EC"/>
    <w:rsid w:val="6FECC3C1"/>
    <w:rsid w:val="6FEDBE24"/>
    <w:rsid w:val="6FEE8552"/>
    <w:rsid w:val="6FEEC42D"/>
    <w:rsid w:val="6FEF76CF"/>
    <w:rsid w:val="6FEFE42D"/>
    <w:rsid w:val="6FF01C18"/>
    <w:rsid w:val="6FF03FA7"/>
    <w:rsid w:val="6FF05EB3"/>
    <w:rsid w:val="6FF0892A"/>
    <w:rsid w:val="6FF0B7EE"/>
    <w:rsid w:val="6FF3080B"/>
    <w:rsid w:val="6FF39BB1"/>
    <w:rsid w:val="6FF3D871"/>
    <w:rsid w:val="6FF41BB2"/>
    <w:rsid w:val="6FF45FFD"/>
    <w:rsid w:val="6FF471C3"/>
    <w:rsid w:val="6FF4862D"/>
    <w:rsid w:val="6FF55D29"/>
    <w:rsid w:val="6FF60BD8"/>
    <w:rsid w:val="6FF63CD8"/>
    <w:rsid w:val="6FF68DBA"/>
    <w:rsid w:val="6FF6B95F"/>
    <w:rsid w:val="6FF72391"/>
    <w:rsid w:val="6FF8AFA6"/>
    <w:rsid w:val="6FF9AB61"/>
    <w:rsid w:val="6FFA7A63"/>
    <w:rsid w:val="6FFC2E61"/>
    <w:rsid w:val="6FFC6CCC"/>
    <w:rsid w:val="6FFC9BB8"/>
    <w:rsid w:val="6FFCA529"/>
    <w:rsid w:val="6FFCE4F0"/>
    <w:rsid w:val="6FFF049F"/>
    <w:rsid w:val="6FFF5525"/>
    <w:rsid w:val="70008C57"/>
    <w:rsid w:val="7000C018"/>
    <w:rsid w:val="7000EF71"/>
    <w:rsid w:val="7000F736"/>
    <w:rsid w:val="70015F7D"/>
    <w:rsid w:val="70022DDE"/>
    <w:rsid w:val="700247F3"/>
    <w:rsid w:val="70038928"/>
    <w:rsid w:val="70040106"/>
    <w:rsid w:val="700458CA"/>
    <w:rsid w:val="7004D2E3"/>
    <w:rsid w:val="7004DAD5"/>
    <w:rsid w:val="7005188C"/>
    <w:rsid w:val="70066317"/>
    <w:rsid w:val="70068428"/>
    <w:rsid w:val="7006E5F8"/>
    <w:rsid w:val="7006E976"/>
    <w:rsid w:val="7007A4B1"/>
    <w:rsid w:val="7008D9CC"/>
    <w:rsid w:val="700962DE"/>
    <w:rsid w:val="7009681F"/>
    <w:rsid w:val="70096B96"/>
    <w:rsid w:val="700A9885"/>
    <w:rsid w:val="700A9EBD"/>
    <w:rsid w:val="700AD323"/>
    <w:rsid w:val="700B25EB"/>
    <w:rsid w:val="700B3E3A"/>
    <w:rsid w:val="700BD841"/>
    <w:rsid w:val="700BE52A"/>
    <w:rsid w:val="700DCDF1"/>
    <w:rsid w:val="700DEFF8"/>
    <w:rsid w:val="700E9844"/>
    <w:rsid w:val="700EFE45"/>
    <w:rsid w:val="700F0518"/>
    <w:rsid w:val="700F5274"/>
    <w:rsid w:val="7010DF08"/>
    <w:rsid w:val="7011C713"/>
    <w:rsid w:val="7012B07D"/>
    <w:rsid w:val="7012F538"/>
    <w:rsid w:val="7013C8FC"/>
    <w:rsid w:val="701615C8"/>
    <w:rsid w:val="70183DAB"/>
    <w:rsid w:val="7018CAFD"/>
    <w:rsid w:val="70193EFB"/>
    <w:rsid w:val="7019F96D"/>
    <w:rsid w:val="701A995C"/>
    <w:rsid w:val="701B1DF7"/>
    <w:rsid w:val="701B75C0"/>
    <w:rsid w:val="701BC6E7"/>
    <w:rsid w:val="701CC54A"/>
    <w:rsid w:val="701D0E36"/>
    <w:rsid w:val="701D8700"/>
    <w:rsid w:val="701E0AD8"/>
    <w:rsid w:val="701E4048"/>
    <w:rsid w:val="701EABCB"/>
    <w:rsid w:val="701EF266"/>
    <w:rsid w:val="701FC1F4"/>
    <w:rsid w:val="70209A64"/>
    <w:rsid w:val="70226EF0"/>
    <w:rsid w:val="7022BE3A"/>
    <w:rsid w:val="70234D93"/>
    <w:rsid w:val="7023C869"/>
    <w:rsid w:val="702492D3"/>
    <w:rsid w:val="70265DE4"/>
    <w:rsid w:val="70268160"/>
    <w:rsid w:val="7026B011"/>
    <w:rsid w:val="7026E808"/>
    <w:rsid w:val="70270508"/>
    <w:rsid w:val="7028070D"/>
    <w:rsid w:val="70281059"/>
    <w:rsid w:val="70287A71"/>
    <w:rsid w:val="7028981E"/>
    <w:rsid w:val="702903BB"/>
    <w:rsid w:val="7029255B"/>
    <w:rsid w:val="7029B381"/>
    <w:rsid w:val="702AB205"/>
    <w:rsid w:val="702B4D05"/>
    <w:rsid w:val="702B5B47"/>
    <w:rsid w:val="702B8E07"/>
    <w:rsid w:val="702BF0C8"/>
    <w:rsid w:val="702C8A51"/>
    <w:rsid w:val="702C8BEC"/>
    <w:rsid w:val="702CC045"/>
    <w:rsid w:val="702CCA92"/>
    <w:rsid w:val="702E1866"/>
    <w:rsid w:val="702E7E7C"/>
    <w:rsid w:val="702EC290"/>
    <w:rsid w:val="7031188F"/>
    <w:rsid w:val="7031AF4F"/>
    <w:rsid w:val="70327EFC"/>
    <w:rsid w:val="70331EDF"/>
    <w:rsid w:val="7033E98E"/>
    <w:rsid w:val="7035E4D2"/>
    <w:rsid w:val="7037F334"/>
    <w:rsid w:val="7037FDEF"/>
    <w:rsid w:val="7038C45B"/>
    <w:rsid w:val="703951CB"/>
    <w:rsid w:val="703A9072"/>
    <w:rsid w:val="703BA853"/>
    <w:rsid w:val="703EBF9D"/>
    <w:rsid w:val="703F5482"/>
    <w:rsid w:val="70407240"/>
    <w:rsid w:val="70423C33"/>
    <w:rsid w:val="7042F9BD"/>
    <w:rsid w:val="704322F7"/>
    <w:rsid w:val="7043C1F9"/>
    <w:rsid w:val="7043EC4B"/>
    <w:rsid w:val="70447062"/>
    <w:rsid w:val="7044884F"/>
    <w:rsid w:val="704511B3"/>
    <w:rsid w:val="70455793"/>
    <w:rsid w:val="7045FF4F"/>
    <w:rsid w:val="70467C38"/>
    <w:rsid w:val="7046A5FE"/>
    <w:rsid w:val="7046C606"/>
    <w:rsid w:val="7046E367"/>
    <w:rsid w:val="7047B280"/>
    <w:rsid w:val="70483581"/>
    <w:rsid w:val="7048A2A3"/>
    <w:rsid w:val="7048A38F"/>
    <w:rsid w:val="704A5537"/>
    <w:rsid w:val="704A59DD"/>
    <w:rsid w:val="704AA2DC"/>
    <w:rsid w:val="704D0B27"/>
    <w:rsid w:val="704D2B46"/>
    <w:rsid w:val="704DEB87"/>
    <w:rsid w:val="704E2C94"/>
    <w:rsid w:val="704E31A3"/>
    <w:rsid w:val="704E32B5"/>
    <w:rsid w:val="704E4DC3"/>
    <w:rsid w:val="704F1892"/>
    <w:rsid w:val="704F6CBB"/>
    <w:rsid w:val="70500D89"/>
    <w:rsid w:val="705097F3"/>
    <w:rsid w:val="70510E77"/>
    <w:rsid w:val="705208FF"/>
    <w:rsid w:val="7053B63C"/>
    <w:rsid w:val="7055EBF9"/>
    <w:rsid w:val="70563B64"/>
    <w:rsid w:val="70583731"/>
    <w:rsid w:val="7058707C"/>
    <w:rsid w:val="70591C8A"/>
    <w:rsid w:val="7059DA24"/>
    <w:rsid w:val="7059DE0A"/>
    <w:rsid w:val="705AC05C"/>
    <w:rsid w:val="705B4B43"/>
    <w:rsid w:val="705BEED4"/>
    <w:rsid w:val="705C221A"/>
    <w:rsid w:val="705D2EF0"/>
    <w:rsid w:val="705D9072"/>
    <w:rsid w:val="705DA95A"/>
    <w:rsid w:val="705DD7E5"/>
    <w:rsid w:val="705E893C"/>
    <w:rsid w:val="705EB127"/>
    <w:rsid w:val="705ECA6D"/>
    <w:rsid w:val="705F3EB6"/>
    <w:rsid w:val="7061222E"/>
    <w:rsid w:val="7062DB1C"/>
    <w:rsid w:val="7062EB01"/>
    <w:rsid w:val="7063BC60"/>
    <w:rsid w:val="7063E22A"/>
    <w:rsid w:val="70644743"/>
    <w:rsid w:val="70649B2C"/>
    <w:rsid w:val="7065FE69"/>
    <w:rsid w:val="70666F80"/>
    <w:rsid w:val="70669CA5"/>
    <w:rsid w:val="7066A681"/>
    <w:rsid w:val="7068DB6F"/>
    <w:rsid w:val="706A7A47"/>
    <w:rsid w:val="706A9058"/>
    <w:rsid w:val="706ADA68"/>
    <w:rsid w:val="706C0BD0"/>
    <w:rsid w:val="706C4A97"/>
    <w:rsid w:val="706CC1F9"/>
    <w:rsid w:val="706CF89C"/>
    <w:rsid w:val="706DEF2D"/>
    <w:rsid w:val="706F3C53"/>
    <w:rsid w:val="70707242"/>
    <w:rsid w:val="7071A719"/>
    <w:rsid w:val="7071AE32"/>
    <w:rsid w:val="70737D1E"/>
    <w:rsid w:val="7073B7CD"/>
    <w:rsid w:val="7073D33B"/>
    <w:rsid w:val="7073FB00"/>
    <w:rsid w:val="7074218D"/>
    <w:rsid w:val="7074C577"/>
    <w:rsid w:val="7075BC3D"/>
    <w:rsid w:val="7075DA1D"/>
    <w:rsid w:val="707697F6"/>
    <w:rsid w:val="7076E067"/>
    <w:rsid w:val="70775058"/>
    <w:rsid w:val="70785463"/>
    <w:rsid w:val="7079C4EC"/>
    <w:rsid w:val="7079F64B"/>
    <w:rsid w:val="707A1CC8"/>
    <w:rsid w:val="707A4B4D"/>
    <w:rsid w:val="707A6A28"/>
    <w:rsid w:val="707D31A4"/>
    <w:rsid w:val="707F4E21"/>
    <w:rsid w:val="70805B3A"/>
    <w:rsid w:val="7080F4C9"/>
    <w:rsid w:val="7082F605"/>
    <w:rsid w:val="7083A6A1"/>
    <w:rsid w:val="7083D446"/>
    <w:rsid w:val="7083D8F2"/>
    <w:rsid w:val="70842E60"/>
    <w:rsid w:val="70843682"/>
    <w:rsid w:val="7084ADD3"/>
    <w:rsid w:val="7084E71A"/>
    <w:rsid w:val="7084FA12"/>
    <w:rsid w:val="70854655"/>
    <w:rsid w:val="70855F5B"/>
    <w:rsid w:val="70864BAA"/>
    <w:rsid w:val="7086B732"/>
    <w:rsid w:val="7086D4EF"/>
    <w:rsid w:val="708737D5"/>
    <w:rsid w:val="708B7463"/>
    <w:rsid w:val="708B8A4F"/>
    <w:rsid w:val="708C0F13"/>
    <w:rsid w:val="708CBD03"/>
    <w:rsid w:val="708D1063"/>
    <w:rsid w:val="708DAE5A"/>
    <w:rsid w:val="708DB058"/>
    <w:rsid w:val="708DB83D"/>
    <w:rsid w:val="708DDD0B"/>
    <w:rsid w:val="708E2BA8"/>
    <w:rsid w:val="708F09B4"/>
    <w:rsid w:val="708F47BA"/>
    <w:rsid w:val="7091E023"/>
    <w:rsid w:val="7091EF4D"/>
    <w:rsid w:val="70928411"/>
    <w:rsid w:val="70929DF8"/>
    <w:rsid w:val="7092F2B1"/>
    <w:rsid w:val="7093690F"/>
    <w:rsid w:val="70953708"/>
    <w:rsid w:val="70955074"/>
    <w:rsid w:val="7095614F"/>
    <w:rsid w:val="7095B193"/>
    <w:rsid w:val="70960187"/>
    <w:rsid w:val="70960C21"/>
    <w:rsid w:val="7096BA3E"/>
    <w:rsid w:val="7097DE7E"/>
    <w:rsid w:val="70987781"/>
    <w:rsid w:val="7098D9A4"/>
    <w:rsid w:val="70991441"/>
    <w:rsid w:val="709984A6"/>
    <w:rsid w:val="7099B524"/>
    <w:rsid w:val="709A0A3B"/>
    <w:rsid w:val="709BB0BF"/>
    <w:rsid w:val="709D2587"/>
    <w:rsid w:val="709F73C3"/>
    <w:rsid w:val="709FA828"/>
    <w:rsid w:val="709FFC0C"/>
    <w:rsid w:val="70A023AF"/>
    <w:rsid w:val="70A0A023"/>
    <w:rsid w:val="70A16147"/>
    <w:rsid w:val="70A173FF"/>
    <w:rsid w:val="70A1D130"/>
    <w:rsid w:val="70A215DB"/>
    <w:rsid w:val="70A24077"/>
    <w:rsid w:val="70A28432"/>
    <w:rsid w:val="70A2B97B"/>
    <w:rsid w:val="70A3022B"/>
    <w:rsid w:val="70A37B56"/>
    <w:rsid w:val="70A49B5D"/>
    <w:rsid w:val="70A4A524"/>
    <w:rsid w:val="70A4D2BE"/>
    <w:rsid w:val="70A5EDB1"/>
    <w:rsid w:val="70A63FB9"/>
    <w:rsid w:val="70A7AD78"/>
    <w:rsid w:val="70A80C7E"/>
    <w:rsid w:val="70A96280"/>
    <w:rsid w:val="70A96FD9"/>
    <w:rsid w:val="70AA8A8A"/>
    <w:rsid w:val="70AAA274"/>
    <w:rsid w:val="70AAA72D"/>
    <w:rsid w:val="70AC9C1D"/>
    <w:rsid w:val="70AD8EF1"/>
    <w:rsid w:val="70AE0C1E"/>
    <w:rsid w:val="70AED6E1"/>
    <w:rsid w:val="70AEF039"/>
    <w:rsid w:val="70AF65E2"/>
    <w:rsid w:val="70AFF90D"/>
    <w:rsid w:val="70B0AA04"/>
    <w:rsid w:val="70B241E4"/>
    <w:rsid w:val="70B3030A"/>
    <w:rsid w:val="70B31E8C"/>
    <w:rsid w:val="70B4077B"/>
    <w:rsid w:val="70B464BC"/>
    <w:rsid w:val="70B495E4"/>
    <w:rsid w:val="70B4DB2E"/>
    <w:rsid w:val="70B50DD0"/>
    <w:rsid w:val="70B5E452"/>
    <w:rsid w:val="70B691C7"/>
    <w:rsid w:val="70B72D2C"/>
    <w:rsid w:val="70B77280"/>
    <w:rsid w:val="70B7E018"/>
    <w:rsid w:val="70BA4072"/>
    <w:rsid w:val="70BB2627"/>
    <w:rsid w:val="70BB5CDA"/>
    <w:rsid w:val="70BB7A32"/>
    <w:rsid w:val="70BBE313"/>
    <w:rsid w:val="70BC5C68"/>
    <w:rsid w:val="70BC742E"/>
    <w:rsid w:val="70BCBE6C"/>
    <w:rsid w:val="70BD5035"/>
    <w:rsid w:val="70BE0A05"/>
    <w:rsid w:val="70BE11F4"/>
    <w:rsid w:val="70BE12F2"/>
    <w:rsid w:val="70BE1BE6"/>
    <w:rsid w:val="70BF9A00"/>
    <w:rsid w:val="70C021F7"/>
    <w:rsid w:val="70C07C49"/>
    <w:rsid w:val="70C198F2"/>
    <w:rsid w:val="70C1D392"/>
    <w:rsid w:val="70C22DE4"/>
    <w:rsid w:val="70C2E492"/>
    <w:rsid w:val="70C3C2F1"/>
    <w:rsid w:val="70C47E5D"/>
    <w:rsid w:val="70C502AB"/>
    <w:rsid w:val="70C55681"/>
    <w:rsid w:val="70C66232"/>
    <w:rsid w:val="70C7A7DC"/>
    <w:rsid w:val="70C7F88C"/>
    <w:rsid w:val="70C88338"/>
    <w:rsid w:val="70C9B19F"/>
    <w:rsid w:val="70CB05C7"/>
    <w:rsid w:val="70CB761D"/>
    <w:rsid w:val="70CB9C2F"/>
    <w:rsid w:val="70CBFAFA"/>
    <w:rsid w:val="70CC38D8"/>
    <w:rsid w:val="70CCA801"/>
    <w:rsid w:val="70CD136E"/>
    <w:rsid w:val="70CDA7CA"/>
    <w:rsid w:val="70CDF7BC"/>
    <w:rsid w:val="70CE703C"/>
    <w:rsid w:val="70CF294C"/>
    <w:rsid w:val="70CF4B43"/>
    <w:rsid w:val="70CF85B8"/>
    <w:rsid w:val="70CFEB76"/>
    <w:rsid w:val="70CFF0A4"/>
    <w:rsid w:val="70D01AFE"/>
    <w:rsid w:val="70D02A90"/>
    <w:rsid w:val="70D03F32"/>
    <w:rsid w:val="70D08353"/>
    <w:rsid w:val="70D0DD01"/>
    <w:rsid w:val="70D164AF"/>
    <w:rsid w:val="70D1BA12"/>
    <w:rsid w:val="70D1E318"/>
    <w:rsid w:val="70D3A626"/>
    <w:rsid w:val="70D3CB3E"/>
    <w:rsid w:val="70D3FBC8"/>
    <w:rsid w:val="70D4BDC0"/>
    <w:rsid w:val="70D58151"/>
    <w:rsid w:val="70D5C10A"/>
    <w:rsid w:val="70D5C8BB"/>
    <w:rsid w:val="70D610AB"/>
    <w:rsid w:val="70D65492"/>
    <w:rsid w:val="70D880A6"/>
    <w:rsid w:val="70D88783"/>
    <w:rsid w:val="70D9913B"/>
    <w:rsid w:val="70DBC724"/>
    <w:rsid w:val="70DCA6BA"/>
    <w:rsid w:val="70DD111C"/>
    <w:rsid w:val="70DD2259"/>
    <w:rsid w:val="70DD7260"/>
    <w:rsid w:val="70DD9004"/>
    <w:rsid w:val="70DDC228"/>
    <w:rsid w:val="70DE0942"/>
    <w:rsid w:val="70DEE99A"/>
    <w:rsid w:val="70DF2A11"/>
    <w:rsid w:val="70DFA286"/>
    <w:rsid w:val="70DFBBCD"/>
    <w:rsid w:val="70DFD0A6"/>
    <w:rsid w:val="70E058DA"/>
    <w:rsid w:val="70E1B5A9"/>
    <w:rsid w:val="70E1CB54"/>
    <w:rsid w:val="70E25777"/>
    <w:rsid w:val="70E311E9"/>
    <w:rsid w:val="70E40D9D"/>
    <w:rsid w:val="70E44EA3"/>
    <w:rsid w:val="70E46466"/>
    <w:rsid w:val="70E4F49A"/>
    <w:rsid w:val="70E62311"/>
    <w:rsid w:val="70E6D4F2"/>
    <w:rsid w:val="70E6D6C3"/>
    <w:rsid w:val="70E73D67"/>
    <w:rsid w:val="70E77B69"/>
    <w:rsid w:val="70E82DF9"/>
    <w:rsid w:val="70E992B3"/>
    <w:rsid w:val="70E9E7A3"/>
    <w:rsid w:val="70EB05CB"/>
    <w:rsid w:val="70EC13C3"/>
    <w:rsid w:val="70EC1C6F"/>
    <w:rsid w:val="70EC31FB"/>
    <w:rsid w:val="70EC7693"/>
    <w:rsid w:val="70EDD6D9"/>
    <w:rsid w:val="70EEBD54"/>
    <w:rsid w:val="70EF25FE"/>
    <w:rsid w:val="70EF4A69"/>
    <w:rsid w:val="70F02386"/>
    <w:rsid w:val="70F1F70B"/>
    <w:rsid w:val="70F21459"/>
    <w:rsid w:val="70F2B4D5"/>
    <w:rsid w:val="70F32C3C"/>
    <w:rsid w:val="70F40A25"/>
    <w:rsid w:val="70F4156D"/>
    <w:rsid w:val="70F5969E"/>
    <w:rsid w:val="70F79F22"/>
    <w:rsid w:val="70F7CD7F"/>
    <w:rsid w:val="70F7EE3B"/>
    <w:rsid w:val="70F7F660"/>
    <w:rsid w:val="70F85500"/>
    <w:rsid w:val="70F8C1BC"/>
    <w:rsid w:val="70F95590"/>
    <w:rsid w:val="70F9C226"/>
    <w:rsid w:val="70FB02ED"/>
    <w:rsid w:val="70FB2CD8"/>
    <w:rsid w:val="70FBCCF5"/>
    <w:rsid w:val="70FC0753"/>
    <w:rsid w:val="70FD2DE5"/>
    <w:rsid w:val="70FD99A6"/>
    <w:rsid w:val="70FDC162"/>
    <w:rsid w:val="70FE3C81"/>
    <w:rsid w:val="70FE9A49"/>
    <w:rsid w:val="70FEEBCC"/>
    <w:rsid w:val="70FFA59D"/>
    <w:rsid w:val="710020FB"/>
    <w:rsid w:val="7100B81E"/>
    <w:rsid w:val="7100D1E1"/>
    <w:rsid w:val="7100FA5F"/>
    <w:rsid w:val="71019943"/>
    <w:rsid w:val="7101A55C"/>
    <w:rsid w:val="710212EE"/>
    <w:rsid w:val="710289A6"/>
    <w:rsid w:val="7102F0C6"/>
    <w:rsid w:val="710369B7"/>
    <w:rsid w:val="710373DE"/>
    <w:rsid w:val="71039E06"/>
    <w:rsid w:val="71057E13"/>
    <w:rsid w:val="71059612"/>
    <w:rsid w:val="71059ED2"/>
    <w:rsid w:val="71061D35"/>
    <w:rsid w:val="710646BE"/>
    <w:rsid w:val="71068C89"/>
    <w:rsid w:val="7106A3EA"/>
    <w:rsid w:val="7106FFF3"/>
    <w:rsid w:val="7107DAAC"/>
    <w:rsid w:val="710809B4"/>
    <w:rsid w:val="71090C52"/>
    <w:rsid w:val="710956CA"/>
    <w:rsid w:val="71096480"/>
    <w:rsid w:val="710A8E71"/>
    <w:rsid w:val="710B5C52"/>
    <w:rsid w:val="710C786C"/>
    <w:rsid w:val="710D5BB1"/>
    <w:rsid w:val="710ED323"/>
    <w:rsid w:val="710EFB2A"/>
    <w:rsid w:val="710F62FE"/>
    <w:rsid w:val="710FB29C"/>
    <w:rsid w:val="710FD4EE"/>
    <w:rsid w:val="71104A4A"/>
    <w:rsid w:val="7111163E"/>
    <w:rsid w:val="7111DD3B"/>
    <w:rsid w:val="71126E60"/>
    <w:rsid w:val="7114282E"/>
    <w:rsid w:val="7114A728"/>
    <w:rsid w:val="71152BED"/>
    <w:rsid w:val="711562A2"/>
    <w:rsid w:val="7115A418"/>
    <w:rsid w:val="711763D9"/>
    <w:rsid w:val="7117933D"/>
    <w:rsid w:val="7118719A"/>
    <w:rsid w:val="711A61DA"/>
    <w:rsid w:val="711AAD36"/>
    <w:rsid w:val="711B3210"/>
    <w:rsid w:val="711BB863"/>
    <w:rsid w:val="711BEBCF"/>
    <w:rsid w:val="711BED61"/>
    <w:rsid w:val="711C646C"/>
    <w:rsid w:val="711C8418"/>
    <w:rsid w:val="711D180E"/>
    <w:rsid w:val="711D32D1"/>
    <w:rsid w:val="711F4EF6"/>
    <w:rsid w:val="7120607F"/>
    <w:rsid w:val="71207383"/>
    <w:rsid w:val="71207765"/>
    <w:rsid w:val="7120791D"/>
    <w:rsid w:val="71213FB5"/>
    <w:rsid w:val="71215B2D"/>
    <w:rsid w:val="7121D49C"/>
    <w:rsid w:val="7122290B"/>
    <w:rsid w:val="71224373"/>
    <w:rsid w:val="7122B594"/>
    <w:rsid w:val="71232FA9"/>
    <w:rsid w:val="71233148"/>
    <w:rsid w:val="71239D4B"/>
    <w:rsid w:val="71244094"/>
    <w:rsid w:val="7125C2AC"/>
    <w:rsid w:val="7125DA53"/>
    <w:rsid w:val="71262849"/>
    <w:rsid w:val="712628E0"/>
    <w:rsid w:val="712741A7"/>
    <w:rsid w:val="71294592"/>
    <w:rsid w:val="712A015E"/>
    <w:rsid w:val="712A1A2B"/>
    <w:rsid w:val="712B5FDA"/>
    <w:rsid w:val="712D341A"/>
    <w:rsid w:val="712EF20F"/>
    <w:rsid w:val="712F7777"/>
    <w:rsid w:val="712FFBC1"/>
    <w:rsid w:val="71305808"/>
    <w:rsid w:val="713137BA"/>
    <w:rsid w:val="7131D366"/>
    <w:rsid w:val="7131FC13"/>
    <w:rsid w:val="71324881"/>
    <w:rsid w:val="71333069"/>
    <w:rsid w:val="71337657"/>
    <w:rsid w:val="713427A2"/>
    <w:rsid w:val="713566C0"/>
    <w:rsid w:val="7135ECD4"/>
    <w:rsid w:val="71362719"/>
    <w:rsid w:val="71362FE1"/>
    <w:rsid w:val="71364F70"/>
    <w:rsid w:val="7136523E"/>
    <w:rsid w:val="713785A6"/>
    <w:rsid w:val="7137EA58"/>
    <w:rsid w:val="7137F4FF"/>
    <w:rsid w:val="713807AB"/>
    <w:rsid w:val="71382451"/>
    <w:rsid w:val="71387D0A"/>
    <w:rsid w:val="7138CEC6"/>
    <w:rsid w:val="713A684A"/>
    <w:rsid w:val="713A85AB"/>
    <w:rsid w:val="713B2ACF"/>
    <w:rsid w:val="713B3B5E"/>
    <w:rsid w:val="713B606B"/>
    <w:rsid w:val="713BE982"/>
    <w:rsid w:val="713BF7E3"/>
    <w:rsid w:val="713C11B5"/>
    <w:rsid w:val="713CD87A"/>
    <w:rsid w:val="713E6B35"/>
    <w:rsid w:val="713E8121"/>
    <w:rsid w:val="713EDF70"/>
    <w:rsid w:val="713F2D6C"/>
    <w:rsid w:val="713F9D0D"/>
    <w:rsid w:val="713FDDDF"/>
    <w:rsid w:val="71407948"/>
    <w:rsid w:val="71416C72"/>
    <w:rsid w:val="71417EB3"/>
    <w:rsid w:val="714200E3"/>
    <w:rsid w:val="7142119F"/>
    <w:rsid w:val="71427260"/>
    <w:rsid w:val="714340D7"/>
    <w:rsid w:val="714384DA"/>
    <w:rsid w:val="7143E3C7"/>
    <w:rsid w:val="714472A1"/>
    <w:rsid w:val="7144D59E"/>
    <w:rsid w:val="714664BE"/>
    <w:rsid w:val="71477B41"/>
    <w:rsid w:val="7147B92D"/>
    <w:rsid w:val="714820BE"/>
    <w:rsid w:val="714888B8"/>
    <w:rsid w:val="7148A0AF"/>
    <w:rsid w:val="7148C209"/>
    <w:rsid w:val="7149D3A9"/>
    <w:rsid w:val="714A3F5C"/>
    <w:rsid w:val="714ADCD6"/>
    <w:rsid w:val="714AF28D"/>
    <w:rsid w:val="714C3CCF"/>
    <w:rsid w:val="714CB467"/>
    <w:rsid w:val="714CC21B"/>
    <w:rsid w:val="714DF763"/>
    <w:rsid w:val="714E6E3B"/>
    <w:rsid w:val="714E7344"/>
    <w:rsid w:val="714F8BA8"/>
    <w:rsid w:val="71501E6D"/>
    <w:rsid w:val="715186DE"/>
    <w:rsid w:val="71534815"/>
    <w:rsid w:val="7154FF7D"/>
    <w:rsid w:val="71553290"/>
    <w:rsid w:val="71554D3A"/>
    <w:rsid w:val="71574DAA"/>
    <w:rsid w:val="7158767C"/>
    <w:rsid w:val="7159093A"/>
    <w:rsid w:val="715A0DB2"/>
    <w:rsid w:val="715AAE28"/>
    <w:rsid w:val="715B8420"/>
    <w:rsid w:val="715F443C"/>
    <w:rsid w:val="715FBF0A"/>
    <w:rsid w:val="715FD446"/>
    <w:rsid w:val="71602EE1"/>
    <w:rsid w:val="71604567"/>
    <w:rsid w:val="71615BA8"/>
    <w:rsid w:val="7161830C"/>
    <w:rsid w:val="7161962D"/>
    <w:rsid w:val="7161E774"/>
    <w:rsid w:val="71639036"/>
    <w:rsid w:val="7163E738"/>
    <w:rsid w:val="7167E434"/>
    <w:rsid w:val="71684613"/>
    <w:rsid w:val="7168AEAE"/>
    <w:rsid w:val="7168C200"/>
    <w:rsid w:val="71697215"/>
    <w:rsid w:val="71697973"/>
    <w:rsid w:val="7169A686"/>
    <w:rsid w:val="716A1BC6"/>
    <w:rsid w:val="716AA799"/>
    <w:rsid w:val="716B976C"/>
    <w:rsid w:val="716BA7B1"/>
    <w:rsid w:val="716BC507"/>
    <w:rsid w:val="716C8304"/>
    <w:rsid w:val="716CF197"/>
    <w:rsid w:val="716DFF2D"/>
    <w:rsid w:val="716F1E6A"/>
    <w:rsid w:val="716F4E8D"/>
    <w:rsid w:val="716FBE66"/>
    <w:rsid w:val="71710434"/>
    <w:rsid w:val="71712A5D"/>
    <w:rsid w:val="7171DA46"/>
    <w:rsid w:val="71729B13"/>
    <w:rsid w:val="7172C293"/>
    <w:rsid w:val="7173AC55"/>
    <w:rsid w:val="7173F152"/>
    <w:rsid w:val="717408C4"/>
    <w:rsid w:val="717542AB"/>
    <w:rsid w:val="7175CE80"/>
    <w:rsid w:val="7175F54C"/>
    <w:rsid w:val="717852B9"/>
    <w:rsid w:val="7179278D"/>
    <w:rsid w:val="717978C8"/>
    <w:rsid w:val="7179E4A1"/>
    <w:rsid w:val="717A663B"/>
    <w:rsid w:val="717ACCF6"/>
    <w:rsid w:val="717D096B"/>
    <w:rsid w:val="717F23B0"/>
    <w:rsid w:val="717F5BCA"/>
    <w:rsid w:val="71805652"/>
    <w:rsid w:val="7181051A"/>
    <w:rsid w:val="718109B2"/>
    <w:rsid w:val="7181ECF8"/>
    <w:rsid w:val="7181F538"/>
    <w:rsid w:val="7182131B"/>
    <w:rsid w:val="71823568"/>
    <w:rsid w:val="718257FE"/>
    <w:rsid w:val="7182E0FE"/>
    <w:rsid w:val="7182E58C"/>
    <w:rsid w:val="7184AC8A"/>
    <w:rsid w:val="71853973"/>
    <w:rsid w:val="7185AC53"/>
    <w:rsid w:val="7186BBC4"/>
    <w:rsid w:val="71871E43"/>
    <w:rsid w:val="7187279E"/>
    <w:rsid w:val="71876CD2"/>
    <w:rsid w:val="718780CF"/>
    <w:rsid w:val="7187DA9B"/>
    <w:rsid w:val="71882FBE"/>
    <w:rsid w:val="7188A7C2"/>
    <w:rsid w:val="7189114B"/>
    <w:rsid w:val="718946B9"/>
    <w:rsid w:val="71896229"/>
    <w:rsid w:val="7189F24D"/>
    <w:rsid w:val="718A33B7"/>
    <w:rsid w:val="718A5640"/>
    <w:rsid w:val="718A56A4"/>
    <w:rsid w:val="718AF576"/>
    <w:rsid w:val="718C07E4"/>
    <w:rsid w:val="718C4295"/>
    <w:rsid w:val="718C9835"/>
    <w:rsid w:val="718CA0DC"/>
    <w:rsid w:val="718CB484"/>
    <w:rsid w:val="718D85D1"/>
    <w:rsid w:val="718E178F"/>
    <w:rsid w:val="718E34CA"/>
    <w:rsid w:val="718F8E09"/>
    <w:rsid w:val="718FE319"/>
    <w:rsid w:val="71906CFC"/>
    <w:rsid w:val="71909330"/>
    <w:rsid w:val="7190F4D4"/>
    <w:rsid w:val="7191C95E"/>
    <w:rsid w:val="719259EC"/>
    <w:rsid w:val="7192BB6E"/>
    <w:rsid w:val="7192EDCF"/>
    <w:rsid w:val="71934AD4"/>
    <w:rsid w:val="7193A6BD"/>
    <w:rsid w:val="71940B62"/>
    <w:rsid w:val="7194C25F"/>
    <w:rsid w:val="7194D005"/>
    <w:rsid w:val="71956F21"/>
    <w:rsid w:val="7195921B"/>
    <w:rsid w:val="7195EBE6"/>
    <w:rsid w:val="71961241"/>
    <w:rsid w:val="7196B714"/>
    <w:rsid w:val="7196E0DE"/>
    <w:rsid w:val="7197485F"/>
    <w:rsid w:val="7197921E"/>
    <w:rsid w:val="71987066"/>
    <w:rsid w:val="71989532"/>
    <w:rsid w:val="719A2386"/>
    <w:rsid w:val="719A8A4E"/>
    <w:rsid w:val="719B2F6B"/>
    <w:rsid w:val="719B55AB"/>
    <w:rsid w:val="719BF656"/>
    <w:rsid w:val="719E7D32"/>
    <w:rsid w:val="719E9686"/>
    <w:rsid w:val="719F0F03"/>
    <w:rsid w:val="719F2BCA"/>
    <w:rsid w:val="719F674E"/>
    <w:rsid w:val="719F6FFD"/>
    <w:rsid w:val="719F7FCC"/>
    <w:rsid w:val="719FD98E"/>
    <w:rsid w:val="71A0909F"/>
    <w:rsid w:val="71A0D7A1"/>
    <w:rsid w:val="71A1529D"/>
    <w:rsid w:val="71A23851"/>
    <w:rsid w:val="71A25936"/>
    <w:rsid w:val="71A2EA5B"/>
    <w:rsid w:val="71A395BD"/>
    <w:rsid w:val="71A428D4"/>
    <w:rsid w:val="71A49CE8"/>
    <w:rsid w:val="71A4A095"/>
    <w:rsid w:val="71A539D1"/>
    <w:rsid w:val="71A61560"/>
    <w:rsid w:val="71A65033"/>
    <w:rsid w:val="71A80207"/>
    <w:rsid w:val="71A84BA2"/>
    <w:rsid w:val="71A9A275"/>
    <w:rsid w:val="71AA146E"/>
    <w:rsid w:val="71AB1FFE"/>
    <w:rsid w:val="71ABBD28"/>
    <w:rsid w:val="71AC4D9C"/>
    <w:rsid w:val="71AD23CF"/>
    <w:rsid w:val="71B01C70"/>
    <w:rsid w:val="71B087D3"/>
    <w:rsid w:val="71B0FB8A"/>
    <w:rsid w:val="71B16FA5"/>
    <w:rsid w:val="71B1EF9B"/>
    <w:rsid w:val="71B206D3"/>
    <w:rsid w:val="71B20ED1"/>
    <w:rsid w:val="71B25945"/>
    <w:rsid w:val="71B3771E"/>
    <w:rsid w:val="71B3D6F3"/>
    <w:rsid w:val="71B3E615"/>
    <w:rsid w:val="71B41E90"/>
    <w:rsid w:val="71B429B0"/>
    <w:rsid w:val="71B61BEC"/>
    <w:rsid w:val="71B7B4F1"/>
    <w:rsid w:val="71B807C9"/>
    <w:rsid w:val="71B903A3"/>
    <w:rsid w:val="71B93B44"/>
    <w:rsid w:val="71B983B2"/>
    <w:rsid w:val="71B9E3C1"/>
    <w:rsid w:val="71B9FD60"/>
    <w:rsid w:val="71BA7053"/>
    <w:rsid w:val="71BA84C2"/>
    <w:rsid w:val="71BB1E69"/>
    <w:rsid w:val="71BB3828"/>
    <w:rsid w:val="71BB7C39"/>
    <w:rsid w:val="71BB816A"/>
    <w:rsid w:val="71BC310C"/>
    <w:rsid w:val="71BC9734"/>
    <w:rsid w:val="71BD8B37"/>
    <w:rsid w:val="71BD9CAA"/>
    <w:rsid w:val="71BDD27B"/>
    <w:rsid w:val="71BE65BA"/>
    <w:rsid w:val="71BEB69A"/>
    <w:rsid w:val="71BEDBBD"/>
    <w:rsid w:val="71BF5B4E"/>
    <w:rsid w:val="71BF920A"/>
    <w:rsid w:val="71C031C6"/>
    <w:rsid w:val="71C03AAE"/>
    <w:rsid w:val="71C044DC"/>
    <w:rsid w:val="71C0C625"/>
    <w:rsid w:val="71C0E6D5"/>
    <w:rsid w:val="71C1A122"/>
    <w:rsid w:val="71C27108"/>
    <w:rsid w:val="71C2AD9D"/>
    <w:rsid w:val="71C3068B"/>
    <w:rsid w:val="71C3B3C7"/>
    <w:rsid w:val="71C3D922"/>
    <w:rsid w:val="71C46528"/>
    <w:rsid w:val="71C4E0E2"/>
    <w:rsid w:val="71C596A3"/>
    <w:rsid w:val="71C61ACC"/>
    <w:rsid w:val="71C64A68"/>
    <w:rsid w:val="71C704D9"/>
    <w:rsid w:val="71C84F49"/>
    <w:rsid w:val="71C985A6"/>
    <w:rsid w:val="71C9ED39"/>
    <w:rsid w:val="71CA8C46"/>
    <w:rsid w:val="71CB2150"/>
    <w:rsid w:val="71CB806E"/>
    <w:rsid w:val="71CBA1B2"/>
    <w:rsid w:val="71CBDE59"/>
    <w:rsid w:val="71CD323B"/>
    <w:rsid w:val="71CDF6D5"/>
    <w:rsid w:val="71CF09A5"/>
    <w:rsid w:val="71CF1D4F"/>
    <w:rsid w:val="71D06778"/>
    <w:rsid w:val="71D11719"/>
    <w:rsid w:val="71D15300"/>
    <w:rsid w:val="71D21F08"/>
    <w:rsid w:val="71D2C7CD"/>
    <w:rsid w:val="71D32C9D"/>
    <w:rsid w:val="71D39E38"/>
    <w:rsid w:val="71D3BDDE"/>
    <w:rsid w:val="71D43CAC"/>
    <w:rsid w:val="71D5DBC3"/>
    <w:rsid w:val="71D75778"/>
    <w:rsid w:val="71D89194"/>
    <w:rsid w:val="71D8F1FC"/>
    <w:rsid w:val="71DAD119"/>
    <w:rsid w:val="71DC1B80"/>
    <w:rsid w:val="71DD6E3E"/>
    <w:rsid w:val="71DD7BFC"/>
    <w:rsid w:val="71DE2CDD"/>
    <w:rsid w:val="71DE3619"/>
    <w:rsid w:val="71DE7A97"/>
    <w:rsid w:val="71DEA0A8"/>
    <w:rsid w:val="71DEE8EF"/>
    <w:rsid w:val="71E026D2"/>
    <w:rsid w:val="71E0F40B"/>
    <w:rsid w:val="71E0F43E"/>
    <w:rsid w:val="71E10441"/>
    <w:rsid w:val="71E11AAC"/>
    <w:rsid w:val="71E17CF5"/>
    <w:rsid w:val="71E1EBB6"/>
    <w:rsid w:val="71E32086"/>
    <w:rsid w:val="71E3E9C3"/>
    <w:rsid w:val="71E4CD3D"/>
    <w:rsid w:val="71E61766"/>
    <w:rsid w:val="71E656F0"/>
    <w:rsid w:val="71E73C88"/>
    <w:rsid w:val="71E96DAE"/>
    <w:rsid w:val="71E9B85C"/>
    <w:rsid w:val="71E9C5DE"/>
    <w:rsid w:val="71EABCD3"/>
    <w:rsid w:val="71EB5891"/>
    <w:rsid w:val="71EC896A"/>
    <w:rsid w:val="71ECE0B2"/>
    <w:rsid w:val="71ECFCEC"/>
    <w:rsid w:val="71EF94AD"/>
    <w:rsid w:val="71F15A86"/>
    <w:rsid w:val="71F1ADA0"/>
    <w:rsid w:val="71F22FAF"/>
    <w:rsid w:val="71F2423F"/>
    <w:rsid w:val="71F37087"/>
    <w:rsid w:val="71F39A37"/>
    <w:rsid w:val="71F46716"/>
    <w:rsid w:val="71F4A898"/>
    <w:rsid w:val="71F4D094"/>
    <w:rsid w:val="71F529A3"/>
    <w:rsid w:val="71F5740D"/>
    <w:rsid w:val="71F72400"/>
    <w:rsid w:val="71F73A85"/>
    <w:rsid w:val="71F85E2B"/>
    <w:rsid w:val="71F86919"/>
    <w:rsid w:val="71F8AE8D"/>
    <w:rsid w:val="71F8F3EB"/>
    <w:rsid w:val="71F9E9AF"/>
    <w:rsid w:val="71FB3BEB"/>
    <w:rsid w:val="71FB9ED3"/>
    <w:rsid w:val="71FC0942"/>
    <w:rsid w:val="71FCC1BD"/>
    <w:rsid w:val="71FD2EE7"/>
    <w:rsid w:val="71FD3D96"/>
    <w:rsid w:val="71FD54EF"/>
    <w:rsid w:val="71FDB2B1"/>
    <w:rsid w:val="71FE63F8"/>
    <w:rsid w:val="71FECFC0"/>
    <w:rsid w:val="71FED4B6"/>
    <w:rsid w:val="71FF2F64"/>
    <w:rsid w:val="71FF4AD0"/>
    <w:rsid w:val="71FFF8B2"/>
    <w:rsid w:val="7201A610"/>
    <w:rsid w:val="7202D3F9"/>
    <w:rsid w:val="7202DA5C"/>
    <w:rsid w:val="72040675"/>
    <w:rsid w:val="720502D4"/>
    <w:rsid w:val="72050F5A"/>
    <w:rsid w:val="7206D95B"/>
    <w:rsid w:val="7206E992"/>
    <w:rsid w:val="7207C073"/>
    <w:rsid w:val="72087108"/>
    <w:rsid w:val="7208F95F"/>
    <w:rsid w:val="7209795E"/>
    <w:rsid w:val="7209A166"/>
    <w:rsid w:val="720A1181"/>
    <w:rsid w:val="720BAD29"/>
    <w:rsid w:val="720CDC8E"/>
    <w:rsid w:val="720CFA4C"/>
    <w:rsid w:val="720DC864"/>
    <w:rsid w:val="720DE686"/>
    <w:rsid w:val="720E4692"/>
    <w:rsid w:val="720EFAC4"/>
    <w:rsid w:val="720FADE0"/>
    <w:rsid w:val="72109E16"/>
    <w:rsid w:val="7211B588"/>
    <w:rsid w:val="7211BAD7"/>
    <w:rsid w:val="72124424"/>
    <w:rsid w:val="721293BB"/>
    <w:rsid w:val="72139C01"/>
    <w:rsid w:val="7213B031"/>
    <w:rsid w:val="7214EECF"/>
    <w:rsid w:val="72156ACF"/>
    <w:rsid w:val="7215F052"/>
    <w:rsid w:val="7216107B"/>
    <w:rsid w:val="72161A7A"/>
    <w:rsid w:val="72194B57"/>
    <w:rsid w:val="721A0246"/>
    <w:rsid w:val="721AD457"/>
    <w:rsid w:val="721BA6F6"/>
    <w:rsid w:val="721C0926"/>
    <w:rsid w:val="721C1D76"/>
    <w:rsid w:val="721C77C7"/>
    <w:rsid w:val="721DB1E1"/>
    <w:rsid w:val="721DD609"/>
    <w:rsid w:val="721E577F"/>
    <w:rsid w:val="721FD3FD"/>
    <w:rsid w:val="72202C93"/>
    <w:rsid w:val="72209344"/>
    <w:rsid w:val="7220EF40"/>
    <w:rsid w:val="7222B7DA"/>
    <w:rsid w:val="7222D402"/>
    <w:rsid w:val="722392B5"/>
    <w:rsid w:val="7223D982"/>
    <w:rsid w:val="7224638C"/>
    <w:rsid w:val="72250A12"/>
    <w:rsid w:val="722522FB"/>
    <w:rsid w:val="72253AE1"/>
    <w:rsid w:val="72254510"/>
    <w:rsid w:val="72257C4C"/>
    <w:rsid w:val="72258187"/>
    <w:rsid w:val="7225E91F"/>
    <w:rsid w:val="7226DB38"/>
    <w:rsid w:val="72273EF3"/>
    <w:rsid w:val="72277CF5"/>
    <w:rsid w:val="7228987B"/>
    <w:rsid w:val="72293737"/>
    <w:rsid w:val="72296FAF"/>
    <w:rsid w:val="72298975"/>
    <w:rsid w:val="72298E3E"/>
    <w:rsid w:val="7229AFD5"/>
    <w:rsid w:val="7229CF05"/>
    <w:rsid w:val="722AAC37"/>
    <w:rsid w:val="722B2FB8"/>
    <w:rsid w:val="722B8B5F"/>
    <w:rsid w:val="722C64AC"/>
    <w:rsid w:val="722DF43E"/>
    <w:rsid w:val="722E75B6"/>
    <w:rsid w:val="722E8222"/>
    <w:rsid w:val="722FC8AC"/>
    <w:rsid w:val="722FECE1"/>
    <w:rsid w:val="72300B03"/>
    <w:rsid w:val="723067CC"/>
    <w:rsid w:val="7230AB0B"/>
    <w:rsid w:val="72319B8A"/>
    <w:rsid w:val="7231F2DE"/>
    <w:rsid w:val="7234D139"/>
    <w:rsid w:val="7234E7B0"/>
    <w:rsid w:val="72359F27"/>
    <w:rsid w:val="7235ECE8"/>
    <w:rsid w:val="723632A4"/>
    <w:rsid w:val="72375A6C"/>
    <w:rsid w:val="72379E39"/>
    <w:rsid w:val="7238A9CE"/>
    <w:rsid w:val="7238E442"/>
    <w:rsid w:val="723953CF"/>
    <w:rsid w:val="72395583"/>
    <w:rsid w:val="72395C62"/>
    <w:rsid w:val="7239F82D"/>
    <w:rsid w:val="723B3A66"/>
    <w:rsid w:val="723B5FC6"/>
    <w:rsid w:val="723BD083"/>
    <w:rsid w:val="723C763C"/>
    <w:rsid w:val="723D291B"/>
    <w:rsid w:val="723D42D8"/>
    <w:rsid w:val="723E724E"/>
    <w:rsid w:val="723EF5A3"/>
    <w:rsid w:val="723FC7D9"/>
    <w:rsid w:val="724079D8"/>
    <w:rsid w:val="7240AD8F"/>
    <w:rsid w:val="72422495"/>
    <w:rsid w:val="7242EEB6"/>
    <w:rsid w:val="72433D3E"/>
    <w:rsid w:val="72434261"/>
    <w:rsid w:val="7243532A"/>
    <w:rsid w:val="7245127F"/>
    <w:rsid w:val="72451C6D"/>
    <w:rsid w:val="72452EF5"/>
    <w:rsid w:val="7245C03F"/>
    <w:rsid w:val="7246B26A"/>
    <w:rsid w:val="7247342C"/>
    <w:rsid w:val="72475918"/>
    <w:rsid w:val="72477C99"/>
    <w:rsid w:val="724780CE"/>
    <w:rsid w:val="72484990"/>
    <w:rsid w:val="7248B3C3"/>
    <w:rsid w:val="7249528C"/>
    <w:rsid w:val="724966F5"/>
    <w:rsid w:val="7249D62F"/>
    <w:rsid w:val="724ACE24"/>
    <w:rsid w:val="724CF422"/>
    <w:rsid w:val="724E2005"/>
    <w:rsid w:val="724EEE15"/>
    <w:rsid w:val="724F4C26"/>
    <w:rsid w:val="72506BE0"/>
    <w:rsid w:val="7250833E"/>
    <w:rsid w:val="7250A606"/>
    <w:rsid w:val="7250D668"/>
    <w:rsid w:val="72515A32"/>
    <w:rsid w:val="72521685"/>
    <w:rsid w:val="7252C0A1"/>
    <w:rsid w:val="72537539"/>
    <w:rsid w:val="72548AF4"/>
    <w:rsid w:val="7254DC4F"/>
    <w:rsid w:val="7255B38A"/>
    <w:rsid w:val="7256711B"/>
    <w:rsid w:val="72572E11"/>
    <w:rsid w:val="7257EAEC"/>
    <w:rsid w:val="7258184A"/>
    <w:rsid w:val="72587918"/>
    <w:rsid w:val="7258ECD0"/>
    <w:rsid w:val="72595E15"/>
    <w:rsid w:val="72599253"/>
    <w:rsid w:val="725A509F"/>
    <w:rsid w:val="725C6DC9"/>
    <w:rsid w:val="725DC371"/>
    <w:rsid w:val="725E6FBD"/>
    <w:rsid w:val="7260E482"/>
    <w:rsid w:val="7263C131"/>
    <w:rsid w:val="7264240D"/>
    <w:rsid w:val="72647EBB"/>
    <w:rsid w:val="72662C53"/>
    <w:rsid w:val="72664425"/>
    <w:rsid w:val="7266C02D"/>
    <w:rsid w:val="72670668"/>
    <w:rsid w:val="7267552C"/>
    <w:rsid w:val="7268FBDD"/>
    <w:rsid w:val="7269774D"/>
    <w:rsid w:val="7269A8E7"/>
    <w:rsid w:val="726A3650"/>
    <w:rsid w:val="726AA228"/>
    <w:rsid w:val="726B11F7"/>
    <w:rsid w:val="726B38DD"/>
    <w:rsid w:val="726C14B3"/>
    <w:rsid w:val="726CB10F"/>
    <w:rsid w:val="726CEB49"/>
    <w:rsid w:val="726EC0DE"/>
    <w:rsid w:val="726ECD72"/>
    <w:rsid w:val="726ED57D"/>
    <w:rsid w:val="726EF1EF"/>
    <w:rsid w:val="726F3C0A"/>
    <w:rsid w:val="727061A6"/>
    <w:rsid w:val="727127D8"/>
    <w:rsid w:val="72716105"/>
    <w:rsid w:val="72719FA3"/>
    <w:rsid w:val="7271BCE9"/>
    <w:rsid w:val="727237A8"/>
    <w:rsid w:val="72725146"/>
    <w:rsid w:val="72725F00"/>
    <w:rsid w:val="72726DB9"/>
    <w:rsid w:val="72729BAB"/>
    <w:rsid w:val="727316BD"/>
    <w:rsid w:val="7273D3AE"/>
    <w:rsid w:val="7274B821"/>
    <w:rsid w:val="727612D5"/>
    <w:rsid w:val="72767BF0"/>
    <w:rsid w:val="7276D724"/>
    <w:rsid w:val="72772E84"/>
    <w:rsid w:val="72773E63"/>
    <w:rsid w:val="727758D5"/>
    <w:rsid w:val="72795A26"/>
    <w:rsid w:val="72798EAF"/>
    <w:rsid w:val="7279F395"/>
    <w:rsid w:val="727AFE71"/>
    <w:rsid w:val="727BC84F"/>
    <w:rsid w:val="727BF3DE"/>
    <w:rsid w:val="727C5C52"/>
    <w:rsid w:val="727C7225"/>
    <w:rsid w:val="727CCA35"/>
    <w:rsid w:val="727DE36B"/>
    <w:rsid w:val="727DEE03"/>
    <w:rsid w:val="727E806F"/>
    <w:rsid w:val="728015FB"/>
    <w:rsid w:val="7280C15A"/>
    <w:rsid w:val="728354DC"/>
    <w:rsid w:val="7283C4B1"/>
    <w:rsid w:val="7283C808"/>
    <w:rsid w:val="7283F113"/>
    <w:rsid w:val="72846F7E"/>
    <w:rsid w:val="72849206"/>
    <w:rsid w:val="7284932C"/>
    <w:rsid w:val="7286EDFB"/>
    <w:rsid w:val="7287156A"/>
    <w:rsid w:val="728729B4"/>
    <w:rsid w:val="72881126"/>
    <w:rsid w:val="7288BFF5"/>
    <w:rsid w:val="72895AFA"/>
    <w:rsid w:val="7289A96F"/>
    <w:rsid w:val="7289D82D"/>
    <w:rsid w:val="7289F373"/>
    <w:rsid w:val="728A562A"/>
    <w:rsid w:val="728AE6A4"/>
    <w:rsid w:val="728B2203"/>
    <w:rsid w:val="728C27A2"/>
    <w:rsid w:val="728C2F7F"/>
    <w:rsid w:val="728E0DA3"/>
    <w:rsid w:val="728E40F5"/>
    <w:rsid w:val="728E42D7"/>
    <w:rsid w:val="728EBC2A"/>
    <w:rsid w:val="728EDA0E"/>
    <w:rsid w:val="7290B112"/>
    <w:rsid w:val="7290FE19"/>
    <w:rsid w:val="7292639E"/>
    <w:rsid w:val="72926778"/>
    <w:rsid w:val="72943C3A"/>
    <w:rsid w:val="72945027"/>
    <w:rsid w:val="729458B4"/>
    <w:rsid w:val="7294AB41"/>
    <w:rsid w:val="729511BB"/>
    <w:rsid w:val="72955097"/>
    <w:rsid w:val="7296B689"/>
    <w:rsid w:val="72971B9C"/>
    <w:rsid w:val="7297BF22"/>
    <w:rsid w:val="7297C02A"/>
    <w:rsid w:val="7299133E"/>
    <w:rsid w:val="7299BA86"/>
    <w:rsid w:val="7299FC3B"/>
    <w:rsid w:val="729B63CF"/>
    <w:rsid w:val="729B6CE8"/>
    <w:rsid w:val="729BA820"/>
    <w:rsid w:val="729BF368"/>
    <w:rsid w:val="729C76C6"/>
    <w:rsid w:val="729DB660"/>
    <w:rsid w:val="729DC9BC"/>
    <w:rsid w:val="729E5F39"/>
    <w:rsid w:val="729F58C6"/>
    <w:rsid w:val="729FA22F"/>
    <w:rsid w:val="729FBEA8"/>
    <w:rsid w:val="72A10073"/>
    <w:rsid w:val="72A33C36"/>
    <w:rsid w:val="72A359AD"/>
    <w:rsid w:val="72A53562"/>
    <w:rsid w:val="72A56E34"/>
    <w:rsid w:val="72A59F08"/>
    <w:rsid w:val="72A6ABC4"/>
    <w:rsid w:val="72A76A8B"/>
    <w:rsid w:val="72A76F47"/>
    <w:rsid w:val="72A7BDEC"/>
    <w:rsid w:val="72A7FF89"/>
    <w:rsid w:val="72A890E8"/>
    <w:rsid w:val="72A8A379"/>
    <w:rsid w:val="72A9BF65"/>
    <w:rsid w:val="72AAA9BE"/>
    <w:rsid w:val="72AB1A29"/>
    <w:rsid w:val="72ADDB90"/>
    <w:rsid w:val="72AE54E3"/>
    <w:rsid w:val="72AEA32C"/>
    <w:rsid w:val="72AF16B0"/>
    <w:rsid w:val="72AF9754"/>
    <w:rsid w:val="72AFE86F"/>
    <w:rsid w:val="72B00BEC"/>
    <w:rsid w:val="72B0AE24"/>
    <w:rsid w:val="72B16F93"/>
    <w:rsid w:val="72B2961D"/>
    <w:rsid w:val="72B3DCDE"/>
    <w:rsid w:val="72B4839E"/>
    <w:rsid w:val="72B4BDFF"/>
    <w:rsid w:val="72B4E193"/>
    <w:rsid w:val="72B637AA"/>
    <w:rsid w:val="72B6AAC1"/>
    <w:rsid w:val="72B8FAEA"/>
    <w:rsid w:val="72B90648"/>
    <w:rsid w:val="72B969E0"/>
    <w:rsid w:val="72BA72B3"/>
    <w:rsid w:val="72BB0880"/>
    <w:rsid w:val="72BBABA8"/>
    <w:rsid w:val="72BC3AC6"/>
    <w:rsid w:val="72BCD4FB"/>
    <w:rsid w:val="72BCD9DD"/>
    <w:rsid w:val="72BD2158"/>
    <w:rsid w:val="72BD2CE4"/>
    <w:rsid w:val="72BE11D0"/>
    <w:rsid w:val="72BE858A"/>
    <w:rsid w:val="72BFD543"/>
    <w:rsid w:val="72C0887C"/>
    <w:rsid w:val="72C0AE0F"/>
    <w:rsid w:val="72C0D943"/>
    <w:rsid w:val="72C21DFF"/>
    <w:rsid w:val="72C2BF77"/>
    <w:rsid w:val="72C325ED"/>
    <w:rsid w:val="72C43FAF"/>
    <w:rsid w:val="72C45459"/>
    <w:rsid w:val="72C49A27"/>
    <w:rsid w:val="72C5CDC3"/>
    <w:rsid w:val="72C69487"/>
    <w:rsid w:val="72C6D90A"/>
    <w:rsid w:val="72C7438A"/>
    <w:rsid w:val="72CA3F3E"/>
    <w:rsid w:val="72CABABD"/>
    <w:rsid w:val="72CB1A04"/>
    <w:rsid w:val="72CBEF6C"/>
    <w:rsid w:val="72CC1893"/>
    <w:rsid w:val="72CC4583"/>
    <w:rsid w:val="72CC7064"/>
    <w:rsid w:val="72CD24DF"/>
    <w:rsid w:val="72CDBC20"/>
    <w:rsid w:val="72CE5197"/>
    <w:rsid w:val="72CFE6C2"/>
    <w:rsid w:val="72D02F0A"/>
    <w:rsid w:val="72D0B9E0"/>
    <w:rsid w:val="72D12B32"/>
    <w:rsid w:val="72D1C626"/>
    <w:rsid w:val="72D27A8E"/>
    <w:rsid w:val="72D2A97E"/>
    <w:rsid w:val="72D32BE8"/>
    <w:rsid w:val="72D3946B"/>
    <w:rsid w:val="72D4F3BC"/>
    <w:rsid w:val="72D5061A"/>
    <w:rsid w:val="72D55DEC"/>
    <w:rsid w:val="72D568BE"/>
    <w:rsid w:val="72D6A25B"/>
    <w:rsid w:val="72D6DE48"/>
    <w:rsid w:val="72D749F6"/>
    <w:rsid w:val="72D7E3FF"/>
    <w:rsid w:val="72D884C8"/>
    <w:rsid w:val="72D8DEC6"/>
    <w:rsid w:val="72D93C9D"/>
    <w:rsid w:val="72D9C39B"/>
    <w:rsid w:val="72DA0539"/>
    <w:rsid w:val="72DB27A8"/>
    <w:rsid w:val="72DBBCC6"/>
    <w:rsid w:val="72DDA327"/>
    <w:rsid w:val="72DDE8FD"/>
    <w:rsid w:val="72DE99FD"/>
    <w:rsid w:val="72DF7281"/>
    <w:rsid w:val="72DF9223"/>
    <w:rsid w:val="72DFC595"/>
    <w:rsid w:val="72E024C3"/>
    <w:rsid w:val="72E14250"/>
    <w:rsid w:val="72E171FC"/>
    <w:rsid w:val="72E1791C"/>
    <w:rsid w:val="72E1AD65"/>
    <w:rsid w:val="72E1F2DA"/>
    <w:rsid w:val="72E20490"/>
    <w:rsid w:val="72E21C67"/>
    <w:rsid w:val="72E23BDB"/>
    <w:rsid w:val="72E29C07"/>
    <w:rsid w:val="72E32224"/>
    <w:rsid w:val="72E32289"/>
    <w:rsid w:val="72E33E6F"/>
    <w:rsid w:val="72E4325A"/>
    <w:rsid w:val="72E44C6B"/>
    <w:rsid w:val="72E5D654"/>
    <w:rsid w:val="72E5F664"/>
    <w:rsid w:val="72E60275"/>
    <w:rsid w:val="72E67F98"/>
    <w:rsid w:val="72E699ED"/>
    <w:rsid w:val="72E71403"/>
    <w:rsid w:val="72E7C24C"/>
    <w:rsid w:val="72E7FB05"/>
    <w:rsid w:val="72E878F5"/>
    <w:rsid w:val="72E8934E"/>
    <w:rsid w:val="72E8A6F6"/>
    <w:rsid w:val="72E91EB4"/>
    <w:rsid w:val="72EA41B5"/>
    <w:rsid w:val="72EAA196"/>
    <w:rsid w:val="72EAAA7B"/>
    <w:rsid w:val="72EB05C2"/>
    <w:rsid w:val="72EB71FA"/>
    <w:rsid w:val="72EBA8A7"/>
    <w:rsid w:val="72EC60B1"/>
    <w:rsid w:val="72ED7670"/>
    <w:rsid w:val="72ED9B9A"/>
    <w:rsid w:val="72EE3AA6"/>
    <w:rsid w:val="72EEDA3A"/>
    <w:rsid w:val="72EF01EC"/>
    <w:rsid w:val="72EFC753"/>
    <w:rsid w:val="72EFFD85"/>
    <w:rsid w:val="72F0D005"/>
    <w:rsid w:val="72F0E7A2"/>
    <w:rsid w:val="72F2205E"/>
    <w:rsid w:val="72F259B5"/>
    <w:rsid w:val="72F26868"/>
    <w:rsid w:val="72F282FC"/>
    <w:rsid w:val="72F3AD27"/>
    <w:rsid w:val="72F42EF5"/>
    <w:rsid w:val="72F7775E"/>
    <w:rsid w:val="72F7CF58"/>
    <w:rsid w:val="72F7E5E6"/>
    <w:rsid w:val="72F8972A"/>
    <w:rsid w:val="72F8F8CB"/>
    <w:rsid w:val="72F9266E"/>
    <w:rsid w:val="72F97729"/>
    <w:rsid w:val="72F9EC49"/>
    <w:rsid w:val="72FA22F5"/>
    <w:rsid w:val="72FA6F56"/>
    <w:rsid w:val="72FAAFE3"/>
    <w:rsid w:val="72FBAF63"/>
    <w:rsid w:val="72FBDC3B"/>
    <w:rsid w:val="72FC0944"/>
    <w:rsid w:val="72FD0949"/>
    <w:rsid w:val="72FD1CD0"/>
    <w:rsid w:val="72FD572A"/>
    <w:rsid w:val="72FDCC92"/>
    <w:rsid w:val="72FE2CA0"/>
    <w:rsid w:val="72FE52AA"/>
    <w:rsid w:val="730083FD"/>
    <w:rsid w:val="73009531"/>
    <w:rsid w:val="7300B92C"/>
    <w:rsid w:val="7301A989"/>
    <w:rsid w:val="7301FB48"/>
    <w:rsid w:val="73032A7F"/>
    <w:rsid w:val="73039D96"/>
    <w:rsid w:val="7304956B"/>
    <w:rsid w:val="7304D75D"/>
    <w:rsid w:val="73054832"/>
    <w:rsid w:val="73058DF7"/>
    <w:rsid w:val="7305B3EB"/>
    <w:rsid w:val="7306D1A9"/>
    <w:rsid w:val="730895C1"/>
    <w:rsid w:val="7309B19D"/>
    <w:rsid w:val="730D6C91"/>
    <w:rsid w:val="730FB2BD"/>
    <w:rsid w:val="730FD8F6"/>
    <w:rsid w:val="73102129"/>
    <w:rsid w:val="7310F80B"/>
    <w:rsid w:val="7311776A"/>
    <w:rsid w:val="7312707D"/>
    <w:rsid w:val="731298DC"/>
    <w:rsid w:val="73130D25"/>
    <w:rsid w:val="731401DD"/>
    <w:rsid w:val="7314318B"/>
    <w:rsid w:val="7314FD7D"/>
    <w:rsid w:val="7316789B"/>
    <w:rsid w:val="73173F24"/>
    <w:rsid w:val="7317869A"/>
    <w:rsid w:val="73184B52"/>
    <w:rsid w:val="73198AC3"/>
    <w:rsid w:val="731AC106"/>
    <w:rsid w:val="731AE90B"/>
    <w:rsid w:val="731C42D6"/>
    <w:rsid w:val="731C451B"/>
    <w:rsid w:val="731C472D"/>
    <w:rsid w:val="731C7448"/>
    <w:rsid w:val="731C83EA"/>
    <w:rsid w:val="731C8BCF"/>
    <w:rsid w:val="731CC8AB"/>
    <w:rsid w:val="731D41A5"/>
    <w:rsid w:val="731D7B77"/>
    <w:rsid w:val="731FC056"/>
    <w:rsid w:val="7320CD29"/>
    <w:rsid w:val="7320E888"/>
    <w:rsid w:val="732210FB"/>
    <w:rsid w:val="73224E4F"/>
    <w:rsid w:val="73234CE7"/>
    <w:rsid w:val="73236EB8"/>
    <w:rsid w:val="73245F82"/>
    <w:rsid w:val="7325739D"/>
    <w:rsid w:val="73273597"/>
    <w:rsid w:val="732769FC"/>
    <w:rsid w:val="73279D88"/>
    <w:rsid w:val="7328FD72"/>
    <w:rsid w:val="73290167"/>
    <w:rsid w:val="73293B81"/>
    <w:rsid w:val="732AE8C7"/>
    <w:rsid w:val="732B4AB6"/>
    <w:rsid w:val="732B8624"/>
    <w:rsid w:val="732C6734"/>
    <w:rsid w:val="732D9D2A"/>
    <w:rsid w:val="732E3541"/>
    <w:rsid w:val="732E98AD"/>
    <w:rsid w:val="732F3040"/>
    <w:rsid w:val="7330169A"/>
    <w:rsid w:val="73323ED0"/>
    <w:rsid w:val="7332BE14"/>
    <w:rsid w:val="7333DAAE"/>
    <w:rsid w:val="73350B90"/>
    <w:rsid w:val="733571CC"/>
    <w:rsid w:val="73358053"/>
    <w:rsid w:val="7335E2EA"/>
    <w:rsid w:val="7336065D"/>
    <w:rsid w:val="7336D120"/>
    <w:rsid w:val="7336F155"/>
    <w:rsid w:val="73376EB5"/>
    <w:rsid w:val="733785DC"/>
    <w:rsid w:val="7337A32B"/>
    <w:rsid w:val="7337A6EE"/>
    <w:rsid w:val="7337ACC3"/>
    <w:rsid w:val="733824C0"/>
    <w:rsid w:val="73395B1F"/>
    <w:rsid w:val="733A84CA"/>
    <w:rsid w:val="733B36BB"/>
    <w:rsid w:val="733B58C9"/>
    <w:rsid w:val="733BF818"/>
    <w:rsid w:val="733C17ED"/>
    <w:rsid w:val="733C4357"/>
    <w:rsid w:val="733D6B0F"/>
    <w:rsid w:val="733EA469"/>
    <w:rsid w:val="733ED7D9"/>
    <w:rsid w:val="733F3F38"/>
    <w:rsid w:val="7340C9AC"/>
    <w:rsid w:val="7340CCEE"/>
    <w:rsid w:val="7340ED42"/>
    <w:rsid w:val="73415E2D"/>
    <w:rsid w:val="734250DA"/>
    <w:rsid w:val="73429DAB"/>
    <w:rsid w:val="7342D46F"/>
    <w:rsid w:val="7342DB58"/>
    <w:rsid w:val="73431891"/>
    <w:rsid w:val="734325AA"/>
    <w:rsid w:val="73436B5E"/>
    <w:rsid w:val="734380DA"/>
    <w:rsid w:val="73459CC7"/>
    <w:rsid w:val="73474701"/>
    <w:rsid w:val="73480045"/>
    <w:rsid w:val="734848CD"/>
    <w:rsid w:val="7348C7B0"/>
    <w:rsid w:val="7349510D"/>
    <w:rsid w:val="734A97E8"/>
    <w:rsid w:val="734B6AB9"/>
    <w:rsid w:val="734C5E69"/>
    <w:rsid w:val="734D0CB1"/>
    <w:rsid w:val="734E2467"/>
    <w:rsid w:val="734E90B2"/>
    <w:rsid w:val="734EB623"/>
    <w:rsid w:val="734EF01A"/>
    <w:rsid w:val="734F9F58"/>
    <w:rsid w:val="735043E6"/>
    <w:rsid w:val="73520AA8"/>
    <w:rsid w:val="7352C383"/>
    <w:rsid w:val="73534829"/>
    <w:rsid w:val="7353AD27"/>
    <w:rsid w:val="735430FF"/>
    <w:rsid w:val="73543308"/>
    <w:rsid w:val="73548BC9"/>
    <w:rsid w:val="7354F92A"/>
    <w:rsid w:val="7355B09B"/>
    <w:rsid w:val="7355B782"/>
    <w:rsid w:val="7355C6F1"/>
    <w:rsid w:val="7355CD8F"/>
    <w:rsid w:val="7355D5EE"/>
    <w:rsid w:val="7355D727"/>
    <w:rsid w:val="73561A73"/>
    <w:rsid w:val="73577B7B"/>
    <w:rsid w:val="73577D82"/>
    <w:rsid w:val="7357A434"/>
    <w:rsid w:val="73582A6B"/>
    <w:rsid w:val="73588F2D"/>
    <w:rsid w:val="7358C349"/>
    <w:rsid w:val="735A5A30"/>
    <w:rsid w:val="735A8186"/>
    <w:rsid w:val="735B6692"/>
    <w:rsid w:val="735BDD30"/>
    <w:rsid w:val="735C81AF"/>
    <w:rsid w:val="735C823D"/>
    <w:rsid w:val="735C98CD"/>
    <w:rsid w:val="735CF724"/>
    <w:rsid w:val="735D0E57"/>
    <w:rsid w:val="735DC307"/>
    <w:rsid w:val="735E06B0"/>
    <w:rsid w:val="735E545B"/>
    <w:rsid w:val="735F21BE"/>
    <w:rsid w:val="735F4878"/>
    <w:rsid w:val="735FC7BC"/>
    <w:rsid w:val="735FE266"/>
    <w:rsid w:val="736068C4"/>
    <w:rsid w:val="7360C29A"/>
    <w:rsid w:val="73610391"/>
    <w:rsid w:val="7361A1CF"/>
    <w:rsid w:val="73620ACE"/>
    <w:rsid w:val="73629FA0"/>
    <w:rsid w:val="736426E1"/>
    <w:rsid w:val="73653A9A"/>
    <w:rsid w:val="73663FB7"/>
    <w:rsid w:val="7368D744"/>
    <w:rsid w:val="73696A9F"/>
    <w:rsid w:val="7369BDF2"/>
    <w:rsid w:val="736A685A"/>
    <w:rsid w:val="736A8A78"/>
    <w:rsid w:val="736C09DB"/>
    <w:rsid w:val="736C8B3E"/>
    <w:rsid w:val="736CD41A"/>
    <w:rsid w:val="736DFA95"/>
    <w:rsid w:val="736E3E1E"/>
    <w:rsid w:val="736E5BB3"/>
    <w:rsid w:val="736ECA9E"/>
    <w:rsid w:val="737095F2"/>
    <w:rsid w:val="73723028"/>
    <w:rsid w:val="7372A27D"/>
    <w:rsid w:val="73739EE6"/>
    <w:rsid w:val="737475DB"/>
    <w:rsid w:val="7375B0E7"/>
    <w:rsid w:val="73761966"/>
    <w:rsid w:val="73762D61"/>
    <w:rsid w:val="7376C478"/>
    <w:rsid w:val="73772CB9"/>
    <w:rsid w:val="7378190D"/>
    <w:rsid w:val="737841A1"/>
    <w:rsid w:val="7379407A"/>
    <w:rsid w:val="73796C50"/>
    <w:rsid w:val="73797D67"/>
    <w:rsid w:val="737A06E4"/>
    <w:rsid w:val="737A094F"/>
    <w:rsid w:val="737AE29B"/>
    <w:rsid w:val="737B81C5"/>
    <w:rsid w:val="737BF26F"/>
    <w:rsid w:val="737C171E"/>
    <w:rsid w:val="737C4CDA"/>
    <w:rsid w:val="737C8FAB"/>
    <w:rsid w:val="737CA8A2"/>
    <w:rsid w:val="737D0B2B"/>
    <w:rsid w:val="737D2F1B"/>
    <w:rsid w:val="737DA0C1"/>
    <w:rsid w:val="737E6064"/>
    <w:rsid w:val="737EC02A"/>
    <w:rsid w:val="737F12F8"/>
    <w:rsid w:val="7381435A"/>
    <w:rsid w:val="7381BFBB"/>
    <w:rsid w:val="7381F652"/>
    <w:rsid w:val="7382777F"/>
    <w:rsid w:val="738360B4"/>
    <w:rsid w:val="7383E450"/>
    <w:rsid w:val="738457A7"/>
    <w:rsid w:val="738476CE"/>
    <w:rsid w:val="73855867"/>
    <w:rsid w:val="738586C2"/>
    <w:rsid w:val="7385BBAA"/>
    <w:rsid w:val="7385D265"/>
    <w:rsid w:val="73875747"/>
    <w:rsid w:val="73876BB1"/>
    <w:rsid w:val="7387BE50"/>
    <w:rsid w:val="738964F8"/>
    <w:rsid w:val="73899709"/>
    <w:rsid w:val="738B594B"/>
    <w:rsid w:val="738B9119"/>
    <w:rsid w:val="738CD04D"/>
    <w:rsid w:val="738E7CE2"/>
    <w:rsid w:val="73901FB7"/>
    <w:rsid w:val="73908DB8"/>
    <w:rsid w:val="7390C438"/>
    <w:rsid w:val="73910D13"/>
    <w:rsid w:val="73915BA0"/>
    <w:rsid w:val="7393D45E"/>
    <w:rsid w:val="73944F28"/>
    <w:rsid w:val="73947B86"/>
    <w:rsid w:val="7394A63E"/>
    <w:rsid w:val="7394E604"/>
    <w:rsid w:val="73950B78"/>
    <w:rsid w:val="73952341"/>
    <w:rsid w:val="739542EA"/>
    <w:rsid w:val="73956475"/>
    <w:rsid w:val="7395754F"/>
    <w:rsid w:val="73965FEB"/>
    <w:rsid w:val="739719DE"/>
    <w:rsid w:val="7397377E"/>
    <w:rsid w:val="73980AE5"/>
    <w:rsid w:val="73983188"/>
    <w:rsid w:val="7398DA94"/>
    <w:rsid w:val="73998383"/>
    <w:rsid w:val="739A5E7A"/>
    <w:rsid w:val="739B2260"/>
    <w:rsid w:val="739C3873"/>
    <w:rsid w:val="739D0523"/>
    <w:rsid w:val="739F075C"/>
    <w:rsid w:val="739F42D3"/>
    <w:rsid w:val="739FD4FE"/>
    <w:rsid w:val="73A04BF2"/>
    <w:rsid w:val="73A05B88"/>
    <w:rsid w:val="73A0BFF2"/>
    <w:rsid w:val="73A1A8F8"/>
    <w:rsid w:val="73A1E921"/>
    <w:rsid w:val="73A201E3"/>
    <w:rsid w:val="73A2B824"/>
    <w:rsid w:val="73A2E3B5"/>
    <w:rsid w:val="73A3EA20"/>
    <w:rsid w:val="73A3F2E9"/>
    <w:rsid w:val="73A42DDE"/>
    <w:rsid w:val="73A7B00E"/>
    <w:rsid w:val="73AB074C"/>
    <w:rsid w:val="73AC3838"/>
    <w:rsid w:val="73AD2C59"/>
    <w:rsid w:val="73AD687A"/>
    <w:rsid w:val="73AD9396"/>
    <w:rsid w:val="73AEC9CA"/>
    <w:rsid w:val="73AF8C2E"/>
    <w:rsid w:val="73AFF7E0"/>
    <w:rsid w:val="73B1379D"/>
    <w:rsid w:val="73B251D4"/>
    <w:rsid w:val="73B29C1B"/>
    <w:rsid w:val="73B2A915"/>
    <w:rsid w:val="73B3B236"/>
    <w:rsid w:val="73B46E8B"/>
    <w:rsid w:val="73B51977"/>
    <w:rsid w:val="73B5468E"/>
    <w:rsid w:val="73B5A83A"/>
    <w:rsid w:val="73B67A6C"/>
    <w:rsid w:val="73B8628A"/>
    <w:rsid w:val="73B8E9E1"/>
    <w:rsid w:val="73BA402F"/>
    <w:rsid w:val="73BB10EC"/>
    <w:rsid w:val="73BB3114"/>
    <w:rsid w:val="73BBF3A3"/>
    <w:rsid w:val="73BCB1C3"/>
    <w:rsid w:val="73BD3D78"/>
    <w:rsid w:val="73BD67A9"/>
    <w:rsid w:val="73BE3C26"/>
    <w:rsid w:val="73BE686D"/>
    <w:rsid w:val="73BED8CC"/>
    <w:rsid w:val="73BEDD73"/>
    <w:rsid w:val="73BF4FB7"/>
    <w:rsid w:val="73BF7846"/>
    <w:rsid w:val="73BFBF33"/>
    <w:rsid w:val="73C0238C"/>
    <w:rsid w:val="73C04358"/>
    <w:rsid w:val="73C228B7"/>
    <w:rsid w:val="73C2644B"/>
    <w:rsid w:val="73C32D79"/>
    <w:rsid w:val="73C399FE"/>
    <w:rsid w:val="73C40250"/>
    <w:rsid w:val="73C5A7A1"/>
    <w:rsid w:val="73C5C518"/>
    <w:rsid w:val="73C6C516"/>
    <w:rsid w:val="73C6D441"/>
    <w:rsid w:val="73C70648"/>
    <w:rsid w:val="73C7A71B"/>
    <w:rsid w:val="73C7DE92"/>
    <w:rsid w:val="73C8C901"/>
    <w:rsid w:val="73C95130"/>
    <w:rsid w:val="73C970FA"/>
    <w:rsid w:val="73C99D61"/>
    <w:rsid w:val="73C9B72A"/>
    <w:rsid w:val="73CA57B7"/>
    <w:rsid w:val="73CAB1D5"/>
    <w:rsid w:val="73CB1E36"/>
    <w:rsid w:val="73CB41BF"/>
    <w:rsid w:val="73CB465D"/>
    <w:rsid w:val="73CCE74B"/>
    <w:rsid w:val="73CF301B"/>
    <w:rsid w:val="73D0060C"/>
    <w:rsid w:val="73D0D7AD"/>
    <w:rsid w:val="73D0DD33"/>
    <w:rsid w:val="73D327E2"/>
    <w:rsid w:val="73D3834F"/>
    <w:rsid w:val="73D38899"/>
    <w:rsid w:val="73D3A431"/>
    <w:rsid w:val="73D4C328"/>
    <w:rsid w:val="73D50BF2"/>
    <w:rsid w:val="73D55736"/>
    <w:rsid w:val="73D55E52"/>
    <w:rsid w:val="73D642A4"/>
    <w:rsid w:val="73D98D2E"/>
    <w:rsid w:val="73D9911B"/>
    <w:rsid w:val="73D99A1A"/>
    <w:rsid w:val="73D9E2D7"/>
    <w:rsid w:val="73DAA55E"/>
    <w:rsid w:val="73DB1D4C"/>
    <w:rsid w:val="73DB5354"/>
    <w:rsid w:val="73DBA0CB"/>
    <w:rsid w:val="73DC03A8"/>
    <w:rsid w:val="73DC5063"/>
    <w:rsid w:val="73DE0E77"/>
    <w:rsid w:val="73DE1A1E"/>
    <w:rsid w:val="73DE4E6C"/>
    <w:rsid w:val="73DF1044"/>
    <w:rsid w:val="73DF9CA5"/>
    <w:rsid w:val="73DFAE65"/>
    <w:rsid w:val="73E13D66"/>
    <w:rsid w:val="73E1B94B"/>
    <w:rsid w:val="73E33718"/>
    <w:rsid w:val="73E3BEE6"/>
    <w:rsid w:val="73E3D769"/>
    <w:rsid w:val="73E3DB94"/>
    <w:rsid w:val="73E5A2F0"/>
    <w:rsid w:val="73E6E74E"/>
    <w:rsid w:val="73E754D0"/>
    <w:rsid w:val="73E756D1"/>
    <w:rsid w:val="73E7BAA6"/>
    <w:rsid w:val="73E822E0"/>
    <w:rsid w:val="73E8DE84"/>
    <w:rsid w:val="73EA524B"/>
    <w:rsid w:val="73EA8578"/>
    <w:rsid w:val="73EAB2D4"/>
    <w:rsid w:val="73EAF576"/>
    <w:rsid w:val="73EAF900"/>
    <w:rsid w:val="73EBBCD7"/>
    <w:rsid w:val="73EC6FF2"/>
    <w:rsid w:val="73ECB696"/>
    <w:rsid w:val="73ED2325"/>
    <w:rsid w:val="73EE3EC2"/>
    <w:rsid w:val="73EE45A8"/>
    <w:rsid w:val="73EEA6BB"/>
    <w:rsid w:val="73F0328A"/>
    <w:rsid w:val="73F0FC3C"/>
    <w:rsid w:val="73F1D0E4"/>
    <w:rsid w:val="73F334F0"/>
    <w:rsid w:val="73F44941"/>
    <w:rsid w:val="73F46D9B"/>
    <w:rsid w:val="73F491D8"/>
    <w:rsid w:val="73F65AF5"/>
    <w:rsid w:val="73F8D9CA"/>
    <w:rsid w:val="73F94F8D"/>
    <w:rsid w:val="73F97C31"/>
    <w:rsid w:val="73FA20FD"/>
    <w:rsid w:val="73FA5989"/>
    <w:rsid w:val="73FB2C37"/>
    <w:rsid w:val="73FBABA6"/>
    <w:rsid w:val="73FCBE23"/>
    <w:rsid w:val="73FD3F0C"/>
    <w:rsid w:val="73FD6E69"/>
    <w:rsid w:val="73FDAFA7"/>
    <w:rsid w:val="73FDB004"/>
    <w:rsid w:val="73FE13BF"/>
    <w:rsid w:val="73FEBE7C"/>
    <w:rsid w:val="73FFA4F5"/>
    <w:rsid w:val="740016E1"/>
    <w:rsid w:val="74004113"/>
    <w:rsid w:val="74004E24"/>
    <w:rsid w:val="7400675F"/>
    <w:rsid w:val="740101A1"/>
    <w:rsid w:val="74017CF6"/>
    <w:rsid w:val="7402BE44"/>
    <w:rsid w:val="74034430"/>
    <w:rsid w:val="740349A9"/>
    <w:rsid w:val="740705AE"/>
    <w:rsid w:val="74077D25"/>
    <w:rsid w:val="7408B8B9"/>
    <w:rsid w:val="7408D722"/>
    <w:rsid w:val="7409AAFA"/>
    <w:rsid w:val="7409B99B"/>
    <w:rsid w:val="7409BF56"/>
    <w:rsid w:val="740A3720"/>
    <w:rsid w:val="740B3CA5"/>
    <w:rsid w:val="740CA35B"/>
    <w:rsid w:val="740F295D"/>
    <w:rsid w:val="7410074F"/>
    <w:rsid w:val="741014E6"/>
    <w:rsid w:val="74101C47"/>
    <w:rsid w:val="741108A7"/>
    <w:rsid w:val="74112204"/>
    <w:rsid w:val="741126E7"/>
    <w:rsid w:val="741152EA"/>
    <w:rsid w:val="7411DAD0"/>
    <w:rsid w:val="74121EFA"/>
    <w:rsid w:val="7413E725"/>
    <w:rsid w:val="7414B141"/>
    <w:rsid w:val="74151274"/>
    <w:rsid w:val="74157EB0"/>
    <w:rsid w:val="7415C457"/>
    <w:rsid w:val="7416E8CD"/>
    <w:rsid w:val="74178705"/>
    <w:rsid w:val="74184E8A"/>
    <w:rsid w:val="74186C05"/>
    <w:rsid w:val="7418DCE5"/>
    <w:rsid w:val="7419E003"/>
    <w:rsid w:val="741A1A88"/>
    <w:rsid w:val="741AE692"/>
    <w:rsid w:val="741BE6AC"/>
    <w:rsid w:val="741C8214"/>
    <w:rsid w:val="741CAB44"/>
    <w:rsid w:val="741D971E"/>
    <w:rsid w:val="741DA188"/>
    <w:rsid w:val="741EB162"/>
    <w:rsid w:val="741F3E6D"/>
    <w:rsid w:val="741F62A9"/>
    <w:rsid w:val="742014C6"/>
    <w:rsid w:val="74216489"/>
    <w:rsid w:val="7421B2BE"/>
    <w:rsid w:val="7421C7F1"/>
    <w:rsid w:val="74222333"/>
    <w:rsid w:val="74246642"/>
    <w:rsid w:val="74249CBF"/>
    <w:rsid w:val="7424C38A"/>
    <w:rsid w:val="74254C67"/>
    <w:rsid w:val="742600C3"/>
    <w:rsid w:val="74262FC3"/>
    <w:rsid w:val="74265471"/>
    <w:rsid w:val="7426B670"/>
    <w:rsid w:val="7426BF6C"/>
    <w:rsid w:val="74271473"/>
    <w:rsid w:val="742777DD"/>
    <w:rsid w:val="7428D55C"/>
    <w:rsid w:val="7428F277"/>
    <w:rsid w:val="742953AF"/>
    <w:rsid w:val="742991E1"/>
    <w:rsid w:val="742A31B0"/>
    <w:rsid w:val="742A6C23"/>
    <w:rsid w:val="742BD528"/>
    <w:rsid w:val="742BD91A"/>
    <w:rsid w:val="742D3278"/>
    <w:rsid w:val="742D7583"/>
    <w:rsid w:val="742F0C10"/>
    <w:rsid w:val="742FFD02"/>
    <w:rsid w:val="74312C0B"/>
    <w:rsid w:val="7431F114"/>
    <w:rsid w:val="74321C35"/>
    <w:rsid w:val="74323E97"/>
    <w:rsid w:val="7432F7A3"/>
    <w:rsid w:val="74330801"/>
    <w:rsid w:val="74354B22"/>
    <w:rsid w:val="74354BB0"/>
    <w:rsid w:val="7436BB45"/>
    <w:rsid w:val="7437FDF3"/>
    <w:rsid w:val="74381D12"/>
    <w:rsid w:val="74387D2A"/>
    <w:rsid w:val="7438B1E6"/>
    <w:rsid w:val="7439655F"/>
    <w:rsid w:val="743A80A4"/>
    <w:rsid w:val="743B144C"/>
    <w:rsid w:val="743B541D"/>
    <w:rsid w:val="743B7198"/>
    <w:rsid w:val="743B8A4B"/>
    <w:rsid w:val="743D3831"/>
    <w:rsid w:val="743D7C0E"/>
    <w:rsid w:val="743D8559"/>
    <w:rsid w:val="743E8051"/>
    <w:rsid w:val="743EDABC"/>
    <w:rsid w:val="743F71C2"/>
    <w:rsid w:val="743FC423"/>
    <w:rsid w:val="744062EF"/>
    <w:rsid w:val="7440AB77"/>
    <w:rsid w:val="74411608"/>
    <w:rsid w:val="7441A096"/>
    <w:rsid w:val="74422F33"/>
    <w:rsid w:val="7443D382"/>
    <w:rsid w:val="7444A3C0"/>
    <w:rsid w:val="74452CA7"/>
    <w:rsid w:val="74458EE1"/>
    <w:rsid w:val="7445CB3F"/>
    <w:rsid w:val="7445D44E"/>
    <w:rsid w:val="7447474B"/>
    <w:rsid w:val="74475B9B"/>
    <w:rsid w:val="7447F300"/>
    <w:rsid w:val="74489219"/>
    <w:rsid w:val="7448DA82"/>
    <w:rsid w:val="7449605E"/>
    <w:rsid w:val="7449F673"/>
    <w:rsid w:val="744A99FE"/>
    <w:rsid w:val="744AEC5D"/>
    <w:rsid w:val="744BD778"/>
    <w:rsid w:val="744BEB45"/>
    <w:rsid w:val="744CF8F1"/>
    <w:rsid w:val="744E3550"/>
    <w:rsid w:val="744E6040"/>
    <w:rsid w:val="744ED7A1"/>
    <w:rsid w:val="744F0E42"/>
    <w:rsid w:val="744FF990"/>
    <w:rsid w:val="7450171D"/>
    <w:rsid w:val="74504524"/>
    <w:rsid w:val="7450E7F4"/>
    <w:rsid w:val="745169B3"/>
    <w:rsid w:val="7451C631"/>
    <w:rsid w:val="74523263"/>
    <w:rsid w:val="74526948"/>
    <w:rsid w:val="74530E82"/>
    <w:rsid w:val="745478F6"/>
    <w:rsid w:val="745690E3"/>
    <w:rsid w:val="74575817"/>
    <w:rsid w:val="74577B91"/>
    <w:rsid w:val="7459C783"/>
    <w:rsid w:val="745AA1BC"/>
    <w:rsid w:val="745B1139"/>
    <w:rsid w:val="745BAE35"/>
    <w:rsid w:val="745C822B"/>
    <w:rsid w:val="745C9D6C"/>
    <w:rsid w:val="745CFB6D"/>
    <w:rsid w:val="745E81F5"/>
    <w:rsid w:val="745E9CF6"/>
    <w:rsid w:val="745FA448"/>
    <w:rsid w:val="7460A1A7"/>
    <w:rsid w:val="746212D0"/>
    <w:rsid w:val="7462B378"/>
    <w:rsid w:val="7462B9C8"/>
    <w:rsid w:val="7462D538"/>
    <w:rsid w:val="746356A1"/>
    <w:rsid w:val="74651039"/>
    <w:rsid w:val="7465F183"/>
    <w:rsid w:val="7465F817"/>
    <w:rsid w:val="7465FDB0"/>
    <w:rsid w:val="74661398"/>
    <w:rsid w:val="746695A4"/>
    <w:rsid w:val="7467AC1B"/>
    <w:rsid w:val="7468761B"/>
    <w:rsid w:val="74697D0D"/>
    <w:rsid w:val="746A2069"/>
    <w:rsid w:val="746A88BD"/>
    <w:rsid w:val="746AE6AB"/>
    <w:rsid w:val="746BF19B"/>
    <w:rsid w:val="746C029C"/>
    <w:rsid w:val="746DEA27"/>
    <w:rsid w:val="746EA504"/>
    <w:rsid w:val="746F3C20"/>
    <w:rsid w:val="74702B75"/>
    <w:rsid w:val="7470455C"/>
    <w:rsid w:val="7470A4E4"/>
    <w:rsid w:val="7470DB8B"/>
    <w:rsid w:val="747139EE"/>
    <w:rsid w:val="74718AFE"/>
    <w:rsid w:val="7471B72D"/>
    <w:rsid w:val="74727BB8"/>
    <w:rsid w:val="74739B93"/>
    <w:rsid w:val="7474898E"/>
    <w:rsid w:val="7474E265"/>
    <w:rsid w:val="74756FDF"/>
    <w:rsid w:val="747597F6"/>
    <w:rsid w:val="7475FF42"/>
    <w:rsid w:val="7476AABA"/>
    <w:rsid w:val="7476D349"/>
    <w:rsid w:val="74788202"/>
    <w:rsid w:val="7478D6A5"/>
    <w:rsid w:val="7479C704"/>
    <w:rsid w:val="7479D618"/>
    <w:rsid w:val="7479DC1E"/>
    <w:rsid w:val="747A0A62"/>
    <w:rsid w:val="747A93AC"/>
    <w:rsid w:val="747C0A84"/>
    <w:rsid w:val="747CD9E0"/>
    <w:rsid w:val="747E395C"/>
    <w:rsid w:val="747F0683"/>
    <w:rsid w:val="747F0F35"/>
    <w:rsid w:val="74803B95"/>
    <w:rsid w:val="748096C6"/>
    <w:rsid w:val="7480DCD5"/>
    <w:rsid w:val="748124FF"/>
    <w:rsid w:val="7481BA19"/>
    <w:rsid w:val="7482AF97"/>
    <w:rsid w:val="7482EC24"/>
    <w:rsid w:val="74839587"/>
    <w:rsid w:val="74848A97"/>
    <w:rsid w:val="74853547"/>
    <w:rsid w:val="74881D47"/>
    <w:rsid w:val="74883E4D"/>
    <w:rsid w:val="7488A24F"/>
    <w:rsid w:val="7489B8BC"/>
    <w:rsid w:val="748A00D9"/>
    <w:rsid w:val="748A1089"/>
    <w:rsid w:val="748A13DB"/>
    <w:rsid w:val="748A4ACD"/>
    <w:rsid w:val="748A88AD"/>
    <w:rsid w:val="748B0419"/>
    <w:rsid w:val="748B379D"/>
    <w:rsid w:val="748B5830"/>
    <w:rsid w:val="748BD312"/>
    <w:rsid w:val="748C3911"/>
    <w:rsid w:val="748CC2E4"/>
    <w:rsid w:val="748E097D"/>
    <w:rsid w:val="74905B75"/>
    <w:rsid w:val="749072B3"/>
    <w:rsid w:val="7490AF59"/>
    <w:rsid w:val="749284EC"/>
    <w:rsid w:val="7494160D"/>
    <w:rsid w:val="74946983"/>
    <w:rsid w:val="74947334"/>
    <w:rsid w:val="74947592"/>
    <w:rsid w:val="749540D0"/>
    <w:rsid w:val="7495753C"/>
    <w:rsid w:val="7495DD70"/>
    <w:rsid w:val="74963608"/>
    <w:rsid w:val="7496CF40"/>
    <w:rsid w:val="7496DD03"/>
    <w:rsid w:val="7497FA6D"/>
    <w:rsid w:val="74986E4C"/>
    <w:rsid w:val="7499E4A5"/>
    <w:rsid w:val="7499F752"/>
    <w:rsid w:val="749A1EFC"/>
    <w:rsid w:val="749A5294"/>
    <w:rsid w:val="749A8F16"/>
    <w:rsid w:val="749B0288"/>
    <w:rsid w:val="749B45F6"/>
    <w:rsid w:val="749C2D95"/>
    <w:rsid w:val="749CBD95"/>
    <w:rsid w:val="749EBD2D"/>
    <w:rsid w:val="749F12C0"/>
    <w:rsid w:val="749F3B29"/>
    <w:rsid w:val="749F8223"/>
    <w:rsid w:val="749FD3E2"/>
    <w:rsid w:val="74A0DE2A"/>
    <w:rsid w:val="74A10E11"/>
    <w:rsid w:val="74A23075"/>
    <w:rsid w:val="74A320BB"/>
    <w:rsid w:val="74A3BB23"/>
    <w:rsid w:val="74A45CC6"/>
    <w:rsid w:val="74A4F491"/>
    <w:rsid w:val="74A714C1"/>
    <w:rsid w:val="74A81833"/>
    <w:rsid w:val="74A821A5"/>
    <w:rsid w:val="74A90E02"/>
    <w:rsid w:val="74AA4CAD"/>
    <w:rsid w:val="74AA63A5"/>
    <w:rsid w:val="74ABA537"/>
    <w:rsid w:val="74ABF18A"/>
    <w:rsid w:val="74AC0197"/>
    <w:rsid w:val="74AD179E"/>
    <w:rsid w:val="74AE4365"/>
    <w:rsid w:val="74AF4AAA"/>
    <w:rsid w:val="74AF8C5F"/>
    <w:rsid w:val="74B02335"/>
    <w:rsid w:val="74B142E7"/>
    <w:rsid w:val="74B1CE42"/>
    <w:rsid w:val="74B218A6"/>
    <w:rsid w:val="74B29D3F"/>
    <w:rsid w:val="74B429BA"/>
    <w:rsid w:val="74B4FE0A"/>
    <w:rsid w:val="74B4FE7D"/>
    <w:rsid w:val="74B530A8"/>
    <w:rsid w:val="74B5845D"/>
    <w:rsid w:val="74B86540"/>
    <w:rsid w:val="74B8C044"/>
    <w:rsid w:val="74B8E54D"/>
    <w:rsid w:val="74B90896"/>
    <w:rsid w:val="74B9780C"/>
    <w:rsid w:val="74BA093F"/>
    <w:rsid w:val="74BAE4C7"/>
    <w:rsid w:val="74BB8399"/>
    <w:rsid w:val="74BC5A0A"/>
    <w:rsid w:val="74BCDEED"/>
    <w:rsid w:val="74BCFC4A"/>
    <w:rsid w:val="74BE0F01"/>
    <w:rsid w:val="74BE8711"/>
    <w:rsid w:val="74BF0A56"/>
    <w:rsid w:val="74BFB26B"/>
    <w:rsid w:val="74BFBD7B"/>
    <w:rsid w:val="74C00E45"/>
    <w:rsid w:val="74C05EFD"/>
    <w:rsid w:val="74C09E63"/>
    <w:rsid w:val="74C0C6AA"/>
    <w:rsid w:val="74C0D383"/>
    <w:rsid w:val="74C2E1DF"/>
    <w:rsid w:val="74C53D74"/>
    <w:rsid w:val="74C5F81A"/>
    <w:rsid w:val="74C7F222"/>
    <w:rsid w:val="74C83BEF"/>
    <w:rsid w:val="74C87F2E"/>
    <w:rsid w:val="74C9166D"/>
    <w:rsid w:val="74C948A0"/>
    <w:rsid w:val="74CA3506"/>
    <w:rsid w:val="74CA87FE"/>
    <w:rsid w:val="74CAE77C"/>
    <w:rsid w:val="74CC0ECC"/>
    <w:rsid w:val="74CC1A71"/>
    <w:rsid w:val="74CC5798"/>
    <w:rsid w:val="74CD0C65"/>
    <w:rsid w:val="74CD760F"/>
    <w:rsid w:val="74CD7F1F"/>
    <w:rsid w:val="74CDEA4E"/>
    <w:rsid w:val="74CDFDC9"/>
    <w:rsid w:val="74CF24E3"/>
    <w:rsid w:val="74CFAA9C"/>
    <w:rsid w:val="74D0CCCB"/>
    <w:rsid w:val="74D0EC94"/>
    <w:rsid w:val="74D1110A"/>
    <w:rsid w:val="74D11731"/>
    <w:rsid w:val="74D16B0C"/>
    <w:rsid w:val="74D251CE"/>
    <w:rsid w:val="74D2E18F"/>
    <w:rsid w:val="74D4B081"/>
    <w:rsid w:val="74D50BF0"/>
    <w:rsid w:val="74D525D6"/>
    <w:rsid w:val="74D5624B"/>
    <w:rsid w:val="74D57566"/>
    <w:rsid w:val="74D5DEF9"/>
    <w:rsid w:val="74D6757E"/>
    <w:rsid w:val="74D6BF35"/>
    <w:rsid w:val="74D7BE86"/>
    <w:rsid w:val="74D90118"/>
    <w:rsid w:val="74D9812B"/>
    <w:rsid w:val="74DA3943"/>
    <w:rsid w:val="74DA5F98"/>
    <w:rsid w:val="74DAD6FD"/>
    <w:rsid w:val="74DBF3C3"/>
    <w:rsid w:val="74DC2C7C"/>
    <w:rsid w:val="74DC2E2B"/>
    <w:rsid w:val="74DCBAE4"/>
    <w:rsid w:val="74DD3285"/>
    <w:rsid w:val="74DD9C17"/>
    <w:rsid w:val="74DDC8D8"/>
    <w:rsid w:val="74DDF1FE"/>
    <w:rsid w:val="74DECA98"/>
    <w:rsid w:val="74DF5F96"/>
    <w:rsid w:val="74DF6B7C"/>
    <w:rsid w:val="74DFB54B"/>
    <w:rsid w:val="74E0B7DC"/>
    <w:rsid w:val="74E10BC3"/>
    <w:rsid w:val="74E14BF7"/>
    <w:rsid w:val="74E32F83"/>
    <w:rsid w:val="74E3647B"/>
    <w:rsid w:val="74E4D464"/>
    <w:rsid w:val="74E4F175"/>
    <w:rsid w:val="74E51CAC"/>
    <w:rsid w:val="74E55B21"/>
    <w:rsid w:val="74E6218B"/>
    <w:rsid w:val="74E85CDD"/>
    <w:rsid w:val="74E86339"/>
    <w:rsid w:val="74E8D4C7"/>
    <w:rsid w:val="74E9AFC1"/>
    <w:rsid w:val="74E9D763"/>
    <w:rsid w:val="74EA795F"/>
    <w:rsid w:val="74EAABEB"/>
    <w:rsid w:val="74ED0844"/>
    <w:rsid w:val="74EEC886"/>
    <w:rsid w:val="74EF7B57"/>
    <w:rsid w:val="74EF7D88"/>
    <w:rsid w:val="74F043EB"/>
    <w:rsid w:val="74F0943B"/>
    <w:rsid w:val="74F0AF47"/>
    <w:rsid w:val="74F0D57B"/>
    <w:rsid w:val="74F1812E"/>
    <w:rsid w:val="74F24917"/>
    <w:rsid w:val="74F3166A"/>
    <w:rsid w:val="74F37DC7"/>
    <w:rsid w:val="74F3A986"/>
    <w:rsid w:val="74F3DDC9"/>
    <w:rsid w:val="74F42EAB"/>
    <w:rsid w:val="74F4543C"/>
    <w:rsid w:val="74F5EB2E"/>
    <w:rsid w:val="74F605B9"/>
    <w:rsid w:val="74F70BCE"/>
    <w:rsid w:val="74F7EEBA"/>
    <w:rsid w:val="74F84993"/>
    <w:rsid w:val="74F9B481"/>
    <w:rsid w:val="74F9C645"/>
    <w:rsid w:val="74F9CC49"/>
    <w:rsid w:val="74F9CF50"/>
    <w:rsid w:val="74FE6A5F"/>
    <w:rsid w:val="74FFD326"/>
    <w:rsid w:val="75003C2A"/>
    <w:rsid w:val="7501B0C5"/>
    <w:rsid w:val="75028462"/>
    <w:rsid w:val="75036161"/>
    <w:rsid w:val="75043204"/>
    <w:rsid w:val="7505893E"/>
    <w:rsid w:val="7505DF23"/>
    <w:rsid w:val="7505E189"/>
    <w:rsid w:val="7506668A"/>
    <w:rsid w:val="75069EC1"/>
    <w:rsid w:val="7506A00F"/>
    <w:rsid w:val="7506CCC0"/>
    <w:rsid w:val="75077594"/>
    <w:rsid w:val="75079921"/>
    <w:rsid w:val="750956F8"/>
    <w:rsid w:val="750957CF"/>
    <w:rsid w:val="750A2597"/>
    <w:rsid w:val="750A2876"/>
    <w:rsid w:val="750AA14A"/>
    <w:rsid w:val="750AF18A"/>
    <w:rsid w:val="750B3A8D"/>
    <w:rsid w:val="750B3ACA"/>
    <w:rsid w:val="750BAF32"/>
    <w:rsid w:val="750C1FD1"/>
    <w:rsid w:val="750C6925"/>
    <w:rsid w:val="750DAC39"/>
    <w:rsid w:val="750DCBB7"/>
    <w:rsid w:val="750DD913"/>
    <w:rsid w:val="750E2128"/>
    <w:rsid w:val="750E507D"/>
    <w:rsid w:val="750F45CB"/>
    <w:rsid w:val="750F9CB5"/>
    <w:rsid w:val="751117ED"/>
    <w:rsid w:val="7511291F"/>
    <w:rsid w:val="751167D7"/>
    <w:rsid w:val="751167F2"/>
    <w:rsid w:val="75118D27"/>
    <w:rsid w:val="7512F913"/>
    <w:rsid w:val="75132393"/>
    <w:rsid w:val="75136A84"/>
    <w:rsid w:val="7513D737"/>
    <w:rsid w:val="751576FC"/>
    <w:rsid w:val="7515ED12"/>
    <w:rsid w:val="75166AE0"/>
    <w:rsid w:val="7516704F"/>
    <w:rsid w:val="751688D1"/>
    <w:rsid w:val="751704CA"/>
    <w:rsid w:val="751706A0"/>
    <w:rsid w:val="7517251F"/>
    <w:rsid w:val="7517BC33"/>
    <w:rsid w:val="751991A7"/>
    <w:rsid w:val="751C13E2"/>
    <w:rsid w:val="751D3175"/>
    <w:rsid w:val="751E2ECD"/>
    <w:rsid w:val="751E7389"/>
    <w:rsid w:val="751F7C4D"/>
    <w:rsid w:val="751FA97C"/>
    <w:rsid w:val="751FF94E"/>
    <w:rsid w:val="75202274"/>
    <w:rsid w:val="75202CE7"/>
    <w:rsid w:val="752062C3"/>
    <w:rsid w:val="752072E6"/>
    <w:rsid w:val="7520BD07"/>
    <w:rsid w:val="7521CEF9"/>
    <w:rsid w:val="752256C3"/>
    <w:rsid w:val="7522B76E"/>
    <w:rsid w:val="752332A2"/>
    <w:rsid w:val="75237690"/>
    <w:rsid w:val="75243D00"/>
    <w:rsid w:val="752494C3"/>
    <w:rsid w:val="752575FC"/>
    <w:rsid w:val="7525A02C"/>
    <w:rsid w:val="7525EB8C"/>
    <w:rsid w:val="75279C71"/>
    <w:rsid w:val="752879B9"/>
    <w:rsid w:val="7528DF5B"/>
    <w:rsid w:val="7528EAF1"/>
    <w:rsid w:val="7528F6AF"/>
    <w:rsid w:val="75290828"/>
    <w:rsid w:val="752A4574"/>
    <w:rsid w:val="752A9CEF"/>
    <w:rsid w:val="752AD170"/>
    <w:rsid w:val="752BC7FA"/>
    <w:rsid w:val="752C0407"/>
    <w:rsid w:val="752D4471"/>
    <w:rsid w:val="752EFA2A"/>
    <w:rsid w:val="752F82B2"/>
    <w:rsid w:val="75301A6F"/>
    <w:rsid w:val="75309E66"/>
    <w:rsid w:val="7530AB74"/>
    <w:rsid w:val="753134D6"/>
    <w:rsid w:val="75315415"/>
    <w:rsid w:val="75316E6A"/>
    <w:rsid w:val="7531DF08"/>
    <w:rsid w:val="75326B0D"/>
    <w:rsid w:val="75334FF2"/>
    <w:rsid w:val="75345058"/>
    <w:rsid w:val="7534AB02"/>
    <w:rsid w:val="7535FD30"/>
    <w:rsid w:val="75363F5A"/>
    <w:rsid w:val="7536C7AA"/>
    <w:rsid w:val="75375245"/>
    <w:rsid w:val="7537ECBD"/>
    <w:rsid w:val="7539855D"/>
    <w:rsid w:val="753BB23B"/>
    <w:rsid w:val="753CABE8"/>
    <w:rsid w:val="753CC5F3"/>
    <w:rsid w:val="753D5AB0"/>
    <w:rsid w:val="753E19D8"/>
    <w:rsid w:val="753E1B54"/>
    <w:rsid w:val="753EB295"/>
    <w:rsid w:val="753F0485"/>
    <w:rsid w:val="753FF677"/>
    <w:rsid w:val="753FF8AD"/>
    <w:rsid w:val="7541493B"/>
    <w:rsid w:val="754201BD"/>
    <w:rsid w:val="75422E1B"/>
    <w:rsid w:val="754274D9"/>
    <w:rsid w:val="754377A3"/>
    <w:rsid w:val="7543798E"/>
    <w:rsid w:val="7545C199"/>
    <w:rsid w:val="7545C98A"/>
    <w:rsid w:val="7546CD1F"/>
    <w:rsid w:val="7547C2A2"/>
    <w:rsid w:val="7547CE1B"/>
    <w:rsid w:val="7547DCBB"/>
    <w:rsid w:val="7549CDA7"/>
    <w:rsid w:val="754A714C"/>
    <w:rsid w:val="754ACE99"/>
    <w:rsid w:val="754B3BFF"/>
    <w:rsid w:val="754C3FD2"/>
    <w:rsid w:val="754D33E9"/>
    <w:rsid w:val="754DD540"/>
    <w:rsid w:val="754DDA27"/>
    <w:rsid w:val="754DE867"/>
    <w:rsid w:val="754E7EBF"/>
    <w:rsid w:val="754F6761"/>
    <w:rsid w:val="7550F3A7"/>
    <w:rsid w:val="75510AA3"/>
    <w:rsid w:val="75510C56"/>
    <w:rsid w:val="75516784"/>
    <w:rsid w:val="75516F92"/>
    <w:rsid w:val="7551BB94"/>
    <w:rsid w:val="75528DE0"/>
    <w:rsid w:val="755310AB"/>
    <w:rsid w:val="755325CE"/>
    <w:rsid w:val="7553302B"/>
    <w:rsid w:val="7553FDD7"/>
    <w:rsid w:val="7554BFD5"/>
    <w:rsid w:val="75553729"/>
    <w:rsid w:val="755756B5"/>
    <w:rsid w:val="7558BB58"/>
    <w:rsid w:val="7559924E"/>
    <w:rsid w:val="755A0444"/>
    <w:rsid w:val="755A2210"/>
    <w:rsid w:val="755A5FE5"/>
    <w:rsid w:val="755A99E1"/>
    <w:rsid w:val="755B038A"/>
    <w:rsid w:val="755B1CA8"/>
    <w:rsid w:val="755C2342"/>
    <w:rsid w:val="755CC1FF"/>
    <w:rsid w:val="755CF0C2"/>
    <w:rsid w:val="755F2CC4"/>
    <w:rsid w:val="755FFDEF"/>
    <w:rsid w:val="75618F1E"/>
    <w:rsid w:val="7562014B"/>
    <w:rsid w:val="756433C7"/>
    <w:rsid w:val="75646F6C"/>
    <w:rsid w:val="7564DEA9"/>
    <w:rsid w:val="75650BC2"/>
    <w:rsid w:val="75659547"/>
    <w:rsid w:val="7565A6CE"/>
    <w:rsid w:val="7566C992"/>
    <w:rsid w:val="75672104"/>
    <w:rsid w:val="7567B7C5"/>
    <w:rsid w:val="7567F748"/>
    <w:rsid w:val="7568321B"/>
    <w:rsid w:val="7568B52D"/>
    <w:rsid w:val="7569B4A4"/>
    <w:rsid w:val="756B2A75"/>
    <w:rsid w:val="756BF79D"/>
    <w:rsid w:val="756D0DE9"/>
    <w:rsid w:val="756D177C"/>
    <w:rsid w:val="756D9C19"/>
    <w:rsid w:val="756DA26A"/>
    <w:rsid w:val="756DEC6E"/>
    <w:rsid w:val="756DFA50"/>
    <w:rsid w:val="756E49A6"/>
    <w:rsid w:val="756EC724"/>
    <w:rsid w:val="756EE562"/>
    <w:rsid w:val="756F111E"/>
    <w:rsid w:val="756F29EB"/>
    <w:rsid w:val="756FAB7B"/>
    <w:rsid w:val="75707C99"/>
    <w:rsid w:val="7570A541"/>
    <w:rsid w:val="75711A14"/>
    <w:rsid w:val="75717B98"/>
    <w:rsid w:val="7571974C"/>
    <w:rsid w:val="75723672"/>
    <w:rsid w:val="75730B37"/>
    <w:rsid w:val="75732483"/>
    <w:rsid w:val="7573D95E"/>
    <w:rsid w:val="7573EB46"/>
    <w:rsid w:val="75760E13"/>
    <w:rsid w:val="75779E05"/>
    <w:rsid w:val="7577EC0F"/>
    <w:rsid w:val="757807F1"/>
    <w:rsid w:val="7579BA3E"/>
    <w:rsid w:val="7579D552"/>
    <w:rsid w:val="757AA2BA"/>
    <w:rsid w:val="757AEBC8"/>
    <w:rsid w:val="757B240A"/>
    <w:rsid w:val="757B5920"/>
    <w:rsid w:val="757BD227"/>
    <w:rsid w:val="757CEA6F"/>
    <w:rsid w:val="757CF688"/>
    <w:rsid w:val="757D54AE"/>
    <w:rsid w:val="757DEEF9"/>
    <w:rsid w:val="757ED754"/>
    <w:rsid w:val="757EEB6A"/>
    <w:rsid w:val="757EF634"/>
    <w:rsid w:val="757F4298"/>
    <w:rsid w:val="757F735C"/>
    <w:rsid w:val="757FE979"/>
    <w:rsid w:val="7580059A"/>
    <w:rsid w:val="758035C1"/>
    <w:rsid w:val="7580A20A"/>
    <w:rsid w:val="7581B889"/>
    <w:rsid w:val="75826B8C"/>
    <w:rsid w:val="758277B7"/>
    <w:rsid w:val="75837822"/>
    <w:rsid w:val="758470BB"/>
    <w:rsid w:val="7584BB4F"/>
    <w:rsid w:val="7584FB24"/>
    <w:rsid w:val="75851F76"/>
    <w:rsid w:val="75858621"/>
    <w:rsid w:val="75858999"/>
    <w:rsid w:val="7585D448"/>
    <w:rsid w:val="7585E6E9"/>
    <w:rsid w:val="75867108"/>
    <w:rsid w:val="75867FF1"/>
    <w:rsid w:val="75872965"/>
    <w:rsid w:val="75876C35"/>
    <w:rsid w:val="75878B29"/>
    <w:rsid w:val="7587ADC5"/>
    <w:rsid w:val="758802A1"/>
    <w:rsid w:val="758873CE"/>
    <w:rsid w:val="758A7B4B"/>
    <w:rsid w:val="758BC014"/>
    <w:rsid w:val="758C6C0D"/>
    <w:rsid w:val="758DFD97"/>
    <w:rsid w:val="758E7262"/>
    <w:rsid w:val="758EE621"/>
    <w:rsid w:val="758F2B69"/>
    <w:rsid w:val="758F31B4"/>
    <w:rsid w:val="758FC563"/>
    <w:rsid w:val="758FF017"/>
    <w:rsid w:val="75900399"/>
    <w:rsid w:val="75900E8F"/>
    <w:rsid w:val="75905F8D"/>
    <w:rsid w:val="7590FEF8"/>
    <w:rsid w:val="7591C16B"/>
    <w:rsid w:val="7592299A"/>
    <w:rsid w:val="7593824A"/>
    <w:rsid w:val="7593837A"/>
    <w:rsid w:val="759407A2"/>
    <w:rsid w:val="7595494C"/>
    <w:rsid w:val="759551CB"/>
    <w:rsid w:val="75958199"/>
    <w:rsid w:val="7596C9F8"/>
    <w:rsid w:val="759815BE"/>
    <w:rsid w:val="7598A867"/>
    <w:rsid w:val="7598BFDF"/>
    <w:rsid w:val="7599F64B"/>
    <w:rsid w:val="759A6933"/>
    <w:rsid w:val="759B84CA"/>
    <w:rsid w:val="759BBA46"/>
    <w:rsid w:val="759C5F9C"/>
    <w:rsid w:val="759C624B"/>
    <w:rsid w:val="759C8AAF"/>
    <w:rsid w:val="759D80D8"/>
    <w:rsid w:val="759D8AA9"/>
    <w:rsid w:val="759DB2E3"/>
    <w:rsid w:val="759E091B"/>
    <w:rsid w:val="759E3822"/>
    <w:rsid w:val="759F3DC5"/>
    <w:rsid w:val="759F8815"/>
    <w:rsid w:val="759F8CD2"/>
    <w:rsid w:val="75A00475"/>
    <w:rsid w:val="75A1D12E"/>
    <w:rsid w:val="75A226F8"/>
    <w:rsid w:val="75A33242"/>
    <w:rsid w:val="75A40556"/>
    <w:rsid w:val="75A52C83"/>
    <w:rsid w:val="75A53E14"/>
    <w:rsid w:val="75A630D0"/>
    <w:rsid w:val="75A69593"/>
    <w:rsid w:val="75A6E184"/>
    <w:rsid w:val="75A70655"/>
    <w:rsid w:val="75A7C766"/>
    <w:rsid w:val="75A7F0F3"/>
    <w:rsid w:val="75A8781C"/>
    <w:rsid w:val="75A9958D"/>
    <w:rsid w:val="75AA9402"/>
    <w:rsid w:val="75AACD59"/>
    <w:rsid w:val="75AAE728"/>
    <w:rsid w:val="75AB6461"/>
    <w:rsid w:val="75AB987F"/>
    <w:rsid w:val="75AD9584"/>
    <w:rsid w:val="75AE16A5"/>
    <w:rsid w:val="75AE7232"/>
    <w:rsid w:val="75AF0F1F"/>
    <w:rsid w:val="75B229C8"/>
    <w:rsid w:val="75B23368"/>
    <w:rsid w:val="75B338AE"/>
    <w:rsid w:val="75B3D6B8"/>
    <w:rsid w:val="75B3F63C"/>
    <w:rsid w:val="75B54223"/>
    <w:rsid w:val="75B5AC73"/>
    <w:rsid w:val="75B7EEF0"/>
    <w:rsid w:val="75B85B4B"/>
    <w:rsid w:val="75B8BB9F"/>
    <w:rsid w:val="75B8E25F"/>
    <w:rsid w:val="75B9AD3C"/>
    <w:rsid w:val="75B9CB48"/>
    <w:rsid w:val="75BBC292"/>
    <w:rsid w:val="75BD1D11"/>
    <w:rsid w:val="75BD82F0"/>
    <w:rsid w:val="75BDC130"/>
    <w:rsid w:val="75BDDA92"/>
    <w:rsid w:val="75BECC3C"/>
    <w:rsid w:val="75BF5555"/>
    <w:rsid w:val="75BF8D8C"/>
    <w:rsid w:val="75BFFFAA"/>
    <w:rsid w:val="75C08A67"/>
    <w:rsid w:val="75C0F815"/>
    <w:rsid w:val="75C1DCA9"/>
    <w:rsid w:val="75C3C4EB"/>
    <w:rsid w:val="75C3FABB"/>
    <w:rsid w:val="75C43A73"/>
    <w:rsid w:val="75C54FEB"/>
    <w:rsid w:val="75C57C04"/>
    <w:rsid w:val="75C59179"/>
    <w:rsid w:val="75C69F59"/>
    <w:rsid w:val="75C6AEC4"/>
    <w:rsid w:val="75C8274C"/>
    <w:rsid w:val="75C833B0"/>
    <w:rsid w:val="75C934FE"/>
    <w:rsid w:val="75C96727"/>
    <w:rsid w:val="75C9A529"/>
    <w:rsid w:val="75CA86B8"/>
    <w:rsid w:val="75CAD7C0"/>
    <w:rsid w:val="75CD9A84"/>
    <w:rsid w:val="75CDE31E"/>
    <w:rsid w:val="75CDEC96"/>
    <w:rsid w:val="75CEADAA"/>
    <w:rsid w:val="75CEDE9C"/>
    <w:rsid w:val="75CF38D3"/>
    <w:rsid w:val="75CFCD44"/>
    <w:rsid w:val="75CFE7A1"/>
    <w:rsid w:val="75D037E7"/>
    <w:rsid w:val="75D09467"/>
    <w:rsid w:val="75D11A74"/>
    <w:rsid w:val="75D1A5F7"/>
    <w:rsid w:val="75D1C2B7"/>
    <w:rsid w:val="75D32D34"/>
    <w:rsid w:val="75D3B424"/>
    <w:rsid w:val="75D3B691"/>
    <w:rsid w:val="75D4A95E"/>
    <w:rsid w:val="75D4EF47"/>
    <w:rsid w:val="75D4FCF2"/>
    <w:rsid w:val="75D534FF"/>
    <w:rsid w:val="75D677F6"/>
    <w:rsid w:val="75D6E04A"/>
    <w:rsid w:val="75D8C1FB"/>
    <w:rsid w:val="75D941D0"/>
    <w:rsid w:val="75DA1542"/>
    <w:rsid w:val="75DA3951"/>
    <w:rsid w:val="75DB3955"/>
    <w:rsid w:val="75DD7E11"/>
    <w:rsid w:val="75DE66DC"/>
    <w:rsid w:val="75DEE6FD"/>
    <w:rsid w:val="75E04685"/>
    <w:rsid w:val="75E0CBC6"/>
    <w:rsid w:val="75E0D898"/>
    <w:rsid w:val="75E0ED26"/>
    <w:rsid w:val="75E123B4"/>
    <w:rsid w:val="75E24119"/>
    <w:rsid w:val="75E2B275"/>
    <w:rsid w:val="75E33B4D"/>
    <w:rsid w:val="75E363A0"/>
    <w:rsid w:val="75E4061F"/>
    <w:rsid w:val="75E4D684"/>
    <w:rsid w:val="75E4DBFB"/>
    <w:rsid w:val="75E4FC71"/>
    <w:rsid w:val="75E5341C"/>
    <w:rsid w:val="75E5A478"/>
    <w:rsid w:val="75E5DD03"/>
    <w:rsid w:val="75E62CC4"/>
    <w:rsid w:val="75E6A836"/>
    <w:rsid w:val="75E73725"/>
    <w:rsid w:val="75E7C525"/>
    <w:rsid w:val="75E82BE0"/>
    <w:rsid w:val="75E83F00"/>
    <w:rsid w:val="75E88186"/>
    <w:rsid w:val="75E8D54F"/>
    <w:rsid w:val="75E8DFB4"/>
    <w:rsid w:val="75E8ED34"/>
    <w:rsid w:val="75E903E8"/>
    <w:rsid w:val="75EA5A80"/>
    <w:rsid w:val="75EA6E4B"/>
    <w:rsid w:val="75EAE4F0"/>
    <w:rsid w:val="75ECBB27"/>
    <w:rsid w:val="75ECCF84"/>
    <w:rsid w:val="75EEAC12"/>
    <w:rsid w:val="75EFDBFE"/>
    <w:rsid w:val="75F09FF0"/>
    <w:rsid w:val="75F12A20"/>
    <w:rsid w:val="75F136F9"/>
    <w:rsid w:val="75F23DC5"/>
    <w:rsid w:val="75F27711"/>
    <w:rsid w:val="75F288A8"/>
    <w:rsid w:val="75F36F11"/>
    <w:rsid w:val="75F39C8C"/>
    <w:rsid w:val="75F51470"/>
    <w:rsid w:val="75F583CD"/>
    <w:rsid w:val="75F66185"/>
    <w:rsid w:val="75F6CC37"/>
    <w:rsid w:val="75F727F1"/>
    <w:rsid w:val="75F73261"/>
    <w:rsid w:val="75F955B6"/>
    <w:rsid w:val="75FA5B4C"/>
    <w:rsid w:val="75FACF8A"/>
    <w:rsid w:val="75FCD04D"/>
    <w:rsid w:val="75FCD6F6"/>
    <w:rsid w:val="75FCDA2F"/>
    <w:rsid w:val="75FEFC65"/>
    <w:rsid w:val="75FF2186"/>
    <w:rsid w:val="76006652"/>
    <w:rsid w:val="76010E7B"/>
    <w:rsid w:val="76013C8F"/>
    <w:rsid w:val="760147B1"/>
    <w:rsid w:val="76016051"/>
    <w:rsid w:val="76017333"/>
    <w:rsid w:val="7601FF09"/>
    <w:rsid w:val="76026D99"/>
    <w:rsid w:val="7603225B"/>
    <w:rsid w:val="7603B010"/>
    <w:rsid w:val="7603FE22"/>
    <w:rsid w:val="7604624A"/>
    <w:rsid w:val="7604684B"/>
    <w:rsid w:val="76050B8A"/>
    <w:rsid w:val="7605E640"/>
    <w:rsid w:val="76061EF0"/>
    <w:rsid w:val="7606643C"/>
    <w:rsid w:val="76069B51"/>
    <w:rsid w:val="760702B5"/>
    <w:rsid w:val="76076D2F"/>
    <w:rsid w:val="7607AE10"/>
    <w:rsid w:val="76085D1A"/>
    <w:rsid w:val="7608DC7C"/>
    <w:rsid w:val="7608E893"/>
    <w:rsid w:val="76091A6B"/>
    <w:rsid w:val="760933C5"/>
    <w:rsid w:val="760B045E"/>
    <w:rsid w:val="760B14EB"/>
    <w:rsid w:val="760C30B7"/>
    <w:rsid w:val="760C7479"/>
    <w:rsid w:val="760CA444"/>
    <w:rsid w:val="760D30AB"/>
    <w:rsid w:val="760E1635"/>
    <w:rsid w:val="760E9283"/>
    <w:rsid w:val="760EE0A6"/>
    <w:rsid w:val="76100093"/>
    <w:rsid w:val="76119C7B"/>
    <w:rsid w:val="76120F18"/>
    <w:rsid w:val="7612A269"/>
    <w:rsid w:val="7612B66C"/>
    <w:rsid w:val="7612C691"/>
    <w:rsid w:val="7612DAEB"/>
    <w:rsid w:val="76144073"/>
    <w:rsid w:val="7614A73A"/>
    <w:rsid w:val="7614ACEB"/>
    <w:rsid w:val="761519EE"/>
    <w:rsid w:val="761570DA"/>
    <w:rsid w:val="76157AEC"/>
    <w:rsid w:val="7617A4F2"/>
    <w:rsid w:val="76181422"/>
    <w:rsid w:val="7619A845"/>
    <w:rsid w:val="7619ACB3"/>
    <w:rsid w:val="761B4BCD"/>
    <w:rsid w:val="761B6C5C"/>
    <w:rsid w:val="761C55A6"/>
    <w:rsid w:val="761C8624"/>
    <w:rsid w:val="761D0950"/>
    <w:rsid w:val="761D9E6D"/>
    <w:rsid w:val="761DD169"/>
    <w:rsid w:val="761E1E09"/>
    <w:rsid w:val="761E3EBB"/>
    <w:rsid w:val="761E986E"/>
    <w:rsid w:val="761EBDF5"/>
    <w:rsid w:val="761F554F"/>
    <w:rsid w:val="761F793D"/>
    <w:rsid w:val="7620BE2B"/>
    <w:rsid w:val="76221F9C"/>
    <w:rsid w:val="76223139"/>
    <w:rsid w:val="7622FA2A"/>
    <w:rsid w:val="7623999F"/>
    <w:rsid w:val="7625E549"/>
    <w:rsid w:val="76263DDB"/>
    <w:rsid w:val="76268258"/>
    <w:rsid w:val="7626F794"/>
    <w:rsid w:val="762703E8"/>
    <w:rsid w:val="76274233"/>
    <w:rsid w:val="76279AF5"/>
    <w:rsid w:val="762AA50D"/>
    <w:rsid w:val="762AC39F"/>
    <w:rsid w:val="762B4BFC"/>
    <w:rsid w:val="762BC5D4"/>
    <w:rsid w:val="762C68E8"/>
    <w:rsid w:val="762D0E98"/>
    <w:rsid w:val="762D112A"/>
    <w:rsid w:val="762D8BC8"/>
    <w:rsid w:val="762E3609"/>
    <w:rsid w:val="762E42D3"/>
    <w:rsid w:val="762FAB84"/>
    <w:rsid w:val="762FACD0"/>
    <w:rsid w:val="762FB847"/>
    <w:rsid w:val="762FC181"/>
    <w:rsid w:val="763043CA"/>
    <w:rsid w:val="76319CEF"/>
    <w:rsid w:val="76325D96"/>
    <w:rsid w:val="763320EE"/>
    <w:rsid w:val="7633278C"/>
    <w:rsid w:val="76340063"/>
    <w:rsid w:val="76354820"/>
    <w:rsid w:val="76354EAE"/>
    <w:rsid w:val="76359D08"/>
    <w:rsid w:val="76359DCE"/>
    <w:rsid w:val="76362600"/>
    <w:rsid w:val="76364A41"/>
    <w:rsid w:val="7636B8F1"/>
    <w:rsid w:val="763772A3"/>
    <w:rsid w:val="76377CB8"/>
    <w:rsid w:val="7637B0DB"/>
    <w:rsid w:val="7638F320"/>
    <w:rsid w:val="763A31C5"/>
    <w:rsid w:val="763A9CF1"/>
    <w:rsid w:val="763AB692"/>
    <w:rsid w:val="763AF70A"/>
    <w:rsid w:val="763B4F8D"/>
    <w:rsid w:val="763B70B3"/>
    <w:rsid w:val="763C5F22"/>
    <w:rsid w:val="763CE1E8"/>
    <w:rsid w:val="763D275E"/>
    <w:rsid w:val="763D37D4"/>
    <w:rsid w:val="763D9371"/>
    <w:rsid w:val="763DE2DD"/>
    <w:rsid w:val="763E77B8"/>
    <w:rsid w:val="763EE320"/>
    <w:rsid w:val="763F07DF"/>
    <w:rsid w:val="763F208F"/>
    <w:rsid w:val="763FF4B4"/>
    <w:rsid w:val="7642632C"/>
    <w:rsid w:val="7642AD06"/>
    <w:rsid w:val="7642F303"/>
    <w:rsid w:val="76438885"/>
    <w:rsid w:val="764395DE"/>
    <w:rsid w:val="7643D4C6"/>
    <w:rsid w:val="76444D68"/>
    <w:rsid w:val="76451A59"/>
    <w:rsid w:val="76461072"/>
    <w:rsid w:val="76461178"/>
    <w:rsid w:val="764691F1"/>
    <w:rsid w:val="76478634"/>
    <w:rsid w:val="76479F6A"/>
    <w:rsid w:val="7648AA8D"/>
    <w:rsid w:val="7649FDF9"/>
    <w:rsid w:val="764A50CC"/>
    <w:rsid w:val="764ACF3A"/>
    <w:rsid w:val="764AFCEA"/>
    <w:rsid w:val="764B36BB"/>
    <w:rsid w:val="764B3940"/>
    <w:rsid w:val="764B776A"/>
    <w:rsid w:val="764BAB2C"/>
    <w:rsid w:val="764BD064"/>
    <w:rsid w:val="764C2AE0"/>
    <w:rsid w:val="764C9AF0"/>
    <w:rsid w:val="764D0A57"/>
    <w:rsid w:val="764E8C6B"/>
    <w:rsid w:val="764FCAD2"/>
    <w:rsid w:val="765017E8"/>
    <w:rsid w:val="76505AE5"/>
    <w:rsid w:val="76511E10"/>
    <w:rsid w:val="76512BDB"/>
    <w:rsid w:val="7652D173"/>
    <w:rsid w:val="7653082D"/>
    <w:rsid w:val="7653B0D0"/>
    <w:rsid w:val="7653B952"/>
    <w:rsid w:val="76546C49"/>
    <w:rsid w:val="76554FFB"/>
    <w:rsid w:val="76566F80"/>
    <w:rsid w:val="7656C5C9"/>
    <w:rsid w:val="76581C54"/>
    <w:rsid w:val="7658978B"/>
    <w:rsid w:val="7659067D"/>
    <w:rsid w:val="765AA816"/>
    <w:rsid w:val="765AF661"/>
    <w:rsid w:val="765B4802"/>
    <w:rsid w:val="765C501C"/>
    <w:rsid w:val="765C6EC4"/>
    <w:rsid w:val="765CC7F8"/>
    <w:rsid w:val="765D97D5"/>
    <w:rsid w:val="765EADCD"/>
    <w:rsid w:val="765F1047"/>
    <w:rsid w:val="766051C6"/>
    <w:rsid w:val="7660FBA8"/>
    <w:rsid w:val="7661C591"/>
    <w:rsid w:val="76635D59"/>
    <w:rsid w:val="7664B16B"/>
    <w:rsid w:val="76662187"/>
    <w:rsid w:val="7666A62A"/>
    <w:rsid w:val="7667433C"/>
    <w:rsid w:val="76680CC3"/>
    <w:rsid w:val="76682FB4"/>
    <w:rsid w:val="766861A2"/>
    <w:rsid w:val="766913B2"/>
    <w:rsid w:val="76696E0E"/>
    <w:rsid w:val="7669A973"/>
    <w:rsid w:val="766A15F3"/>
    <w:rsid w:val="766A3E3E"/>
    <w:rsid w:val="766C1CEB"/>
    <w:rsid w:val="766CF76B"/>
    <w:rsid w:val="766E0FC7"/>
    <w:rsid w:val="766E1125"/>
    <w:rsid w:val="766E47F9"/>
    <w:rsid w:val="766EC6A9"/>
    <w:rsid w:val="766EC70D"/>
    <w:rsid w:val="766F5BF9"/>
    <w:rsid w:val="766FB275"/>
    <w:rsid w:val="76706FAA"/>
    <w:rsid w:val="76709787"/>
    <w:rsid w:val="76714B0C"/>
    <w:rsid w:val="7671B1EA"/>
    <w:rsid w:val="7671EABB"/>
    <w:rsid w:val="7673B9D8"/>
    <w:rsid w:val="7674C859"/>
    <w:rsid w:val="76759233"/>
    <w:rsid w:val="7675EB60"/>
    <w:rsid w:val="767669F5"/>
    <w:rsid w:val="7677F777"/>
    <w:rsid w:val="7678427F"/>
    <w:rsid w:val="76785A23"/>
    <w:rsid w:val="76793D02"/>
    <w:rsid w:val="76796529"/>
    <w:rsid w:val="7679AEE6"/>
    <w:rsid w:val="767A117A"/>
    <w:rsid w:val="767A8769"/>
    <w:rsid w:val="767A92F8"/>
    <w:rsid w:val="767B5078"/>
    <w:rsid w:val="767BB7F0"/>
    <w:rsid w:val="767BCFDE"/>
    <w:rsid w:val="767D2875"/>
    <w:rsid w:val="767D3C1E"/>
    <w:rsid w:val="767D9247"/>
    <w:rsid w:val="767DFD3C"/>
    <w:rsid w:val="767F67DA"/>
    <w:rsid w:val="768122FE"/>
    <w:rsid w:val="7681266C"/>
    <w:rsid w:val="7681352A"/>
    <w:rsid w:val="768204DB"/>
    <w:rsid w:val="76820B4C"/>
    <w:rsid w:val="768231AE"/>
    <w:rsid w:val="76823D69"/>
    <w:rsid w:val="768318C3"/>
    <w:rsid w:val="7683C0ED"/>
    <w:rsid w:val="7683E58F"/>
    <w:rsid w:val="768444FF"/>
    <w:rsid w:val="7684CDFF"/>
    <w:rsid w:val="7684D123"/>
    <w:rsid w:val="76850F30"/>
    <w:rsid w:val="7685901F"/>
    <w:rsid w:val="7685AAC6"/>
    <w:rsid w:val="7685B5B8"/>
    <w:rsid w:val="7687AAE8"/>
    <w:rsid w:val="7688412B"/>
    <w:rsid w:val="7688434B"/>
    <w:rsid w:val="7688DBCB"/>
    <w:rsid w:val="76892B0E"/>
    <w:rsid w:val="7689AED9"/>
    <w:rsid w:val="768ADB3A"/>
    <w:rsid w:val="768B8127"/>
    <w:rsid w:val="768C458F"/>
    <w:rsid w:val="768CAE8C"/>
    <w:rsid w:val="768F021B"/>
    <w:rsid w:val="768F0F48"/>
    <w:rsid w:val="768F15F1"/>
    <w:rsid w:val="768F7DD7"/>
    <w:rsid w:val="769095CC"/>
    <w:rsid w:val="7690CE81"/>
    <w:rsid w:val="7690D05A"/>
    <w:rsid w:val="7692543A"/>
    <w:rsid w:val="76926F48"/>
    <w:rsid w:val="769309FC"/>
    <w:rsid w:val="76940F72"/>
    <w:rsid w:val="7694B52B"/>
    <w:rsid w:val="76956516"/>
    <w:rsid w:val="76959742"/>
    <w:rsid w:val="7695C910"/>
    <w:rsid w:val="7695D53E"/>
    <w:rsid w:val="7696D638"/>
    <w:rsid w:val="7697A961"/>
    <w:rsid w:val="769858AA"/>
    <w:rsid w:val="7699AA53"/>
    <w:rsid w:val="769A36F1"/>
    <w:rsid w:val="769AB142"/>
    <w:rsid w:val="769B2774"/>
    <w:rsid w:val="769BA0C7"/>
    <w:rsid w:val="769CA629"/>
    <w:rsid w:val="769D7B28"/>
    <w:rsid w:val="769DDEA8"/>
    <w:rsid w:val="769DEE50"/>
    <w:rsid w:val="769EA171"/>
    <w:rsid w:val="769EBABA"/>
    <w:rsid w:val="769EF25C"/>
    <w:rsid w:val="769F58B5"/>
    <w:rsid w:val="76A0F00D"/>
    <w:rsid w:val="76A0FACF"/>
    <w:rsid w:val="76A18609"/>
    <w:rsid w:val="76A194E8"/>
    <w:rsid w:val="76A1D115"/>
    <w:rsid w:val="76A411D5"/>
    <w:rsid w:val="76A4787F"/>
    <w:rsid w:val="76A4A521"/>
    <w:rsid w:val="76A67545"/>
    <w:rsid w:val="76A6C44B"/>
    <w:rsid w:val="76A77A99"/>
    <w:rsid w:val="76AA4A18"/>
    <w:rsid w:val="76AAC7DF"/>
    <w:rsid w:val="76ABE49E"/>
    <w:rsid w:val="76AC43D9"/>
    <w:rsid w:val="76ACA607"/>
    <w:rsid w:val="76ACA862"/>
    <w:rsid w:val="76ADA030"/>
    <w:rsid w:val="76B0BDF6"/>
    <w:rsid w:val="76B0FE39"/>
    <w:rsid w:val="76B1366A"/>
    <w:rsid w:val="76B178C2"/>
    <w:rsid w:val="76B1ABD2"/>
    <w:rsid w:val="76B1F046"/>
    <w:rsid w:val="76B2B882"/>
    <w:rsid w:val="76B317D8"/>
    <w:rsid w:val="76B37390"/>
    <w:rsid w:val="76B457C7"/>
    <w:rsid w:val="76B4BFA4"/>
    <w:rsid w:val="76B6B542"/>
    <w:rsid w:val="76B6D6C2"/>
    <w:rsid w:val="76B70C1B"/>
    <w:rsid w:val="76B8426C"/>
    <w:rsid w:val="76B8826B"/>
    <w:rsid w:val="76B936F5"/>
    <w:rsid w:val="76B96BFA"/>
    <w:rsid w:val="76B98936"/>
    <w:rsid w:val="76B9CFAA"/>
    <w:rsid w:val="76BC7A05"/>
    <w:rsid w:val="76BC824C"/>
    <w:rsid w:val="76BD1942"/>
    <w:rsid w:val="76BDC873"/>
    <w:rsid w:val="76BE146B"/>
    <w:rsid w:val="76BE3A62"/>
    <w:rsid w:val="76BEB570"/>
    <w:rsid w:val="76BEF1E3"/>
    <w:rsid w:val="76BF2051"/>
    <w:rsid w:val="76BF6A3A"/>
    <w:rsid w:val="76BF876F"/>
    <w:rsid w:val="76BFAF38"/>
    <w:rsid w:val="76C0C182"/>
    <w:rsid w:val="76C0CBC8"/>
    <w:rsid w:val="76C0FF70"/>
    <w:rsid w:val="76C233D0"/>
    <w:rsid w:val="76C24F38"/>
    <w:rsid w:val="76C279A4"/>
    <w:rsid w:val="76C2978E"/>
    <w:rsid w:val="76C36623"/>
    <w:rsid w:val="76C3DF86"/>
    <w:rsid w:val="76C48491"/>
    <w:rsid w:val="76C4A3D5"/>
    <w:rsid w:val="76C558A0"/>
    <w:rsid w:val="76C7C079"/>
    <w:rsid w:val="76C832FF"/>
    <w:rsid w:val="76C8A6F4"/>
    <w:rsid w:val="76C8C01D"/>
    <w:rsid w:val="76CB639E"/>
    <w:rsid w:val="76CC96ED"/>
    <w:rsid w:val="76CCEC6E"/>
    <w:rsid w:val="76CD2EDE"/>
    <w:rsid w:val="76CD97F2"/>
    <w:rsid w:val="76CE1675"/>
    <w:rsid w:val="76CEB04B"/>
    <w:rsid w:val="76CF626C"/>
    <w:rsid w:val="76CF7F21"/>
    <w:rsid w:val="76CFE5D0"/>
    <w:rsid w:val="76D00C4E"/>
    <w:rsid w:val="76D02F13"/>
    <w:rsid w:val="76D03A4F"/>
    <w:rsid w:val="76D060DF"/>
    <w:rsid w:val="76D0EF38"/>
    <w:rsid w:val="76D114CB"/>
    <w:rsid w:val="76D115F7"/>
    <w:rsid w:val="76D22F3E"/>
    <w:rsid w:val="76D3347F"/>
    <w:rsid w:val="76D491D1"/>
    <w:rsid w:val="76D4D473"/>
    <w:rsid w:val="76D58861"/>
    <w:rsid w:val="76D59B06"/>
    <w:rsid w:val="76D5ECBD"/>
    <w:rsid w:val="76D68668"/>
    <w:rsid w:val="76D6E494"/>
    <w:rsid w:val="76D83D7D"/>
    <w:rsid w:val="76D9E8E4"/>
    <w:rsid w:val="76DA1D78"/>
    <w:rsid w:val="76DBACC7"/>
    <w:rsid w:val="76DC314E"/>
    <w:rsid w:val="76DCC143"/>
    <w:rsid w:val="76DD52AF"/>
    <w:rsid w:val="76DE102D"/>
    <w:rsid w:val="76DF7AC4"/>
    <w:rsid w:val="76E10CA7"/>
    <w:rsid w:val="76E16E0E"/>
    <w:rsid w:val="76E17CCC"/>
    <w:rsid w:val="76E2DF22"/>
    <w:rsid w:val="76E2E5FD"/>
    <w:rsid w:val="76E39FD8"/>
    <w:rsid w:val="76E3A016"/>
    <w:rsid w:val="76E3E827"/>
    <w:rsid w:val="76E3EC90"/>
    <w:rsid w:val="76E3ED7D"/>
    <w:rsid w:val="76E40DA9"/>
    <w:rsid w:val="76E44B98"/>
    <w:rsid w:val="76E4563D"/>
    <w:rsid w:val="76E48221"/>
    <w:rsid w:val="76E49406"/>
    <w:rsid w:val="76E5B99D"/>
    <w:rsid w:val="76E6BA88"/>
    <w:rsid w:val="76E6D742"/>
    <w:rsid w:val="76E71CD7"/>
    <w:rsid w:val="76E7BCC3"/>
    <w:rsid w:val="76E7C1D1"/>
    <w:rsid w:val="76E8F6C3"/>
    <w:rsid w:val="76E98FC4"/>
    <w:rsid w:val="76E9A17C"/>
    <w:rsid w:val="76EB27D2"/>
    <w:rsid w:val="76EB5939"/>
    <w:rsid w:val="76ECF0D0"/>
    <w:rsid w:val="76EEAAEF"/>
    <w:rsid w:val="76EEB8A3"/>
    <w:rsid w:val="76EF5FA5"/>
    <w:rsid w:val="76EF94F0"/>
    <w:rsid w:val="76EF95B9"/>
    <w:rsid w:val="76F10699"/>
    <w:rsid w:val="76F1D14F"/>
    <w:rsid w:val="76F27DF3"/>
    <w:rsid w:val="76F28E7F"/>
    <w:rsid w:val="76F42C78"/>
    <w:rsid w:val="76F483B9"/>
    <w:rsid w:val="76F4E252"/>
    <w:rsid w:val="76F5DCA8"/>
    <w:rsid w:val="76F664E3"/>
    <w:rsid w:val="76F77290"/>
    <w:rsid w:val="76F7CFC7"/>
    <w:rsid w:val="76F88204"/>
    <w:rsid w:val="76F9ED42"/>
    <w:rsid w:val="76F9F338"/>
    <w:rsid w:val="76FA5502"/>
    <w:rsid w:val="76FA8C38"/>
    <w:rsid w:val="76FB5FC2"/>
    <w:rsid w:val="76FBE045"/>
    <w:rsid w:val="76FC7B94"/>
    <w:rsid w:val="76FCE3CB"/>
    <w:rsid w:val="76FCE5CD"/>
    <w:rsid w:val="76FDB1CC"/>
    <w:rsid w:val="76FE3C1B"/>
    <w:rsid w:val="76FEC74B"/>
    <w:rsid w:val="76FEE39B"/>
    <w:rsid w:val="7700933A"/>
    <w:rsid w:val="7700EABF"/>
    <w:rsid w:val="7700F130"/>
    <w:rsid w:val="77010DB2"/>
    <w:rsid w:val="77017B1A"/>
    <w:rsid w:val="7701B77F"/>
    <w:rsid w:val="77023FBE"/>
    <w:rsid w:val="77035AFF"/>
    <w:rsid w:val="770383ED"/>
    <w:rsid w:val="7705D356"/>
    <w:rsid w:val="77060A0D"/>
    <w:rsid w:val="77067981"/>
    <w:rsid w:val="77069D4C"/>
    <w:rsid w:val="770724D3"/>
    <w:rsid w:val="77075B04"/>
    <w:rsid w:val="770854F3"/>
    <w:rsid w:val="77087FBB"/>
    <w:rsid w:val="770C6099"/>
    <w:rsid w:val="770CAA22"/>
    <w:rsid w:val="770CC6A6"/>
    <w:rsid w:val="770D5EAE"/>
    <w:rsid w:val="770DBEE7"/>
    <w:rsid w:val="770F002C"/>
    <w:rsid w:val="7710BA2C"/>
    <w:rsid w:val="7711AA75"/>
    <w:rsid w:val="77126CE8"/>
    <w:rsid w:val="7713C0A6"/>
    <w:rsid w:val="7713C636"/>
    <w:rsid w:val="771451A7"/>
    <w:rsid w:val="77154BDE"/>
    <w:rsid w:val="7715AF6C"/>
    <w:rsid w:val="771639EF"/>
    <w:rsid w:val="771644AE"/>
    <w:rsid w:val="7716D837"/>
    <w:rsid w:val="77180E28"/>
    <w:rsid w:val="77182B4C"/>
    <w:rsid w:val="77185430"/>
    <w:rsid w:val="77186059"/>
    <w:rsid w:val="771A2780"/>
    <w:rsid w:val="771A98E2"/>
    <w:rsid w:val="771B29A9"/>
    <w:rsid w:val="771B2F05"/>
    <w:rsid w:val="771BE11C"/>
    <w:rsid w:val="771C24C7"/>
    <w:rsid w:val="771C873A"/>
    <w:rsid w:val="771D0C78"/>
    <w:rsid w:val="771D608A"/>
    <w:rsid w:val="771EBF3D"/>
    <w:rsid w:val="771F68BE"/>
    <w:rsid w:val="771F96E1"/>
    <w:rsid w:val="772029BB"/>
    <w:rsid w:val="77218E78"/>
    <w:rsid w:val="77219CF9"/>
    <w:rsid w:val="7721EC53"/>
    <w:rsid w:val="7722121F"/>
    <w:rsid w:val="772249E3"/>
    <w:rsid w:val="7722AA17"/>
    <w:rsid w:val="77234357"/>
    <w:rsid w:val="77244DD7"/>
    <w:rsid w:val="77245114"/>
    <w:rsid w:val="77246400"/>
    <w:rsid w:val="7724F1A8"/>
    <w:rsid w:val="77256DA5"/>
    <w:rsid w:val="77263AD2"/>
    <w:rsid w:val="7726EE7A"/>
    <w:rsid w:val="7726F53E"/>
    <w:rsid w:val="7727D783"/>
    <w:rsid w:val="77280D70"/>
    <w:rsid w:val="77281395"/>
    <w:rsid w:val="7728AE04"/>
    <w:rsid w:val="7728C6F1"/>
    <w:rsid w:val="7728F935"/>
    <w:rsid w:val="7729173E"/>
    <w:rsid w:val="77299985"/>
    <w:rsid w:val="772A707C"/>
    <w:rsid w:val="772B1CA0"/>
    <w:rsid w:val="772C54CB"/>
    <w:rsid w:val="77315BEE"/>
    <w:rsid w:val="77328C63"/>
    <w:rsid w:val="77329B9C"/>
    <w:rsid w:val="7733BC24"/>
    <w:rsid w:val="7734B412"/>
    <w:rsid w:val="7735C5F7"/>
    <w:rsid w:val="7736C778"/>
    <w:rsid w:val="773853A9"/>
    <w:rsid w:val="77394A75"/>
    <w:rsid w:val="77394FAE"/>
    <w:rsid w:val="773A8BC7"/>
    <w:rsid w:val="773AD594"/>
    <w:rsid w:val="773B2C04"/>
    <w:rsid w:val="773B2F02"/>
    <w:rsid w:val="773B8D0C"/>
    <w:rsid w:val="773B9066"/>
    <w:rsid w:val="773BB37E"/>
    <w:rsid w:val="773C32C8"/>
    <w:rsid w:val="773CC1ED"/>
    <w:rsid w:val="773D19F2"/>
    <w:rsid w:val="773D4A16"/>
    <w:rsid w:val="773DEB56"/>
    <w:rsid w:val="773E149E"/>
    <w:rsid w:val="773F3FAE"/>
    <w:rsid w:val="773F8C6C"/>
    <w:rsid w:val="77402622"/>
    <w:rsid w:val="77403AE7"/>
    <w:rsid w:val="7741568D"/>
    <w:rsid w:val="774174C4"/>
    <w:rsid w:val="77421A83"/>
    <w:rsid w:val="77421B64"/>
    <w:rsid w:val="77427973"/>
    <w:rsid w:val="7742B5DC"/>
    <w:rsid w:val="774328D3"/>
    <w:rsid w:val="77435769"/>
    <w:rsid w:val="77441414"/>
    <w:rsid w:val="77444A6B"/>
    <w:rsid w:val="77444EA0"/>
    <w:rsid w:val="77445653"/>
    <w:rsid w:val="77448103"/>
    <w:rsid w:val="7744B4CA"/>
    <w:rsid w:val="7744D6EE"/>
    <w:rsid w:val="7744E982"/>
    <w:rsid w:val="77452B3A"/>
    <w:rsid w:val="77458811"/>
    <w:rsid w:val="7746135C"/>
    <w:rsid w:val="77461BC3"/>
    <w:rsid w:val="77466133"/>
    <w:rsid w:val="7746C484"/>
    <w:rsid w:val="7746F86E"/>
    <w:rsid w:val="7747DF6B"/>
    <w:rsid w:val="77485CE1"/>
    <w:rsid w:val="7748E4A5"/>
    <w:rsid w:val="77494662"/>
    <w:rsid w:val="77496024"/>
    <w:rsid w:val="7749C2A9"/>
    <w:rsid w:val="774A09FB"/>
    <w:rsid w:val="774A0F82"/>
    <w:rsid w:val="774A82BF"/>
    <w:rsid w:val="774ABEC8"/>
    <w:rsid w:val="774C2ED1"/>
    <w:rsid w:val="774CC67D"/>
    <w:rsid w:val="774E946F"/>
    <w:rsid w:val="774F1F8F"/>
    <w:rsid w:val="774F44D3"/>
    <w:rsid w:val="774FE87B"/>
    <w:rsid w:val="77508C28"/>
    <w:rsid w:val="7750A27D"/>
    <w:rsid w:val="7750BFDA"/>
    <w:rsid w:val="775165E1"/>
    <w:rsid w:val="7754FFAA"/>
    <w:rsid w:val="775693D2"/>
    <w:rsid w:val="7756AA43"/>
    <w:rsid w:val="7756FB7F"/>
    <w:rsid w:val="7757D872"/>
    <w:rsid w:val="7757F94D"/>
    <w:rsid w:val="7758FA91"/>
    <w:rsid w:val="7759423E"/>
    <w:rsid w:val="77596E07"/>
    <w:rsid w:val="77599EBA"/>
    <w:rsid w:val="775AD18D"/>
    <w:rsid w:val="775B9491"/>
    <w:rsid w:val="775BBC74"/>
    <w:rsid w:val="775C8E99"/>
    <w:rsid w:val="775E3554"/>
    <w:rsid w:val="776067EC"/>
    <w:rsid w:val="77610543"/>
    <w:rsid w:val="7761C6D3"/>
    <w:rsid w:val="776245C5"/>
    <w:rsid w:val="77632EBD"/>
    <w:rsid w:val="77647301"/>
    <w:rsid w:val="77649AC2"/>
    <w:rsid w:val="7764A03C"/>
    <w:rsid w:val="7764EB27"/>
    <w:rsid w:val="7766200C"/>
    <w:rsid w:val="7766238A"/>
    <w:rsid w:val="776653BB"/>
    <w:rsid w:val="77673970"/>
    <w:rsid w:val="77689AC6"/>
    <w:rsid w:val="77691E4D"/>
    <w:rsid w:val="776945A4"/>
    <w:rsid w:val="7769B0E6"/>
    <w:rsid w:val="776B7A72"/>
    <w:rsid w:val="776B9EDD"/>
    <w:rsid w:val="776CADD3"/>
    <w:rsid w:val="776E336C"/>
    <w:rsid w:val="776F4E24"/>
    <w:rsid w:val="776FC69D"/>
    <w:rsid w:val="776FF488"/>
    <w:rsid w:val="7770EF77"/>
    <w:rsid w:val="77713603"/>
    <w:rsid w:val="777140CB"/>
    <w:rsid w:val="77718D8E"/>
    <w:rsid w:val="7772FC46"/>
    <w:rsid w:val="7773219F"/>
    <w:rsid w:val="7773A169"/>
    <w:rsid w:val="77740D02"/>
    <w:rsid w:val="7775A18A"/>
    <w:rsid w:val="7776A74E"/>
    <w:rsid w:val="77775C5B"/>
    <w:rsid w:val="77775DB1"/>
    <w:rsid w:val="7777B5AF"/>
    <w:rsid w:val="77784B1B"/>
    <w:rsid w:val="7779405F"/>
    <w:rsid w:val="777D469D"/>
    <w:rsid w:val="777D4F63"/>
    <w:rsid w:val="777E4B1A"/>
    <w:rsid w:val="777EB76C"/>
    <w:rsid w:val="777F0A17"/>
    <w:rsid w:val="777F2BAE"/>
    <w:rsid w:val="777F2ECD"/>
    <w:rsid w:val="777F4B00"/>
    <w:rsid w:val="777F876E"/>
    <w:rsid w:val="777FA957"/>
    <w:rsid w:val="77802DEE"/>
    <w:rsid w:val="778050B3"/>
    <w:rsid w:val="778151A7"/>
    <w:rsid w:val="7781C16C"/>
    <w:rsid w:val="7781F652"/>
    <w:rsid w:val="7784FA44"/>
    <w:rsid w:val="77852A17"/>
    <w:rsid w:val="77855D0B"/>
    <w:rsid w:val="7785764A"/>
    <w:rsid w:val="7785B3B6"/>
    <w:rsid w:val="77862B11"/>
    <w:rsid w:val="77863BE6"/>
    <w:rsid w:val="7787027D"/>
    <w:rsid w:val="77878759"/>
    <w:rsid w:val="7787E01E"/>
    <w:rsid w:val="7787E99F"/>
    <w:rsid w:val="77892781"/>
    <w:rsid w:val="778BEBC9"/>
    <w:rsid w:val="778C7092"/>
    <w:rsid w:val="778DFA5F"/>
    <w:rsid w:val="778EFC29"/>
    <w:rsid w:val="778FBA46"/>
    <w:rsid w:val="778FC5C2"/>
    <w:rsid w:val="77917E73"/>
    <w:rsid w:val="7791C020"/>
    <w:rsid w:val="77924900"/>
    <w:rsid w:val="7792FBBD"/>
    <w:rsid w:val="7793FCDA"/>
    <w:rsid w:val="77943965"/>
    <w:rsid w:val="77945255"/>
    <w:rsid w:val="77949DDC"/>
    <w:rsid w:val="7794CDA8"/>
    <w:rsid w:val="77953D0A"/>
    <w:rsid w:val="7795AA8D"/>
    <w:rsid w:val="77969FEB"/>
    <w:rsid w:val="7796B4F7"/>
    <w:rsid w:val="77975AA3"/>
    <w:rsid w:val="7797804A"/>
    <w:rsid w:val="77991242"/>
    <w:rsid w:val="77991478"/>
    <w:rsid w:val="779A007D"/>
    <w:rsid w:val="779B6D41"/>
    <w:rsid w:val="779BA634"/>
    <w:rsid w:val="779C34F7"/>
    <w:rsid w:val="779CD526"/>
    <w:rsid w:val="779D7156"/>
    <w:rsid w:val="779E10AE"/>
    <w:rsid w:val="779E33F3"/>
    <w:rsid w:val="779E4B07"/>
    <w:rsid w:val="77A019F0"/>
    <w:rsid w:val="77A15DD7"/>
    <w:rsid w:val="77A2507A"/>
    <w:rsid w:val="77A44695"/>
    <w:rsid w:val="77A46D05"/>
    <w:rsid w:val="77A4810B"/>
    <w:rsid w:val="77A4884F"/>
    <w:rsid w:val="77A50443"/>
    <w:rsid w:val="77A5E74B"/>
    <w:rsid w:val="77A62E33"/>
    <w:rsid w:val="77A68C29"/>
    <w:rsid w:val="77A7F298"/>
    <w:rsid w:val="77A8961F"/>
    <w:rsid w:val="77AA6995"/>
    <w:rsid w:val="77AB2936"/>
    <w:rsid w:val="77ACC08B"/>
    <w:rsid w:val="77ACC5C8"/>
    <w:rsid w:val="77ACCB32"/>
    <w:rsid w:val="77AD2754"/>
    <w:rsid w:val="77AE7D0D"/>
    <w:rsid w:val="77AEFCBE"/>
    <w:rsid w:val="77AF3761"/>
    <w:rsid w:val="77B0F400"/>
    <w:rsid w:val="77B1928A"/>
    <w:rsid w:val="77B1AF73"/>
    <w:rsid w:val="77B2FD1B"/>
    <w:rsid w:val="77B32C2A"/>
    <w:rsid w:val="77B356B2"/>
    <w:rsid w:val="77B36128"/>
    <w:rsid w:val="77B4A039"/>
    <w:rsid w:val="77B5298D"/>
    <w:rsid w:val="77B590D0"/>
    <w:rsid w:val="77B723B5"/>
    <w:rsid w:val="77B75E47"/>
    <w:rsid w:val="77B7F45A"/>
    <w:rsid w:val="77B8149F"/>
    <w:rsid w:val="77B8C3BE"/>
    <w:rsid w:val="77B95430"/>
    <w:rsid w:val="77B9B03F"/>
    <w:rsid w:val="77BAF4B4"/>
    <w:rsid w:val="77BB618B"/>
    <w:rsid w:val="77BBAEF9"/>
    <w:rsid w:val="77BC58BA"/>
    <w:rsid w:val="77BC929D"/>
    <w:rsid w:val="77BE2392"/>
    <w:rsid w:val="77BECABE"/>
    <w:rsid w:val="77BF01F7"/>
    <w:rsid w:val="77C02AC1"/>
    <w:rsid w:val="77C27681"/>
    <w:rsid w:val="77C33C31"/>
    <w:rsid w:val="77C38EE2"/>
    <w:rsid w:val="77C48D15"/>
    <w:rsid w:val="77C49588"/>
    <w:rsid w:val="77C4B22B"/>
    <w:rsid w:val="77C51F14"/>
    <w:rsid w:val="77C5240F"/>
    <w:rsid w:val="77C525DB"/>
    <w:rsid w:val="77C54DF0"/>
    <w:rsid w:val="77C5FDD8"/>
    <w:rsid w:val="77C61155"/>
    <w:rsid w:val="77C6EF1D"/>
    <w:rsid w:val="77C7FC37"/>
    <w:rsid w:val="77C8444F"/>
    <w:rsid w:val="77C8BB5D"/>
    <w:rsid w:val="77C90A95"/>
    <w:rsid w:val="77C9465F"/>
    <w:rsid w:val="77CA1C5A"/>
    <w:rsid w:val="77CB1604"/>
    <w:rsid w:val="77CC4028"/>
    <w:rsid w:val="77CC571A"/>
    <w:rsid w:val="77CD94CC"/>
    <w:rsid w:val="77CDA6E6"/>
    <w:rsid w:val="77CEBBF3"/>
    <w:rsid w:val="77CFCEC1"/>
    <w:rsid w:val="77CFDFEE"/>
    <w:rsid w:val="77D0A6B7"/>
    <w:rsid w:val="77D1D23D"/>
    <w:rsid w:val="77D1E93E"/>
    <w:rsid w:val="77D21E45"/>
    <w:rsid w:val="77D26940"/>
    <w:rsid w:val="77D2878C"/>
    <w:rsid w:val="77D33D58"/>
    <w:rsid w:val="77D410A1"/>
    <w:rsid w:val="77D5679C"/>
    <w:rsid w:val="77D5A4A5"/>
    <w:rsid w:val="77D5D9CF"/>
    <w:rsid w:val="77D6AA8A"/>
    <w:rsid w:val="77D6EC46"/>
    <w:rsid w:val="77D73125"/>
    <w:rsid w:val="77D86338"/>
    <w:rsid w:val="77D8B6D7"/>
    <w:rsid w:val="77D8D28A"/>
    <w:rsid w:val="77D8FD80"/>
    <w:rsid w:val="77D9171A"/>
    <w:rsid w:val="77D93373"/>
    <w:rsid w:val="77D9C6A0"/>
    <w:rsid w:val="77D9D7EB"/>
    <w:rsid w:val="77DA19F4"/>
    <w:rsid w:val="77DC3B5E"/>
    <w:rsid w:val="77DDB55C"/>
    <w:rsid w:val="77DE5F7D"/>
    <w:rsid w:val="77DFB203"/>
    <w:rsid w:val="77DFE31C"/>
    <w:rsid w:val="77E1B203"/>
    <w:rsid w:val="77E2E1EF"/>
    <w:rsid w:val="77E2E62D"/>
    <w:rsid w:val="77E2F5F9"/>
    <w:rsid w:val="77E34439"/>
    <w:rsid w:val="77E366E6"/>
    <w:rsid w:val="77E37677"/>
    <w:rsid w:val="77E3C33D"/>
    <w:rsid w:val="77E44E96"/>
    <w:rsid w:val="77E48769"/>
    <w:rsid w:val="77E5DABC"/>
    <w:rsid w:val="77E64005"/>
    <w:rsid w:val="77E661C9"/>
    <w:rsid w:val="77E69BF4"/>
    <w:rsid w:val="77E73022"/>
    <w:rsid w:val="77E849CD"/>
    <w:rsid w:val="77E946CB"/>
    <w:rsid w:val="77E97812"/>
    <w:rsid w:val="77EC7143"/>
    <w:rsid w:val="77ED205F"/>
    <w:rsid w:val="77ED4737"/>
    <w:rsid w:val="77ED5CC6"/>
    <w:rsid w:val="77EDDA10"/>
    <w:rsid w:val="77EE0E75"/>
    <w:rsid w:val="77EEF212"/>
    <w:rsid w:val="77EF5D19"/>
    <w:rsid w:val="77EF8008"/>
    <w:rsid w:val="77F01DD6"/>
    <w:rsid w:val="77F02E3B"/>
    <w:rsid w:val="77F06DBF"/>
    <w:rsid w:val="77F07D56"/>
    <w:rsid w:val="77F1D362"/>
    <w:rsid w:val="77F27C45"/>
    <w:rsid w:val="77F29D0D"/>
    <w:rsid w:val="77F2FD8B"/>
    <w:rsid w:val="77F37753"/>
    <w:rsid w:val="77F3B5A8"/>
    <w:rsid w:val="77F484E7"/>
    <w:rsid w:val="77F50EBF"/>
    <w:rsid w:val="77F727FA"/>
    <w:rsid w:val="77F7E150"/>
    <w:rsid w:val="77F821D9"/>
    <w:rsid w:val="77F8F5F0"/>
    <w:rsid w:val="77F90525"/>
    <w:rsid w:val="77F9987D"/>
    <w:rsid w:val="77F9B0F7"/>
    <w:rsid w:val="77FA4FC8"/>
    <w:rsid w:val="77FA6212"/>
    <w:rsid w:val="77FABFC6"/>
    <w:rsid w:val="77FB2057"/>
    <w:rsid w:val="77FB5096"/>
    <w:rsid w:val="77FC60F6"/>
    <w:rsid w:val="77FC76C5"/>
    <w:rsid w:val="77FC7BDE"/>
    <w:rsid w:val="77FCD8A8"/>
    <w:rsid w:val="77FD7E4C"/>
    <w:rsid w:val="77FE24C9"/>
    <w:rsid w:val="77FE7EA6"/>
    <w:rsid w:val="78007625"/>
    <w:rsid w:val="7800B2EA"/>
    <w:rsid w:val="780121D7"/>
    <w:rsid w:val="7801B344"/>
    <w:rsid w:val="7801E566"/>
    <w:rsid w:val="78025E57"/>
    <w:rsid w:val="78028C2C"/>
    <w:rsid w:val="7803DA7A"/>
    <w:rsid w:val="78049897"/>
    <w:rsid w:val="7806B46E"/>
    <w:rsid w:val="78075016"/>
    <w:rsid w:val="78075945"/>
    <w:rsid w:val="7808CD37"/>
    <w:rsid w:val="7808D6B8"/>
    <w:rsid w:val="7808FC2A"/>
    <w:rsid w:val="7809B946"/>
    <w:rsid w:val="780AC528"/>
    <w:rsid w:val="780B3113"/>
    <w:rsid w:val="780C600E"/>
    <w:rsid w:val="780CB3E5"/>
    <w:rsid w:val="780DE6DF"/>
    <w:rsid w:val="780E4C17"/>
    <w:rsid w:val="780F1BC3"/>
    <w:rsid w:val="780F860D"/>
    <w:rsid w:val="780FCFD0"/>
    <w:rsid w:val="7811401A"/>
    <w:rsid w:val="78114FA6"/>
    <w:rsid w:val="78116504"/>
    <w:rsid w:val="78119D93"/>
    <w:rsid w:val="7811A85C"/>
    <w:rsid w:val="78123F96"/>
    <w:rsid w:val="78124B9E"/>
    <w:rsid w:val="78125FDA"/>
    <w:rsid w:val="7812A0F1"/>
    <w:rsid w:val="78139196"/>
    <w:rsid w:val="7813A933"/>
    <w:rsid w:val="7813D768"/>
    <w:rsid w:val="7813F7E4"/>
    <w:rsid w:val="781538CA"/>
    <w:rsid w:val="7815A68A"/>
    <w:rsid w:val="7815AE04"/>
    <w:rsid w:val="7815B977"/>
    <w:rsid w:val="7815C485"/>
    <w:rsid w:val="78169BD3"/>
    <w:rsid w:val="781719EE"/>
    <w:rsid w:val="78177B60"/>
    <w:rsid w:val="781879E5"/>
    <w:rsid w:val="78191E82"/>
    <w:rsid w:val="7819F693"/>
    <w:rsid w:val="7819FDB4"/>
    <w:rsid w:val="781AA6BD"/>
    <w:rsid w:val="781C7A72"/>
    <w:rsid w:val="781D40A0"/>
    <w:rsid w:val="781DA79C"/>
    <w:rsid w:val="781DCCAE"/>
    <w:rsid w:val="781DE80B"/>
    <w:rsid w:val="781F30C2"/>
    <w:rsid w:val="781F32FA"/>
    <w:rsid w:val="781F7BF6"/>
    <w:rsid w:val="781FA760"/>
    <w:rsid w:val="781FC8DB"/>
    <w:rsid w:val="781FD2F0"/>
    <w:rsid w:val="7820DB94"/>
    <w:rsid w:val="7820DF19"/>
    <w:rsid w:val="7821F14A"/>
    <w:rsid w:val="782264A3"/>
    <w:rsid w:val="7822D971"/>
    <w:rsid w:val="7823995D"/>
    <w:rsid w:val="78240305"/>
    <w:rsid w:val="7824103C"/>
    <w:rsid w:val="78244163"/>
    <w:rsid w:val="78247933"/>
    <w:rsid w:val="7826213B"/>
    <w:rsid w:val="78266C16"/>
    <w:rsid w:val="78289BCC"/>
    <w:rsid w:val="7828E8B0"/>
    <w:rsid w:val="7829E971"/>
    <w:rsid w:val="782B4E9A"/>
    <w:rsid w:val="782C2077"/>
    <w:rsid w:val="782C7335"/>
    <w:rsid w:val="782D195A"/>
    <w:rsid w:val="782E2FD2"/>
    <w:rsid w:val="782EB7F3"/>
    <w:rsid w:val="782FA292"/>
    <w:rsid w:val="7830EA70"/>
    <w:rsid w:val="78321FCA"/>
    <w:rsid w:val="7832274A"/>
    <w:rsid w:val="7834ECD6"/>
    <w:rsid w:val="78350BAB"/>
    <w:rsid w:val="78353D90"/>
    <w:rsid w:val="78360622"/>
    <w:rsid w:val="78373F26"/>
    <w:rsid w:val="78376CDF"/>
    <w:rsid w:val="7837EE57"/>
    <w:rsid w:val="783807BE"/>
    <w:rsid w:val="7838B23D"/>
    <w:rsid w:val="78390C7E"/>
    <w:rsid w:val="783A35A4"/>
    <w:rsid w:val="783A4AFA"/>
    <w:rsid w:val="783B906F"/>
    <w:rsid w:val="783B96A6"/>
    <w:rsid w:val="783CCDEF"/>
    <w:rsid w:val="783D2B48"/>
    <w:rsid w:val="783FB6C8"/>
    <w:rsid w:val="78401E5A"/>
    <w:rsid w:val="78419FEA"/>
    <w:rsid w:val="7841F08E"/>
    <w:rsid w:val="7841F8E5"/>
    <w:rsid w:val="7843888A"/>
    <w:rsid w:val="784692F7"/>
    <w:rsid w:val="7846A016"/>
    <w:rsid w:val="7846AD01"/>
    <w:rsid w:val="78472A7C"/>
    <w:rsid w:val="7847796E"/>
    <w:rsid w:val="78479903"/>
    <w:rsid w:val="7847AC0E"/>
    <w:rsid w:val="784824A9"/>
    <w:rsid w:val="7848385D"/>
    <w:rsid w:val="78492980"/>
    <w:rsid w:val="78494B2F"/>
    <w:rsid w:val="7849AD97"/>
    <w:rsid w:val="784A5286"/>
    <w:rsid w:val="784A98A0"/>
    <w:rsid w:val="784ABE72"/>
    <w:rsid w:val="784B051F"/>
    <w:rsid w:val="784B1047"/>
    <w:rsid w:val="784B860B"/>
    <w:rsid w:val="784C9D8A"/>
    <w:rsid w:val="784DC0A7"/>
    <w:rsid w:val="784DE6C0"/>
    <w:rsid w:val="784E55BF"/>
    <w:rsid w:val="784E6408"/>
    <w:rsid w:val="784E95ED"/>
    <w:rsid w:val="784E963D"/>
    <w:rsid w:val="784EC1EA"/>
    <w:rsid w:val="784F471B"/>
    <w:rsid w:val="7850AEA5"/>
    <w:rsid w:val="78513ACA"/>
    <w:rsid w:val="7851B85D"/>
    <w:rsid w:val="7851F595"/>
    <w:rsid w:val="785206D2"/>
    <w:rsid w:val="78531FF6"/>
    <w:rsid w:val="78534783"/>
    <w:rsid w:val="7854CAED"/>
    <w:rsid w:val="7855173D"/>
    <w:rsid w:val="785660D3"/>
    <w:rsid w:val="78568E9D"/>
    <w:rsid w:val="78583F15"/>
    <w:rsid w:val="785856D3"/>
    <w:rsid w:val="78585EA3"/>
    <w:rsid w:val="78594AE8"/>
    <w:rsid w:val="7859528A"/>
    <w:rsid w:val="785B1469"/>
    <w:rsid w:val="785C5486"/>
    <w:rsid w:val="785CB404"/>
    <w:rsid w:val="785CC972"/>
    <w:rsid w:val="785D70F5"/>
    <w:rsid w:val="785E7112"/>
    <w:rsid w:val="785EACA9"/>
    <w:rsid w:val="785F9BD8"/>
    <w:rsid w:val="7860B106"/>
    <w:rsid w:val="786280D1"/>
    <w:rsid w:val="7862A34E"/>
    <w:rsid w:val="7862C4E2"/>
    <w:rsid w:val="7862DB05"/>
    <w:rsid w:val="786322BA"/>
    <w:rsid w:val="78634510"/>
    <w:rsid w:val="78634C38"/>
    <w:rsid w:val="7863F10B"/>
    <w:rsid w:val="78657FFD"/>
    <w:rsid w:val="7866006E"/>
    <w:rsid w:val="78668BB4"/>
    <w:rsid w:val="78668C24"/>
    <w:rsid w:val="7866CB8C"/>
    <w:rsid w:val="786746AD"/>
    <w:rsid w:val="7867A496"/>
    <w:rsid w:val="7867B140"/>
    <w:rsid w:val="78688E00"/>
    <w:rsid w:val="7868D598"/>
    <w:rsid w:val="786909CF"/>
    <w:rsid w:val="78692130"/>
    <w:rsid w:val="7869474A"/>
    <w:rsid w:val="78698392"/>
    <w:rsid w:val="786985EF"/>
    <w:rsid w:val="786A00E8"/>
    <w:rsid w:val="786A0A33"/>
    <w:rsid w:val="786B5C08"/>
    <w:rsid w:val="786BF9B2"/>
    <w:rsid w:val="786DB7C2"/>
    <w:rsid w:val="786E7203"/>
    <w:rsid w:val="786F5D41"/>
    <w:rsid w:val="78700796"/>
    <w:rsid w:val="78702AEE"/>
    <w:rsid w:val="78705E8B"/>
    <w:rsid w:val="7870D84F"/>
    <w:rsid w:val="787102A6"/>
    <w:rsid w:val="7871F139"/>
    <w:rsid w:val="78727521"/>
    <w:rsid w:val="7872BB80"/>
    <w:rsid w:val="7872F892"/>
    <w:rsid w:val="7873D197"/>
    <w:rsid w:val="78741E5A"/>
    <w:rsid w:val="787536AF"/>
    <w:rsid w:val="787557BD"/>
    <w:rsid w:val="78759D58"/>
    <w:rsid w:val="78759DAB"/>
    <w:rsid w:val="7875A188"/>
    <w:rsid w:val="787632B8"/>
    <w:rsid w:val="7876B9DB"/>
    <w:rsid w:val="78776B05"/>
    <w:rsid w:val="78783B48"/>
    <w:rsid w:val="7878C9B8"/>
    <w:rsid w:val="78796BE2"/>
    <w:rsid w:val="7879B181"/>
    <w:rsid w:val="7879B94A"/>
    <w:rsid w:val="7879FE5C"/>
    <w:rsid w:val="787A4F5A"/>
    <w:rsid w:val="787A6A14"/>
    <w:rsid w:val="787AC014"/>
    <w:rsid w:val="787D60D9"/>
    <w:rsid w:val="787D7D85"/>
    <w:rsid w:val="787E2E40"/>
    <w:rsid w:val="787E77E3"/>
    <w:rsid w:val="787EF714"/>
    <w:rsid w:val="787F0A78"/>
    <w:rsid w:val="7880352F"/>
    <w:rsid w:val="7880524A"/>
    <w:rsid w:val="788096E5"/>
    <w:rsid w:val="788149E5"/>
    <w:rsid w:val="78819A72"/>
    <w:rsid w:val="7881B9FB"/>
    <w:rsid w:val="7881CC32"/>
    <w:rsid w:val="788256A8"/>
    <w:rsid w:val="788272AC"/>
    <w:rsid w:val="7882C0B2"/>
    <w:rsid w:val="78851511"/>
    <w:rsid w:val="7885738F"/>
    <w:rsid w:val="7885E1AB"/>
    <w:rsid w:val="78861F9D"/>
    <w:rsid w:val="78862C5A"/>
    <w:rsid w:val="78872D2B"/>
    <w:rsid w:val="7887EFE4"/>
    <w:rsid w:val="78883EFC"/>
    <w:rsid w:val="788971ED"/>
    <w:rsid w:val="788E8D23"/>
    <w:rsid w:val="788F56B1"/>
    <w:rsid w:val="788F5F71"/>
    <w:rsid w:val="788F61AB"/>
    <w:rsid w:val="78908AAF"/>
    <w:rsid w:val="7891D4DD"/>
    <w:rsid w:val="7891DC03"/>
    <w:rsid w:val="78924EF9"/>
    <w:rsid w:val="789283BE"/>
    <w:rsid w:val="78936291"/>
    <w:rsid w:val="789524A3"/>
    <w:rsid w:val="7895638C"/>
    <w:rsid w:val="78959A89"/>
    <w:rsid w:val="7895B2E3"/>
    <w:rsid w:val="7895D63F"/>
    <w:rsid w:val="78973F6B"/>
    <w:rsid w:val="7897C298"/>
    <w:rsid w:val="7897F0AE"/>
    <w:rsid w:val="78984153"/>
    <w:rsid w:val="7898C4D8"/>
    <w:rsid w:val="789B0480"/>
    <w:rsid w:val="789B1BF1"/>
    <w:rsid w:val="789B677C"/>
    <w:rsid w:val="789B76D3"/>
    <w:rsid w:val="789B92B9"/>
    <w:rsid w:val="789BAF14"/>
    <w:rsid w:val="789E9350"/>
    <w:rsid w:val="789EFBEA"/>
    <w:rsid w:val="789F6141"/>
    <w:rsid w:val="789F8154"/>
    <w:rsid w:val="78A16433"/>
    <w:rsid w:val="78A189CA"/>
    <w:rsid w:val="78A27183"/>
    <w:rsid w:val="78A2941C"/>
    <w:rsid w:val="78A2AA8E"/>
    <w:rsid w:val="78A3FF40"/>
    <w:rsid w:val="78A46CB9"/>
    <w:rsid w:val="78A561D4"/>
    <w:rsid w:val="78A5DB11"/>
    <w:rsid w:val="78A5DFB3"/>
    <w:rsid w:val="78A6D17A"/>
    <w:rsid w:val="78AA2681"/>
    <w:rsid w:val="78AA3DF8"/>
    <w:rsid w:val="78AB1C5D"/>
    <w:rsid w:val="78AB8DD3"/>
    <w:rsid w:val="78ABC9D9"/>
    <w:rsid w:val="78AC1544"/>
    <w:rsid w:val="78AC5739"/>
    <w:rsid w:val="78AC69C5"/>
    <w:rsid w:val="78ACD369"/>
    <w:rsid w:val="78AD10E5"/>
    <w:rsid w:val="78AE9F8C"/>
    <w:rsid w:val="78B08F5F"/>
    <w:rsid w:val="78B0D7FE"/>
    <w:rsid w:val="78B19AF8"/>
    <w:rsid w:val="78B28634"/>
    <w:rsid w:val="78B2A04D"/>
    <w:rsid w:val="78B2F4D0"/>
    <w:rsid w:val="78B59AC9"/>
    <w:rsid w:val="78B624D3"/>
    <w:rsid w:val="78B6CFB0"/>
    <w:rsid w:val="78B7060A"/>
    <w:rsid w:val="78B7C97D"/>
    <w:rsid w:val="78B80E3D"/>
    <w:rsid w:val="78B98966"/>
    <w:rsid w:val="78B9A5BA"/>
    <w:rsid w:val="78B9B856"/>
    <w:rsid w:val="78B9EC2D"/>
    <w:rsid w:val="78BA8B54"/>
    <w:rsid w:val="78BD5B42"/>
    <w:rsid w:val="78BEAB69"/>
    <w:rsid w:val="78BEC31A"/>
    <w:rsid w:val="78BEF7BD"/>
    <w:rsid w:val="78BF2364"/>
    <w:rsid w:val="78C04001"/>
    <w:rsid w:val="78C137E0"/>
    <w:rsid w:val="78C15808"/>
    <w:rsid w:val="78C16310"/>
    <w:rsid w:val="78C274EA"/>
    <w:rsid w:val="78C2A049"/>
    <w:rsid w:val="78C31222"/>
    <w:rsid w:val="78C52AA3"/>
    <w:rsid w:val="78C535E2"/>
    <w:rsid w:val="78C5DBB7"/>
    <w:rsid w:val="78C6275E"/>
    <w:rsid w:val="78C6680B"/>
    <w:rsid w:val="78C6B08E"/>
    <w:rsid w:val="78C6FBF7"/>
    <w:rsid w:val="78C70BA9"/>
    <w:rsid w:val="78C738E3"/>
    <w:rsid w:val="78C7C4F6"/>
    <w:rsid w:val="78C91235"/>
    <w:rsid w:val="78C937F7"/>
    <w:rsid w:val="78C9E690"/>
    <w:rsid w:val="78CA23FB"/>
    <w:rsid w:val="78CA98E6"/>
    <w:rsid w:val="78CAECBC"/>
    <w:rsid w:val="78CC607E"/>
    <w:rsid w:val="78CD8166"/>
    <w:rsid w:val="78CDE6A3"/>
    <w:rsid w:val="78CDEA4A"/>
    <w:rsid w:val="78CDFB96"/>
    <w:rsid w:val="78CF087F"/>
    <w:rsid w:val="78D1467E"/>
    <w:rsid w:val="78D185B2"/>
    <w:rsid w:val="78D2EBAF"/>
    <w:rsid w:val="78D34773"/>
    <w:rsid w:val="78D3DEC9"/>
    <w:rsid w:val="78D53DAF"/>
    <w:rsid w:val="78D577A0"/>
    <w:rsid w:val="78D5CD53"/>
    <w:rsid w:val="78D6C722"/>
    <w:rsid w:val="78D7C5FE"/>
    <w:rsid w:val="78D84A1A"/>
    <w:rsid w:val="78DA1497"/>
    <w:rsid w:val="78DAD94F"/>
    <w:rsid w:val="78DB953A"/>
    <w:rsid w:val="78DC5726"/>
    <w:rsid w:val="78DC6C4E"/>
    <w:rsid w:val="78DEE4CF"/>
    <w:rsid w:val="78DF14BA"/>
    <w:rsid w:val="78DF370D"/>
    <w:rsid w:val="78DFFAAF"/>
    <w:rsid w:val="78E0EBA1"/>
    <w:rsid w:val="78E0F07D"/>
    <w:rsid w:val="78E1D36C"/>
    <w:rsid w:val="78E26BD9"/>
    <w:rsid w:val="78E2B3F7"/>
    <w:rsid w:val="78E2B97D"/>
    <w:rsid w:val="78E2D4B6"/>
    <w:rsid w:val="78E4AB41"/>
    <w:rsid w:val="78E51E86"/>
    <w:rsid w:val="78E68F29"/>
    <w:rsid w:val="78E78E8B"/>
    <w:rsid w:val="78E804BC"/>
    <w:rsid w:val="78E81C9E"/>
    <w:rsid w:val="78E93CB4"/>
    <w:rsid w:val="78E98991"/>
    <w:rsid w:val="78E9BD91"/>
    <w:rsid w:val="78E9C3D4"/>
    <w:rsid w:val="78EA3BE7"/>
    <w:rsid w:val="78EA3CA4"/>
    <w:rsid w:val="78EA6225"/>
    <w:rsid w:val="78EAAA25"/>
    <w:rsid w:val="78EB1CA9"/>
    <w:rsid w:val="78EBCDA8"/>
    <w:rsid w:val="78ECDE47"/>
    <w:rsid w:val="78ECEC51"/>
    <w:rsid w:val="78ED16FD"/>
    <w:rsid w:val="78EE5443"/>
    <w:rsid w:val="78EFDB5F"/>
    <w:rsid w:val="78F02CA1"/>
    <w:rsid w:val="78F0B1FB"/>
    <w:rsid w:val="78F14D69"/>
    <w:rsid w:val="78F16594"/>
    <w:rsid w:val="78F1769F"/>
    <w:rsid w:val="78F1B655"/>
    <w:rsid w:val="78F1F263"/>
    <w:rsid w:val="78F21B5C"/>
    <w:rsid w:val="78F2544E"/>
    <w:rsid w:val="78F2DCA4"/>
    <w:rsid w:val="78F3299C"/>
    <w:rsid w:val="78F35B45"/>
    <w:rsid w:val="78F37FFE"/>
    <w:rsid w:val="78F39445"/>
    <w:rsid w:val="78F4688A"/>
    <w:rsid w:val="78F4CAF2"/>
    <w:rsid w:val="78F4FF4B"/>
    <w:rsid w:val="78F57909"/>
    <w:rsid w:val="78F5A305"/>
    <w:rsid w:val="78F6F92B"/>
    <w:rsid w:val="78F6FEB4"/>
    <w:rsid w:val="78F798C2"/>
    <w:rsid w:val="78F89F52"/>
    <w:rsid w:val="78F8A185"/>
    <w:rsid w:val="78F8DF7B"/>
    <w:rsid w:val="78F9311D"/>
    <w:rsid w:val="78F9EBAB"/>
    <w:rsid w:val="78FB8ADA"/>
    <w:rsid w:val="78FC3F89"/>
    <w:rsid w:val="78FDA2C2"/>
    <w:rsid w:val="78FE0C10"/>
    <w:rsid w:val="78FE33E2"/>
    <w:rsid w:val="78FFC9D2"/>
    <w:rsid w:val="7900C93D"/>
    <w:rsid w:val="7900E003"/>
    <w:rsid w:val="7902D40B"/>
    <w:rsid w:val="7902DA33"/>
    <w:rsid w:val="79044F53"/>
    <w:rsid w:val="79049305"/>
    <w:rsid w:val="79049C4F"/>
    <w:rsid w:val="7904E62A"/>
    <w:rsid w:val="7904EAAB"/>
    <w:rsid w:val="79055635"/>
    <w:rsid w:val="7905596B"/>
    <w:rsid w:val="79055D84"/>
    <w:rsid w:val="79057650"/>
    <w:rsid w:val="7907208B"/>
    <w:rsid w:val="7907234C"/>
    <w:rsid w:val="7907BF18"/>
    <w:rsid w:val="79084593"/>
    <w:rsid w:val="79089AAC"/>
    <w:rsid w:val="7908DD13"/>
    <w:rsid w:val="7908F571"/>
    <w:rsid w:val="7909734F"/>
    <w:rsid w:val="790A1D0F"/>
    <w:rsid w:val="790A2696"/>
    <w:rsid w:val="790AB351"/>
    <w:rsid w:val="790B451C"/>
    <w:rsid w:val="790BE402"/>
    <w:rsid w:val="790C55D0"/>
    <w:rsid w:val="790C649E"/>
    <w:rsid w:val="790C902B"/>
    <w:rsid w:val="790CE959"/>
    <w:rsid w:val="790CEFBD"/>
    <w:rsid w:val="790D2086"/>
    <w:rsid w:val="790D7AC5"/>
    <w:rsid w:val="790DB97D"/>
    <w:rsid w:val="790DF7BD"/>
    <w:rsid w:val="790E5E7B"/>
    <w:rsid w:val="790E6519"/>
    <w:rsid w:val="790EB978"/>
    <w:rsid w:val="790F6A72"/>
    <w:rsid w:val="790FAAA1"/>
    <w:rsid w:val="79106A3C"/>
    <w:rsid w:val="79111E4A"/>
    <w:rsid w:val="79115B4C"/>
    <w:rsid w:val="791252B9"/>
    <w:rsid w:val="7912F94D"/>
    <w:rsid w:val="7912FEFA"/>
    <w:rsid w:val="7913B6F4"/>
    <w:rsid w:val="79144381"/>
    <w:rsid w:val="791445F4"/>
    <w:rsid w:val="7914DCE6"/>
    <w:rsid w:val="79157810"/>
    <w:rsid w:val="7916D4F5"/>
    <w:rsid w:val="7916DDE4"/>
    <w:rsid w:val="79180C28"/>
    <w:rsid w:val="79180D3E"/>
    <w:rsid w:val="7918731C"/>
    <w:rsid w:val="791910F5"/>
    <w:rsid w:val="7919160A"/>
    <w:rsid w:val="79197D34"/>
    <w:rsid w:val="7919F2C0"/>
    <w:rsid w:val="791A2193"/>
    <w:rsid w:val="791AB630"/>
    <w:rsid w:val="791C76E1"/>
    <w:rsid w:val="791C84B1"/>
    <w:rsid w:val="791E130D"/>
    <w:rsid w:val="791E404C"/>
    <w:rsid w:val="791E5BBA"/>
    <w:rsid w:val="791E7567"/>
    <w:rsid w:val="792081B0"/>
    <w:rsid w:val="7920E238"/>
    <w:rsid w:val="79212B23"/>
    <w:rsid w:val="7921F42B"/>
    <w:rsid w:val="7923864C"/>
    <w:rsid w:val="79246050"/>
    <w:rsid w:val="79249D2C"/>
    <w:rsid w:val="7924EE26"/>
    <w:rsid w:val="792508B1"/>
    <w:rsid w:val="79256792"/>
    <w:rsid w:val="79256CE2"/>
    <w:rsid w:val="7925C5E4"/>
    <w:rsid w:val="7926026B"/>
    <w:rsid w:val="79260EFB"/>
    <w:rsid w:val="792611FD"/>
    <w:rsid w:val="7926AF87"/>
    <w:rsid w:val="7926F1E4"/>
    <w:rsid w:val="7927F778"/>
    <w:rsid w:val="79280EAD"/>
    <w:rsid w:val="79280FE5"/>
    <w:rsid w:val="792A3CA1"/>
    <w:rsid w:val="792B5928"/>
    <w:rsid w:val="792CB18E"/>
    <w:rsid w:val="792D75A8"/>
    <w:rsid w:val="792DC4FB"/>
    <w:rsid w:val="792E2EF3"/>
    <w:rsid w:val="792F5B7E"/>
    <w:rsid w:val="792F7871"/>
    <w:rsid w:val="792FABE8"/>
    <w:rsid w:val="792FB14B"/>
    <w:rsid w:val="792FD093"/>
    <w:rsid w:val="792FFB05"/>
    <w:rsid w:val="7930E498"/>
    <w:rsid w:val="7930F912"/>
    <w:rsid w:val="79313CBE"/>
    <w:rsid w:val="793172F6"/>
    <w:rsid w:val="793174DB"/>
    <w:rsid w:val="7931E541"/>
    <w:rsid w:val="7931F861"/>
    <w:rsid w:val="79326EAD"/>
    <w:rsid w:val="7932B356"/>
    <w:rsid w:val="79330838"/>
    <w:rsid w:val="79332887"/>
    <w:rsid w:val="79339FDC"/>
    <w:rsid w:val="79346CC8"/>
    <w:rsid w:val="79353A76"/>
    <w:rsid w:val="79355B67"/>
    <w:rsid w:val="79356FF9"/>
    <w:rsid w:val="7935C448"/>
    <w:rsid w:val="7935DC37"/>
    <w:rsid w:val="7938A086"/>
    <w:rsid w:val="7939178E"/>
    <w:rsid w:val="793ACE1B"/>
    <w:rsid w:val="793B1832"/>
    <w:rsid w:val="793B2FCC"/>
    <w:rsid w:val="793BF6FB"/>
    <w:rsid w:val="793C62D9"/>
    <w:rsid w:val="793CF9F5"/>
    <w:rsid w:val="793DE19A"/>
    <w:rsid w:val="793E8AEB"/>
    <w:rsid w:val="793F63C4"/>
    <w:rsid w:val="7940DE5B"/>
    <w:rsid w:val="7941CAFA"/>
    <w:rsid w:val="7942304E"/>
    <w:rsid w:val="7942A951"/>
    <w:rsid w:val="794306E4"/>
    <w:rsid w:val="79430BED"/>
    <w:rsid w:val="79437A93"/>
    <w:rsid w:val="7943A316"/>
    <w:rsid w:val="7943ADBA"/>
    <w:rsid w:val="79446662"/>
    <w:rsid w:val="794509E5"/>
    <w:rsid w:val="7945867C"/>
    <w:rsid w:val="79458EB5"/>
    <w:rsid w:val="7946EB89"/>
    <w:rsid w:val="79473E68"/>
    <w:rsid w:val="79481928"/>
    <w:rsid w:val="79486CE4"/>
    <w:rsid w:val="79488540"/>
    <w:rsid w:val="7948D6AB"/>
    <w:rsid w:val="79495057"/>
    <w:rsid w:val="794B03D0"/>
    <w:rsid w:val="794B201F"/>
    <w:rsid w:val="794B924A"/>
    <w:rsid w:val="794BAD90"/>
    <w:rsid w:val="794CF3C3"/>
    <w:rsid w:val="794D2AFF"/>
    <w:rsid w:val="794D6286"/>
    <w:rsid w:val="794DD77E"/>
    <w:rsid w:val="794DF85E"/>
    <w:rsid w:val="794F659B"/>
    <w:rsid w:val="7950F402"/>
    <w:rsid w:val="7951319D"/>
    <w:rsid w:val="79527997"/>
    <w:rsid w:val="7954AD50"/>
    <w:rsid w:val="7954AF6B"/>
    <w:rsid w:val="7955EC41"/>
    <w:rsid w:val="79569F40"/>
    <w:rsid w:val="7956BEDC"/>
    <w:rsid w:val="795799C6"/>
    <w:rsid w:val="7957F801"/>
    <w:rsid w:val="79586CF8"/>
    <w:rsid w:val="7958A0A1"/>
    <w:rsid w:val="7958B9AE"/>
    <w:rsid w:val="7958FD23"/>
    <w:rsid w:val="79592EF2"/>
    <w:rsid w:val="795AB86C"/>
    <w:rsid w:val="795B02AF"/>
    <w:rsid w:val="795B3AEA"/>
    <w:rsid w:val="795BA507"/>
    <w:rsid w:val="795D3B02"/>
    <w:rsid w:val="795E2B24"/>
    <w:rsid w:val="795E6408"/>
    <w:rsid w:val="795EA01C"/>
    <w:rsid w:val="795EE861"/>
    <w:rsid w:val="795F0278"/>
    <w:rsid w:val="795F72F7"/>
    <w:rsid w:val="7960FB60"/>
    <w:rsid w:val="79618383"/>
    <w:rsid w:val="7962C917"/>
    <w:rsid w:val="796304B1"/>
    <w:rsid w:val="7963B041"/>
    <w:rsid w:val="79648A97"/>
    <w:rsid w:val="7964B2A6"/>
    <w:rsid w:val="79658962"/>
    <w:rsid w:val="796717DD"/>
    <w:rsid w:val="7967BCFA"/>
    <w:rsid w:val="796810EB"/>
    <w:rsid w:val="7968F56B"/>
    <w:rsid w:val="7968FCD1"/>
    <w:rsid w:val="796ABE2F"/>
    <w:rsid w:val="796B94AD"/>
    <w:rsid w:val="796BEC7A"/>
    <w:rsid w:val="796C0DD3"/>
    <w:rsid w:val="796E6D60"/>
    <w:rsid w:val="796E9541"/>
    <w:rsid w:val="796FA3DB"/>
    <w:rsid w:val="7970CBAB"/>
    <w:rsid w:val="79715026"/>
    <w:rsid w:val="7971ACA0"/>
    <w:rsid w:val="797256DC"/>
    <w:rsid w:val="7972780F"/>
    <w:rsid w:val="79728C21"/>
    <w:rsid w:val="79729353"/>
    <w:rsid w:val="79736DB4"/>
    <w:rsid w:val="79739C29"/>
    <w:rsid w:val="79748D6B"/>
    <w:rsid w:val="79762473"/>
    <w:rsid w:val="7976CD7E"/>
    <w:rsid w:val="79791A2F"/>
    <w:rsid w:val="7979EC3E"/>
    <w:rsid w:val="7979FE0B"/>
    <w:rsid w:val="797A7308"/>
    <w:rsid w:val="797A91F1"/>
    <w:rsid w:val="797A95CA"/>
    <w:rsid w:val="797CEE7B"/>
    <w:rsid w:val="797CEEB3"/>
    <w:rsid w:val="797F0202"/>
    <w:rsid w:val="797FDFE3"/>
    <w:rsid w:val="7980BACE"/>
    <w:rsid w:val="7981204B"/>
    <w:rsid w:val="79812D75"/>
    <w:rsid w:val="7981E06A"/>
    <w:rsid w:val="7981E80B"/>
    <w:rsid w:val="7982353E"/>
    <w:rsid w:val="79823567"/>
    <w:rsid w:val="79823C53"/>
    <w:rsid w:val="7982BB71"/>
    <w:rsid w:val="7982C66C"/>
    <w:rsid w:val="7983719F"/>
    <w:rsid w:val="798381DE"/>
    <w:rsid w:val="79849603"/>
    <w:rsid w:val="7984C2DA"/>
    <w:rsid w:val="7984CA49"/>
    <w:rsid w:val="7988D6B4"/>
    <w:rsid w:val="79892AE2"/>
    <w:rsid w:val="7989A8BC"/>
    <w:rsid w:val="798B370F"/>
    <w:rsid w:val="798C53DB"/>
    <w:rsid w:val="798D59DF"/>
    <w:rsid w:val="798DC2F2"/>
    <w:rsid w:val="798E806D"/>
    <w:rsid w:val="798F33DC"/>
    <w:rsid w:val="79901156"/>
    <w:rsid w:val="7990844B"/>
    <w:rsid w:val="7990974C"/>
    <w:rsid w:val="7990DF20"/>
    <w:rsid w:val="7990F3AA"/>
    <w:rsid w:val="79919C93"/>
    <w:rsid w:val="7991A928"/>
    <w:rsid w:val="7991B33B"/>
    <w:rsid w:val="7991DE23"/>
    <w:rsid w:val="7992F4C3"/>
    <w:rsid w:val="7993CDB6"/>
    <w:rsid w:val="799457F1"/>
    <w:rsid w:val="7994D588"/>
    <w:rsid w:val="79965F2F"/>
    <w:rsid w:val="79966DA9"/>
    <w:rsid w:val="79983970"/>
    <w:rsid w:val="7998961B"/>
    <w:rsid w:val="7999B37C"/>
    <w:rsid w:val="799A64C7"/>
    <w:rsid w:val="799A79F0"/>
    <w:rsid w:val="799C3FAE"/>
    <w:rsid w:val="799CB17E"/>
    <w:rsid w:val="799CC6A5"/>
    <w:rsid w:val="799E7FF3"/>
    <w:rsid w:val="799E8666"/>
    <w:rsid w:val="799F1CF3"/>
    <w:rsid w:val="79A1696C"/>
    <w:rsid w:val="79A19ECA"/>
    <w:rsid w:val="79A1E217"/>
    <w:rsid w:val="79A2D16C"/>
    <w:rsid w:val="79A33450"/>
    <w:rsid w:val="79A3B69C"/>
    <w:rsid w:val="79A4FDAA"/>
    <w:rsid w:val="79A5A8EC"/>
    <w:rsid w:val="79A67165"/>
    <w:rsid w:val="79A6A7A2"/>
    <w:rsid w:val="79A6D71D"/>
    <w:rsid w:val="79A76680"/>
    <w:rsid w:val="79A7A728"/>
    <w:rsid w:val="79A80A6E"/>
    <w:rsid w:val="79A8711E"/>
    <w:rsid w:val="79A94050"/>
    <w:rsid w:val="79A9505C"/>
    <w:rsid w:val="79A96CF0"/>
    <w:rsid w:val="79AA313C"/>
    <w:rsid w:val="79AB34FC"/>
    <w:rsid w:val="79AB6675"/>
    <w:rsid w:val="79ACF909"/>
    <w:rsid w:val="79AD2BCA"/>
    <w:rsid w:val="79AD821B"/>
    <w:rsid w:val="79AD8E56"/>
    <w:rsid w:val="79AED67B"/>
    <w:rsid w:val="79AF3964"/>
    <w:rsid w:val="79AFF032"/>
    <w:rsid w:val="79B06597"/>
    <w:rsid w:val="79B26DDF"/>
    <w:rsid w:val="79B382A0"/>
    <w:rsid w:val="79B47AFE"/>
    <w:rsid w:val="79B4C90A"/>
    <w:rsid w:val="79B5C535"/>
    <w:rsid w:val="79B64F4E"/>
    <w:rsid w:val="79B68CB4"/>
    <w:rsid w:val="79B7E499"/>
    <w:rsid w:val="79B863F8"/>
    <w:rsid w:val="79B8C8A2"/>
    <w:rsid w:val="79B8CC5E"/>
    <w:rsid w:val="79B8CE3B"/>
    <w:rsid w:val="79B8DEAF"/>
    <w:rsid w:val="79B988D2"/>
    <w:rsid w:val="79B9E631"/>
    <w:rsid w:val="79B9EBA9"/>
    <w:rsid w:val="79B9F0E5"/>
    <w:rsid w:val="79B9FAD6"/>
    <w:rsid w:val="79BB7C6C"/>
    <w:rsid w:val="79BC250D"/>
    <w:rsid w:val="79BCEB99"/>
    <w:rsid w:val="79BD6B1C"/>
    <w:rsid w:val="79BDA091"/>
    <w:rsid w:val="79BDD49E"/>
    <w:rsid w:val="79BE7360"/>
    <w:rsid w:val="79C018EF"/>
    <w:rsid w:val="79C0626D"/>
    <w:rsid w:val="79C1AEE1"/>
    <w:rsid w:val="79C2FC66"/>
    <w:rsid w:val="79C3D690"/>
    <w:rsid w:val="79C3EC46"/>
    <w:rsid w:val="79C61EAC"/>
    <w:rsid w:val="79C620F7"/>
    <w:rsid w:val="79C74898"/>
    <w:rsid w:val="79C791ED"/>
    <w:rsid w:val="79C834E3"/>
    <w:rsid w:val="79C845DC"/>
    <w:rsid w:val="79C93914"/>
    <w:rsid w:val="79C9E49D"/>
    <w:rsid w:val="79C9EA37"/>
    <w:rsid w:val="79CA0AAB"/>
    <w:rsid w:val="79CA744D"/>
    <w:rsid w:val="79CA76D5"/>
    <w:rsid w:val="79CA94D4"/>
    <w:rsid w:val="79CBB3EA"/>
    <w:rsid w:val="79CC8432"/>
    <w:rsid w:val="79CD01BF"/>
    <w:rsid w:val="79CD0D6A"/>
    <w:rsid w:val="79CD99C4"/>
    <w:rsid w:val="79CE37A7"/>
    <w:rsid w:val="79CEA06C"/>
    <w:rsid w:val="79CFC5D7"/>
    <w:rsid w:val="79D067A0"/>
    <w:rsid w:val="79D1788E"/>
    <w:rsid w:val="79D2B0F5"/>
    <w:rsid w:val="79D30774"/>
    <w:rsid w:val="79D32392"/>
    <w:rsid w:val="79D32EE4"/>
    <w:rsid w:val="79D38783"/>
    <w:rsid w:val="79D3FCBE"/>
    <w:rsid w:val="79D432CF"/>
    <w:rsid w:val="79D573FF"/>
    <w:rsid w:val="79D6C028"/>
    <w:rsid w:val="79D7FB10"/>
    <w:rsid w:val="79DA272E"/>
    <w:rsid w:val="79DA36BE"/>
    <w:rsid w:val="79DAAA9B"/>
    <w:rsid w:val="79DAE674"/>
    <w:rsid w:val="79DBB6AD"/>
    <w:rsid w:val="79DBC54C"/>
    <w:rsid w:val="79DDECF3"/>
    <w:rsid w:val="79DE5947"/>
    <w:rsid w:val="79DE6F97"/>
    <w:rsid w:val="79DECE37"/>
    <w:rsid w:val="79DEFAA0"/>
    <w:rsid w:val="79E03824"/>
    <w:rsid w:val="79E07924"/>
    <w:rsid w:val="79E149FB"/>
    <w:rsid w:val="79E1F675"/>
    <w:rsid w:val="79E224B8"/>
    <w:rsid w:val="79E242FA"/>
    <w:rsid w:val="79E24CAD"/>
    <w:rsid w:val="79E24E1F"/>
    <w:rsid w:val="79E2D5BA"/>
    <w:rsid w:val="79E39731"/>
    <w:rsid w:val="79E43953"/>
    <w:rsid w:val="79E4985F"/>
    <w:rsid w:val="79E4B9FE"/>
    <w:rsid w:val="79E4CD4E"/>
    <w:rsid w:val="79E53473"/>
    <w:rsid w:val="79E5828F"/>
    <w:rsid w:val="79E6F390"/>
    <w:rsid w:val="79E86480"/>
    <w:rsid w:val="79E89DEC"/>
    <w:rsid w:val="79E8CD99"/>
    <w:rsid w:val="79E939D5"/>
    <w:rsid w:val="79E93B3D"/>
    <w:rsid w:val="79E95F41"/>
    <w:rsid w:val="79E96CC4"/>
    <w:rsid w:val="79EB1B40"/>
    <w:rsid w:val="79EB5770"/>
    <w:rsid w:val="79EB6517"/>
    <w:rsid w:val="79EB703C"/>
    <w:rsid w:val="79EC5DCD"/>
    <w:rsid w:val="79EF4B1D"/>
    <w:rsid w:val="79EF5CC8"/>
    <w:rsid w:val="79EF70D5"/>
    <w:rsid w:val="79F083F0"/>
    <w:rsid w:val="79F12552"/>
    <w:rsid w:val="79F1D843"/>
    <w:rsid w:val="79F22F31"/>
    <w:rsid w:val="79F24923"/>
    <w:rsid w:val="79F265C9"/>
    <w:rsid w:val="79F2B437"/>
    <w:rsid w:val="79F4AB52"/>
    <w:rsid w:val="79F4D5A8"/>
    <w:rsid w:val="79F51622"/>
    <w:rsid w:val="79F5543F"/>
    <w:rsid w:val="79F606E1"/>
    <w:rsid w:val="79F6F4A9"/>
    <w:rsid w:val="79F6FAF9"/>
    <w:rsid w:val="79F77EF1"/>
    <w:rsid w:val="79F87ADB"/>
    <w:rsid w:val="79FA2E68"/>
    <w:rsid w:val="79FA3A45"/>
    <w:rsid w:val="79FABAFB"/>
    <w:rsid w:val="79FAE5C7"/>
    <w:rsid w:val="79FAEFF6"/>
    <w:rsid w:val="79FBFDC3"/>
    <w:rsid w:val="79FD8D3D"/>
    <w:rsid w:val="79FE5DCF"/>
    <w:rsid w:val="79FF5955"/>
    <w:rsid w:val="7A009A68"/>
    <w:rsid w:val="7A00FFEB"/>
    <w:rsid w:val="7A011D46"/>
    <w:rsid w:val="7A01EB4C"/>
    <w:rsid w:val="7A02984A"/>
    <w:rsid w:val="7A036F60"/>
    <w:rsid w:val="7A049A03"/>
    <w:rsid w:val="7A0574A2"/>
    <w:rsid w:val="7A058AD3"/>
    <w:rsid w:val="7A07F9A5"/>
    <w:rsid w:val="7A08187E"/>
    <w:rsid w:val="7A08E834"/>
    <w:rsid w:val="7A0975DD"/>
    <w:rsid w:val="7A09DB5A"/>
    <w:rsid w:val="7A0AF799"/>
    <w:rsid w:val="7A0BD1B6"/>
    <w:rsid w:val="7A0C47DF"/>
    <w:rsid w:val="7A0C77E8"/>
    <w:rsid w:val="7A0C895A"/>
    <w:rsid w:val="7A0DFBA1"/>
    <w:rsid w:val="7A0E3BCB"/>
    <w:rsid w:val="7A0FD2E9"/>
    <w:rsid w:val="7A11E514"/>
    <w:rsid w:val="7A121E7D"/>
    <w:rsid w:val="7A122CC2"/>
    <w:rsid w:val="7A12499E"/>
    <w:rsid w:val="7A1386BC"/>
    <w:rsid w:val="7A13F2FF"/>
    <w:rsid w:val="7A15B833"/>
    <w:rsid w:val="7A162E64"/>
    <w:rsid w:val="7A1713C2"/>
    <w:rsid w:val="7A17BA15"/>
    <w:rsid w:val="7A1A3E1F"/>
    <w:rsid w:val="7A1B99B9"/>
    <w:rsid w:val="7A1C27EC"/>
    <w:rsid w:val="7A1C49C6"/>
    <w:rsid w:val="7A1D4E93"/>
    <w:rsid w:val="7A1DA0B1"/>
    <w:rsid w:val="7A1DCCAF"/>
    <w:rsid w:val="7A1DEF73"/>
    <w:rsid w:val="7A1EC168"/>
    <w:rsid w:val="7A1F38A7"/>
    <w:rsid w:val="7A1F4951"/>
    <w:rsid w:val="7A1F5376"/>
    <w:rsid w:val="7A20811B"/>
    <w:rsid w:val="7A21636B"/>
    <w:rsid w:val="7A224B83"/>
    <w:rsid w:val="7A230A05"/>
    <w:rsid w:val="7A2323A4"/>
    <w:rsid w:val="7A235466"/>
    <w:rsid w:val="7A23920D"/>
    <w:rsid w:val="7A2398A6"/>
    <w:rsid w:val="7A23AF93"/>
    <w:rsid w:val="7A244F69"/>
    <w:rsid w:val="7A24D2FB"/>
    <w:rsid w:val="7A24DFEC"/>
    <w:rsid w:val="7A24FB00"/>
    <w:rsid w:val="7A251C26"/>
    <w:rsid w:val="7A256BF9"/>
    <w:rsid w:val="7A267411"/>
    <w:rsid w:val="7A26BE8C"/>
    <w:rsid w:val="7A272EB7"/>
    <w:rsid w:val="7A278315"/>
    <w:rsid w:val="7A2794B9"/>
    <w:rsid w:val="7A27AA1C"/>
    <w:rsid w:val="7A284162"/>
    <w:rsid w:val="7A29693B"/>
    <w:rsid w:val="7A2A16DE"/>
    <w:rsid w:val="7A2C1966"/>
    <w:rsid w:val="7A2C433D"/>
    <w:rsid w:val="7A2CDA50"/>
    <w:rsid w:val="7A2D3610"/>
    <w:rsid w:val="7A2D51B5"/>
    <w:rsid w:val="7A2EF040"/>
    <w:rsid w:val="7A32098D"/>
    <w:rsid w:val="7A32B35D"/>
    <w:rsid w:val="7A34104C"/>
    <w:rsid w:val="7A3461DE"/>
    <w:rsid w:val="7A34B374"/>
    <w:rsid w:val="7A34C572"/>
    <w:rsid w:val="7A34D434"/>
    <w:rsid w:val="7A354709"/>
    <w:rsid w:val="7A35BA45"/>
    <w:rsid w:val="7A361070"/>
    <w:rsid w:val="7A3696BA"/>
    <w:rsid w:val="7A36B7EC"/>
    <w:rsid w:val="7A385D0E"/>
    <w:rsid w:val="7A38DAD5"/>
    <w:rsid w:val="7A3916ED"/>
    <w:rsid w:val="7A39438B"/>
    <w:rsid w:val="7A39837B"/>
    <w:rsid w:val="7A3A1017"/>
    <w:rsid w:val="7A3AEDE4"/>
    <w:rsid w:val="7A3B5006"/>
    <w:rsid w:val="7A3CD624"/>
    <w:rsid w:val="7A3D34F7"/>
    <w:rsid w:val="7A3DD6B5"/>
    <w:rsid w:val="7A3E828B"/>
    <w:rsid w:val="7A3F9F97"/>
    <w:rsid w:val="7A404C56"/>
    <w:rsid w:val="7A40E6FE"/>
    <w:rsid w:val="7A42898B"/>
    <w:rsid w:val="7A43F6C7"/>
    <w:rsid w:val="7A448984"/>
    <w:rsid w:val="7A449C82"/>
    <w:rsid w:val="7A44D10B"/>
    <w:rsid w:val="7A44FAEF"/>
    <w:rsid w:val="7A455264"/>
    <w:rsid w:val="7A461877"/>
    <w:rsid w:val="7A466CD7"/>
    <w:rsid w:val="7A46B373"/>
    <w:rsid w:val="7A46BEDA"/>
    <w:rsid w:val="7A46C020"/>
    <w:rsid w:val="7A46FC5D"/>
    <w:rsid w:val="7A476FAB"/>
    <w:rsid w:val="7A47FE18"/>
    <w:rsid w:val="7A480614"/>
    <w:rsid w:val="7A4811BB"/>
    <w:rsid w:val="7A496411"/>
    <w:rsid w:val="7A496BC9"/>
    <w:rsid w:val="7A49B1AE"/>
    <w:rsid w:val="7A4A41F6"/>
    <w:rsid w:val="7A4A6995"/>
    <w:rsid w:val="7A4B4555"/>
    <w:rsid w:val="7A4B899E"/>
    <w:rsid w:val="7A4CC4BF"/>
    <w:rsid w:val="7A4CD36B"/>
    <w:rsid w:val="7A4E3502"/>
    <w:rsid w:val="7A4E7D3D"/>
    <w:rsid w:val="7A4F2AA0"/>
    <w:rsid w:val="7A4F3B54"/>
    <w:rsid w:val="7A4F9BAC"/>
    <w:rsid w:val="7A4FD199"/>
    <w:rsid w:val="7A504B70"/>
    <w:rsid w:val="7A50D3C8"/>
    <w:rsid w:val="7A515866"/>
    <w:rsid w:val="7A518F64"/>
    <w:rsid w:val="7A51F534"/>
    <w:rsid w:val="7A520865"/>
    <w:rsid w:val="7A527310"/>
    <w:rsid w:val="7A541409"/>
    <w:rsid w:val="7A547DD7"/>
    <w:rsid w:val="7A552950"/>
    <w:rsid w:val="7A55C562"/>
    <w:rsid w:val="7A56007D"/>
    <w:rsid w:val="7A5782BE"/>
    <w:rsid w:val="7A57F2AB"/>
    <w:rsid w:val="7A580774"/>
    <w:rsid w:val="7A581C09"/>
    <w:rsid w:val="7A58685E"/>
    <w:rsid w:val="7A58C41C"/>
    <w:rsid w:val="7A58EA71"/>
    <w:rsid w:val="7A59D19B"/>
    <w:rsid w:val="7A5A1045"/>
    <w:rsid w:val="7A5ABE0A"/>
    <w:rsid w:val="7A5B63FB"/>
    <w:rsid w:val="7A5B9C21"/>
    <w:rsid w:val="7A5BD0F4"/>
    <w:rsid w:val="7A5CC717"/>
    <w:rsid w:val="7A5D8EF2"/>
    <w:rsid w:val="7A5DA304"/>
    <w:rsid w:val="7A5E09A1"/>
    <w:rsid w:val="7A5E53DE"/>
    <w:rsid w:val="7A5E64A3"/>
    <w:rsid w:val="7A5F7A00"/>
    <w:rsid w:val="7A5FB9F1"/>
    <w:rsid w:val="7A60C0EB"/>
    <w:rsid w:val="7A6231E5"/>
    <w:rsid w:val="7A628E71"/>
    <w:rsid w:val="7A6411D2"/>
    <w:rsid w:val="7A64B1B0"/>
    <w:rsid w:val="7A64F771"/>
    <w:rsid w:val="7A6541B5"/>
    <w:rsid w:val="7A65BBC6"/>
    <w:rsid w:val="7A66CFAD"/>
    <w:rsid w:val="7A6713ED"/>
    <w:rsid w:val="7A676BCB"/>
    <w:rsid w:val="7A677858"/>
    <w:rsid w:val="7A685893"/>
    <w:rsid w:val="7A68817F"/>
    <w:rsid w:val="7A6A2A9A"/>
    <w:rsid w:val="7A6B2FC5"/>
    <w:rsid w:val="7A6B7A2B"/>
    <w:rsid w:val="7A6B7AB4"/>
    <w:rsid w:val="7A6C2725"/>
    <w:rsid w:val="7A6D0B24"/>
    <w:rsid w:val="7A6D11E7"/>
    <w:rsid w:val="7A6E373E"/>
    <w:rsid w:val="7A6E4EFB"/>
    <w:rsid w:val="7A6EBEE7"/>
    <w:rsid w:val="7A6F41BE"/>
    <w:rsid w:val="7A6F8D29"/>
    <w:rsid w:val="7A70DD4C"/>
    <w:rsid w:val="7A70F3DF"/>
    <w:rsid w:val="7A71B9A6"/>
    <w:rsid w:val="7A729823"/>
    <w:rsid w:val="7A7561AE"/>
    <w:rsid w:val="7A7723C3"/>
    <w:rsid w:val="7A77C841"/>
    <w:rsid w:val="7A78CEE2"/>
    <w:rsid w:val="7A7A2B67"/>
    <w:rsid w:val="7A7A5A1F"/>
    <w:rsid w:val="7A7A862D"/>
    <w:rsid w:val="7A7AEC48"/>
    <w:rsid w:val="7A7B7D94"/>
    <w:rsid w:val="7A7B8290"/>
    <w:rsid w:val="7A7BAF81"/>
    <w:rsid w:val="7A7C2659"/>
    <w:rsid w:val="7A7C284D"/>
    <w:rsid w:val="7A7C3595"/>
    <w:rsid w:val="7A7C6E80"/>
    <w:rsid w:val="7A7D7153"/>
    <w:rsid w:val="7A7E5144"/>
    <w:rsid w:val="7A7EA24C"/>
    <w:rsid w:val="7A7EC97F"/>
    <w:rsid w:val="7A7F2A17"/>
    <w:rsid w:val="7A7F872D"/>
    <w:rsid w:val="7A809CC0"/>
    <w:rsid w:val="7A81618D"/>
    <w:rsid w:val="7A83DA8D"/>
    <w:rsid w:val="7A842F97"/>
    <w:rsid w:val="7A84344A"/>
    <w:rsid w:val="7A844570"/>
    <w:rsid w:val="7A87BF1F"/>
    <w:rsid w:val="7A87CAB0"/>
    <w:rsid w:val="7A8920EE"/>
    <w:rsid w:val="7A89E95F"/>
    <w:rsid w:val="7A89EA68"/>
    <w:rsid w:val="7A8A5BDE"/>
    <w:rsid w:val="7A8ACCCD"/>
    <w:rsid w:val="7A8C1E39"/>
    <w:rsid w:val="7A8C3CF5"/>
    <w:rsid w:val="7A8DBE27"/>
    <w:rsid w:val="7A8F60FF"/>
    <w:rsid w:val="7A8FAA4A"/>
    <w:rsid w:val="7A8FE30E"/>
    <w:rsid w:val="7A90384D"/>
    <w:rsid w:val="7A903BAC"/>
    <w:rsid w:val="7A90A602"/>
    <w:rsid w:val="7A90EC0F"/>
    <w:rsid w:val="7A9237DE"/>
    <w:rsid w:val="7A924AD4"/>
    <w:rsid w:val="7A942A28"/>
    <w:rsid w:val="7A95176D"/>
    <w:rsid w:val="7A9638EE"/>
    <w:rsid w:val="7A98D92D"/>
    <w:rsid w:val="7A98E7B9"/>
    <w:rsid w:val="7A98FE5A"/>
    <w:rsid w:val="7A99CDD6"/>
    <w:rsid w:val="7A99F58B"/>
    <w:rsid w:val="7A9A524F"/>
    <w:rsid w:val="7A9A7C89"/>
    <w:rsid w:val="7A9A8822"/>
    <w:rsid w:val="7A9A8F8A"/>
    <w:rsid w:val="7A9B0A45"/>
    <w:rsid w:val="7A9DD710"/>
    <w:rsid w:val="7A9ECF48"/>
    <w:rsid w:val="7A9F31A2"/>
    <w:rsid w:val="7A9F41A5"/>
    <w:rsid w:val="7AA00693"/>
    <w:rsid w:val="7AA0A2A9"/>
    <w:rsid w:val="7AA15DB9"/>
    <w:rsid w:val="7AA1E5BC"/>
    <w:rsid w:val="7AA22453"/>
    <w:rsid w:val="7AA23958"/>
    <w:rsid w:val="7AA24D65"/>
    <w:rsid w:val="7AA3D370"/>
    <w:rsid w:val="7AA531A5"/>
    <w:rsid w:val="7AA80203"/>
    <w:rsid w:val="7AA8360B"/>
    <w:rsid w:val="7AA989B1"/>
    <w:rsid w:val="7AAA446D"/>
    <w:rsid w:val="7AAA8B2E"/>
    <w:rsid w:val="7AAAA1B1"/>
    <w:rsid w:val="7AAB8BDF"/>
    <w:rsid w:val="7AAD07BA"/>
    <w:rsid w:val="7AAD4DBE"/>
    <w:rsid w:val="7AAD746C"/>
    <w:rsid w:val="7AADE5C7"/>
    <w:rsid w:val="7AAE82AF"/>
    <w:rsid w:val="7AAE8F0B"/>
    <w:rsid w:val="7AAF1DB8"/>
    <w:rsid w:val="7AB0871B"/>
    <w:rsid w:val="7AB0C51D"/>
    <w:rsid w:val="7AB0CA1C"/>
    <w:rsid w:val="7AB18A3F"/>
    <w:rsid w:val="7AB18B15"/>
    <w:rsid w:val="7AB1AFAD"/>
    <w:rsid w:val="7AB1C4FE"/>
    <w:rsid w:val="7AB200C0"/>
    <w:rsid w:val="7AB2277C"/>
    <w:rsid w:val="7AB280B2"/>
    <w:rsid w:val="7AB2D259"/>
    <w:rsid w:val="7AB2F29E"/>
    <w:rsid w:val="7AB4103F"/>
    <w:rsid w:val="7AB4D813"/>
    <w:rsid w:val="7AB52C0E"/>
    <w:rsid w:val="7AB60F9A"/>
    <w:rsid w:val="7AB61681"/>
    <w:rsid w:val="7AB6DA6F"/>
    <w:rsid w:val="7AB729D1"/>
    <w:rsid w:val="7AB77372"/>
    <w:rsid w:val="7AB796F8"/>
    <w:rsid w:val="7AB834C7"/>
    <w:rsid w:val="7AB84B43"/>
    <w:rsid w:val="7AB8711B"/>
    <w:rsid w:val="7AB92A73"/>
    <w:rsid w:val="7AB965B0"/>
    <w:rsid w:val="7ABA7974"/>
    <w:rsid w:val="7ABB48BD"/>
    <w:rsid w:val="7ABC0B73"/>
    <w:rsid w:val="7ABCAC0D"/>
    <w:rsid w:val="7ABEE81B"/>
    <w:rsid w:val="7ABF6C29"/>
    <w:rsid w:val="7AC01723"/>
    <w:rsid w:val="7AC38C8B"/>
    <w:rsid w:val="7AC3CF1C"/>
    <w:rsid w:val="7AC3E046"/>
    <w:rsid w:val="7AC41476"/>
    <w:rsid w:val="7AC43DDC"/>
    <w:rsid w:val="7AC4DC6C"/>
    <w:rsid w:val="7AC5AEE8"/>
    <w:rsid w:val="7AC5E8AB"/>
    <w:rsid w:val="7AC69349"/>
    <w:rsid w:val="7AC6C244"/>
    <w:rsid w:val="7AC71C96"/>
    <w:rsid w:val="7AC72753"/>
    <w:rsid w:val="7AC79245"/>
    <w:rsid w:val="7AC7C34D"/>
    <w:rsid w:val="7AC83595"/>
    <w:rsid w:val="7AC857F1"/>
    <w:rsid w:val="7AC8597F"/>
    <w:rsid w:val="7AC8B383"/>
    <w:rsid w:val="7AC9116F"/>
    <w:rsid w:val="7AC923B5"/>
    <w:rsid w:val="7ACA88B7"/>
    <w:rsid w:val="7ACB1632"/>
    <w:rsid w:val="7ACB1C2C"/>
    <w:rsid w:val="7ACB41E2"/>
    <w:rsid w:val="7ACC89E0"/>
    <w:rsid w:val="7ACD572F"/>
    <w:rsid w:val="7ACDEADF"/>
    <w:rsid w:val="7ACDFDE2"/>
    <w:rsid w:val="7ACE34BB"/>
    <w:rsid w:val="7ACF2941"/>
    <w:rsid w:val="7ACF4D9B"/>
    <w:rsid w:val="7AD06125"/>
    <w:rsid w:val="7AD063FA"/>
    <w:rsid w:val="7AD0CA6C"/>
    <w:rsid w:val="7AD16C02"/>
    <w:rsid w:val="7AD1D0E6"/>
    <w:rsid w:val="7AD36DE5"/>
    <w:rsid w:val="7AD4D8B9"/>
    <w:rsid w:val="7AD55301"/>
    <w:rsid w:val="7AD5A0BF"/>
    <w:rsid w:val="7AD60358"/>
    <w:rsid w:val="7AD7048D"/>
    <w:rsid w:val="7AD7236A"/>
    <w:rsid w:val="7AD76950"/>
    <w:rsid w:val="7AD77E8A"/>
    <w:rsid w:val="7AD8C2A5"/>
    <w:rsid w:val="7AD94DFA"/>
    <w:rsid w:val="7AD9EA35"/>
    <w:rsid w:val="7ADA276A"/>
    <w:rsid w:val="7ADA9F08"/>
    <w:rsid w:val="7ADB123B"/>
    <w:rsid w:val="7ADB190D"/>
    <w:rsid w:val="7ADBE1A8"/>
    <w:rsid w:val="7ADC9454"/>
    <w:rsid w:val="7ADF41B6"/>
    <w:rsid w:val="7AE01AC0"/>
    <w:rsid w:val="7AE01EBC"/>
    <w:rsid w:val="7AE04013"/>
    <w:rsid w:val="7AE09DD7"/>
    <w:rsid w:val="7AE139D4"/>
    <w:rsid w:val="7AE3154A"/>
    <w:rsid w:val="7AE39203"/>
    <w:rsid w:val="7AE44966"/>
    <w:rsid w:val="7AE4A18C"/>
    <w:rsid w:val="7AE540C6"/>
    <w:rsid w:val="7AE609E3"/>
    <w:rsid w:val="7AE6BFBC"/>
    <w:rsid w:val="7AE72D1D"/>
    <w:rsid w:val="7AE86A3B"/>
    <w:rsid w:val="7AE919B4"/>
    <w:rsid w:val="7AE9AB8E"/>
    <w:rsid w:val="7AEA3127"/>
    <w:rsid w:val="7AEAB0B5"/>
    <w:rsid w:val="7AEADA41"/>
    <w:rsid w:val="7AEB0818"/>
    <w:rsid w:val="7AEBF880"/>
    <w:rsid w:val="7AEC61B0"/>
    <w:rsid w:val="7AEC8EC2"/>
    <w:rsid w:val="7AECD116"/>
    <w:rsid w:val="7AED853A"/>
    <w:rsid w:val="7AEDB9B7"/>
    <w:rsid w:val="7AF13E7C"/>
    <w:rsid w:val="7AF1D8A9"/>
    <w:rsid w:val="7AF1E977"/>
    <w:rsid w:val="7AF1FC18"/>
    <w:rsid w:val="7AF2802E"/>
    <w:rsid w:val="7AF2F116"/>
    <w:rsid w:val="7AF3222D"/>
    <w:rsid w:val="7AF39AC2"/>
    <w:rsid w:val="7AF3CC2E"/>
    <w:rsid w:val="7AF48B22"/>
    <w:rsid w:val="7AF4B088"/>
    <w:rsid w:val="7AF4C743"/>
    <w:rsid w:val="7AF59ED6"/>
    <w:rsid w:val="7AF64309"/>
    <w:rsid w:val="7AF6C88F"/>
    <w:rsid w:val="7AF72C68"/>
    <w:rsid w:val="7AF7B53D"/>
    <w:rsid w:val="7AF7F6D0"/>
    <w:rsid w:val="7AF8FA69"/>
    <w:rsid w:val="7AF8FA87"/>
    <w:rsid w:val="7AFA690B"/>
    <w:rsid w:val="7AFAD00C"/>
    <w:rsid w:val="7AFB0C0A"/>
    <w:rsid w:val="7AFB9ECE"/>
    <w:rsid w:val="7AFBA9F9"/>
    <w:rsid w:val="7AFD6F49"/>
    <w:rsid w:val="7AFDBF68"/>
    <w:rsid w:val="7AFDD277"/>
    <w:rsid w:val="7AFDD730"/>
    <w:rsid w:val="7AFE4C20"/>
    <w:rsid w:val="7AFF3CB2"/>
    <w:rsid w:val="7AFF9CF9"/>
    <w:rsid w:val="7B00000E"/>
    <w:rsid w:val="7B004955"/>
    <w:rsid w:val="7B015BD8"/>
    <w:rsid w:val="7B018B05"/>
    <w:rsid w:val="7B01F00B"/>
    <w:rsid w:val="7B0247B3"/>
    <w:rsid w:val="7B02C518"/>
    <w:rsid w:val="7B02D92E"/>
    <w:rsid w:val="7B02DD7C"/>
    <w:rsid w:val="7B038FEB"/>
    <w:rsid w:val="7B03AC6E"/>
    <w:rsid w:val="7B03B6BD"/>
    <w:rsid w:val="7B03BA89"/>
    <w:rsid w:val="7B041599"/>
    <w:rsid w:val="7B043883"/>
    <w:rsid w:val="7B04A1F8"/>
    <w:rsid w:val="7B050C1F"/>
    <w:rsid w:val="7B0622F6"/>
    <w:rsid w:val="7B078E9E"/>
    <w:rsid w:val="7B0887CB"/>
    <w:rsid w:val="7B08BC03"/>
    <w:rsid w:val="7B08E82C"/>
    <w:rsid w:val="7B09ACCC"/>
    <w:rsid w:val="7B0A50D2"/>
    <w:rsid w:val="7B0A7FDF"/>
    <w:rsid w:val="7B0B2FA4"/>
    <w:rsid w:val="7B0B373F"/>
    <w:rsid w:val="7B0B3CB3"/>
    <w:rsid w:val="7B0BEF95"/>
    <w:rsid w:val="7B0CA1AC"/>
    <w:rsid w:val="7B0DEBB1"/>
    <w:rsid w:val="7B0E641B"/>
    <w:rsid w:val="7B0EE7A5"/>
    <w:rsid w:val="7B0F361D"/>
    <w:rsid w:val="7B0F64FF"/>
    <w:rsid w:val="7B0F8798"/>
    <w:rsid w:val="7B0FE66A"/>
    <w:rsid w:val="7B10872A"/>
    <w:rsid w:val="7B112A8D"/>
    <w:rsid w:val="7B11A9BA"/>
    <w:rsid w:val="7B11C957"/>
    <w:rsid w:val="7B123FFD"/>
    <w:rsid w:val="7B129283"/>
    <w:rsid w:val="7B13A2D7"/>
    <w:rsid w:val="7B1404E5"/>
    <w:rsid w:val="7B142246"/>
    <w:rsid w:val="7B1547FB"/>
    <w:rsid w:val="7B157A80"/>
    <w:rsid w:val="7B1646D8"/>
    <w:rsid w:val="7B173984"/>
    <w:rsid w:val="7B17A9BA"/>
    <w:rsid w:val="7B188888"/>
    <w:rsid w:val="7B18D589"/>
    <w:rsid w:val="7B194855"/>
    <w:rsid w:val="7B1982BD"/>
    <w:rsid w:val="7B1A28FB"/>
    <w:rsid w:val="7B1A8BC6"/>
    <w:rsid w:val="7B1AF230"/>
    <w:rsid w:val="7B1C63E0"/>
    <w:rsid w:val="7B1C7FF6"/>
    <w:rsid w:val="7B1D1F7E"/>
    <w:rsid w:val="7B1D7338"/>
    <w:rsid w:val="7B1D8FBB"/>
    <w:rsid w:val="7B1E1A08"/>
    <w:rsid w:val="7B1EABF5"/>
    <w:rsid w:val="7B218C31"/>
    <w:rsid w:val="7B22AA70"/>
    <w:rsid w:val="7B250E89"/>
    <w:rsid w:val="7B2534AF"/>
    <w:rsid w:val="7B25C855"/>
    <w:rsid w:val="7B2660EF"/>
    <w:rsid w:val="7B267551"/>
    <w:rsid w:val="7B26A228"/>
    <w:rsid w:val="7B27006D"/>
    <w:rsid w:val="7B2799D0"/>
    <w:rsid w:val="7B291EF8"/>
    <w:rsid w:val="7B2A06D9"/>
    <w:rsid w:val="7B2A6AE8"/>
    <w:rsid w:val="7B2AA3CB"/>
    <w:rsid w:val="7B2C81D2"/>
    <w:rsid w:val="7B2E5027"/>
    <w:rsid w:val="7B2E9937"/>
    <w:rsid w:val="7B2F33C5"/>
    <w:rsid w:val="7B2F99CF"/>
    <w:rsid w:val="7B3107D4"/>
    <w:rsid w:val="7B31D98D"/>
    <w:rsid w:val="7B32E14E"/>
    <w:rsid w:val="7B33FDAE"/>
    <w:rsid w:val="7B34BD04"/>
    <w:rsid w:val="7B34CC31"/>
    <w:rsid w:val="7B36734D"/>
    <w:rsid w:val="7B377656"/>
    <w:rsid w:val="7B38C95A"/>
    <w:rsid w:val="7B390A9D"/>
    <w:rsid w:val="7B3931D3"/>
    <w:rsid w:val="7B394DD7"/>
    <w:rsid w:val="7B397E7E"/>
    <w:rsid w:val="7B3B7197"/>
    <w:rsid w:val="7B3D4CA5"/>
    <w:rsid w:val="7B3D72D0"/>
    <w:rsid w:val="7B3E2038"/>
    <w:rsid w:val="7B3E263E"/>
    <w:rsid w:val="7B3F2249"/>
    <w:rsid w:val="7B3FC867"/>
    <w:rsid w:val="7B403A4A"/>
    <w:rsid w:val="7B40765F"/>
    <w:rsid w:val="7B423DA6"/>
    <w:rsid w:val="7B4372DA"/>
    <w:rsid w:val="7B44F171"/>
    <w:rsid w:val="7B451E97"/>
    <w:rsid w:val="7B45E148"/>
    <w:rsid w:val="7B47E294"/>
    <w:rsid w:val="7B482DC5"/>
    <w:rsid w:val="7B492F71"/>
    <w:rsid w:val="7B4938C9"/>
    <w:rsid w:val="7B499FFA"/>
    <w:rsid w:val="7B49C0E9"/>
    <w:rsid w:val="7B4D995F"/>
    <w:rsid w:val="7B500D37"/>
    <w:rsid w:val="7B512CC6"/>
    <w:rsid w:val="7B51648B"/>
    <w:rsid w:val="7B52A582"/>
    <w:rsid w:val="7B5438E0"/>
    <w:rsid w:val="7B550E36"/>
    <w:rsid w:val="7B559E3A"/>
    <w:rsid w:val="7B566E41"/>
    <w:rsid w:val="7B569E8B"/>
    <w:rsid w:val="7B576B8E"/>
    <w:rsid w:val="7B57E5FB"/>
    <w:rsid w:val="7B585E05"/>
    <w:rsid w:val="7B589E8C"/>
    <w:rsid w:val="7B58D628"/>
    <w:rsid w:val="7B592FD1"/>
    <w:rsid w:val="7B59928E"/>
    <w:rsid w:val="7B59BC48"/>
    <w:rsid w:val="7B5A3C65"/>
    <w:rsid w:val="7B5A42E2"/>
    <w:rsid w:val="7B5ACA4A"/>
    <w:rsid w:val="7B5ADCF9"/>
    <w:rsid w:val="7B5B5062"/>
    <w:rsid w:val="7B5B90FA"/>
    <w:rsid w:val="7B5C4D59"/>
    <w:rsid w:val="7B5CA217"/>
    <w:rsid w:val="7B5D5F41"/>
    <w:rsid w:val="7B5F12A1"/>
    <w:rsid w:val="7B5F898A"/>
    <w:rsid w:val="7B603095"/>
    <w:rsid w:val="7B604DE7"/>
    <w:rsid w:val="7B60B0E5"/>
    <w:rsid w:val="7B61B869"/>
    <w:rsid w:val="7B639C1F"/>
    <w:rsid w:val="7B63A6BA"/>
    <w:rsid w:val="7B64E4DC"/>
    <w:rsid w:val="7B6607B2"/>
    <w:rsid w:val="7B66823E"/>
    <w:rsid w:val="7B68D639"/>
    <w:rsid w:val="7B69F268"/>
    <w:rsid w:val="7B6A354C"/>
    <w:rsid w:val="7B6BC554"/>
    <w:rsid w:val="7B6C1BDA"/>
    <w:rsid w:val="7B6E5B00"/>
    <w:rsid w:val="7B6EE64A"/>
    <w:rsid w:val="7B70A5EC"/>
    <w:rsid w:val="7B70DE65"/>
    <w:rsid w:val="7B711060"/>
    <w:rsid w:val="7B712CBB"/>
    <w:rsid w:val="7B720C7F"/>
    <w:rsid w:val="7B739223"/>
    <w:rsid w:val="7B740A38"/>
    <w:rsid w:val="7B7453AE"/>
    <w:rsid w:val="7B7589CA"/>
    <w:rsid w:val="7B7790EA"/>
    <w:rsid w:val="7B78DF0F"/>
    <w:rsid w:val="7B7940CF"/>
    <w:rsid w:val="7B7952B5"/>
    <w:rsid w:val="7B79872D"/>
    <w:rsid w:val="7B7A1553"/>
    <w:rsid w:val="7B7A20DD"/>
    <w:rsid w:val="7B7B4052"/>
    <w:rsid w:val="7B7C5B63"/>
    <w:rsid w:val="7B7D1CD0"/>
    <w:rsid w:val="7B7EC790"/>
    <w:rsid w:val="7B7ECC46"/>
    <w:rsid w:val="7B7FBFA9"/>
    <w:rsid w:val="7B809512"/>
    <w:rsid w:val="7B8192FF"/>
    <w:rsid w:val="7B81C661"/>
    <w:rsid w:val="7B820C2E"/>
    <w:rsid w:val="7B835A1D"/>
    <w:rsid w:val="7B83666A"/>
    <w:rsid w:val="7B8494DC"/>
    <w:rsid w:val="7B84BB39"/>
    <w:rsid w:val="7B858F7C"/>
    <w:rsid w:val="7B869875"/>
    <w:rsid w:val="7B86FF81"/>
    <w:rsid w:val="7B876C4C"/>
    <w:rsid w:val="7B87E02F"/>
    <w:rsid w:val="7B885F43"/>
    <w:rsid w:val="7B88EBFF"/>
    <w:rsid w:val="7B890246"/>
    <w:rsid w:val="7B895EEE"/>
    <w:rsid w:val="7B89DD38"/>
    <w:rsid w:val="7B89E4FE"/>
    <w:rsid w:val="7B8A110D"/>
    <w:rsid w:val="7B8AF8C2"/>
    <w:rsid w:val="7B8B81F9"/>
    <w:rsid w:val="7B8D476B"/>
    <w:rsid w:val="7B8DC6B0"/>
    <w:rsid w:val="7B8F1E0F"/>
    <w:rsid w:val="7B8F6C26"/>
    <w:rsid w:val="7B8FFEFE"/>
    <w:rsid w:val="7B903898"/>
    <w:rsid w:val="7B910B79"/>
    <w:rsid w:val="7B913CD3"/>
    <w:rsid w:val="7B915256"/>
    <w:rsid w:val="7B917726"/>
    <w:rsid w:val="7B91B3B1"/>
    <w:rsid w:val="7B9241A0"/>
    <w:rsid w:val="7B927FAE"/>
    <w:rsid w:val="7B94B85D"/>
    <w:rsid w:val="7B9503E8"/>
    <w:rsid w:val="7B950C5F"/>
    <w:rsid w:val="7B9594A9"/>
    <w:rsid w:val="7B95A14B"/>
    <w:rsid w:val="7B96205E"/>
    <w:rsid w:val="7B962D38"/>
    <w:rsid w:val="7B96DAA4"/>
    <w:rsid w:val="7B96EBE9"/>
    <w:rsid w:val="7B978224"/>
    <w:rsid w:val="7B9790C4"/>
    <w:rsid w:val="7B988ED8"/>
    <w:rsid w:val="7B9BC564"/>
    <w:rsid w:val="7B9BD92A"/>
    <w:rsid w:val="7B9C29E6"/>
    <w:rsid w:val="7B9D936F"/>
    <w:rsid w:val="7B9DBD0E"/>
    <w:rsid w:val="7B9E3906"/>
    <w:rsid w:val="7B9E905A"/>
    <w:rsid w:val="7B9FDFBC"/>
    <w:rsid w:val="7B9FE40E"/>
    <w:rsid w:val="7BA025D7"/>
    <w:rsid w:val="7BA1223E"/>
    <w:rsid w:val="7BA207C3"/>
    <w:rsid w:val="7BA23119"/>
    <w:rsid w:val="7BA235F4"/>
    <w:rsid w:val="7BA23CCD"/>
    <w:rsid w:val="7BA28668"/>
    <w:rsid w:val="7BA461B5"/>
    <w:rsid w:val="7BA4A8CB"/>
    <w:rsid w:val="7BA5120E"/>
    <w:rsid w:val="7BA53F82"/>
    <w:rsid w:val="7BA5B9B6"/>
    <w:rsid w:val="7BA5EC55"/>
    <w:rsid w:val="7BA73BA7"/>
    <w:rsid w:val="7BA762FD"/>
    <w:rsid w:val="7BA79D8E"/>
    <w:rsid w:val="7BA7D396"/>
    <w:rsid w:val="7BA8308E"/>
    <w:rsid w:val="7BA86680"/>
    <w:rsid w:val="7BA8B3CD"/>
    <w:rsid w:val="7BA8FDD7"/>
    <w:rsid w:val="7BA95257"/>
    <w:rsid w:val="7BA96088"/>
    <w:rsid w:val="7BAB4C40"/>
    <w:rsid w:val="7BAB57F8"/>
    <w:rsid w:val="7BAC9E43"/>
    <w:rsid w:val="7BB080FF"/>
    <w:rsid w:val="7BB14EBC"/>
    <w:rsid w:val="7BB15426"/>
    <w:rsid w:val="7BB1BE60"/>
    <w:rsid w:val="7BB209E9"/>
    <w:rsid w:val="7BB2A062"/>
    <w:rsid w:val="7BB3B527"/>
    <w:rsid w:val="7BB3CF61"/>
    <w:rsid w:val="7BB41262"/>
    <w:rsid w:val="7BB5A560"/>
    <w:rsid w:val="7BB6B906"/>
    <w:rsid w:val="7BB82BDF"/>
    <w:rsid w:val="7BB88AF7"/>
    <w:rsid w:val="7BB89599"/>
    <w:rsid w:val="7BBA56F1"/>
    <w:rsid w:val="7BBB1686"/>
    <w:rsid w:val="7BBB7DF5"/>
    <w:rsid w:val="7BBBAFB6"/>
    <w:rsid w:val="7BBBB62D"/>
    <w:rsid w:val="7BBC2E83"/>
    <w:rsid w:val="7BBD00D2"/>
    <w:rsid w:val="7BBE4FEB"/>
    <w:rsid w:val="7BBEEFE6"/>
    <w:rsid w:val="7BBF0464"/>
    <w:rsid w:val="7BBF2F3A"/>
    <w:rsid w:val="7BC02A93"/>
    <w:rsid w:val="7BC05550"/>
    <w:rsid w:val="7BC073C2"/>
    <w:rsid w:val="7BC085EF"/>
    <w:rsid w:val="7BC11DA2"/>
    <w:rsid w:val="7BC298B1"/>
    <w:rsid w:val="7BC33B44"/>
    <w:rsid w:val="7BC356AF"/>
    <w:rsid w:val="7BC3DA18"/>
    <w:rsid w:val="7BC4510A"/>
    <w:rsid w:val="7BC50B99"/>
    <w:rsid w:val="7BC51E93"/>
    <w:rsid w:val="7BC533E9"/>
    <w:rsid w:val="7BC55C77"/>
    <w:rsid w:val="7BC63AFD"/>
    <w:rsid w:val="7BC63DFB"/>
    <w:rsid w:val="7BC7C81A"/>
    <w:rsid w:val="7BC89986"/>
    <w:rsid w:val="7BC96EAE"/>
    <w:rsid w:val="7BC9EDC3"/>
    <w:rsid w:val="7BCA0266"/>
    <w:rsid w:val="7BCA25F3"/>
    <w:rsid w:val="7BCA3FB8"/>
    <w:rsid w:val="7BCA42EA"/>
    <w:rsid w:val="7BCA64BD"/>
    <w:rsid w:val="7BCB1020"/>
    <w:rsid w:val="7BCB6654"/>
    <w:rsid w:val="7BCBB146"/>
    <w:rsid w:val="7BCC3C72"/>
    <w:rsid w:val="7BCC92B8"/>
    <w:rsid w:val="7BCE14FC"/>
    <w:rsid w:val="7BCE3BE2"/>
    <w:rsid w:val="7BCEC1BA"/>
    <w:rsid w:val="7BCF18EB"/>
    <w:rsid w:val="7BCF2038"/>
    <w:rsid w:val="7BCF3B24"/>
    <w:rsid w:val="7BCF9B9C"/>
    <w:rsid w:val="7BCFA73E"/>
    <w:rsid w:val="7BD019BD"/>
    <w:rsid w:val="7BD07740"/>
    <w:rsid w:val="7BD18F2F"/>
    <w:rsid w:val="7BD2915E"/>
    <w:rsid w:val="7BD4F57B"/>
    <w:rsid w:val="7BD540A1"/>
    <w:rsid w:val="7BD57D6E"/>
    <w:rsid w:val="7BD66928"/>
    <w:rsid w:val="7BD6B20E"/>
    <w:rsid w:val="7BD80801"/>
    <w:rsid w:val="7BD82912"/>
    <w:rsid w:val="7BDA3F32"/>
    <w:rsid w:val="7BDB7A1C"/>
    <w:rsid w:val="7BDCAFB7"/>
    <w:rsid w:val="7BDD3F23"/>
    <w:rsid w:val="7BDD755B"/>
    <w:rsid w:val="7BDE1BC7"/>
    <w:rsid w:val="7BDED08D"/>
    <w:rsid w:val="7BDFF19F"/>
    <w:rsid w:val="7BE01B96"/>
    <w:rsid w:val="7BE03909"/>
    <w:rsid w:val="7BE06BBC"/>
    <w:rsid w:val="7BE2332A"/>
    <w:rsid w:val="7BE29633"/>
    <w:rsid w:val="7BE29A33"/>
    <w:rsid w:val="7BE2B9D5"/>
    <w:rsid w:val="7BE315B9"/>
    <w:rsid w:val="7BE3225B"/>
    <w:rsid w:val="7BE5DC24"/>
    <w:rsid w:val="7BE67648"/>
    <w:rsid w:val="7BE68777"/>
    <w:rsid w:val="7BE72C5B"/>
    <w:rsid w:val="7BE74B16"/>
    <w:rsid w:val="7BE83883"/>
    <w:rsid w:val="7BE86E9C"/>
    <w:rsid w:val="7BE896FA"/>
    <w:rsid w:val="7BE89BE4"/>
    <w:rsid w:val="7BE8C7B9"/>
    <w:rsid w:val="7BE8CBD4"/>
    <w:rsid w:val="7BE98FEF"/>
    <w:rsid w:val="7BEA45DF"/>
    <w:rsid w:val="7BEAF0C7"/>
    <w:rsid w:val="7BEB158C"/>
    <w:rsid w:val="7BEB882A"/>
    <w:rsid w:val="7BECFCC1"/>
    <w:rsid w:val="7BED9A3A"/>
    <w:rsid w:val="7BEDBB31"/>
    <w:rsid w:val="7BEE50D1"/>
    <w:rsid w:val="7BEE6EAB"/>
    <w:rsid w:val="7BEECF8A"/>
    <w:rsid w:val="7BEF0E31"/>
    <w:rsid w:val="7BEF23EB"/>
    <w:rsid w:val="7BF07198"/>
    <w:rsid w:val="7BF09E34"/>
    <w:rsid w:val="7BF09FB7"/>
    <w:rsid w:val="7BF10900"/>
    <w:rsid w:val="7BF25949"/>
    <w:rsid w:val="7BF34079"/>
    <w:rsid w:val="7BF40FBA"/>
    <w:rsid w:val="7BF4E055"/>
    <w:rsid w:val="7BF505A8"/>
    <w:rsid w:val="7BF52EB3"/>
    <w:rsid w:val="7BF57DD7"/>
    <w:rsid w:val="7BF7EC0B"/>
    <w:rsid w:val="7BF81C3C"/>
    <w:rsid w:val="7BF8AC64"/>
    <w:rsid w:val="7BF9CB0E"/>
    <w:rsid w:val="7BFA8342"/>
    <w:rsid w:val="7BFAFA17"/>
    <w:rsid w:val="7BFBA98C"/>
    <w:rsid w:val="7BFCB4DD"/>
    <w:rsid w:val="7BFD22CE"/>
    <w:rsid w:val="7BFD5A97"/>
    <w:rsid w:val="7BFD9A10"/>
    <w:rsid w:val="7BFDA1C1"/>
    <w:rsid w:val="7BFEA6DF"/>
    <w:rsid w:val="7BFF965B"/>
    <w:rsid w:val="7C00AB40"/>
    <w:rsid w:val="7C017F0E"/>
    <w:rsid w:val="7C022770"/>
    <w:rsid w:val="7C0281FC"/>
    <w:rsid w:val="7C02E8DB"/>
    <w:rsid w:val="7C031021"/>
    <w:rsid w:val="7C03D50C"/>
    <w:rsid w:val="7C043806"/>
    <w:rsid w:val="7C048AD0"/>
    <w:rsid w:val="7C04C7E8"/>
    <w:rsid w:val="7C04D2A6"/>
    <w:rsid w:val="7C059FAA"/>
    <w:rsid w:val="7C07346A"/>
    <w:rsid w:val="7C0A4E07"/>
    <w:rsid w:val="7C0A5770"/>
    <w:rsid w:val="7C0A5F6E"/>
    <w:rsid w:val="7C0AD9FF"/>
    <w:rsid w:val="7C0B3500"/>
    <w:rsid w:val="7C0B8CD5"/>
    <w:rsid w:val="7C0BCB87"/>
    <w:rsid w:val="7C0D2BF6"/>
    <w:rsid w:val="7C0D9CF5"/>
    <w:rsid w:val="7C0E34EA"/>
    <w:rsid w:val="7C0EC401"/>
    <w:rsid w:val="7C0EDEE7"/>
    <w:rsid w:val="7C0F1B61"/>
    <w:rsid w:val="7C101D84"/>
    <w:rsid w:val="7C10A95B"/>
    <w:rsid w:val="7C10D591"/>
    <w:rsid w:val="7C124EEC"/>
    <w:rsid w:val="7C146F19"/>
    <w:rsid w:val="7C14AD75"/>
    <w:rsid w:val="7C150ADA"/>
    <w:rsid w:val="7C15625C"/>
    <w:rsid w:val="7C15698B"/>
    <w:rsid w:val="7C15CB29"/>
    <w:rsid w:val="7C1673BA"/>
    <w:rsid w:val="7C180A91"/>
    <w:rsid w:val="7C184840"/>
    <w:rsid w:val="7C19000A"/>
    <w:rsid w:val="7C190C7D"/>
    <w:rsid w:val="7C1A711F"/>
    <w:rsid w:val="7C1B55B1"/>
    <w:rsid w:val="7C1BC14D"/>
    <w:rsid w:val="7C1BD1C0"/>
    <w:rsid w:val="7C1C42D7"/>
    <w:rsid w:val="7C1C7B8E"/>
    <w:rsid w:val="7C1C8C74"/>
    <w:rsid w:val="7C1CCD2D"/>
    <w:rsid w:val="7C1E1E26"/>
    <w:rsid w:val="7C1E2D39"/>
    <w:rsid w:val="7C1F108C"/>
    <w:rsid w:val="7C202C73"/>
    <w:rsid w:val="7C203CEE"/>
    <w:rsid w:val="7C205158"/>
    <w:rsid w:val="7C20B87E"/>
    <w:rsid w:val="7C20E879"/>
    <w:rsid w:val="7C21370E"/>
    <w:rsid w:val="7C2166C5"/>
    <w:rsid w:val="7C21EFAA"/>
    <w:rsid w:val="7C227B0B"/>
    <w:rsid w:val="7C2369B4"/>
    <w:rsid w:val="7C23A2F9"/>
    <w:rsid w:val="7C23B7FF"/>
    <w:rsid w:val="7C24A59B"/>
    <w:rsid w:val="7C24A969"/>
    <w:rsid w:val="7C263701"/>
    <w:rsid w:val="7C2675B0"/>
    <w:rsid w:val="7C26F699"/>
    <w:rsid w:val="7C27E566"/>
    <w:rsid w:val="7C2809D1"/>
    <w:rsid w:val="7C282A8D"/>
    <w:rsid w:val="7C298F09"/>
    <w:rsid w:val="7C2AB839"/>
    <w:rsid w:val="7C2B75D3"/>
    <w:rsid w:val="7C2BF8A7"/>
    <w:rsid w:val="7C2CBCA7"/>
    <w:rsid w:val="7C2DAC31"/>
    <w:rsid w:val="7C2E2993"/>
    <w:rsid w:val="7C2F34FC"/>
    <w:rsid w:val="7C2F9E25"/>
    <w:rsid w:val="7C300D17"/>
    <w:rsid w:val="7C306A3C"/>
    <w:rsid w:val="7C319152"/>
    <w:rsid w:val="7C31CF0A"/>
    <w:rsid w:val="7C320446"/>
    <w:rsid w:val="7C32F634"/>
    <w:rsid w:val="7C341A85"/>
    <w:rsid w:val="7C3579C9"/>
    <w:rsid w:val="7C35E39F"/>
    <w:rsid w:val="7C360BE1"/>
    <w:rsid w:val="7C3816CC"/>
    <w:rsid w:val="7C382185"/>
    <w:rsid w:val="7C383B2B"/>
    <w:rsid w:val="7C392F39"/>
    <w:rsid w:val="7C399D13"/>
    <w:rsid w:val="7C39FB5B"/>
    <w:rsid w:val="7C3A5F20"/>
    <w:rsid w:val="7C3A7B86"/>
    <w:rsid w:val="7C3A9831"/>
    <w:rsid w:val="7C3AF3C4"/>
    <w:rsid w:val="7C3B4E0B"/>
    <w:rsid w:val="7C3CC0DE"/>
    <w:rsid w:val="7C3D6BC6"/>
    <w:rsid w:val="7C3DB25A"/>
    <w:rsid w:val="7C3F1D0F"/>
    <w:rsid w:val="7C3F946F"/>
    <w:rsid w:val="7C3FC6FB"/>
    <w:rsid w:val="7C416970"/>
    <w:rsid w:val="7C42C84C"/>
    <w:rsid w:val="7C43EF62"/>
    <w:rsid w:val="7C44202D"/>
    <w:rsid w:val="7C448A02"/>
    <w:rsid w:val="7C44F7AB"/>
    <w:rsid w:val="7C476513"/>
    <w:rsid w:val="7C476557"/>
    <w:rsid w:val="7C47F48B"/>
    <w:rsid w:val="7C481E59"/>
    <w:rsid w:val="7C4851FC"/>
    <w:rsid w:val="7C487492"/>
    <w:rsid w:val="7C48B885"/>
    <w:rsid w:val="7C491D3A"/>
    <w:rsid w:val="7C497B2E"/>
    <w:rsid w:val="7C4B590C"/>
    <w:rsid w:val="7C4B7F85"/>
    <w:rsid w:val="7C4BD3CB"/>
    <w:rsid w:val="7C4CE0DD"/>
    <w:rsid w:val="7C4D3A73"/>
    <w:rsid w:val="7C4DDA22"/>
    <w:rsid w:val="7C4EA69D"/>
    <w:rsid w:val="7C4F908C"/>
    <w:rsid w:val="7C50096D"/>
    <w:rsid w:val="7C51F3E8"/>
    <w:rsid w:val="7C525A7B"/>
    <w:rsid w:val="7C5269C5"/>
    <w:rsid w:val="7C527555"/>
    <w:rsid w:val="7C52C013"/>
    <w:rsid w:val="7C54DFDE"/>
    <w:rsid w:val="7C5546E4"/>
    <w:rsid w:val="7C55C7BC"/>
    <w:rsid w:val="7C56850F"/>
    <w:rsid w:val="7C56AADD"/>
    <w:rsid w:val="7C578906"/>
    <w:rsid w:val="7C580C70"/>
    <w:rsid w:val="7C588174"/>
    <w:rsid w:val="7C5A6812"/>
    <w:rsid w:val="7C5A7172"/>
    <w:rsid w:val="7C5A73DA"/>
    <w:rsid w:val="7C5B1E41"/>
    <w:rsid w:val="7C5B7090"/>
    <w:rsid w:val="7C5B9622"/>
    <w:rsid w:val="7C5B98F0"/>
    <w:rsid w:val="7C5D1A10"/>
    <w:rsid w:val="7C5DB505"/>
    <w:rsid w:val="7C5DDCC5"/>
    <w:rsid w:val="7C5E2C3A"/>
    <w:rsid w:val="7C5F4246"/>
    <w:rsid w:val="7C61017F"/>
    <w:rsid w:val="7C61DE6D"/>
    <w:rsid w:val="7C6221E7"/>
    <w:rsid w:val="7C62D09A"/>
    <w:rsid w:val="7C63CE2F"/>
    <w:rsid w:val="7C63E956"/>
    <w:rsid w:val="7C64F599"/>
    <w:rsid w:val="7C65A3D7"/>
    <w:rsid w:val="7C6643B2"/>
    <w:rsid w:val="7C6750FB"/>
    <w:rsid w:val="7C6791FB"/>
    <w:rsid w:val="7C680DF4"/>
    <w:rsid w:val="7C68C485"/>
    <w:rsid w:val="7C6950AF"/>
    <w:rsid w:val="7C697356"/>
    <w:rsid w:val="7C699AD3"/>
    <w:rsid w:val="7C69D66D"/>
    <w:rsid w:val="7C6ADC16"/>
    <w:rsid w:val="7C6AEBAB"/>
    <w:rsid w:val="7C6BF839"/>
    <w:rsid w:val="7C6D3AB0"/>
    <w:rsid w:val="7C6D4774"/>
    <w:rsid w:val="7C6D4D53"/>
    <w:rsid w:val="7C6D5521"/>
    <w:rsid w:val="7C6EF6FE"/>
    <w:rsid w:val="7C6F879C"/>
    <w:rsid w:val="7C6F993A"/>
    <w:rsid w:val="7C6FF2EC"/>
    <w:rsid w:val="7C705A1F"/>
    <w:rsid w:val="7C70AC0A"/>
    <w:rsid w:val="7C7215CB"/>
    <w:rsid w:val="7C721849"/>
    <w:rsid w:val="7C722EE2"/>
    <w:rsid w:val="7C725C9B"/>
    <w:rsid w:val="7C72D4EE"/>
    <w:rsid w:val="7C72E3C6"/>
    <w:rsid w:val="7C734379"/>
    <w:rsid w:val="7C73D0E3"/>
    <w:rsid w:val="7C742D7D"/>
    <w:rsid w:val="7C7432FD"/>
    <w:rsid w:val="7C76C67F"/>
    <w:rsid w:val="7C76F209"/>
    <w:rsid w:val="7C76FD6A"/>
    <w:rsid w:val="7C77B984"/>
    <w:rsid w:val="7C78333C"/>
    <w:rsid w:val="7C787BB1"/>
    <w:rsid w:val="7C78A540"/>
    <w:rsid w:val="7C78DB96"/>
    <w:rsid w:val="7C78E3E4"/>
    <w:rsid w:val="7C7A5073"/>
    <w:rsid w:val="7C7A83E3"/>
    <w:rsid w:val="7C7A9C46"/>
    <w:rsid w:val="7C7B8525"/>
    <w:rsid w:val="7C7C20E2"/>
    <w:rsid w:val="7C7C222E"/>
    <w:rsid w:val="7C7CCBB0"/>
    <w:rsid w:val="7C7DC3E0"/>
    <w:rsid w:val="7C7DC967"/>
    <w:rsid w:val="7C7DCD6D"/>
    <w:rsid w:val="7C7FDBBA"/>
    <w:rsid w:val="7C80073B"/>
    <w:rsid w:val="7C814C4E"/>
    <w:rsid w:val="7C81D68D"/>
    <w:rsid w:val="7C822D08"/>
    <w:rsid w:val="7C823F4E"/>
    <w:rsid w:val="7C825962"/>
    <w:rsid w:val="7C82D7FF"/>
    <w:rsid w:val="7C8386DF"/>
    <w:rsid w:val="7C83C3EF"/>
    <w:rsid w:val="7C83DA88"/>
    <w:rsid w:val="7C83F178"/>
    <w:rsid w:val="7C84D8E9"/>
    <w:rsid w:val="7C8598FF"/>
    <w:rsid w:val="7C85E7E3"/>
    <w:rsid w:val="7C861F80"/>
    <w:rsid w:val="7C865D1F"/>
    <w:rsid w:val="7C86A968"/>
    <w:rsid w:val="7C8749E0"/>
    <w:rsid w:val="7C886E20"/>
    <w:rsid w:val="7C88908B"/>
    <w:rsid w:val="7C890D09"/>
    <w:rsid w:val="7C8A99FA"/>
    <w:rsid w:val="7C8AD3A9"/>
    <w:rsid w:val="7C8BCE57"/>
    <w:rsid w:val="7C8D61E4"/>
    <w:rsid w:val="7C8DB6BB"/>
    <w:rsid w:val="7C8E120C"/>
    <w:rsid w:val="7C8EBA45"/>
    <w:rsid w:val="7C8F41F4"/>
    <w:rsid w:val="7C8F5F13"/>
    <w:rsid w:val="7C8F71E4"/>
    <w:rsid w:val="7C90871F"/>
    <w:rsid w:val="7C91D9F7"/>
    <w:rsid w:val="7C920E88"/>
    <w:rsid w:val="7C92124D"/>
    <w:rsid w:val="7C921DE0"/>
    <w:rsid w:val="7C9377DD"/>
    <w:rsid w:val="7C93F580"/>
    <w:rsid w:val="7C94CA1E"/>
    <w:rsid w:val="7C954D2F"/>
    <w:rsid w:val="7C95B03E"/>
    <w:rsid w:val="7C95F9DF"/>
    <w:rsid w:val="7C96E7A2"/>
    <w:rsid w:val="7C9765EF"/>
    <w:rsid w:val="7C981008"/>
    <w:rsid w:val="7C981CF7"/>
    <w:rsid w:val="7C984EDB"/>
    <w:rsid w:val="7C9A270C"/>
    <w:rsid w:val="7C9B2691"/>
    <w:rsid w:val="7C9BE74A"/>
    <w:rsid w:val="7C9C0746"/>
    <w:rsid w:val="7C9C1BAA"/>
    <w:rsid w:val="7C9C2A15"/>
    <w:rsid w:val="7C9CA539"/>
    <w:rsid w:val="7C9CD256"/>
    <w:rsid w:val="7C9CD9F6"/>
    <w:rsid w:val="7C9DED85"/>
    <w:rsid w:val="7C9DF61F"/>
    <w:rsid w:val="7C9E807B"/>
    <w:rsid w:val="7C9EB815"/>
    <w:rsid w:val="7C9F86EF"/>
    <w:rsid w:val="7CA052E3"/>
    <w:rsid w:val="7CA05A95"/>
    <w:rsid w:val="7CA070EF"/>
    <w:rsid w:val="7CA0C38D"/>
    <w:rsid w:val="7CA0E781"/>
    <w:rsid w:val="7CA116C2"/>
    <w:rsid w:val="7CA21B37"/>
    <w:rsid w:val="7CA2692D"/>
    <w:rsid w:val="7CA365FE"/>
    <w:rsid w:val="7CA3947E"/>
    <w:rsid w:val="7CA3B71E"/>
    <w:rsid w:val="7CA47EE0"/>
    <w:rsid w:val="7CA5E62D"/>
    <w:rsid w:val="7CA62F2B"/>
    <w:rsid w:val="7CA78C73"/>
    <w:rsid w:val="7CA80B2E"/>
    <w:rsid w:val="7CA84546"/>
    <w:rsid w:val="7CA8A091"/>
    <w:rsid w:val="7CA8C736"/>
    <w:rsid w:val="7CA8DD52"/>
    <w:rsid w:val="7CA90FC0"/>
    <w:rsid w:val="7CA9C3DC"/>
    <w:rsid w:val="7CAAFB8E"/>
    <w:rsid w:val="7CAB31A7"/>
    <w:rsid w:val="7CAB5614"/>
    <w:rsid w:val="7CAC299B"/>
    <w:rsid w:val="7CACD787"/>
    <w:rsid w:val="7CAE769F"/>
    <w:rsid w:val="7CAFB955"/>
    <w:rsid w:val="7CAFFE83"/>
    <w:rsid w:val="7CB067F1"/>
    <w:rsid w:val="7CB0C4EB"/>
    <w:rsid w:val="7CB12F19"/>
    <w:rsid w:val="7CB48E38"/>
    <w:rsid w:val="7CB526EC"/>
    <w:rsid w:val="7CB54523"/>
    <w:rsid w:val="7CB5D116"/>
    <w:rsid w:val="7CB720F8"/>
    <w:rsid w:val="7CB8F5E6"/>
    <w:rsid w:val="7CBA5901"/>
    <w:rsid w:val="7CBA9B3B"/>
    <w:rsid w:val="7CBBC43A"/>
    <w:rsid w:val="7CBC7F5D"/>
    <w:rsid w:val="7CBC89CF"/>
    <w:rsid w:val="7CBD1315"/>
    <w:rsid w:val="7CBDF58F"/>
    <w:rsid w:val="7CBE29C7"/>
    <w:rsid w:val="7CBE4947"/>
    <w:rsid w:val="7CBFC3D9"/>
    <w:rsid w:val="7CC04178"/>
    <w:rsid w:val="7CC09B65"/>
    <w:rsid w:val="7CC0FDBF"/>
    <w:rsid w:val="7CC1EFA9"/>
    <w:rsid w:val="7CC21F1F"/>
    <w:rsid w:val="7CC2CAEF"/>
    <w:rsid w:val="7CC31E0E"/>
    <w:rsid w:val="7CC32DE4"/>
    <w:rsid w:val="7CC36A31"/>
    <w:rsid w:val="7CC37CAB"/>
    <w:rsid w:val="7CC3CE58"/>
    <w:rsid w:val="7CC4406A"/>
    <w:rsid w:val="7CC5F1B6"/>
    <w:rsid w:val="7CC5FF67"/>
    <w:rsid w:val="7CC68169"/>
    <w:rsid w:val="7CC6AB17"/>
    <w:rsid w:val="7CC6EDF6"/>
    <w:rsid w:val="7CC766FA"/>
    <w:rsid w:val="7CC7F767"/>
    <w:rsid w:val="7CC8C199"/>
    <w:rsid w:val="7CC9673E"/>
    <w:rsid w:val="7CCA0A86"/>
    <w:rsid w:val="7CCADA9E"/>
    <w:rsid w:val="7CCB898D"/>
    <w:rsid w:val="7CCC8662"/>
    <w:rsid w:val="7CCCB48E"/>
    <w:rsid w:val="7CCE21B5"/>
    <w:rsid w:val="7CCEB0FF"/>
    <w:rsid w:val="7CD03429"/>
    <w:rsid w:val="7CD0FC10"/>
    <w:rsid w:val="7CD179A4"/>
    <w:rsid w:val="7CD21E2D"/>
    <w:rsid w:val="7CD356AF"/>
    <w:rsid w:val="7CD3C318"/>
    <w:rsid w:val="7CD40C6A"/>
    <w:rsid w:val="7CD46B7C"/>
    <w:rsid w:val="7CD5CCB8"/>
    <w:rsid w:val="7CD61209"/>
    <w:rsid w:val="7CD6821C"/>
    <w:rsid w:val="7CD79C8E"/>
    <w:rsid w:val="7CD7E704"/>
    <w:rsid w:val="7CD83F30"/>
    <w:rsid w:val="7CD92934"/>
    <w:rsid w:val="7CDC167A"/>
    <w:rsid w:val="7CDC1D23"/>
    <w:rsid w:val="7CDCD483"/>
    <w:rsid w:val="7CDDED33"/>
    <w:rsid w:val="7CDF454C"/>
    <w:rsid w:val="7CDF5AFE"/>
    <w:rsid w:val="7CE11C60"/>
    <w:rsid w:val="7CE2F559"/>
    <w:rsid w:val="7CE31AF7"/>
    <w:rsid w:val="7CE327CF"/>
    <w:rsid w:val="7CE39EC5"/>
    <w:rsid w:val="7CE4AFE6"/>
    <w:rsid w:val="7CE51060"/>
    <w:rsid w:val="7CE5957C"/>
    <w:rsid w:val="7CE5AC73"/>
    <w:rsid w:val="7CE64A1D"/>
    <w:rsid w:val="7CE65A95"/>
    <w:rsid w:val="7CE69B44"/>
    <w:rsid w:val="7CE6E7A8"/>
    <w:rsid w:val="7CE726EB"/>
    <w:rsid w:val="7CE79E24"/>
    <w:rsid w:val="7CE7EF14"/>
    <w:rsid w:val="7CE87AEE"/>
    <w:rsid w:val="7CE8F06A"/>
    <w:rsid w:val="7CE90038"/>
    <w:rsid w:val="7CE930D3"/>
    <w:rsid w:val="7CE931DA"/>
    <w:rsid w:val="7CE972A2"/>
    <w:rsid w:val="7CE9FF75"/>
    <w:rsid w:val="7CEA39C6"/>
    <w:rsid w:val="7CEA90BF"/>
    <w:rsid w:val="7CEAF550"/>
    <w:rsid w:val="7CEB535C"/>
    <w:rsid w:val="7CEC69A6"/>
    <w:rsid w:val="7CECF99C"/>
    <w:rsid w:val="7CEDB31B"/>
    <w:rsid w:val="7CEF32BB"/>
    <w:rsid w:val="7CEFF5E3"/>
    <w:rsid w:val="7CF00C32"/>
    <w:rsid w:val="7CF093EF"/>
    <w:rsid w:val="7CF0A203"/>
    <w:rsid w:val="7CF14209"/>
    <w:rsid w:val="7CF167A0"/>
    <w:rsid w:val="7CF16F7E"/>
    <w:rsid w:val="7CF1A492"/>
    <w:rsid w:val="7CF1C503"/>
    <w:rsid w:val="7CF25F69"/>
    <w:rsid w:val="7CF286EC"/>
    <w:rsid w:val="7CF2C397"/>
    <w:rsid w:val="7CF346F7"/>
    <w:rsid w:val="7CF4591E"/>
    <w:rsid w:val="7CF46D9F"/>
    <w:rsid w:val="7CF4EEFD"/>
    <w:rsid w:val="7CF545B0"/>
    <w:rsid w:val="7CF5E981"/>
    <w:rsid w:val="7CF6032A"/>
    <w:rsid w:val="7CF64268"/>
    <w:rsid w:val="7CF67106"/>
    <w:rsid w:val="7CF729BD"/>
    <w:rsid w:val="7CF8A6F0"/>
    <w:rsid w:val="7CF8BC3D"/>
    <w:rsid w:val="7CF8F381"/>
    <w:rsid w:val="7CF8F693"/>
    <w:rsid w:val="7CF999CE"/>
    <w:rsid w:val="7CF9A5C9"/>
    <w:rsid w:val="7CF9AB2A"/>
    <w:rsid w:val="7CFA0825"/>
    <w:rsid w:val="7CFAAED0"/>
    <w:rsid w:val="7CFAC6B9"/>
    <w:rsid w:val="7CFC31CF"/>
    <w:rsid w:val="7CFC5FFC"/>
    <w:rsid w:val="7CFC8543"/>
    <w:rsid w:val="7CFC87F2"/>
    <w:rsid w:val="7CFCB5FD"/>
    <w:rsid w:val="7CFDCFB7"/>
    <w:rsid w:val="7CFE63F7"/>
    <w:rsid w:val="7CFF4DA2"/>
    <w:rsid w:val="7CFF69F6"/>
    <w:rsid w:val="7CFF826F"/>
    <w:rsid w:val="7D001E54"/>
    <w:rsid w:val="7D01C4ED"/>
    <w:rsid w:val="7D01FEA1"/>
    <w:rsid w:val="7D0266D2"/>
    <w:rsid w:val="7D02B9F7"/>
    <w:rsid w:val="7D02D3B8"/>
    <w:rsid w:val="7D03EB38"/>
    <w:rsid w:val="7D04BE49"/>
    <w:rsid w:val="7D054DB5"/>
    <w:rsid w:val="7D06001C"/>
    <w:rsid w:val="7D065070"/>
    <w:rsid w:val="7D06A02A"/>
    <w:rsid w:val="7D078235"/>
    <w:rsid w:val="7D07D03A"/>
    <w:rsid w:val="7D07E275"/>
    <w:rsid w:val="7D07FAC8"/>
    <w:rsid w:val="7D081CC7"/>
    <w:rsid w:val="7D0846D0"/>
    <w:rsid w:val="7D08E2EC"/>
    <w:rsid w:val="7D0900C6"/>
    <w:rsid w:val="7D09AF52"/>
    <w:rsid w:val="7D0A40D8"/>
    <w:rsid w:val="7D0AD07F"/>
    <w:rsid w:val="7D0BF5A5"/>
    <w:rsid w:val="7D0C3E55"/>
    <w:rsid w:val="7D0C48AD"/>
    <w:rsid w:val="7D0CFD1C"/>
    <w:rsid w:val="7D0DD25C"/>
    <w:rsid w:val="7D0E168F"/>
    <w:rsid w:val="7D0FB45B"/>
    <w:rsid w:val="7D11B77A"/>
    <w:rsid w:val="7D1281CC"/>
    <w:rsid w:val="7D1339B5"/>
    <w:rsid w:val="7D13AABE"/>
    <w:rsid w:val="7D168FC7"/>
    <w:rsid w:val="7D17F45C"/>
    <w:rsid w:val="7D189379"/>
    <w:rsid w:val="7D19442D"/>
    <w:rsid w:val="7D19B715"/>
    <w:rsid w:val="7D19C2C8"/>
    <w:rsid w:val="7D1A62D9"/>
    <w:rsid w:val="7D1A8608"/>
    <w:rsid w:val="7D1B53A7"/>
    <w:rsid w:val="7D1B6D57"/>
    <w:rsid w:val="7D1BAE66"/>
    <w:rsid w:val="7D1C7789"/>
    <w:rsid w:val="7D1D2286"/>
    <w:rsid w:val="7D1E7CCE"/>
    <w:rsid w:val="7D1F1909"/>
    <w:rsid w:val="7D1F4F1D"/>
    <w:rsid w:val="7D1FABE1"/>
    <w:rsid w:val="7D20307D"/>
    <w:rsid w:val="7D21D2FD"/>
    <w:rsid w:val="7D229088"/>
    <w:rsid w:val="7D2292DD"/>
    <w:rsid w:val="7D22F174"/>
    <w:rsid w:val="7D237C20"/>
    <w:rsid w:val="7D244FD9"/>
    <w:rsid w:val="7D247232"/>
    <w:rsid w:val="7D24B982"/>
    <w:rsid w:val="7D258F73"/>
    <w:rsid w:val="7D2665D1"/>
    <w:rsid w:val="7D287BAD"/>
    <w:rsid w:val="7D290E76"/>
    <w:rsid w:val="7D29DC74"/>
    <w:rsid w:val="7D2A5688"/>
    <w:rsid w:val="7D2AA87B"/>
    <w:rsid w:val="7D2CC473"/>
    <w:rsid w:val="7D2D6FF8"/>
    <w:rsid w:val="7D2E78C2"/>
    <w:rsid w:val="7D2FA798"/>
    <w:rsid w:val="7D30C06A"/>
    <w:rsid w:val="7D30CD49"/>
    <w:rsid w:val="7D30E34B"/>
    <w:rsid w:val="7D3104A1"/>
    <w:rsid w:val="7D3110AF"/>
    <w:rsid w:val="7D318707"/>
    <w:rsid w:val="7D3237AE"/>
    <w:rsid w:val="7D32CEEF"/>
    <w:rsid w:val="7D333D7E"/>
    <w:rsid w:val="7D33FB52"/>
    <w:rsid w:val="7D340E42"/>
    <w:rsid w:val="7D347F01"/>
    <w:rsid w:val="7D348C06"/>
    <w:rsid w:val="7D358F90"/>
    <w:rsid w:val="7D35B834"/>
    <w:rsid w:val="7D3642EB"/>
    <w:rsid w:val="7D36A41B"/>
    <w:rsid w:val="7D378165"/>
    <w:rsid w:val="7D380B33"/>
    <w:rsid w:val="7D39A98F"/>
    <w:rsid w:val="7D3A59E0"/>
    <w:rsid w:val="7D3A877E"/>
    <w:rsid w:val="7D3A95B8"/>
    <w:rsid w:val="7D3C75A6"/>
    <w:rsid w:val="7D3D6DC8"/>
    <w:rsid w:val="7D3D9F8D"/>
    <w:rsid w:val="7D3DEAB8"/>
    <w:rsid w:val="7D3EA027"/>
    <w:rsid w:val="7D3F09DD"/>
    <w:rsid w:val="7D3F5D69"/>
    <w:rsid w:val="7D3F7031"/>
    <w:rsid w:val="7D3FB025"/>
    <w:rsid w:val="7D3FC25D"/>
    <w:rsid w:val="7D4068BE"/>
    <w:rsid w:val="7D407D9E"/>
    <w:rsid w:val="7D40BA5C"/>
    <w:rsid w:val="7D40F92D"/>
    <w:rsid w:val="7D410DF3"/>
    <w:rsid w:val="7D41C538"/>
    <w:rsid w:val="7D4207F7"/>
    <w:rsid w:val="7D42687E"/>
    <w:rsid w:val="7D43369D"/>
    <w:rsid w:val="7D43B735"/>
    <w:rsid w:val="7D4423FD"/>
    <w:rsid w:val="7D443C7A"/>
    <w:rsid w:val="7D447768"/>
    <w:rsid w:val="7D456B9B"/>
    <w:rsid w:val="7D4637A3"/>
    <w:rsid w:val="7D463DA2"/>
    <w:rsid w:val="7D470461"/>
    <w:rsid w:val="7D471A34"/>
    <w:rsid w:val="7D47A876"/>
    <w:rsid w:val="7D47F976"/>
    <w:rsid w:val="7D499A59"/>
    <w:rsid w:val="7D4A2C33"/>
    <w:rsid w:val="7D4B3057"/>
    <w:rsid w:val="7D4BB342"/>
    <w:rsid w:val="7D4BB797"/>
    <w:rsid w:val="7D4D3C6D"/>
    <w:rsid w:val="7D4DEE7B"/>
    <w:rsid w:val="7D4E0D37"/>
    <w:rsid w:val="7D4EBB12"/>
    <w:rsid w:val="7D4EE3BE"/>
    <w:rsid w:val="7D508E1C"/>
    <w:rsid w:val="7D50F9D5"/>
    <w:rsid w:val="7D52EA18"/>
    <w:rsid w:val="7D537383"/>
    <w:rsid w:val="7D538DAA"/>
    <w:rsid w:val="7D54EA3A"/>
    <w:rsid w:val="7D554D2F"/>
    <w:rsid w:val="7D5560E5"/>
    <w:rsid w:val="7D567C59"/>
    <w:rsid w:val="7D578144"/>
    <w:rsid w:val="7D57A316"/>
    <w:rsid w:val="7D589D34"/>
    <w:rsid w:val="7D59C090"/>
    <w:rsid w:val="7D59E136"/>
    <w:rsid w:val="7D5BC624"/>
    <w:rsid w:val="7D5C4CDA"/>
    <w:rsid w:val="7D5CA785"/>
    <w:rsid w:val="7D5CF723"/>
    <w:rsid w:val="7D5D7C50"/>
    <w:rsid w:val="7D5D9EB5"/>
    <w:rsid w:val="7D5F0653"/>
    <w:rsid w:val="7D5F9EDF"/>
    <w:rsid w:val="7D5FB746"/>
    <w:rsid w:val="7D5FE795"/>
    <w:rsid w:val="7D603EAA"/>
    <w:rsid w:val="7D604DE3"/>
    <w:rsid w:val="7D608ACD"/>
    <w:rsid w:val="7D6108C4"/>
    <w:rsid w:val="7D61BC78"/>
    <w:rsid w:val="7D628D98"/>
    <w:rsid w:val="7D631604"/>
    <w:rsid w:val="7D634F1E"/>
    <w:rsid w:val="7D642214"/>
    <w:rsid w:val="7D64DCE5"/>
    <w:rsid w:val="7D65BA7E"/>
    <w:rsid w:val="7D67E610"/>
    <w:rsid w:val="7D688991"/>
    <w:rsid w:val="7D68A9F2"/>
    <w:rsid w:val="7D6B510C"/>
    <w:rsid w:val="7D6B721A"/>
    <w:rsid w:val="7D6CA4E4"/>
    <w:rsid w:val="7D6CE939"/>
    <w:rsid w:val="7D6D00BA"/>
    <w:rsid w:val="7D6D07BE"/>
    <w:rsid w:val="7D6EBFA3"/>
    <w:rsid w:val="7D6F9C92"/>
    <w:rsid w:val="7D6FA622"/>
    <w:rsid w:val="7D6FE67D"/>
    <w:rsid w:val="7D70F101"/>
    <w:rsid w:val="7D70F708"/>
    <w:rsid w:val="7D712C8F"/>
    <w:rsid w:val="7D719970"/>
    <w:rsid w:val="7D725067"/>
    <w:rsid w:val="7D727945"/>
    <w:rsid w:val="7D72AB22"/>
    <w:rsid w:val="7D7309F3"/>
    <w:rsid w:val="7D733DB1"/>
    <w:rsid w:val="7D73B2A3"/>
    <w:rsid w:val="7D73DA5C"/>
    <w:rsid w:val="7D73E38A"/>
    <w:rsid w:val="7D741521"/>
    <w:rsid w:val="7D7508CF"/>
    <w:rsid w:val="7D753193"/>
    <w:rsid w:val="7D76A7F6"/>
    <w:rsid w:val="7D771554"/>
    <w:rsid w:val="7D778CFD"/>
    <w:rsid w:val="7D787C1B"/>
    <w:rsid w:val="7D78A6B4"/>
    <w:rsid w:val="7D78ADFE"/>
    <w:rsid w:val="7D78C396"/>
    <w:rsid w:val="7D796E81"/>
    <w:rsid w:val="7D79A067"/>
    <w:rsid w:val="7D79A553"/>
    <w:rsid w:val="7D79AD04"/>
    <w:rsid w:val="7D79DC8D"/>
    <w:rsid w:val="7D7A5205"/>
    <w:rsid w:val="7D7B09D8"/>
    <w:rsid w:val="7D7C6780"/>
    <w:rsid w:val="7D7DDD0B"/>
    <w:rsid w:val="7D7DE988"/>
    <w:rsid w:val="7D7E425D"/>
    <w:rsid w:val="7D7EB99E"/>
    <w:rsid w:val="7D7F78E8"/>
    <w:rsid w:val="7D800EBA"/>
    <w:rsid w:val="7D8022FA"/>
    <w:rsid w:val="7D8024FC"/>
    <w:rsid w:val="7D81D932"/>
    <w:rsid w:val="7D822D03"/>
    <w:rsid w:val="7D8265DF"/>
    <w:rsid w:val="7D8403AF"/>
    <w:rsid w:val="7D84F4B8"/>
    <w:rsid w:val="7D85255E"/>
    <w:rsid w:val="7D856931"/>
    <w:rsid w:val="7D856A43"/>
    <w:rsid w:val="7D85A7EC"/>
    <w:rsid w:val="7D85BC75"/>
    <w:rsid w:val="7D863C0D"/>
    <w:rsid w:val="7D86A388"/>
    <w:rsid w:val="7D86F732"/>
    <w:rsid w:val="7D8700F7"/>
    <w:rsid w:val="7D8818FD"/>
    <w:rsid w:val="7D88C391"/>
    <w:rsid w:val="7D88DF1A"/>
    <w:rsid w:val="7D894AF8"/>
    <w:rsid w:val="7D895ECE"/>
    <w:rsid w:val="7D8989A7"/>
    <w:rsid w:val="7D89A90F"/>
    <w:rsid w:val="7D89E0E1"/>
    <w:rsid w:val="7D89EB55"/>
    <w:rsid w:val="7D8A3E60"/>
    <w:rsid w:val="7D8A7406"/>
    <w:rsid w:val="7D8AB9AF"/>
    <w:rsid w:val="7D8ACE9A"/>
    <w:rsid w:val="7D8BD3D4"/>
    <w:rsid w:val="7D8C5A04"/>
    <w:rsid w:val="7D8DE3F9"/>
    <w:rsid w:val="7D8E438F"/>
    <w:rsid w:val="7D8E7E72"/>
    <w:rsid w:val="7D8F6F14"/>
    <w:rsid w:val="7D8FA917"/>
    <w:rsid w:val="7D9032CE"/>
    <w:rsid w:val="7D90EDF3"/>
    <w:rsid w:val="7D915975"/>
    <w:rsid w:val="7D91EBF9"/>
    <w:rsid w:val="7D920747"/>
    <w:rsid w:val="7D920D33"/>
    <w:rsid w:val="7D92AEA9"/>
    <w:rsid w:val="7D92E7A3"/>
    <w:rsid w:val="7D930CBC"/>
    <w:rsid w:val="7D93BA39"/>
    <w:rsid w:val="7D93DD67"/>
    <w:rsid w:val="7D948621"/>
    <w:rsid w:val="7D94A35E"/>
    <w:rsid w:val="7D95539E"/>
    <w:rsid w:val="7D966B88"/>
    <w:rsid w:val="7D990204"/>
    <w:rsid w:val="7D9941C7"/>
    <w:rsid w:val="7D997222"/>
    <w:rsid w:val="7D99A687"/>
    <w:rsid w:val="7D9A3718"/>
    <w:rsid w:val="7D9B391F"/>
    <w:rsid w:val="7D9C8E93"/>
    <w:rsid w:val="7D9CA1FA"/>
    <w:rsid w:val="7D9CF696"/>
    <w:rsid w:val="7D9CFEAC"/>
    <w:rsid w:val="7D9DAE30"/>
    <w:rsid w:val="7D9DD1B0"/>
    <w:rsid w:val="7D9EB40E"/>
    <w:rsid w:val="7D9EB4AE"/>
    <w:rsid w:val="7D9EF853"/>
    <w:rsid w:val="7D9F54EA"/>
    <w:rsid w:val="7D9FAD00"/>
    <w:rsid w:val="7D9FF66B"/>
    <w:rsid w:val="7DA03853"/>
    <w:rsid w:val="7DA06AB4"/>
    <w:rsid w:val="7DA0DEF6"/>
    <w:rsid w:val="7DA17EA8"/>
    <w:rsid w:val="7DA26DF8"/>
    <w:rsid w:val="7DA2E128"/>
    <w:rsid w:val="7DA33A32"/>
    <w:rsid w:val="7DA39F61"/>
    <w:rsid w:val="7DA3EA4C"/>
    <w:rsid w:val="7DA5B5BC"/>
    <w:rsid w:val="7DA7B9E8"/>
    <w:rsid w:val="7DA81EE9"/>
    <w:rsid w:val="7DA8CD5B"/>
    <w:rsid w:val="7DA98A17"/>
    <w:rsid w:val="7DA9FF56"/>
    <w:rsid w:val="7DAAEBB0"/>
    <w:rsid w:val="7DACA05D"/>
    <w:rsid w:val="7DAD2A5F"/>
    <w:rsid w:val="7DAD4718"/>
    <w:rsid w:val="7DAD724E"/>
    <w:rsid w:val="7DAD86A2"/>
    <w:rsid w:val="7DAE958B"/>
    <w:rsid w:val="7DAEE5FF"/>
    <w:rsid w:val="7DAFFE44"/>
    <w:rsid w:val="7DB15B6A"/>
    <w:rsid w:val="7DB2D122"/>
    <w:rsid w:val="7DB2E2AF"/>
    <w:rsid w:val="7DB356F8"/>
    <w:rsid w:val="7DB393A4"/>
    <w:rsid w:val="7DB3C81F"/>
    <w:rsid w:val="7DB3E7F3"/>
    <w:rsid w:val="7DB418A1"/>
    <w:rsid w:val="7DB42DCC"/>
    <w:rsid w:val="7DB60C90"/>
    <w:rsid w:val="7DB771A2"/>
    <w:rsid w:val="7DB7C2CC"/>
    <w:rsid w:val="7DB8A455"/>
    <w:rsid w:val="7DB8A6E8"/>
    <w:rsid w:val="7DB960B0"/>
    <w:rsid w:val="7DBAE983"/>
    <w:rsid w:val="7DBB8648"/>
    <w:rsid w:val="7DBC2D50"/>
    <w:rsid w:val="7DBC5F5C"/>
    <w:rsid w:val="7DBCC73D"/>
    <w:rsid w:val="7DBD8053"/>
    <w:rsid w:val="7DBF462F"/>
    <w:rsid w:val="7DBF7A2C"/>
    <w:rsid w:val="7DBF7E8A"/>
    <w:rsid w:val="7DC07705"/>
    <w:rsid w:val="7DC25F90"/>
    <w:rsid w:val="7DC2B1ED"/>
    <w:rsid w:val="7DC30381"/>
    <w:rsid w:val="7DC306BD"/>
    <w:rsid w:val="7DC30CF0"/>
    <w:rsid w:val="7DC4DFDE"/>
    <w:rsid w:val="7DC56112"/>
    <w:rsid w:val="7DC653BF"/>
    <w:rsid w:val="7DC66C32"/>
    <w:rsid w:val="7DC6ED30"/>
    <w:rsid w:val="7DC869A9"/>
    <w:rsid w:val="7DC8CF86"/>
    <w:rsid w:val="7DC917CE"/>
    <w:rsid w:val="7DCA976A"/>
    <w:rsid w:val="7DCB055D"/>
    <w:rsid w:val="7DCB09EC"/>
    <w:rsid w:val="7DCBA43F"/>
    <w:rsid w:val="7DCC20C3"/>
    <w:rsid w:val="7DCC295B"/>
    <w:rsid w:val="7DCC3AC6"/>
    <w:rsid w:val="7DCCD686"/>
    <w:rsid w:val="7DCE8661"/>
    <w:rsid w:val="7DCEBE5E"/>
    <w:rsid w:val="7DCF3480"/>
    <w:rsid w:val="7DCF54A7"/>
    <w:rsid w:val="7DCF82F8"/>
    <w:rsid w:val="7DCFB86B"/>
    <w:rsid w:val="7DD08EBA"/>
    <w:rsid w:val="7DD0B9EB"/>
    <w:rsid w:val="7DD15725"/>
    <w:rsid w:val="7DD1A10A"/>
    <w:rsid w:val="7DD1A2CD"/>
    <w:rsid w:val="7DD1C0DF"/>
    <w:rsid w:val="7DD2D3F5"/>
    <w:rsid w:val="7DD36282"/>
    <w:rsid w:val="7DD44C45"/>
    <w:rsid w:val="7DD475C0"/>
    <w:rsid w:val="7DD73ECA"/>
    <w:rsid w:val="7DD76124"/>
    <w:rsid w:val="7DD7DCD0"/>
    <w:rsid w:val="7DD81664"/>
    <w:rsid w:val="7DD93FC8"/>
    <w:rsid w:val="7DD98BA2"/>
    <w:rsid w:val="7DD9F699"/>
    <w:rsid w:val="7DDA2314"/>
    <w:rsid w:val="7DDA4C3F"/>
    <w:rsid w:val="7DDB6E7A"/>
    <w:rsid w:val="7DDB7729"/>
    <w:rsid w:val="7DDBB008"/>
    <w:rsid w:val="7DDBDE22"/>
    <w:rsid w:val="7DDC0171"/>
    <w:rsid w:val="7DDC1997"/>
    <w:rsid w:val="7DDD9A92"/>
    <w:rsid w:val="7DDF1894"/>
    <w:rsid w:val="7DDF326C"/>
    <w:rsid w:val="7DDF6CB7"/>
    <w:rsid w:val="7DE050F8"/>
    <w:rsid w:val="7DE07905"/>
    <w:rsid w:val="7DE1D7E6"/>
    <w:rsid w:val="7DE3CE0E"/>
    <w:rsid w:val="7DE437C8"/>
    <w:rsid w:val="7DE4507C"/>
    <w:rsid w:val="7DE50C74"/>
    <w:rsid w:val="7DE5E4D5"/>
    <w:rsid w:val="7DE5FB85"/>
    <w:rsid w:val="7DE62256"/>
    <w:rsid w:val="7DE66351"/>
    <w:rsid w:val="7DE7FD30"/>
    <w:rsid w:val="7DE8D6B9"/>
    <w:rsid w:val="7DEAE446"/>
    <w:rsid w:val="7DEAF8CE"/>
    <w:rsid w:val="7DEB9FB6"/>
    <w:rsid w:val="7DEBC0A0"/>
    <w:rsid w:val="7DEBD83C"/>
    <w:rsid w:val="7DEC4335"/>
    <w:rsid w:val="7DECC98E"/>
    <w:rsid w:val="7DECD3BF"/>
    <w:rsid w:val="7DED006D"/>
    <w:rsid w:val="7DED259F"/>
    <w:rsid w:val="7DEEB366"/>
    <w:rsid w:val="7DF00F93"/>
    <w:rsid w:val="7DF0724D"/>
    <w:rsid w:val="7DF0B308"/>
    <w:rsid w:val="7DF0E9C1"/>
    <w:rsid w:val="7DF0FE8D"/>
    <w:rsid w:val="7DF16C52"/>
    <w:rsid w:val="7DF2DA5B"/>
    <w:rsid w:val="7DF41A33"/>
    <w:rsid w:val="7DF49D38"/>
    <w:rsid w:val="7DF51C17"/>
    <w:rsid w:val="7DF53931"/>
    <w:rsid w:val="7DF5A773"/>
    <w:rsid w:val="7DF6D581"/>
    <w:rsid w:val="7DF7B1B0"/>
    <w:rsid w:val="7DF98C21"/>
    <w:rsid w:val="7DF9DC88"/>
    <w:rsid w:val="7DF9FB49"/>
    <w:rsid w:val="7DFA25BD"/>
    <w:rsid w:val="7DFA2FC9"/>
    <w:rsid w:val="7DFA8469"/>
    <w:rsid w:val="7DFCC2E3"/>
    <w:rsid w:val="7DFCC5C4"/>
    <w:rsid w:val="7DFCFCC3"/>
    <w:rsid w:val="7DFD8F0E"/>
    <w:rsid w:val="7DFEBBA2"/>
    <w:rsid w:val="7DFF535E"/>
    <w:rsid w:val="7DFF88C1"/>
    <w:rsid w:val="7E0068D6"/>
    <w:rsid w:val="7E008321"/>
    <w:rsid w:val="7E00990E"/>
    <w:rsid w:val="7E01343F"/>
    <w:rsid w:val="7E01FDA8"/>
    <w:rsid w:val="7E02100F"/>
    <w:rsid w:val="7E022DC5"/>
    <w:rsid w:val="7E03BDA4"/>
    <w:rsid w:val="7E0721CB"/>
    <w:rsid w:val="7E085773"/>
    <w:rsid w:val="7E088AF8"/>
    <w:rsid w:val="7E088E1B"/>
    <w:rsid w:val="7E088E88"/>
    <w:rsid w:val="7E08EA70"/>
    <w:rsid w:val="7E097582"/>
    <w:rsid w:val="7E0A2FDE"/>
    <w:rsid w:val="7E0A5110"/>
    <w:rsid w:val="7E0A58F7"/>
    <w:rsid w:val="7E0AEC4B"/>
    <w:rsid w:val="7E0C367E"/>
    <w:rsid w:val="7E0C5C2E"/>
    <w:rsid w:val="7E0CD600"/>
    <w:rsid w:val="7E0D54FD"/>
    <w:rsid w:val="7E0DC74C"/>
    <w:rsid w:val="7E0F6D80"/>
    <w:rsid w:val="7E0F9315"/>
    <w:rsid w:val="7E0FAA4C"/>
    <w:rsid w:val="7E105969"/>
    <w:rsid w:val="7E1113D0"/>
    <w:rsid w:val="7E11E427"/>
    <w:rsid w:val="7E12CDCB"/>
    <w:rsid w:val="7E13E479"/>
    <w:rsid w:val="7E147A47"/>
    <w:rsid w:val="7E153725"/>
    <w:rsid w:val="7E157362"/>
    <w:rsid w:val="7E159EB7"/>
    <w:rsid w:val="7E1610FE"/>
    <w:rsid w:val="7E17A17F"/>
    <w:rsid w:val="7E17EA5E"/>
    <w:rsid w:val="7E18DB49"/>
    <w:rsid w:val="7E191632"/>
    <w:rsid w:val="7E19ADBF"/>
    <w:rsid w:val="7E1A0EFA"/>
    <w:rsid w:val="7E1A5056"/>
    <w:rsid w:val="7E1A7FC0"/>
    <w:rsid w:val="7E1C923F"/>
    <w:rsid w:val="7E1CA654"/>
    <w:rsid w:val="7E1CC792"/>
    <w:rsid w:val="7E1D5F7D"/>
    <w:rsid w:val="7E1DBA5F"/>
    <w:rsid w:val="7E1DE6B4"/>
    <w:rsid w:val="7E1E2436"/>
    <w:rsid w:val="7E1E75B3"/>
    <w:rsid w:val="7E1FB6FD"/>
    <w:rsid w:val="7E2040FC"/>
    <w:rsid w:val="7E227C7E"/>
    <w:rsid w:val="7E22C942"/>
    <w:rsid w:val="7E233E5E"/>
    <w:rsid w:val="7E2454D4"/>
    <w:rsid w:val="7E24EEC5"/>
    <w:rsid w:val="7E255F28"/>
    <w:rsid w:val="7E285157"/>
    <w:rsid w:val="7E293A8C"/>
    <w:rsid w:val="7E29F656"/>
    <w:rsid w:val="7E2B1D55"/>
    <w:rsid w:val="7E2C2C6B"/>
    <w:rsid w:val="7E2CC961"/>
    <w:rsid w:val="7E2EF996"/>
    <w:rsid w:val="7E30E234"/>
    <w:rsid w:val="7E321239"/>
    <w:rsid w:val="7E322D4A"/>
    <w:rsid w:val="7E32D52E"/>
    <w:rsid w:val="7E33488F"/>
    <w:rsid w:val="7E3479AA"/>
    <w:rsid w:val="7E34C6C0"/>
    <w:rsid w:val="7E3521E6"/>
    <w:rsid w:val="7E3557FF"/>
    <w:rsid w:val="7E362986"/>
    <w:rsid w:val="7E36A056"/>
    <w:rsid w:val="7E36E05B"/>
    <w:rsid w:val="7E382D6A"/>
    <w:rsid w:val="7E38B289"/>
    <w:rsid w:val="7E39F135"/>
    <w:rsid w:val="7E3A4CBD"/>
    <w:rsid w:val="7E3A9845"/>
    <w:rsid w:val="7E3AADBB"/>
    <w:rsid w:val="7E3BD08C"/>
    <w:rsid w:val="7E3CD0ED"/>
    <w:rsid w:val="7E3CED7F"/>
    <w:rsid w:val="7E3CF6A2"/>
    <w:rsid w:val="7E3D250B"/>
    <w:rsid w:val="7E3D8E35"/>
    <w:rsid w:val="7E3E29E0"/>
    <w:rsid w:val="7E3F05B1"/>
    <w:rsid w:val="7E3F8EBD"/>
    <w:rsid w:val="7E40660B"/>
    <w:rsid w:val="7E412AE1"/>
    <w:rsid w:val="7E426F85"/>
    <w:rsid w:val="7E431E8C"/>
    <w:rsid w:val="7E432BF7"/>
    <w:rsid w:val="7E4361DD"/>
    <w:rsid w:val="7E43ACF2"/>
    <w:rsid w:val="7E43AF88"/>
    <w:rsid w:val="7E45BE49"/>
    <w:rsid w:val="7E45D8C9"/>
    <w:rsid w:val="7E45E62B"/>
    <w:rsid w:val="7E465D07"/>
    <w:rsid w:val="7E46C51A"/>
    <w:rsid w:val="7E47E2A6"/>
    <w:rsid w:val="7E4970EA"/>
    <w:rsid w:val="7E4975D9"/>
    <w:rsid w:val="7E4A3110"/>
    <w:rsid w:val="7E4AF32C"/>
    <w:rsid w:val="7E4B7261"/>
    <w:rsid w:val="7E4C80F3"/>
    <w:rsid w:val="7E4E59EC"/>
    <w:rsid w:val="7E4E60B5"/>
    <w:rsid w:val="7E4F50BC"/>
    <w:rsid w:val="7E4FB280"/>
    <w:rsid w:val="7E4FB928"/>
    <w:rsid w:val="7E4FEE34"/>
    <w:rsid w:val="7E5000A8"/>
    <w:rsid w:val="7E501501"/>
    <w:rsid w:val="7E50F7D9"/>
    <w:rsid w:val="7E5123A0"/>
    <w:rsid w:val="7E51722C"/>
    <w:rsid w:val="7E536DBF"/>
    <w:rsid w:val="7E542AB0"/>
    <w:rsid w:val="7E54AE4E"/>
    <w:rsid w:val="7E54BAF8"/>
    <w:rsid w:val="7E55B1CD"/>
    <w:rsid w:val="7E55E512"/>
    <w:rsid w:val="7E55E5DC"/>
    <w:rsid w:val="7E564450"/>
    <w:rsid w:val="7E564F67"/>
    <w:rsid w:val="7E576AA0"/>
    <w:rsid w:val="7E579447"/>
    <w:rsid w:val="7E58D91C"/>
    <w:rsid w:val="7E58F63D"/>
    <w:rsid w:val="7E5906EE"/>
    <w:rsid w:val="7E595C2B"/>
    <w:rsid w:val="7E59D53B"/>
    <w:rsid w:val="7E5A8B1D"/>
    <w:rsid w:val="7E5B4E5D"/>
    <w:rsid w:val="7E5D956F"/>
    <w:rsid w:val="7E5EB145"/>
    <w:rsid w:val="7E611B0F"/>
    <w:rsid w:val="7E6210BA"/>
    <w:rsid w:val="7E62906F"/>
    <w:rsid w:val="7E62A869"/>
    <w:rsid w:val="7E62C179"/>
    <w:rsid w:val="7E638C41"/>
    <w:rsid w:val="7E63F934"/>
    <w:rsid w:val="7E643CB6"/>
    <w:rsid w:val="7E65891B"/>
    <w:rsid w:val="7E658DDF"/>
    <w:rsid w:val="7E65CF17"/>
    <w:rsid w:val="7E672486"/>
    <w:rsid w:val="7E694962"/>
    <w:rsid w:val="7E6A28A6"/>
    <w:rsid w:val="7E6A3330"/>
    <w:rsid w:val="7E6AB8B3"/>
    <w:rsid w:val="7E6AC42B"/>
    <w:rsid w:val="7E6B5CD5"/>
    <w:rsid w:val="7E6BA4FF"/>
    <w:rsid w:val="7E6BC2E1"/>
    <w:rsid w:val="7E6C836B"/>
    <w:rsid w:val="7E6D6BC1"/>
    <w:rsid w:val="7E6E2D5E"/>
    <w:rsid w:val="7E6F2E6E"/>
    <w:rsid w:val="7E6F5F67"/>
    <w:rsid w:val="7E6FA7A9"/>
    <w:rsid w:val="7E6FAA18"/>
    <w:rsid w:val="7E709275"/>
    <w:rsid w:val="7E71AA3D"/>
    <w:rsid w:val="7E72AAD0"/>
    <w:rsid w:val="7E72C8F7"/>
    <w:rsid w:val="7E73A0DE"/>
    <w:rsid w:val="7E757609"/>
    <w:rsid w:val="7E757A8D"/>
    <w:rsid w:val="7E765333"/>
    <w:rsid w:val="7E7685C1"/>
    <w:rsid w:val="7E76AE88"/>
    <w:rsid w:val="7E76DAEC"/>
    <w:rsid w:val="7E76ED08"/>
    <w:rsid w:val="7E77D834"/>
    <w:rsid w:val="7E783E0D"/>
    <w:rsid w:val="7E7875EC"/>
    <w:rsid w:val="7E79B7EB"/>
    <w:rsid w:val="7E79FB08"/>
    <w:rsid w:val="7E7A27D1"/>
    <w:rsid w:val="7E7AD844"/>
    <w:rsid w:val="7E7B994B"/>
    <w:rsid w:val="7E7C7DCF"/>
    <w:rsid w:val="7E7E04E3"/>
    <w:rsid w:val="7E7E984B"/>
    <w:rsid w:val="7E7EE8B6"/>
    <w:rsid w:val="7E7F1991"/>
    <w:rsid w:val="7E7F72AE"/>
    <w:rsid w:val="7E7FC1CA"/>
    <w:rsid w:val="7E800FF5"/>
    <w:rsid w:val="7E801718"/>
    <w:rsid w:val="7E802853"/>
    <w:rsid w:val="7E80C263"/>
    <w:rsid w:val="7E812B66"/>
    <w:rsid w:val="7E81DAD5"/>
    <w:rsid w:val="7E82517F"/>
    <w:rsid w:val="7E82654A"/>
    <w:rsid w:val="7E844767"/>
    <w:rsid w:val="7E84F226"/>
    <w:rsid w:val="7E8524F7"/>
    <w:rsid w:val="7E8538D9"/>
    <w:rsid w:val="7E861291"/>
    <w:rsid w:val="7E862814"/>
    <w:rsid w:val="7E8706CB"/>
    <w:rsid w:val="7E882710"/>
    <w:rsid w:val="7E883A2D"/>
    <w:rsid w:val="7E88763F"/>
    <w:rsid w:val="7E88C6C2"/>
    <w:rsid w:val="7E88EFE7"/>
    <w:rsid w:val="7E89159F"/>
    <w:rsid w:val="7E8A06C8"/>
    <w:rsid w:val="7E8A1B2F"/>
    <w:rsid w:val="7E8A35C5"/>
    <w:rsid w:val="7E8A4625"/>
    <w:rsid w:val="7E8AFB33"/>
    <w:rsid w:val="7E8C0AB5"/>
    <w:rsid w:val="7E8C1B97"/>
    <w:rsid w:val="7E8C7FD1"/>
    <w:rsid w:val="7E8D5B74"/>
    <w:rsid w:val="7E8FD183"/>
    <w:rsid w:val="7E90782B"/>
    <w:rsid w:val="7E90D878"/>
    <w:rsid w:val="7E91F1AC"/>
    <w:rsid w:val="7E91F6A3"/>
    <w:rsid w:val="7E91FE19"/>
    <w:rsid w:val="7E92520E"/>
    <w:rsid w:val="7E92657E"/>
    <w:rsid w:val="7E929B71"/>
    <w:rsid w:val="7E93C0F8"/>
    <w:rsid w:val="7E94C2FC"/>
    <w:rsid w:val="7E950FD5"/>
    <w:rsid w:val="7E9785BB"/>
    <w:rsid w:val="7E97CDA0"/>
    <w:rsid w:val="7E98489D"/>
    <w:rsid w:val="7E98E0BB"/>
    <w:rsid w:val="7E991DC1"/>
    <w:rsid w:val="7E9996B0"/>
    <w:rsid w:val="7E9AEF06"/>
    <w:rsid w:val="7E9B1402"/>
    <w:rsid w:val="7E9B9F2B"/>
    <w:rsid w:val="7E9BF548"/>
    <w:rsid w:val="7E9DF154"/>
    <w:rsid w:val="7E9F5908"/>
    <w:rsid w:val="7E9FF94A"/>
    <w:rsid w:val="7EA11664"/>
    <w:rsid w:val="7EA2176D"/>
    <w:rsid w:val="7EA22E73"/>
    <w:rsid w:val="7EA2C87F"/>
    <w:rsid w:val="7EA2F67F"/>
    <w:rsid w:val="7EA3BB7F"/>
    <w:rsid w:val="7EA47CD6"/>
    <w:rsid w:val="7EA64B9E"/>
    <w:rsid w:val="7EA65233"/>
    <w:rsid w:val="7EA73AB0"/>
    <w:rsid w:val="7EA79ACC"/>
    <w:rsid w:val="7EA89813"/>
    <w:rsid w:val="7EA9AC81"/>
    <w:rsid w:val="7EAA6018"/>
    <w:rsid w:val="7EAAF2BE"/>
    <w:rsid w:val="7EAB0554"/>
    <w:rsid w:val="7EAB715B"/>
    <w:rsid w:val="7EABA7F6"/>
    <w:rsid w:val="7EABC642"/>
    <w:rsid w:val="7EAE4380"/>
    <w:rsid w:val="7EAE45F4"/>
    <w:rsid w:val="7EAEA444"/>
    <w:rsid w:val="7EAECF51"/>
    <w:rsid w:val="7EAF1F00"/>
    <w:rsid w:val="7EB1A62B"/>
    <w:rsid w:val="7EB1E6FA"/>
    <w:rsid w:val="7EB20411"/>
    <w:rsid w:val="7EB28393"/>
    <w:rsid w:val="7EB3CBE4"/>
    <w:rsid w:val="7EB4E51D"/>
    <w:rsid w:val="7EB4FA6C"/>
    <w:rsid w:val="7EB53E4E"/>
    <w:rsid w:val="7EB58959"/>
    <w:rsid w:val="7EB7227A"/>
    <w:rsid w:val="7EB733B1"/>
    <w:rsid w:val="7EB84672"/>
    <w:rsid w:val="7EB94D5B"/>
    <w:rsid w:val="7EBA8A13"/>
    <w:rsid w:val="7EBC7698"/>
    <w:rsid w:val="7EBC8B62"/>
    <w:rsid w:val="7EBD0A88"/>
    <w:rsid w:val="7EBD931A"/>
    <w:rsid w:val="7EBE0088"/>
    <w:rsid w:val="7EBE7A61"/>
    <w:rsid w:val="7EBFA51D"/>
    <w:rsid w:val="7EC00C46"/>
    <w:rsid w:val="7EC1460F"/>
    <w:rsid w:val="7EC17742"/>
    <w:rsid w:val="7EC1DEAE"/>
    <w:rsid w:val="7EC33A50"/>
    <w:rsid w:val="7EC3BEA3"/>
    <w:rsid w:val="7EC3CC67"/>
    <w:rsid w:val="7EC3DB06"/>
    <w:rsid w:val="7EC40206"/>
    <w:rsid w:val="7EC4807A"/>
    <w:rsid w:val="7EC52244"/>
    <w:rsid w:val="7EC583EC"/>
    <w:rsid w:val="7EC5A315"/>
    <w:rsid w:val="7EC5D7BE"/>
    <w:rsid w:val="7EC69AD1"/>
    <w:rsid w:val="7EC70E1B"/>
    <w:rsid w:val="7EC763E7"/>
    <w:rsid w:val="7EC76EFA"/>
    <w:rsid w:val="7EC84412"/>
    <w:rsid w:val="7EC8850C"/>
    <w:rsid w:val="7ECB76B7"/>
    <w:rsid w:val="7ECC7588"/>
    <w:rsid w:val="7ECC93FE"/>
    <w:rsid w:val="7ECD764B"/>
    <w:rsid w:val="7ECE1885"/>
    <w:rsid w:val="7ECEC636"/>
    <w:rsid w:val="7ECFA273"/>
    <w:rsid w:val="7ECFCB62"/>
    <w:rsid w:val="7ECFCD35"/>
    <w:rsid w:val="7ECFD48C"/>
    <w:rsid w:val="7ED035E0"/>
    <w:rsid w:val="7ED07850"/>
    <w:rsid w:val="7ED10A37"/>
    <w:rsid w:val="7ED164A9"/>
    <w:rsid w:val="7ED1D57A"/>
    <w:rsid w:val="7ED1F660"/>
    <w:rsid w:val="7ED1F7E4"/>
    <w:rsid w:val="7ED29DC7"/>
    <w:rsid w:val="7ED2BB68"/>
    <w:rsid w:val="7ED2D93B"/>
    <w:rsid w:val="7ED2E125"/>
    <w:rsid w:val="7ED3BB4E"/>
    <w:rsid w:val="7ED48303"/>
    <w:rsid w:val="7ED520ED"/>
    <w:rsid w:val="7ED65F6D"/>
    <w:rsid w:val="7ED6A008"/>
    <w:rsid w:val="7ED6BAB6"/>
    <w:rsid w:val="7ED6D8E8"/>
    <w:rsid w:val="7ED73947"/>
    <w:rsid w:val="7ED7840E"/>
    <w:rsid w:val="7ED7A172"/>
    <w:rsid w:val="7ED7C6CC"/>
    <w:rsid w:val="7ED7CE20"/>
    <w:rsid w:val="7ED7D2B9"/>
    <w:rsid w:val="7ED7E49C"/>
    <w:rsid w:val="7ED8CAB8"/>
    <w:rsid w:val="7ED94C44"/>
    <w:rsid w:val="7ED9E3CF"/>
    <w:rsid w:val="7ED9FE63"/>
    <w:rsid w:val="7EDAB268"/>
    <w:rsid w:val="7EDB3DD1"/>
    <w:rsid w:val="7EDC4EBF"/>
    <w:rsid w:val="7EDD2680"/>
    <w:rsid w:val="7EDD65AB"/>
    <w:rsid w:val="7EDEECB9"/>
    <w:rsid w:val="7EDF0E3D"/>
    <w:rsid w:val="7EE01AF1"/>
    <w:rsid w:val="7EE08B4D"/>
    <w:rsid w:val="7EE29772"/>
    <w:rsid w:val="7EE29D17"/>
    <w:rsid w:val="7EE316B2"/>
    <w:rsid w:val="7EE4AAD0"/>
    <w:rsid w:val="7EE59209"/>
    <w:rsid w:val="7EE65211"/>
    <w:rsid w:val="7EE6AF24"/>
    <w:rsid w:val="7EE83A61"/>
    <w:rsid w:val="7EEA5278"/>
    <w:rsid w:val="7EEA7DA6"/>
    <w:rsid w:val="7EEA874D"/>
    <w:rsid w:val="7EEA8B02"/>
    <w:rsid w:val="7EEADC6D"/>
    <w:rsid w:val="7EEAF062"/>
    <w:rsid w:val="7EEB3AF2"/>
    <w:rsid w:val="7EEB6B38"/>
    <w:rsid w:val="7EEB92BB"/>
    <w:rsid w:val="7EEB92BE"/>
    <w:rsid w:val="7EEB99D5"/>
    <w:rsid w:val="7EEBE812"/>
    <w:rsid w:val="7EEC3E4F"/>
    <w:rsid w:val="7EED2028"/>
    <w:rsid w:val="7EEDDE6E"/>
    <w:rsid w:val="7EEDEF28"/>
    <w:rsid w:val="7EEE1FA3"/>
    <w:rsid w:val="7EEE7E81"/>
    <w:rsid w:val="7EEE86EF"/>
    <w:rsid w:val="7EEF0438"/>
    <w:rsid w:val="7EEF132F"/>
    <w:rsid w:val="7EEF61C2"/>
    <w:rsid w:val="7EEFA074"/>
    <w:rsid w:val="7EEFDF7A"/>
    <w:rsid w:val="7EF178DE"/>
    <w:rsid w:val="7EF1EB6A"/>
    <w:rsid w:val="7EF216E4"/>
    <w:rsid w:val="7EF29145"/>
    <w:rsid w:val="7EF2CDD7"/>
    <w:rsid w:val="7EF2DC84"/>
    <w:rsid w:val="7EF3F31C"/>
    <w:rsid w:val="7EF45225"/>
    <w:rsid w:val="7EF54650"/>
    <w:rsid w:val="7EF5A463"/>
    <w:rsid w:val="7EF621DE"/>
    <w:rsid w:val="7EF738F0"/>
    <w:rsid w:val="7EF8C9A8"/>
    <w:rsid w:val="7EF8D473"/>
    <w:rsid w:val="7EFA6D52"/>
    <w:rsid w:val="7EFABFE4"/>
    <w:rsid w:val="7EFB89E1"/>
    <w:rsid w:val="7EFC0336"/>
    <w:rsid w:val="7EFC4143"/>
    <w:rsid w:val="7EFC7C39"/>
    <w:rsid w:val="7EFCB4A9"/>
    <w:rsid w:val="7EFCE87C"/>
    <w:rsid w:val="7EFD309E"/>
    <w:rsid w:val="7EFD81C6"/>
    <w:rsid w:val="7EFE3178"/>
    <w:rsid w:val="7EFE6C1B"/>
    <w:rsid w:val="7EFE95C0"/>
    <w:rsid w:val="7EFECF28"/>
    <w:rsid w:val="7F0029C4"/>
    <w:rsid w:val="7F0112D1"/>
    <w:rsid w:val="7F01EE5A"/>
    <w:rsid w:val="7F01FCDD"/>
    <w:rsid w:val="7F029CC4"/>
    <w:rsid w:val="7F030511"/>
    <w:rsid w:val="7F05073B"/>
    <w:rsid w:val="7F0526B6"/>
    <w:rsid w:val="7F053144"/>
    <w:rsid w:val="7F056CFC"/>
    <w:rsid w:val="7F06F254"/>
    <w:rsid w:val="7F08B12E"/>
    <w:rsid w:val="7F08B6F4"/>
    <w:rsid w:val="7F09F7B9"/>
    <w:rsid w:val="7F0A8E75"/>
    <w:rsid w:val="7F0AB071"/>
    <w:rsid w:val="7F0B2390"/>
    <w:rsid w:val="7F0B4696"/>
    <w:rsid w:val="7F0BC1FC"/>
    <w:rsid w:val="7F0BCCC8"/>
    <w:rsid w:val="7F0BDAC3"/>
    <w:rsid w:val="7F0C54C3"/>
    <w:rsid w:val="7F0E45BD"/>
    <w:rsid w:val="7F0EC301"/>
    <w:rsid w:val="7F0ECB41"/>
    <w:rsid w:val="7F0F0D78"/>
    <w:rsid w:val="7F0FE417"/>
    <w:rsid w:val="7F100751"/>
    <w:rsid w:val="7F104EB6"/>
    <w:rsid w:val="7F105887"/>
    <w:rsid w:val="7F117328"/>
    <w:rsid w:val="7F12FFFC"/>
    <w:rsid w:val="7F133301"/>
    <w:rsid w:val="7F145566"/>
    <w:rsid w:val="7F156C7A"/>
    <w:rsid w:val="7F158504"/>
    <w:rsid w:val="7F164372"/>
    <w:rsid w:val="7F16469E"/>
    <w:rsid w:val="7F17A26F"/>
    <w:rsid w:val="7F17BAF8"/>
    <w:rsid w:val="7F17BD0A"/>
    <w:rsid w:val="7F187C5F"/>
    <w:rsid w:val="7F19647A"/>
    <w:rsid w:val="7F19728F"/>
    <w:rsid w:val="7F19DB74"/>
    <w:rsid w:val="7F1A9BCF"/>
    <w:rsid w:val="7F1B685C"/>
    <w:rsid w:val="7F1C1D3A"/>
    <w:rsid w:val="7F1C38D2"/>
    <w:rsid w:val="7F1CBC43"/>
    <w:rsid w:val="7F1CEB6C"/>
    <w:rsid w:val="7F1CFC43"/>
    <w:rsid w:val="7F1D1366"/>
    <w:rsid w:val="7F1DB080"/>
    <w:rsid w:val="7F1E08CD"/>
    <w:rsid w:val="7F1E2A27"/>
    <w:rsid w:val="7F1EC212"/>
    <w:rsid w:val="7F1F141C"/>
    <w:rsid w:val="7F1F24F1"/>
    <w:rsid w:val="7F201460"/>
    <w:rsid w:val="7F201C35"/>
    <w:rsid w:val="7F206A1D"/>
    <w:rsid w:val="7F223D5C"/>
    <w:rsid w:val="7F23A755"/>
    <w:rsid w:val="7F243FEF"/>
    <w:rsid w:val="7F2473CC"/>
    <w:rsid w:val="7F26E85B"/>
    <w:rsid w:val="7F2721C7"/>
    <w:rsid w:val="7F27663B"/>
    <w:rsid w:val="7F281250"/>
    <w:rsid w:val="7F281C58"/>
    <w:rsid w:val="7F287464"/>
    <w:rsid w:val="7F28919C"/>
    <w:rsid w:val="7F28C588"/>
    <w:rsid w:val="7F29DD1C"/>
    <w:rsid w:val="7F2AF904"/>
    <w:rsid w:val="7F2AFDD2"/>
    <w:rsid w:val="7F2B5F77"/>
    <w:rsid w:val="7F2BA870"/>
    <w:rsid w:val="7F2C5B1F"/>
    <w:rsid w:val="7F2D1E9B"/>
    <w:rsid w:val="7F2D501A"/>
    <w:rsid w:val="7F2E5A81"/>
    <w:rsid w:val="7F2F5F79"/>
    <w:rsid w:val="7F303BC0"/>
    <w:rsid w:val="7F32752C"/>
    <w:rsid w:val="7F336C52"/>
    <w:rsid w:val="7F3397DD"/>
    <w:rsid w:val="7F34A4B9"/>
    <w:rsid w:val="7F34BC1E"/>
    <w:rsid w:val="7F354717"/>
    <w:rsid w:val="7F361D9D"/>
    <w:rsid w:val="7F36C40D"/>
    <w:rsid w:val="7F37B3F3"/>
    <w:rsid w:val="7F38D384"/>
    <w:rsid w:val="7F3AF118"/>
    <w:rsid w:val="7F3BC611"/>
    <w:rsid w:val="7F3BC82D"/>
    <w:rsid w:val="7F3BFCF7"/>
    <w:rsid w:val="7F3C2FDA"/>
    <w:rsid w:val="7F3D16A6"/>
    <w:rsid w:val="7F3DDF9A"/>
    <w:rsid w:val="7F3F61AB"/>
    <w:rsid w:val="7F3FBD6D"/>
    <w:rsid w:val="7F3FBE3F"/>
    <w:rsid w:val="7F40464C"/>
    <w:rsid w:val="7F406E76"/>
    <w:rsid w:val="7F40F8D5"/>
    <w:rsid w:val="7F417CE8"/>
    <w:rsid w:val="7F417EB2"/>
    <w:rsid w:val="7F41954C"/>
    <w:rsid w:val="7F41D95D"/>
    <w:rsid w:val="7F4204CE"/>
    <w:rsid w:val="7F430E9A"/>
    <w:rsid w:val="7F43E76A"/>
    <w:rsid w:val="7F43EFD7"/>
    <w:rsid w:val="7F440429"/>
    <w:rsid w:val="7F44CE6D"/>
    <w:rsid w:val="7F4517F6"/>
    <w:rsid w:val="7F457403"/>
    <w:rsid w:val="7F4650B4"/>
    <w:rsid w:val="7F46ACA7"/>
    <w:rsid w:val="7F471340"/>
    <w:rsid w:val="7F471A8F"/>
    <w:rsid w:val="7F479BB7"/>
    <w:rsid w:val="7F485377"/>
    <w:rsid w:val="7F4A3B4B"/>
    <w:rsid w:val="7F4B0EF1"/>
    <w:rsid w:val="7F4C73D9"/>
    <w:rsid w:val="7F4CD059"/>
    <w:rsid w:val="7F4CE069"/>
    <w:rsid w:val="7F4E5EA2"/>
    <w:rsid w:val="7F4EA405"/>
    <w:rsid w:val="7F4ECABC"/>
    <w:rsid w:val="7F4F2B64"/>
    <w:rsid w:val="7F4FE902"/>
    <w:rsid w:val="7F5073C9"/>
    <w:rsid w:val="7F521944"/>
    <w:rsid w:val="7F5294BF"/>
    <w:rsid w:val="7F536A66"/>
    <w:rsid w:val="7F537D7B"/>
    <w:rsid w:val="7F538CC1"/>
    <w:rsid w:val="7F54362B"/>
    <w:rsid w:val="7F54910A"/>
    <w:rsid w:val="7F559EF2"/>
    <w:rsid w:val="7F5605C6"/>
    <w:rsid w:val="7F572A24"/>
    <w:rsid w:val="7F585BAD"/>
    <w:rsid w:val="7F587C4B"/>
    <w:rsid w:val="7F5A7EA9"/>
    <w:rsid w:val="7F5ACE08"/>
    <w:rsid w:val="7F5B573E"/>
    <w:rsid w:val="7F5BD47D"/>
    <w:rsid w:val="7F5BFC1C"/>
    <w:rsid w:val="7F5C4C42"/>
    <w:rsid w:val="7F5F1046"/>
    <w:rsid w:val="7F5F5BDC"/>
    <w:rsid w:val="7F5F89FA"/>
    <w:rsid w:val="7F5FD5ED"/>
    <w:rsid w:val="7F604213"/>
    <w:rsid w:val="7F605DA4"/>
    <w:rsid w:val="7F623648"/>
    <w:rsid w:val="7F62545B"/>
    <w:rsid w:val="7F62B50F"/>
    <w:rsid w:val="7F64E8E2"/>
    <w:rsid w:val="7F67C1BD"/>
    <w:rsid w:val="7F67E535"/>
    <w:rsid w:val="7F682656"/>
    <w:rsid w:val="7F689CF2"/>
    <w:rsid w:val="7F68C965"/>
    <w:rsid w:val="7F6939C9"/>
    <w:rsid w:val="7F69472D"/>
    <w:rsid w:val="7F6A443D"/>
    <w:rsid w:val="7F6A6F84"/>
    <w:rsid w:val="7F6B9221"/>
    <w:rsid w:val="7F6C62F6"/>
    <w:rsid w:val="7F6CE7F2"/>
    <w:rsid w:val="7F6D46BA"/>
    <w:rsid w:val="7F6D9D0F"/>
    <w:rsid w:val="7F6F22BC"/>
    <w:rsid w:val="7F6FB4CB"/>
    <w:rsid w:val="7F703F85"/>
    <w:rsid w:val="7F70769B"/>
    <w:rsid w:val="7F70B608"/>
    <w:rsid w:val="7F70E8D1"/>
    <w:rsid w:val="7F711786"/>
    <w:rsid w:val="7F713CF9"/>
    <w:rsid w:val="7F7175BE"/>
    <w:rsid w:val="7F719838"/>
    <w:rsid w:val="7F71DA18"/>
    <w:rsid w:val="7F72400F"/>
    <w:rsid w:val="7F72985F"/>
    <w:rsid w:val="7F734AF6"/>
    <w:rsid w:val="7F73BF59"/>
    <w:rsid w:val="7F73D0D3"/>
    <w:rsid w:val="7F741522"/>
    <w:rsid w:val="7F7513A4"/>
    <w:rsid w:val="7F753E1D"/>
    <w:rsid w:val="7F76BC33"/>
    <w:rsid w:val="7F78039C"/>
    <w:rsid w:val="7F781979"/>
    <w:rsid w:val="7F786E41"/>
    <w:rsid w:val="7F7955B6"/>
    <w:rsid w:val="7F79C8EB"/>
    <w:rsid w:val="7F79D827"/>
    <w:rsid w:val="7F7A0315"/>
    <w:rsid w:val="7F7AA644"/>
    <w:rsid w:val="7F7D6729"/>
    <w:rsid w:val="7F7D7CDA"/>
    <w:rsid w:val="7F7DA8A6"/>
    <w:rsid w:val="7F7DF7BC"/>
    <w:rsid w:val="7F7E4630"/>
    <w:rsid w:val="7F7FD196"/>
    <w:rsid w:val="7F81333F"/>
    <w:rsid w:val="7F8208B6"/>
    <w:rsid w:val="7F824512"/>
    <w:rsid w:val="7F83C445"/>
    <w:rsid w:val="7F864D58"/>
    <w:rsid w:val="7F887125"/>
    <w:rsid w:val="7F8A27D1"/>
    <w:rsid w:val="7F8A88C6"/>
    <w:rsid w:val="7F8ADF46"/>
    <w:rsid w:val="7F8B29DE"/>
    <w:rsid w:val="7F8B6AAF"/>
    <w:rsid w:val="7F8BA772"/>
    <w:rsid w:val="7F8C054B"/>
    <w:rsid w:val="7F8C523C"/>
    <w:rsid w:val="7F8D455B"/>
    <w:rsid w:val="7F8DC7FB"/>
    <w:rsid w:val="7F8EC42D"/>
    <w:rsid w:val="7F8F4B6E"/>
    <w:rsid w:val="7F8FA925"/>
    <w:rsid w:val="7F918246"/>
    <w:rsid w:val="7F9212F9"/>
    <w:rsid w:val="7F92CCEB"/>
    <w:rsid w:val="7F942028"/>
    <w:rsid w:val="7F94942C"/>
    <w:rsid w:val="7F954AE4"/>
    <w:rsid w:val="7F95CBAA"/>
    <w:rsid w:val="7F97BC1C"/>
    <w:rsid w:val="7F98442B"/>
    <w:rsid w:val="7F98C993"/>
    <w:rsid w:val="7F991A03"/>
    <w:rsid w:val="7F9972F2"/>
    <w:rsid w:val="7F9B906A"/>
    <w:rsid w:val="7F9C11F9"/>
    <w:rsid w:val="7F9C3B90"/>
    <w:rsid w:val="7F9C77D2"/>
    <w:rsid w:val="7F9CEC21"/>
    <w:rsid w:val="7F9D04A0"/>
    <w:rsid w:val="7F9DD76B"/>
    <w:rsid w:val="7F9F2DFE"/>
    <w:rsid w:val="7F9F9409"/>
    <w:rsid w:val="7F9F9920"/>
    <w:rsid w:val="7F9FFD8C"/>
    <w:rsid w:val="7FA0301A"/>
    <w:rsid w:val="7FA1E609"/>
    <w:rsid w:val="7FA254FB"/>
    <w:rsid w:val="7FA2661B"/>
    <w:rsid w:val="7FA3B07A"/>
    <w:rsid w:val="7FA3B237"/>
    <w:rsid w:val="7FA3D1F7"/>
    <w:rsid w:val="7FA3E255"/>
    <w:rsid w:val="7FA442C4"/>
    <w:rsid w:val="7FA4AFD1"/>
    <w:rsid w:val="7FA5644E"/>
    <w:rsid w:val="7FA5A69B"/>
    <w:rsid w:val="7FA64408"/>
    <w:rsid w:val="7FA649D1"/>
    <w:rsid w:val="7FA6B1F4"/>
    <w:rsid w:val="7FA7FBB2"/>
    <w:rsid w:val="7FA969E1"/>
    <w:rsid w:val="7FA96A2E"/>
    <w:rsid w:val="7FA9EA5B"/>
    <w:rsid w:val="7FAA7C4F"/>
    <w:rsid w:val="7FAACD9E"/>
    <w:rsid w:val="7FAB201A"/>
    <w:rsid w:val="7FABC9D4"/>
    <w:rsid w:val="7FAC194C"/>
    <w:rsid w:val="7FAC4D37"/>
    <w:rsid w:val="7FAC6085"/>
    <w:rsid w:val="7FACE65F"/>
    <w:rsid w:val="7FAD7215"/>
    <w:rsid w:val="7FAD768B"/>
    <w:rsid w:val="7FAE2A8A"/>
    <w:rsid w:val="7FAFBD47"/>
    <w:rsid w:val="7FAFCB87"/>
    <w:rsid w:val="7FB0C2B1"/>
    <w:rsid w:val="7FB0FCEA"/>
    <w:rsid w:val="7FB19699"/>
    <w:rsid w:val="7FB1D782"/>
    <w:rsid w:val="7FB1D90E"/>
    <w:rsid w:val="7FB26E14"/>
    <w:rsid w:val="7FB2976A"/>
    <w:rsid w:val="7FB31158"/>
    <w:rsid w:val="7FB34E1F"/>
    <w:rsid w:val="7FB35F5B"/>
    <w:rsid w:val="7FB4DC27"/>
    <w:rsid w:val="7FB59200"/>
    <w:rsid w:val="7FB5F8C7"/>
    <w:rsid w:val="7FB7B210"/>
    <w:rsid w:val="7FB7D36B"/>
    <w:rsid w:val="7FB7FB5F"/>
    <w:rsid w:val="7FB82CB3"/>
    <w:rsid w:val="7FB88F51"/>
    <w:rsid w:val="7FB9D926"/>
    <w:rsid w:val="7FBBB08A"/>
    <w:rsid w:val="7FBD365B"/>
    <w:rsid w:val="7FBDBE79"/>
    <w:rsid w:val="7FBE0D4B"/>
    <w:rsid w:val="7FBF88AB"/>
    <w:rsid w:val="7FC1289F"/>
    <w:rsid w:val="7FC1855B"/>
    <w:rsid w:val="7FC19786"/>
    <w:rsid w:val="7FC1C20D"/>
    <w:rsid w:val="7FC2EF1D"/>
    <w:rsid w:val="7FC326A3"/>
    <w:rsid w:val="7FC339B0"/>
    <w:rsid w:val="7FC3FCEA"/>
    <w:rsid w:val="7FC4AF78"/>
    <w:rsid w:val="7FC526E0"/>
    <w:rsid w:val="7FC53B44"/>
    <w:rsid w:val="7FC5EC20"/>
    <w:rsid w:val="7FC62949"/>
    <w:rsid w:val="7FC7BE5B"/>
    <w:rsid w:val="7FCA1F51"/>
    <w:rsid w:val="7FCAE8D9"/>
    <w:rsid w:val="7FCBA6CE"/>
    <w:rsid w:val="7FCC17D7"/>
    <w:rsid w:val="7FCDCDE2"/>
    <w:rsid w:val="7FCE335F"/>
    <w:rsid w:val="7FD29AB9"/>
    <w:rsid w:val="7FD3C058"/>
    <w:rsid w:val="7FD4983B"/>
    <w:rsid w:val="7FD523A1"/>
    <w:rsid w:val="7FD5AC50"/>
    <w:rsid w:val="7FD63782"/>
    <w:rsid w:val="7FD64320"/>
    <w:rsid w:val="7FD829A6"/>
    <w:rsid w:val="7FD8CC1D"/>
    <w:rsid w:val="7FD8F165"/>
    <w:rsid w:val="7FD993A9"/>
    <w:rsid w:val="7FDA39A3"/>
    <w:rsid w:val="7FDB094B"/>
    <w:rsid w:val="7FDD12F8"/>
    <w:rsid w:val="7FDE29AF"/>
    <w:rsid w:val="7FDE633E"/>
    <w:rsid w:val="7FE00F50"/>
    <w:rsid w:val="7FE09637"/>
    <w:rsid w:val="7FE23486"/>
    <w:rsid w:val="7FE27FDE"/>
    <w:rsid w:val="7FE2934A"/>
    <w:rsid w:val="7FE32ABA"/>
    <w:rsid w:val="7FE4108F"/>
    <w:rsid w:val="7FE47AEA"/>
    <w:rsid w:val="7FE4A4A9"/>
    <w:rsid w:val="7FE5FB44"/>
    <w:rsid w:val="7FE6999A"/>
    <w:rsid w:val="7FE6B427"/>
    <w:rsid w:val="7FE85B27"/>
    <w:rsid w:val="7FE89D66"/>
    <w:rsid w:val="7FE8A585"/>
    <w:rsid w:val="7FE9B0B2"/>
    <w:rsid w:val="7FEA185C"/>
    <w:rsid w:val="7FEBA3D4"/>
    <w:rsid w:val="7FEBD0F7"/>
    <w:rsid w:val="7FEBD1ED"/>
    <w:rsid w:val="7FEC26C8"/>
    <w:rsid w:val="7FEFDDBE"/>
    <w:rsid w:val="7FEFF7B2"/>
    <w:rsid w:val="7FF05776"/>
    <w:rsid w:val="7FF067CB"/>
    <w:rsid w:val="7FF151B4"/>
    <w:rsid w:val="7FF16916"/>
    <w:rsid w:val="7FF26B17"/>
    <w:rsid w:val="7FF28D35"/>
    <w:rsid w:val="7FF32554"/>
    <w:rsid w:val="7FF376C4"/>
    <w:rsid w:val="7FF40680"/>
    <w:rsid w:val="7FF42E30"/>
    <w:rsid w:val="7FF4D74F"/>
    <w:rsid w:val="7FF589D7"/>
    <w:rsid w:val="7FF65D04"/>
    <w:rsid w:val="7FF6CAEA"/>
    <w:rsid w:val="7FF8F626"/>
    <w:rsid w:val="7FF98D68"/>
    <w:rsid w:val="7FF9A768"/>
    <w:rsid w:val="7FF9AC89"/>
    <w:rsid w:val="7FFD0919"/>
    <w:rsid w:val="7FFE22E2"/>
    <w:rsid w:val="7FFEC1D1"/>
    <w:rsid w:val="7FFF2313"/>
    <w:rsid w:val="7FFF452A"/>
    <w:rsid w:val="7FFF8A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0021D7"/>
  <w15:chartTrackingRefBased/>
  <w15:docId w15:val="{01064B8B-90C8-4C31-BD7B-84AA80AA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4AB"/>
    <w:pPr>
      <w:spacing w:after="240" w:line="240" w:lineRule="auto"/>
      <w:jc w:val="both"/>
    </w:pPr>
    <w:rPr>
      <w:rFonts w:ascii="Times New Roman" w:hAnsi="Times New Roman" w:cs="Times New Roman"/>
      <w:sz w:val="24"/>
      <w:szCs w:val="24"/>
    </w:rPr>
  </w:style>
  <w:style w:type="paragraph" w:styleId="Heading1">
    <w:name w:val="heading 1"/>
    <w:aliases w:val="Lev 1"/>
    <w:basedOn w:val="Normal"/>
    <w:next w:val="Text1"/>
    <w:link w:val="Heading1Char"/>
    <w:uiPriority w:val="1"/>
    <w:qFormat/>
    <w:rsid w:val="006B087E"/>
    <w:pPr>
      <w:keepNext/>
      <w:spacing w:before="240"/>
      <w:ind w:left="502" w:hanging="360"/>
      <w:outlineLvl w:val="0"/>
    </w:pPr>
    <w:rPr>
      <w:rFonts w:eastAsia="Times New Roman"/>
      <w:b/>
      <w:smallCaps/>
      <w:szCs w:val="20"/>
    </w:rPr>
  </w:style>
  <w:style w:type="paragraph" w:styleId="Heading2">
    <w:name w:val="heading 2"/>
    <w:aliases w:val="Lev 2"/>
    <w:basedOn w:val="Normal"/>
    <w:next w:val="Text2"/>
    <w:link w:val="Heading2Char"/>
    <w:uiPriority w:val="9"/>
    <w:qFormat/>
    <w:rsid w:val="006B087E"/>
    <w:pPr>
      <w:keepNext/>
      <w:ind w:left="792" w:hanging="432"/>
      <w:outlineLvl w:val="1"/>
    </w:pPr>
    <w:rPr>
      <w:rFonts w:eastAsia="Times New Roman"/>
      <w:b/>
      <w:szCs w:val="20"/>
    </w:rPr>
  </w:style>
  <w:style w:type="paragraph" w:styleId="Heading3">
    <w:name w:val="heading 3"/>
    <w:aliases w:val="Lev 3"/>
    <w:basedOn w:val="Normal"/>
    <w:next w:val="Normal"/>
    <w:link w:val="Heading3Char"/>
    <w:uiPriority w:val="9"/>
    <w:qFormat/>
    <w:rsid w:val="006B087E"/>
    <w:pPr>
      <w:keepNext/>
      <w:tabs>
        <w:tab w:val="num" w:pos="1920"/>
      </w:tabs>
      <w:ind w:left="1920" w:hanging="720"/>
      <w:outlineLvl w:val="2"/>
    </w:pPr>
    <w:rPr>
      <w:rFonts w:eastAsia="Times New Roman"/>
      <w:i/>
      <w:szCs w:val="20"/>
    </w:rPr>
  </w:style>
  <w:style w:type="paragraph" w:styleId="Heading4">
    <w:name w:val="heading 4"/>
    <w:aliases w:val="Lev 4"/>
    <w:basedOn w:val="Normal"/>
    <w:next w:val="Normal"/>
    <w:link w:val="Heading4Char"/>
    <w:uiPriority w:val="9"/>
    <w:qFormat/>
    <w:rsid w:val="006B087E"/>
    <w:pPr>
      <w:keepNext/>
      <w:tabs>
        <w:tab w:val="num" w:pos="1920"/>
      </w:tabs>
      <w:ind w:left="1920" w:hanging="720"/>
      <w:outlineLvl w:val="3"/>
    </w:pPr>
    <w:rPr>
      <w:rFonts w:eastAsia="Times New Roman"/>
      <w:szCs w:val="20"/>
    </w:rPr>
  </w:style>
  <w:style w:type="paragraph" w:styleId="Heading5">
    <w:name w:val="heading 5"/>
    <w:aliases w:val="Lev 5"/>
    <w:basedOn w:val="Normal"/>
    <w:next w:val="Normal"/>
    <w:link w:val="Heading5Char"/>
    <w:uiPriority w:val="9"/>
    <w:unhideWhenUsed/>
    <w:qFormat/>
    <w:rsid w:val="0053316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aliases w:val="Lev 6"/>
    <w:basedOn w:val="Heading5"/>
    <w:next w:val="WDBody"/>
    <w:link w:val="Heading6Char"/>
    <w:uiPriority w:val="9"/>
    <w:qFormat/>
    <w:rsid w:val="008E0762"/>
    <w:pPr>
      <w:numPr>
        <w:ilvl w:val="4"/>
      </w:numPr>
      <w:spacing w:before="360" w:after="120"/>
      <w:jc w:val="left"/>
      <w:outlineLvl w:val="5"/>
    </w:pPr>
    <w:rPr>
      <w:rFonts w:ascii="Segoe UI" w:hAnsi="Segoe UI"/>
      <w:i/>
      <w:iCs/>
      <w:color w:val="8064A2" w:themeColor="accent4"/>
      <w:sz w:val="20"/>
      <w:szCs w:val="26"/>
    </w:rPr>
  </w:style>
  <w:style w:type="paragraph" w:styleId="Heading7">
    <w:name w:val="heading 7"/>
    <w:basedOn w:val="Normal"/>
    <w:next w:val="Normal"/>
    <w:link w:val="Heading7Char"/>
    <w:uiPriority w:val="9"/>
    <w:qFormat/>
    <w:rsid w:val="00F302A9"/>
    <w:pPr>
      <w:keepNext/>
      <w:keepLines/>
      <w:numPr>
        <w:ilvl w:val="6"/>
        <w:numId w:val="29"/>
      </w:numPr>
      <w:spacing w:before="200" w:after="0"/>
      <w:jc w:val="left"/>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unhideWhenUsed/>
    <w:qFormat/>
    <w:rsid w:val="00F302A9"/>
    <w:pPr>
      <w:keepNext/>
      <w:keepLines/>
      <w:numPr>
        <w:ilvl w:val="7"/>
        <w:numId w:val="29"/>
      </w:numPr>
      <w:spacing w:before="200" w:after="0"/>
      <w:jc w:val="lef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302A9"/>
    <w:pPr>
      <w:keepNext/>
      <w:keepLines/>
      <w:numPr>
        <w:ilvl w:val="8"/>
        <w:numId w:val="29"/>
      </w:numPr>
      <w:spacing w:before="200" w:after="0"/>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
    <w:basedOn w:val="DefaultParagraphFont"/>
    <w:link w:val="Heading1"/>
    <w:uiPriority w:val="9"/>
    <w:rsid w:val="006B087E"/>
    <w:rPr>
      <w:rFonts w:ascii="Times New Roman" w:eastAsia="Times New Roman" w:hAnsi="Times New Roman" w:cs="Times New Roman"/>
      <w:b/>
      <w:smallCaps/>
      <w:sz w:val="24"/>
      <w:szCs w:val="20"/>
    </w:rPr>
  </w:style>
  <w:style w:type="character" w:customStyle="1" w:styleId="Heading2Char">
    <w:name w:val="Heading 2 Char"/>
    <w:aliases w:val="Lev 2 Char"/>
    <w:basedOn w:val="DefaultParagraphFont"/>
    <w:link w:val="Heading2"/>
    <w:uiPriority w:val="9"/>
    <w:rsid w:val="006B087E"/>
    <w:rPr>
      <w:rFonts w:ascii="Times New Roman" w:eastAsia="Times New Roman" w:hAnsi="Times New Roman" w:cs="Times New Roman"/>
      <w:b/>
      <w:sz w:val="24"/>
      <w:szCs w:val="20"/>
    </w:rPr>
  </w:style>
  <w:style w:type="character" w:customStyle="1" w:styleId="Heading3Char">
    <w:name w:val="Heading 3 Char"/>
    <w:aliases w:val="Lev 3 Char"/>
    <w:basedOn w:val="DefaultParagraphFont"/>
    <w:link w:val="Heading3"/>
    <w:uiPriority w:val="9"/>
    <w:rsid w:val="006B087E"/>
    <w:rPr>
      <w:rFonts w:ascii="Times New Roman" w:eastAsia="Times New Roman" w:hAnsi="Times New Roman" w:cs="Times New Roman"/>
      <w:i/>
      <w:sz w:val="24"/>
      <w:szCs w:val="20"/>
    </w:rPr>
  </w:style>
  <w:style w:type="character" w:customStyle="1" w:styleId="Heading4Char">
    <w:name w:val="Heading 4 Char"/>
    <w:aliases w:val="Lev 4 Char"/>
    <w:basedOn w:val="DefaultParagraphFont"/>
    <w:link w:val="Heading4"/>
    <w:uiPriority w:val="9"/>
    <w:rsid w:val="006B087E"/>
    <w:rPr>
      <w:rFonts w:ascii="Times New Roman" w:eastAsia="Times New Roman" w:hAnsi="Times New Roman" w:cs="Times New Roman"/>
      <w:sz w:val="24"/>
      <w:szCs w:val="20"/>
    </w:rPr>
  </w:style>
  <w:style w:type="character" w:customStyle="1" w:styleId="Marker">
    <w:name w:val="Marker"/>
    <w:basedOn w:val="DefaultParagraphFont"/>
    <w:rsid w:val="003502CA"/>
    <w:rPr>
      <w:color w:val="0000FF"/>
      <w:bdr w:val="none" w:sz="0" w:space="0" w:color="auto"/>
      <w:shd w:val="clear" w:color="auto" w:fill="auto"/>
    </w:rPr>
  </w:style>
  <w:style w:type="paragraph" w:customStyle="1" w:styleId="Pagedecouverture">
    <w:name w:val="Page de couverture"/>
    <w:basedOn w:val="Normal"/>
    <w:next w:val="Normal"/>
    <w:rsid w:val="006B087E"/>
    <w:pPr>
      <w:spacing w:after="0"/>
    </w:pPr>
  </w:style>
  <w:style w:type="paragraph" w:styleId="Header">
    <w:name w:val="header"/>
    <w:basedOn w:val="Normal"/>
    <w:link w:val="HeaderChar"/>
    <w:uiPriority w:val="99"/>
    <w:unhideWhenUsed/>
    <w:rsid w:val="006B087E"/>
    <w:pPr>
      <w:tabs>
        <w:tab w:val="center" w:pos="4535"/>
        <w:tab w:val="right" w:pos="9071"/>
      </w:tabs>
      <w:spacing w:after="120"/>
    </w:pPr>
  </w:style>
  <w:style w:type="character" w:customStyle="1" w:styleId="HeaderChar">
    <w:name w:val="Header Char"/>
    <w:basedOn w:val="DefaultParagraphFont"/>
    <w:link w:val="Header"/>
    <w:uiPriority w:val="99"/>
    <w:rsid w:val="006B087E"/>
    <w:rPr>
      <w:rFonts w:ascii="Times New Roman" w:hAnsi="Times New Roman" w:cs="Times New Roman"/>
      <w:sz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ind w:left="-850" w:right="-850"/>
    </w:pPr>
  </w:style>
  <w:style w:type="character" w:customStyle="1" w:styleId="FooterChar">
    <w:name w:val="Footer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sid w:val="006B087E"/>
    <w:rPr>
      <w:rFonts w:ascii="Times New Roman" w:hAnsi="Times New Roman" w:cs="Times New Roman"/>
      <w:sz w:val="24"/>
      <w:szCs w:val="24"/>
    </w:rPr>
  </w:style>
  <w:style w:type="paragraph" w:customStyle="1" w:styleId="HeaderCoverPage">
    <w:name w:val="Header Cover Page"/>
    <w:basedOn w:val="Normal"/>
    <w:link w:val="HeaderCoverPageChar"/>
    <w:rsid w:val="006B087E"/>
    <w:pPr>
      <w:numPr>
        <w:ilvl w:val="2"/>
        <w:numId w:val="29"/>
      </w:numPr>
      <w:tabs>
        <w:tab w:val="center" w:pos="4535"/>
        <w:tab w:val="right" w:pos="9071"/>
      </w:tabs>
      <w:spacing w:after="120"/>
      <w:ind w:left="0"/>
    </w:pPr>
  </w:style>
  <w:style w:type="character" w:customStyle="1" w:styleId="HeaderCoverPageChar">
    <w:name w:val="Header Cover Page Char"/>
    <w:basedOn w:val="DefaultParagraphFont"/>
    <w:link w:val="HeaderCoverPage"/>
    <w:rsid w:val="006B087E"/>
    <w:rPr>
      <w:rFonts w:ascii="Times New Roman" w:hAnsi="Times New Roman" w:cs="Times New Roman"/>
      <w:sz w:val="24"/>
      <w:szCs w:val="24"/>
    </w:rPr>
  </w:style>
  <w:style w:type="paragraph" w:customStyle="1" w:styleId="Text1">
    <w:name w:val="Text 1"/>
    <w:basedOn w:val="Normal"/>
    <w:uiPriority w:val="1"/>
    <w:qFormat/>
    <w:rsid w:val="006B087E"/>
    <w:pPr>
      <w:ind w:left="482"/>
    </w:pPr>
    <w:rPr>
      <w:rFonts w:eastAsia="Times New Roman"/>
      <w:szCs w:val="20"/>
    </w:rPr>
  </w:style>
  <w:style w:type="paragraph" w:customStyle="1" w:styleId="Text2">
    <w:name w:val="Text 2"/>
    <w:basedOn w:val="Normal"/>
    <w:rsid w:val="006B087E"/>
    <w:pPr>
      <w:tabs>
        <w:tab w:val="left" w:pos="2302"/>
      </w:tabs>
      <w:ind w:left="1202"/>
    </w:pPr>
    <w:rPr>
      <w:rFonts w:eastAsia="Times New Roman"/>
      <w:szCs w:val="20"/>
    </w:rPr>
  </w:style>
  <w:style w:type="paragraph" w:styleId="ListBullet">
    <w:name w:val="List Bullet"/>
    <w:aliases w:val="def. Aufzählungszeichen"/>
    <w:basedOn w:val="Normal"/>
    <w:qFormat/>
    <w:rsid w:val="006B087E"/>
    <w:pPr>
      <w:numPr>
        <w:numId w:val="20"/>
      </w:numPr>
    </w:pPr>
    <w:rPr>
      <w:rFonts w:eastAsia="Times New Roman"/>
      <w:szCs w:val="20"/>
    </w:rPr>
  </w:style>
  <w:style w:type="paragraph" w:customStyle="1" w:styleId="ListDash1">
    <w:name w:val="List Dash 1"/>
    <w:basedOn w:val="Text1"/>
    <w:rsid w:val="006B087E"/>
    <w:pPr>
      <w:tabs>
        <w:tab w:val="num" w:pos="765"/>
      </w:tabs>
      <w:ind w:left="765" w:hanging="283"/>
    </w:pPr>
  </w:style>
  <w:style w:type="table" w:styleId="TableGrid">
    <w:name w:val="Table Grid"/>
    <w:aliases w:val="Document Table,CV1,Tabellengitternetz,Gena,Deloitte,HTG"/>
    <w:basedOn w:val="TableNormal"/>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next w:val="Normal"/>
    <w:link w:val="AnnexTitleChar"/>
    <w:autoRedefine/>
    <w:qFormat/>
    <w:rsid w:val="004A0ACC"/>
    <w:pPr>
      <w:spacing w:after="480"/>
      <w:ind w:left="0" w:firstLine="0"/>
      <w:jc w:val="center"/>
    </w:pPr>
    <w:rPr>
      <w:rFonts w:ascii="Times New Roman Bold" w:hAnsi="Times New Roman Bold"/>
      <w:sz w:val="32"/>
    </w:rPr>
  </w:style>
  <w:style w:type="character" w:customStyle="1" w:styleId="AnnexTitleChar">
    <w:name w:val="Annex Title Char"/>
    <w:basedOn w:val="DefaultParagraphFont"/>
    <w:link w:val="AnnexTitle"/>
    <w:rsid w:val="004A0ACC"/>
    <w:rPr>
      <w:rFonts w:ascii="Times New Roman Bold" w:eastAsia="Times New Roman" w:hAnsi="Times New Roman Bold" w:cs="Times New Roman"/>
      <w:b/>
      <w:smallCaps/>
      <w:sz w:val="32"/>
      <w:szCs w:val="20"/>
    </w:rPr>
  </w:style>
  <w:style w:type="table" w:customStyle="1" w:styleId="CV11">
    <w:name w:val="CV11"/>
    <w:basedOn w:val="TableNormal"/>
    <w:next w:val="TableGrid"/>
    <w:uiPriority w:val="5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spacing w:before="120" w:after="120"/>
      <w:ind w:left="482" w:right="720" w:hanging="482"/>
    </w:pPr>
    <w:rPr>
      <w:rFonts w:eastAsia="Times New Roman"/>
      <w:caps/>
      <w:sz w:val="20"/>
      <w:szCs w:val="20"/>
    </w:rPr>
  </w:style>
  <w:style w:type="paragraph" w:styleId="TOC2">
    <w:name w:val="toc 2"/>
    <w:basedOn w:val="Normal"/>
    <w:next w:val="Normal"/>
    <w:uiPriority w:val="39"/>
    <w:rsid w:val="006B087E"/>
    <w:pPr>
      <w:tabs>
        <w:tab w:val="right" w:leader="dot" w:pos="8640"/>
      </w:tabs>
      <w:spacing w:before="60" w:after="60"/>
      <w:ind w:left="1077" w:right="720" w:hanging="595"/>
    </w:pPr>
    <w:rPr>
      <w:rFonts w:eastAsia="Times New Roman"/>
      <w:szCs w:val="20"/>
    </w:rPr>
  </w:style>
  <w:style w:type="paragraph" w:styleId="TOCHeading">
    <w:name w:val="TOC Heading"/>
    <w:basedOn w:val="Normal"/>
    <w:next w:val="Normal"/>
    <w:uiPriority w:val="39"/>
    <w:qFormat/>
    <w:rsid w:val="006B087E"/>
    <w:pPr>
      <w:keepNext/>
      <w:spacing w:before="240"/>
      <w:jc w:val="center"/>
    </w:pPr>
    <w:rPr>
      <w:rFonts w:eastAsia="Times New Roman"/>
      <w:b/>
      <w:szCs w:val="20"/>
    </w:rPr>
  </w:style>
  <w:style w:type="character" w:styleId="Hyperlink">
    <w:name w:val="Hyperlink"/>
    <w:aliases w:val=" Znak Znak Znak,Znak Znak Znak"/>
    <w:basedOn w:val="DefaultParagraphFont"/>
    <w:uiPriority w:val="99"/>
    <w:unhideWhenUsed/>
    <w:qFormat/>
    <w:rsid w:val="006B087E"/>
    <w:rPr>
      <w:color w:val="0000FF" w:themeColor="hyperlink"/>
      <w:u w:val="single"/>
    </w:rPr>
  </w:style>
  <w:style w:type="paragraph" w:styleId="BalloonText">
    <w:name w:val="Balloon Text"/>
    <w:basedOn w:val="Normal"/>
    <w:link w:val="BalloonTextChar"/>
    <w:uiPriority w:val="99"/>
    <w:semiHidden/>
    <w:unhideWhenUsed/>
    <w:rsid w:val="006B08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pPr>
      <w:spacing w:after="0"/>
    </w:pPr>
  </w:style>
  <w:style w:type="paragraph" w:customStyle="1" w:styleId="HeaderLandscape">
    <w:name w:val="HeaderLandscape"/>
    <w:basedOn w:val="Normal"/>
    <w:rsid w:val="006B087E"/>
    <w:pPr>
      <w:tabs>
        <w:tab w:val="center" w:pos="7285"/>
        <w:tab w:val="right" w:pos="14003"/>
      </w:tabs>
      <w:spacing w:after="120"/>
    </w:p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rsid w:val="006B087E"/>
    <w:pPr>
      <w:tabs>
        <w:tab w:val="center" w:pos="7285"/>
        <w:tab w:val="center" w:pos="10913"/>
        <w:tab w:val="right" w:pos="15137"/>
      </w:tabs>
      <w:spacing w:before="360" w:after="0"/>
      <w:ind w:left="-567" w:right="-567"/>
    </w:p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HeaderSensitivityRight">
    <w:name w:val="Header Sensitivity Right"/>
    <w:basedOn w:val="Normal"/>
    <w:link w:val="HeaderSensitivityRightChar"/>
    <w:rsid w:val="006B087E"/>
    <w:pPr>
      <w:spacing w:after="120"/>
      <w:jc w:val="right"/>
    </w:pPr>
    <w:rPr>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szCs w:val="24"/>
    </w:rPr>
  </w:style>
  <w:style w:type="character" w:customStyle="1" w:styleId="Heading5Char">
    <w:name w:val="Heading 5 Char"/>
    <w:aliases w:val="Lev 5 Char"/>
    <w:basedOn w:val="DefaultParagraphFont"/>
    <w:link w:val="Heading5"/>
    <w:uiPriority w:val="9"/>
    <w:rsid w:val="0053316B"/>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
    <w:qFormat/>
    <w:rsid w:val="0053316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53316B"/>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FB0D73"/>
    <w:pPr>
      <w:spacing w:after="0" w:line="240" w:lineRule="auto"/>
    </w:pPr>
    <w:rPr>
      <w:rFonts w:eastAsiaTheme="minorEastAsia"/>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FB0D73"/>
    <w:pPr>
      <w:spacing w:after="0"/>
    </w:pPr>
    <w:rPr>
      <w:rFonts w:eastAsiaTheme="minorEastAsia"/>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FB0D73"/>
    <w:rPr>
      <w:rFonts w:ascii="Times New Roman" w:eastAsiaTheme="minorEastAsia" w:hAnsi="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basedOn w:val="DefaultParagraphFont"/>
    <w:link w:val="CharCharChar1"/>
    <w:uiPriority w:val="99"/>
    <w:unhideWhenUsed/>
    <w:qFormat/>
    <w:rsid w:val="00FB0D73"/>
    <w:rPr>
      <w:vertAlign w:val="superscript"/>
    </w:rPr>
  </w:style>
  <w:style w:type="paragraph" w:customStyle="1" w:styleId="CharCharChar1">
    <w:name w:val="Char Char Char1"/>
    <w:basedOn w:val="Normal"/>
    <w:link w:val="FootnoteReference"/>
    <w:uiPriority w:val="99"/>
    <w:rsid w:val="00FB0D73"/>
    <w:pPr>
      <w:spacing w:after="160" w:line="240" w:lineRule="exact"/>
    </w:pPr>
    <w:rPr>
      <w:vertAlign w:val="superscript"/>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rsid w:val="00281573"/>
    <w:pPr>
      <w:ind w:left="720"/>
      <w:contextualSpacing/>
    </w:pPr>
  </w:style>
  <w:style w:type="character" w:styleId="CommentReference">
    <w:name w:val="annotation reference"/>
    <w:basedOn w:val="DefaultParagraphFont"/>
    <w:uiPriority w:val="99"/>
    <w:unhideWhenUsed/>
    <w:rsid w:val="002252CF"/>
    <w:rPr>
      <w:sz w:val="16"/>
      <w:szCs w:val="16"/>
    </w:rPr>
  </w:style>
  <w:style w:type="paragraph" w:styleId="CommentText">
    <w:name w:val="annotation text"/>
    <w:basedOn w:val="Normal"/>
    <w:link w:val="CommentTextChar"/>
    <w:uiPriority w:val="99"/>
    <w:unhideWhenUsed/>
    <w:rsid w:val="002252CF"/>
    <w:rPr>
      <w:sz w:val="20"/>
      <w:szCs w:val="20"/>
    </w:rPr>
  </w:style>
  <w:style w:type="character" w:customStyle="1" w:styleId="CommentTextChar">
    <w:name w:val="Comment Text Char"/>
    <w:basedOn w:val="DefaultParagraphFont"/>
    <w:link w:val="CommentText"/>
    <w:uiPriority w:val="99"/>
    <w:rsid w:val="002252C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52CF"/>
    <w:rPr>
      <w:b/>
      <w:bCs/>
    </w:rPr>
  </w:style>
  <w:style w:type="character" w:customStyle="1" w:styleId="CommentSubjectChar">
    <w:name w:val="Comment Subject Char"/>
    <w:basedOn w:val="CommentTextChar"/>
    <w:link w:val="CommentSubject"/>
    <w:uiPriority w:val="99"/>
    <w:semiHidden/>
    <w:rsid w:val="002252CF"/>
    <w:rPr>
      <w:rFonts w:ascii="Times New Roman" w:hAnsi="Times New Roman" w:cs="Times New Roman"/>
      <w:b/>
      <w:bCs/>
      <w:sz w:val="20"/>
      <w:szCs w:val="20"/>
    </w:rPr>
  </w:style>
  <w:style w:type="paragraph" w:styleId="Revision">
    <w:name w:val="Revision"/>
    <w:hidden/>
    <w:uiPriority w:val="99"/>
    <w:semiHidden/>
    <w:rsid w:val="002252CF"/>
    <w:pPr>
      <w:numPr>
        <w:numId w:val="97"/>
      </w:numPr>
      <w:spacing w:after="0" w:line="240" w:lineRule="auto"/>
    </w:pPr>
    <w:rPr>
      <w:rFonts w:ascii="Times New Roman" w:hAnsi="Times New Roman" w:cs="Times New Roman"/>
      <w:sz w:val="24"/>
      <w:szCs w:val="24"/>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sid w:val="004623DA"/>
    <w:rPr>
      <w:rFonts w:ascii="Times New Roman" w:hAnsi="Times New Roman" w:cs="Times New Roman"/>
      <w:sz w:val="24"/>
      <w:szCs w:val="24"/>
    </w:rPr>
  </w:style>
  <w:style w:type="paragraph" w:customStyle="1" w:styleId="Default">
    <w:name w:val="Default"/>
    <w:rsid w:val="004623DA"/>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GridTable5Dark-Accent1">
    <w:name w:val="Grid Table 5 Dark Accent 1"/>
    <w:basedOn w:val="TableNormal"/>
    <w:uiPriority w:val="50"/>
    <w:rsid w:val="004623DA"/>
    <w:pPr>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AEATableStyle811">
    <w:name w:val="AEA Table Style811"/>
    <w:basedOn w:val="TableNormal"/>
    <w:uiPriority w:val="99"/>
    <w:qFormat/>
    <w:rsid w:val="004623DA"/>
    <w:pPr>
      <w:spacing w:before="20" w:after="20" w:line="240" w:lineRule="auto"/>
    </w:pPr>
    <w:rPr>
      <w:rFonts w:ascii="Arial" w:eastAsia="Times New Roman" w:hAnsi="Arial" w:cs="Times New Roman"/>
      <w:sz w:val="20"/>
      <w:szCs w:val="20"/>
      <w:lang w:eastAsia="en-GB"/>
    </w:rPr>
    <w:tblPr>
      <w:tblInd w:w="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Pr>
    <w:tblStylePr w:type="firstRow">
      <w:pPr>
        <w:wordWrap/>
        <w:spacing w:beforeLines="0" w:before="100" w:beforeAutospacing="1" w:afterLines="0" w:after="100" w:afterAutospacing="1" w:line="240" w:lineRule="auto"/>
      </w:pPr>
      <w:rPr>
        <w:rFonts w:ascii="Arial" w:hAnsi="Arial" w:cs="Arial" w:hint="default"/>
        <w:b/>
        <w:color w:val="FFFFFF"/>
        <w:sz w:val="20"/>
        <w:szCs w:val="20"/>
      </w:rPr>
      <w:tblPr/>
      <w:tcPr>
        <w:shd w:val="clear" w:color="auto" w:fill="008000"/>
        <w:vAlign w:val="center"/>
      </w:tcPr>
    </w:tblStylePr>
    <w:tblStylePr w:type="firstCol">
      <w:rPr>
        <w:rFonts w:ascii="Arial" w:hAnsi="Arial" w:cs="Arial" w:hint="default"/>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pct15" w:color="auto" w:fill="auto"/>
      </w:tcPr>
    </w:tblStyle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rsid w:val="742953AF"/>
    <w:pPr>
      <w:spacing w:after="160"/>
    </w:pPr>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rsid w:val="00C17A06"/>
    <w:pPr>
      <w:spacing w:after="0"/>
    </w:pPr>
    <w:rPr>
      <w:rFonts w:eastAsia="Times New Roman"/>
      <w:sz w:val="20"/>
      <w:szCs w:val="20"/>
      <w:vertAlign w:val="superscript"/>
      <w:lang w:val="nl-BE" w:eastAsia="nl-BE"/>
    </w:rPr>
  </w:style>
  <w:style w:type="character" w:styleId="FollowedHyperlink">
    <w:name w:val="FollowedHyperlink"/>
    <w:basedOn w:val="DefaultParagraphFont"/>
    <w:uiPriority w:val="99"/>
    <w:semiHidden/>
    <w:unhideWhenUsed/>
    <w:rsid w:val="00665AB7"/>
    <w:rPr>
      <w:color w:val="800080" w:themeColor="followedHyperlink"/>
      <w:u w:val="single"/>
    </w:rPr>
  </w:style>
  <w:style w:type="character" w:customStyle="1" w:styleId="Mention1">
    <w:name w:val="Mention1"/>
    <w:basedOn w:val="DefaultParagraphFont"/>
    <w:uiPriority w:val="99"/>
    <w:unhideWhenUsed/>
    <w:rsid w:val="0030470F"/>
    <w:rPr>
      <w:color w:val="2B579A"/>
      <w:shd w:val="clear" w:color="auto" w:fill="E6E6E6"/>
    </w:rPr>
  </w:style>
  <w:style w:type="character" w:customStyle="1" w:styleId="UnresolvedMention1">
    <w:name w:val="Unresolved Mention1"/>
    <w:basedOn w:val="DefaultParagraphFont"/>
    <w:uiPriority w:val="99"/>
    <w:unhideWhenUsed/>
    <w:rsid w:val="0030470F"/>
    <w:rPr>
      <w:color w:val="605E5C"/>
      <w:shd w:val="clear" w:color="auto" w:fill="E1DFDD"/>
    </w:rPr>
  </w:style>
  <w:style w:type="character" w:customStyle="1" w:styleId="Mention2">
    <w:name w:val="Mention2"/>
    <w:basedOn w:val="DefaultParagraphFont"/>
    <w:uiPriority w:val="99"/>
    <w:unhideWhenUsed/>
    <w:rPr>
      <w:color w:val="2B579A"/>
      <w:shd w:val="clear" w:color="auto" w:fill="E6E6E6"/>
    </w:rPr>
  </w:style>
  <w:style w:type="character" w:customStyle="1" w:styleId="normaltextrun">
    <w:name w:val="normaltextrun"/>
    <w:basedOn w:val="DefaultParagraphFont"/>
    <w:rsid w:val="00F1528D"/>
  </w:style>
  <w:style w:type="character" w:customStyle="1" w:styleId="UnresolvedMention2">
    <w:name w:val="Unresolved Mention2"/>
    <w:basedOn w:val="DefaultParagraphFont"/>
    <w:uiPriority w:val="99"/>
    <w:unhideWhenUsed/>
    <w:rsid w:val="009C07F2"/>
    <w:rPr>
      <w:color w:val="605E5C"/>
      <w:shd w:val="clear" w:color="auto" w:fill="E1DFDD"/>
    </w:rPr>
  </w:style>
  <w:style w:type="paragraph" w:customStyle="1" w:styleId="WDBody">
    <w:name w:val="WD Body"/>
    <w:aliases w:val="Body,AFW Body,Normal Arial,AFW Memo Body,AFW Mins,NuGen Body Numbered,AMEC Body,Body (IACC),NG Body Numbered,Infin Body Numbered,Vat Body Numbered,Body (DIO PSP),38058 11pt Body,AFW Capability Body 9pt,AFW Profile Body 9pt,36380  Body,WD Mins"/>
    <w:link w:val="AFWBodyChar"/>
    <w:qFormat/>
    <w:rsid w:val="00AF674F"/>
    <w:pPr>
      <w:spacing w:after="160" w:line="240" w:lineRule="atLeast"/>
    </w:pPr>
    <w:rPr>
      <w:rFonts w:ascii="Segoe UI" w:hAnsi="Segoe UI"/>
      <w:color w:val="000000"/>
      <w:sz w:val="20"/>
    </w:rPr>
  </w:style>
  <w:style w:type="character" w:customStyle="1" w:styleId="AFWBodyChar">
    <w:name w:val="AFW Body Char"/>
    <w:aliases w:val="Body Char"/>
    <w:link w:val="WDBody"/>
    <w:locked/>
    <w:rsid w:val="00AF674F"/>
    <w:rPr>
      <w:rFonts w:ascii="Segoe UI" w:hAnsi="Segoe UI"/>
      <w:color w:val="000000"/>
      <w:sz w:val="20"/>
    </w:rPr>
  </w:style>
  <w:style w:type="table" w:styleId="ListTable3-Accent2">
    <w:name w:val="List Table 3 Accent 2"/>
    <w:basedOn w:val="TableNormal"/>
    <w:uiPriority w:val="48"/>
    <w:rsid w:val="00CD34B2"/>
    <w:pPr>
      <w:spacing w:after="0" w:line="240" w:lineRule="auto"/>
    </w:pPr>
    <w:tblPr>
      <w:tblStyleRowBandSize w:val="1"/>
      <w:tblStyleColBandSize w:val="1"/>
      <w:tblInd w:w="0" w:type="nil"/>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Mention3">
    <w:name w:val="Mention3"/>
    <w:basedOn w:val="DefaultParagraphFont"/>
    <w:uiPriority w:val="99"/>
    <w:unhideWhenUsed/>
    <w:rsid w:val="00B31804"/>
    <w:rPr>
      <w:color w:val="2B579A"/>
      <w:shd w:val="clear" w:color="auto" w:fill="E6E6E6"/>
    </w:rPr>
  </w:style>
  <w:style w:type="paragraph" w:styleId="Caption">
    <w:name w:val="caption"/>
    <w:aliases w:val="Caption (RMC),Caption-tables,Tasks,Beschriftung Char2,Beschriftung Char1 Char1,Beschriftung Char Char Char1,Beschriftung Char1 Char Char,Beschriftung Char Char Char Char,Beschriftung Char Char1 Char,Beschriftung Char Char2,Eco,Legend,Tabelkop,Ta"/>
    <w:basedOn w:val="Normal"/>
    <w:next w:val="Normal"/>
    <w:link w:val="CaptionChar"/>
    <w:uiPriority w:val="35"/>
    <w:unhideWhenUsed/>
    <w:qFormat/>
    <w:rsid w:val="00EB0049"/>
    <w:pPr>
      <w:spacing w:after="200"/>
    </w:pPr>
    <w:rPr>
      <w:i/>
      <w:iCs/>
      <w:color w:val="1F497D" w:themeColor="text2"/>
      <w:sz w:val="18"/>
      <w:szCs w:val="18"/>
    </w:rPr>
  </w:style>
  <w:style w:type="character" w:customStyle="1" w:styleId="findhit">
    <w:name w:val="findhit"/>
    <w:basedOn w:val="DefaultParagraphFont"/>
    <w:rsid w:val="00AD03C8"/>
  </w:style>
  <w:style w:type="character" w:customStyle="1" w:styleId="eop">
    <w:name w:val="eop"/>
    <w:basedOn w:val="DefaultParagraphFont"/>
    <w:rsid w:val="00AD03C8"/>
  </w:style>
  <w:style w:type="character" w:customStyle="1" w:styleId="UnresolvedMention3">
    <w:name w:val="Unresolved Mention3"/>
    <w:basedOn w:val="DefaultParagraphFont"/>
    <w:uiPriority w:val="99"/>
    <w:unhideWhenUsed/>
    <w:rsid w:val="00B31804"/>
    <w:rPr>
      <w:color w:val="605E5C"/>
      <w:shd w:val="clear" w:color="auto" w:fill="E1DFDD"/>
    </w:rPr>
  </w:style>
  <w:style w:type="character" w:customStyle="1" w:styleId="CaptionChar">
    <w:name w:val="Caption Char"/>
    <w:aliases w:val="Caption (RMC) Char,Caption-tables Char,Tasks Char,Beschriftung Char2 Char,Beschriftung Char1 Char1 Char,Beschriftung Char Char Char1 Char,Beschriftung Char1 Char Char Char,Beschriftung Char Char Char Char Char,Beschriftung Char Char2 Char"/>
    <w:link w:val="Caption"/>
    <w:uiPriority w:val="35"/>
    <w:qFormat/>
    <w:locked/>
    <w:rsid w:val="00026378"/>
    <w:rPr>
      <w:rFonts w:ascii="Times New Roman" w:hAnsi="Times New Roman" w:cs="Times New Roman"/>
      <w:i/>
      <w:iCs/>
      <w:color w:val="1F497D" w:themeColor="text2"/>
      <w:sz w:val="18"/>
      <w:szCs w:val="18"/>
    </w:rPr>
  </w:style>
  <w:style w:type="paragraph" w:customStyle="1" w:styleId="TextRMC">
    <w:name w:val="Text (RMC)"/>
    <w:link w:val="TextRMCChar"/>
    <w:qFormat/>
    <w:rsid w:val="00026378"/>
    <w:pPr>
      <w:spacing w:before="120" w:after="120" w:line="288" w:lineRule="auto"/>
      <w:jc w:val="both"/>
    </w:pPr>
    <w:rPr>
      <w:rFonts w:ascii="Verdana" w:hAnsi="Verdana"/>
      <w:sz w:val="18"/>
      <w:szCs w:val="18"/>
    </w:rPr>
  </w:style>
  <w:style w:type="character" w:customStyle="1" w:styleId="Highlight1RMCChar">
    <w:name w:val="Highlight 1 (RMC) Char"/>
    <w:basedOn w:val="DefaultParagraphFont"/>
    <w:link w:val="Highlight1RMC"/>
    <w:locked/>
    <w:rsid w:val="00026378"/>
    <w:rPr>
      <w:rFonts w:ascii="Times New Roman" w:eastAsia="Times New Roman" w:hAnsi="Times New Roman" w:cs="Times New Roman"/>
      <w:b/>
      <w:color w:val="009DF0"/>
      <w:szCs w:val="17"/>
      <w:lang w:eastAsia="da-DK"/>
    </w:rPr>
  </w:style>
  <w:style w:type="paragraph" w:customStyle="1" w:styleId="Highlight1RMC">
    <w:name w:val="Highlight 1 (RMC)"/>
    <w:next w:val="TextRMC"/>
    <w:link w:val="Highlight1RMCChar"/>
    <w:qFormat/>
    <w:rsid w:val="00026378"/>
    <w:pPr>
      <w:keepNext/>
      <w:spacing w:before="360" w:after="0" w:line="288" w:lineRule="auto"/>
      <w:jc w:val="both"/>
    </w:pPr>
    <w:rPr>
      <w:rFonts w:ascii="Times New Roman" w:eastAsia="Times New Roman" w:hAnsi="Times New Roman" w:cs="Times New Roman"/>
      <w:b/>
      <w:color w:val="009DF0"/>
      <w:szCs w:val="17"/>
      <w:lang w:eastAsia="da-DK"/>
    </w:rPr>
  </w:style>
  <w:style w:type="character" w:customStyle="1" w:styleId="TextRMCChar">
    <w:name w:val="Text (RMC) Char"/>
    <w:basedOn w:val="DefaultParagraphFont"/>
    <w:link w:val="TextRMC"/>
    <w:qFormat/>
    <w:locked/>
    <w:rsid w:val="00026378"/>
    <w:rPr>
      <w:rFonts w:ascii="Verdana" w:hAnsi="Verdana"/>
      <w:sz w:val="18"/>
      <w:szCs w:val="18"/>
    </w:rPr>
  </w:style>
  <w:style w:type="character" w:customStyle="1" w:styleId="Highlight2RMCChar">
    <w:name w:val="Highlight 2 (RMC) Char"/>
    <w:basedOn w:val="DefaultParagraphFont"/>
    <w:link w:val="Highlight2RMC"/>
    <w:locked/>
    <w:rsid w:val="00026378"/>
    <w:rPr>
      <w:b/>
      <w:i/>
      <w:sz w:val="17"/>
    </w:rPr>
  </w:style>
  <w:style w:type="paragraph" w:customStyle="1" w:styleId="Highlight2RMC">
    <w:name w:val="Highlight 2 (RMC)"/>
    <w:next w:val="TextRMC"/>
    <w:link w:val="Highlight2RMCChar"/>
    <w:qFormat/>
    <w:rsid w:val="00026378"/>
    <w:pPr>
      <w:keepNext/>
      <w:spacing w:before="240" w:after="0" w:line="288" w:lineRule="auto"/>
    </w:pPr>
    <w:rPr>
      <w:b/>
      <w:i/>
      <w:sz w:val="17"/>
    </w:rPr>
  </w:style>
  <w:style w:type="character" w:customStyle="1" w:styleId="Heading6Char">
    <w:name w:val="Heading 6 Char"/>
    <w:aliases w:val="Lev 6 Char"/>
    <w:basedOn w:val="DefaultParagraphFont"/>
    <w:link w:val="Heading6"/>
    <w:uiPriority w:val="9"/>
    <w:rsid w:val="008E0762"/>
    <w:rPr>
      <w:rFonts w:ascii="Segoe UI" w:eastAsiaTheme="majorEastAsia" w:hAnsi="Segoe UI" w:cstheme="majorBidi"/>
      <w:i/>
      <w:iCs/>
      <w:color w:val="8064A2" w:themeColor="accent4"/>
      <w:sz w:val="20"/>
      <w:szCs w:val="26"/>
    </w:rPr>
  </w:style>
  <w:style w:type="character" w:customStyle="1" w:styleId="Heading7Char">
    <w:name w:val="Heading 7 Char"/>
    <w:basedOn w:val="DefaultParagraphFont"/>
    <w:link w:val="Heading7"/>
    <w:uiPriority w:val="9"/>
    <w:rsid w:val="008E07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E076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E0762"/>
    <w:rPr>
      <w:rFonts w:asciiTheme="majorHAnsi" w:eastAsiaTheme="majorEastAsia" w:hAnsiTheme="majorHAnsi" w:cstheme="majorBidi"/>
      <w:i/>
      <w:iCs/>
      <w:color w:val="404040" w:themeColor="text1" w:themeTint="BF"/>
      <w:sz w:val="20"/>
      <w:szCs w:val="20"/>
    </w:rPr>
  </w:style>
  <w:style w:type="numbering" w:customStyle="1" w:styleId="AMECHeadings">
    <w:name w:val="AMEC_Headings"/>
    <w:uiPriority w:val="99"/>
    <w:rsid w:val="008E0762"/>
    <w:pPr>
      <w:numPr>
        <w:numId w:val="26"/>
      </w:numPr>
    </w:pPr>
  </w:style>
  <w:style w:type="paragraph" w:customStyle="1" w:styleId="WDBodyNumbered">
    <w:name w:val="WD Body Numbered"/>
    <w:aliases w:val="Paranums"/>
    <w:basedOn w:val="WDBody"/>
    <w:qFormat/>
    <w:rsid w:val="008E0762"/>
    <w:pPr>
      <w:ind w:left="1224" w:hanging="504"/>
    </w:pPr>
  </w:style>
  <w:style w:type="paragraph" w:customStyle="1" w:styleId="WDBullets">
    <w:name w:val="WD Bullets"/>
    <w:aliases w:val="Bullets 1,AFW Bullets,AFW Memo Bullets,WD Bullet Ps,AFW Bullet Ps"/>
    <w:basedOn w:val="WDBody"/>
    <w:qFormat/>
    <w:rsid w:val="008E0762"/>
    <w:pPr>
      <w:ind w:left="1760" w:hanging="360"/>
    </w:pPr>
  </w:style>
  <w:style w:type="paragraph" w:customStyle="1" w:styleId="WDBullets2">
    <w:name w:val="WD Bullets 2"/>
    <w:aliases w:val="Bullets 2,AFW Bullets 2,AFW Bullets (second level)"/>
    <w:basedOn w:val="WDBullets"/>
    <w:qFormat/>
    <w:rsid w:val="00F302A9"/>
    <w:pPr>
      <w:tabs>
        <w:tab w:val="num" w:pos="360"/>
      </w:tabs>
      <w:ind w:left="720"/>
    </w:pPr>
  </w:style>
  <w:style w:type="paragraph" w:customStyle="1" w:styleId="WDRoman">
    <w:name w:val="WD Roman"/>
    <w:aliases w:val="Roman"/>
    <w:basedOn w:val="WDBullets"/>
    <w:qFormat/>
    <w:rsid w:val="00F302A9"/>
    <w:pPr>
      <w:numPr>
        <w:numId w:val="26"/>
      </w:numPr>
      <w:tabs>
        <w:tab w:val="num" w:pos="360"/>
      </w:tabs>
    </w:pPr>
  </w:style>
  <w:style w:type="paragraph" w:customStyle="1" w:styleId="WDIntro">
    <w:name w:val="WD Intro"/>
    <w:aliases w:val="Intro"/>
    <w:basedOn w:val="WDBody"/>
    <w:next w:val="WDBody"/>
    <w:qFormat/>
    <w:rsid w:val="008E0762"/>
    <w:pPr>
      <w:spacing w:after="240" w:line="320" w:lineRule="atLeast"/>
    </w:pPr>
    <w:rPr>
      <w:color w:val="2DBDB6"/>
      <w:sz w:val="24"/>
    </w:rPr>
  </w:style>
  <w:style w:type="paragraph" w:customStyle="1" w:styleId="WDTable">
    <w:name w:val="WD Table"/>
    <w:aliases w:val="Table Content,AFW Table"/>
    <w:basedOn w:val="WDBody"/>
    <w:qFormat/>
    <w:rsid w:val="008E0762"/>
    <w:pPr>
      <w:spacing w:after="0" w:line="240" w:lineRule="auto"/>
    </w:pPr>
    <w:rPr>
      <w:sz w:val="16"/>
    </w:rPr>
  </w:style>
  <w:style w:type="table" w:customStyle="1" w:styleId="WoodEISUKReportTable">
    <w:name w:val="Wood E&amp;IS UK Report Table"/>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paragraph" w:customStyle="1" w:styleId="WDTableTitle">
    <w:name w:val="WD Table Title"/>
    <w:basedOn w:val="Heading4"/>
    <w:rsid w:val="008E0762"/>
    <w:pPr>
      <w:keepLines/>
      <w:tabs>
        <w:tab w:val="clear" w:pos="1920"/>
        <w:tab w:val="left" w:pos="1134"/>
      </w:tabs>
      <w:spacing w:before="360" w:after="160"/>
      <w:ind w:left="0" w:firstLine="0"/>
      <w:jc w:val="left"/>
    </w:pPr>
    <w:rPr>
      <w:rFonts w:ascii="Segoe UI" w:hAnsi="Segoe UI" w:cstheme="majorBidi"/>
      <w:iCs/>
      <w:color w:val="884C91"/>
      <w:sz w:val="20"/>
      <w:szCs w:val="26"/>
      <w:lang w:eastAsia="en-GB"/>
    </w:rPr>
  </w:style>
  <w:style w:type="table" w:styleId="LightList-Accent2">
    <w:name w:val="Light List Accent 2"/>
    <w:basedOn w:val="TableNormal"/>
    <w:uiPriority w:val="61"/>
    <w:rsid w:val="008E07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WDFigureTitle">
    <w:name w:val="WD Figure Title"/>
    <w:basedOn w:val="WDTableTitle"/>
    <w:next w:val="WDBody"/>
    <w:rsid w:val="008E0762"/>
  </w:style>
  <w:style w:type="paragraph" w:customStyle="1" w:styleId="WDBodySmall">
    <w:name w:val="WD Body Small"/>
    <w:aliases w:val="Body Small,AFW Body Small"/>
    <w:basedOn w:val="WDBody"/>
    <w:qFormat/>
    <w:rsid w:val="008E0762"/>
    <w:pPr>
      <w:spacing w:after="0" w:line="240" w:lineRule="auto"/>
    </w:pPr>
    <w:rPr>
      <w:sz w:val="16"/>
    </w:rPr>
  </w:style>
  <w:style w:type="paragraph" w:customStyle="1" w:styleId="WDReleaseHeadings">
    <w:name w:val="WD Release Headings"/>
    <w:basedOn w:val="WDBody"/>
    <w:next w:val="WDBodySmall"/>
    <w:rsid w:val="008E0762"/>
    <w:pPr>
      <w:pBdr>
        <w:top w:val="single" w:sz="2" w:space="1" w:color="000000" w:themeColor="text1"/>
      </w:pBdr>
      <w:spacing w:before="480" w:after="80" w:line="240" w:lineRule="auto"/>
    </w:pPr>
    <w:rPr>
      <w:b/>
      <w:color w:val="1F497D" w:themeColor="text2"/>
    </w:rPr>
  </w:style>
  <w:style w:type="paragraph" w:customStyle="1" w:styleId="Heading1NoNumber">
    <w:name w:val="Heading 1 No Number"/>
    <w:next w:val="WDBody"/>
    <w:rsid w:val="008E0762"/>
    <w:pPr>
      <w:pageBreakBefore/>
      <w:spacing w:after="480" w:line="240" w:lineRule="auto"/>
    </w:pPr>
    <w:rPr>
      <w:rFonts w:ascii="Segoe UI" w:eastAsiaTheme="majorEastAsia" w:hAnsi="Segoe UI" w:cstheme="majorBidi"/>
      <w:b/>
      <w:bCs/>
      <w:color w:val="884C91"/>
      <w:sz w:val="40"/>
      <w:szCs w:val="28"/>
    </w:rPr>
  </w:style>
  <w:style w:type="paragraph" w:styleId="TOC3">
    <w:name w:val="toc 3"/>
    <w:basedOn w:val="WDBody"/>
    <w:next w:val="WDBody"/>
    <w:autoRedefine/>
    <w:uiPriority w:val="39"/>
    <w:unhideWhenUsed/>
    <w:rsid w:val="0070741A"/>
    <w:pPr>
      <w:tabs>
        <w:tab w:val="right" w:leader="dot" w:pos="8647"/>
        <w:tab w:val="right" w:pos="9639"/>
      </w:tabs>
      <w:spacing w:after="0" w:line="240" w:lineRule="auto"/>
      <w:ind w:left="1134" w:right="965"/>
    </w:pPr>
    <w:rPr>
      <w:sz w:val="16"/>
    </w:rPr>
  </w:style>
  <w:style w:type="paragraph" w:customStyle="1" w:styleId="WDAppendixTitle">
    <w:name w:val="WD Appendix Title"/>
    <w:basedOn w:val="WDBody"/>
    <w:next w:val="WDBody"/>
    <w:rsid w:val="008E0762"/>
    <w:pPr>
      <w:keepNext/>
      <w:pageBreakBefore/>
      <w:tabs>
        <w:tab w:val="num" w:pos="360"/>
      </w:tabs>
      <w:spacing w:after="520" w:line="240" w:lineRule="auto"/>
      <w:ind w:left="360" w:hanging="360"/>
      <w:outlineLvl w:val="0"/>
    </w:pPr>
    <w:rPr>
      <w:rFonts w:eastAsia="Times New Roman" w:cs="Arial"/>
      <w:b/>
      <w:bCs/>
      <w:color w:val="884C91"/>
      <w:kern w:val="32"/>
      <w:sz w:val="40"/>
      <w:szCs w:val="40"/>
      <w:lang w:eastAsia="en-GB"/>
    </w:rPr>
  </w:style>
  <w:style w:type="paragraph" w:customStyle="1" w:styleId="WDCoverDate">
    <w:name w:val="WD Cover Date"/>
    <w:basedOn w:val="Normal"/>
    <w:rsid w:val="008E0762"/>
    <w:pPr>
      <w:spacing w:after="0"/>
      <w:jc w:val="left"/>
    </w:pPr>
    <w:rPr>
      <w:rFonts w:ascii="Segoe UI" w:hAnsi="Segoe UI" w:cstheme="minorBidi"/>
      <w:color w:val="393C71"/>
      <w:sz w:val="20"/>
      <w:szCs w:val="22"/>
    </w:rPr>
  </w:style>
  <w:style w:type="paragraph" w:customStyle="1" w:styleId="WDCoverClient">
    <w:name w:val="WD Cover Client"/>
    <w:basedOn w:val="WDBody"/>
    <w:next w:val="WDCoverProject"/>
    <w:rsid w:val="008E0762"/>
    <w:pPr>
      <w:spacing w:after="240" w:line="240" w:lineRule="auto"/>
    </w:pPr>
    <w:rPr>
      <w:color w:val="233845"/>
      <w:sz w:val="28"/>
    </w:rPr>
  </w:style>
  <w:style w:type="paragraph" w:customStyle="1" w:styleId="WDCoverProject">
    <w:name w:val="WD Cover Project"/>
    <w:basedOn w:val="WDBody"/>
    <w:next w:val="WDDocTitle"/>
    <w:rsid w:val="008E0762"/>
    <w:pPr>
      <w:spacing w:after="240" w:line="240" w:lineRule="auto"/>
    </w:pPr>
    <w:rPr>
      <w:b/>
      <w:color w:val="1F497D" w:themeColor="text2"/>
      <w:sz w:val="40"/>
      <w:szCs w:val="40"/>
    </w:rPr>
  </w:style>
  <w:style w:type="paragraph" w:customStyle="1" w:styleId="WDDocTitle">
    <w:name w:val="WD Doc Title"/>
    <w:basedOn w:val="WDBody"/>
    <w:next w:val="WDBody"/>
    <w:rsid w:val="008E0762"/>
    <w:pPr>
      <w:spacing w:line="240" w:lineRule="auto"/>
      <w:ind w:left="5670"/>
    </w:pPr>
    <w:rPr>
      <w:color w:val="233845"/>
      <w:sz w:val="28"/>
    </w:rPr>
  </w:style>
  <w:style w:type="paragraph" w:styleId="TableofFigures">
    <w:name w:val="table of figures"/>
    <w:basedOn w:val="WDBody"/>
    <w:next w:val="Normal"/>
    <w:uiPriority w:val="99"/>
    <w:unhideWhenUsed/>
    <w:rsid w:val="008E0762"/>
    <w:pPr>
      <w:tabs>
        <w:tab w:val="left" w:pos="1985"/>
        <w:tab w:val="right" w:pos="9639"/>
      </w:tabs>
      <w:spacing w:after="0" w:line="240" w:lineRule="auto"/>
      <w:ind w:left="851"/>
    </w:pPr>
    <w:rPr>
      <w:sz w:val="16"/>
    </w:rPr>
  </w:style>
  <w:style w:type="character" w:styleId="PageNumber">
    <w:name w:val="page number"/>
    <w:basedOn w:val="DefaultParagraphFont"/>
    <w:rsid w:val="008E0762"/>
    <w:rPr>
      <w:rFonts w:ascii="Segoe UI" w:hAnsi="Segoe UI"/>
      <w:b/>
      <w:color w:val="FFFFFF" w:themeColor="background1"/>
      <w:sz w:val="20"/>
    </w:rPr>
  </w:style>
  <w:style w:type="paragraph" w:customStyle="1" w:styleId="WDDocRef">
    <w:name w:val="WD Doc Ref"/>
    <w:basedOn w:val="WDBodySmall"/>
    <w:rsid w:val="008E0762"/>
  </w:style>
  <w:style w:type="table" w:styleId="TableGridLight">
    <w:name w:val="Grid Table Light"/>
    <w:aliases w:val="Wood E&amp;IS UK Table Simple"/>
    <w:basedOn w:val="TableNormal"/>
    <w:uiPriority w:val="40"/>
    <w:rsid w:val="008E0762"/>
    <w:pPr>
      <w:spacing w:after="0" w:line="240" w:lineRule="auto"/>
    </w:pPr>
    <w:tblPr>
      <w:tblBorders>
        <w:bottom w:val="single" w:sz="2" w:space="0" w:color="auto"/>
      </w:tblBorders>
      <w:tblCellMar>
        <w:top w:w="113" w:type="dxa"/>
        <w:bottom w:w="113" w:type="dxa"/>
      </w:tblCellMar>
    </w:tblPr>
    <w:tblStylePr w:type="firstRow">
      <w:tblPr/>
      <w:tcPr>
        <w:tcBorders>
          <w:top w:val="single" w:sz="2" w:space="0" w:color="000000" w:themeColor="text1"/>
          <w:bottom w:val="single" w:sz="2" w:space="0" w:color="000000" w:themeColor="text1"/>
        </w:tcBorders>
      </w:tcPr>
    </w:tblStylePr>
  </w:style>
  <w:style w:type="paragraph" w:customStyle="1" w:styleId="WDBiblioTitle">
    <w:name w:val="WD Biblio Title"/>
    <w:rsid w:val="008E0762"/>
    <w:pPr>
      <w:spacing w:after="520" w:line="240" w:lineRule="auto"/>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8E0762"/>
  </w:style>
  <w:style w:type="character" w:styleId="Emphasis">
    <w:name w:val="Emphasis"/>
    <w:basedOn w:val="DefaultParagraphFont"/>
    <w:uiPriority w:val="20"/>
    <w:qFormat/>
    <w:rsid w:val="008E0762"/>
    <w:rPr>
      <w:i/>
      <w:iCs/>
    </w:rPr>
  </w:style>
  <w:style w:type="paragraph" w:customStyle="1" w:styleId="WDBiblioSubtitle">
    <w:name w:val="WD Biblio Subtitle"/>
    <w:rsid w:val="008E0762"/>
    <w:pPr>
      <w:spacing w:before="360" w:after="120" w:line="240" w:lineRule="auto"/>
    </w:pPr>
    <w:rPr>
      <w:rFonts w:ascii="Segoe UI" w:eastAsiaTheme="majorEastAsia" w:hAnsi="Segoe UI" w:cstheme="majorBidi"/>
      <w:b/>
      <w:bCs/>
      <w:color w:val="884C91"/>
      <w:szCs w:val="26"/>
    </w:rPr>
  </w:style>
  <w:style w:type="paragraph" w:customStyle="1" w:styleId="AFWReleaseHeadings">
    <w:name w:val="AFW Release Headings"/>
    <w:basedOn w:val="Normal"/>
    <w:next w:val="WDBodySmall"/>
    <w:rsid w:val="008E0762"/>
    <w:pPr>
      <w:pBdr>
        <w:top w:val="single" w:sz="6" w:space="1" w:color="C0504D" w:themeColor="accent2"/>
      </w:pBdr>
      <w:spacing w:before="480" w:after="80"/>
      <w:jc w:val="left"/>
    </w:pPr>
    <w:rPr>
      <w:rFonts w:ascii="Arial" w:hAnsi="Arial" w:cstheme="minorBidi"/>
      <w:color w:val="1F497D" w:themeColor="text2"/>
      <w:sz w:val="20"/>
      <w:szCs w:val="22"/>
    </w:rPr>
  </w:style>
  <w:style w:type="table" w:styleId="PlainTable1">
    <w:name w:val="Plain Table 1"/>
    <w:basedOn w:val="TableNormal"/>
    <w:uiPriority w:val="41"/>
    <w:rsid w:val="008E07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1">
    <w:name w:val="Table 1"/>
    <w:basedOn w:val="TableNormal"/>
    <w:uiPriority w:val="5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themeColor="background1"/>
        <w:sz w:val="16"/>
      </w:rPr>
      <w:tblPr/>
      <w:tcPr>
        <w:shd w:val="clear" w:color="auto" w:fill="005962"/>
      </w:tcPr>
    </w:tblStylePr>
    <w:tblStylePr w:type="firstCol">
      <w:pPr>
        <w:wordWrap/>
        <w:jc w:val="left"/>
        <w:outlineLvl w:val="9"/>
      </w:pPr>
    </w:tblStylePr>
  </w:style>
  <w:style w:type="table" w:customStyle="1" w:styleId="Table111">
    <w:name w:val="Table 111"/>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sz w:val="16"/>
      </w:rPr>
      <w:tblPr/>
      <w:tcPr>
        <w:shd w:val="clear" w:color="auto" w:fill="005962"/>
      </w:tcPr>
    </w:tblStylePr>
    <w:tblStylePr w:type="firstCol">
      <w:pPr>
        <w:wordWrap/>
        <w:jc w:val="left"/>
        <w:outlineLvl w:val="9"/>
      </w:pPr>
    </w:tblStylePr>
  </w:style>
  <w:style w:type="paragraph" w:customStyle="1" w:styleId="Table-ContentsCT">
    <w:name w:val="Table - Contents (CT)"/>
    <w:link w:val="Table-ContentsCTChar"/>
    <w:qFormat/>
    <w:rsid w:val="008E0762"/>
    <w:pPr>
      <w:spacing w:before="80" w:after="80" w:line="240" w:lineRule="auto"/>
    </w:pPr>
    <w:rPr>
      <w:rFonts w:ascii="Arial" w:eastAsia="Times New Roman" w:hAnsi="Arial" w:cs="Times New Roman"/>
      <w:sz w:val="16"/>
      <w:szCs w:val="20"/>
    </w:rPr>
  </w:style>
  <w:style w:type="character" w:customStyle="1" w:styleId="Table-ContentsCTChar">
    <w:name w:val="Table - Contents (CT) Char"/>
    <w:link w:val="Table-ContentsCT"/>
    <w:rsid w:val="008E0762"/>
    <w:rPr>
      <w:rFonts w:ascii="Arial" w:eastAsia="Times New Roman" w:hAnsi="Arial" w:cs="Times New Roman"/>
      <w:sz w:val="16"/>
      <w:szCs w:val="20"/>
    </w:rPr>
  </w:style>
  <w:style w:type="table" w:customStyle="1" w:styleId="TableGridLight31">
    <w:name w:val="Table Grid Light31"/>
    <w:basedOn w:val="TableNormal"/>
    <w:uiPriority w:val="40"/>
    <w:rsid w:val="008E07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mecFosterWheelerReportTable1">
    <w:name w:val="Amec Foster Wheeler Report Table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Ind w:w="113" w:type="dxa"/>
      <w:tblBorders>
        <w:bottom w:val="single" w:sz="6" w:space="0" w:color="C0504D"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4" w:space="0" w:color="C0504D" w:themeColor="accent2"/>
          <w:left w:val="nil"/>
          <w:bottom w:val="single" w:sz="4" w:space="0" w:color="C0504D" w:themeColor="accent2"/>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paragraph" w:styleId="TOC4">
    <w:name w:val="toc 4"/>
    <w:basedOn w:val="Normal"/>
    <w:next w:val="Normal"/>
    <w:autoRedefine/>
    <w:uiPriority w:val="39"/>
    <w:unhideWhenUsed/>
    <w:rsid w:val="00AB58D1"/>
    <w:pPr>
      <w:tabs>
        <w:tab w:val="left" w:pos="1760"/>
        <w:tab w:val="right" w:leader="dot" w:pos="9602"/>
      </w:tabs>
      <w:spacing w:after="100" w:line="259" w:lineRule="auto"/>
      <w:ind w:left="660"/>
      <w:jc w:val="left"/>
    </w:pPr>
    <w:rPr>
      <w:rFonts w:asciiTheme="minorHAnsi" w:eastAsiaTheme="minorEastAsia" w:hAnsiTheme="minorHAnsi" w:cstheme="minorBidi"/>
      <w:sz w:val="22"/>
      <w:szCs w:val="22"/>
      <w:lang w:val="en-US" w:eastAsia="ja-JP"/>
    </w:rPr>
  </w:style>
  <w:style w:type="paragraph" w:styleId="TOC5">
    <w:name w:val="toc 5"/>
    <w:basedOn w:val="Normal"/>
    <w:next w:val="Normal"/>
    <w:autoRedefine/>
    <w:uiPriority w:val="39"/>
    <w:unhideWhenUsed/>
    <w:rsid w:val="008E0762"/>
    <w:pPr>
      <w:spacing w:after="100" w:line="259" w:lineRule="auto"/>
      <w:ind w:left="880"/>
      <w:jc w:val="left"/>
    </w:pPr>
    <w:rPr>
      <w:rFonts w:asciiTheme="minorHAnsi" w:eastAsiaTheme="minorEastAsia" w:hAnsiTheme="minorHAnsi" w:cstheme="minorBidi"/>
      <w:sz w:val="22"/>
      <w:szCs w:val="22"/>
      <w:lang w:val="en-US" w:eastAsia="ja-JP"/>
    </w:rPr>
  </w:style>
  <w:style w:type="paragraph" w:styleId="TOC6">
    <w:name w:val="toc 6"/>
    <w:basedOn w:val="Normal"/>
    <w:next w:val="Normal"/>
    <w:autoRedefine/>
    <w:uiPriority w:val="39"/>
    <w:unhideWhenUsed/>
    <w:rsid w:val="008E0762"/>
    <w:pPr>
      <w:spacing w:after="100" w:line="259" w:lineRule="auto"/>
      <w:ind w:left="1100"/>
      <w:jc w:val="left"/>
    </w:pPr>
    <w:rPr>
      <w:rFonts w:asciiTheme="minorHAnsi" w:eastAsiaTheme="minorEastAsia" w:hAnsiTheme="minorHAnsi" w:cstheme="minorBidi"/>
      <w:sz w:val="22"/>
      <w:szCs w:val="22"/>
      <w:lang w:val="en-US" w:eastAsia="ja-JP"/>
    </w:rPr>
  </w:style>
  <w:style w:type="paragraph" w:styleId="TOC7">
    <w:name w:val="toc 7"/>
    <w:basedOn w:val="Normal"/>
    <w:next w:val="Normal"/>
    <w:autoRedefine/>
    <w:uiPriority w:val="39"/>
    <w:unhideWhenUsed/>
    <w:rsid w:val="008E0762"/>
    <w:pPr>
      <w:spacing w:after="100" w:line="259" w:lineRule="auto"/>
      <w:ind w:left="1320"/>
      <w:jc w:val="left"/>
    </w:pPr>
    <w:rPr>
      <w:rFonts w:asciiTheme="minorHAnsi" w:eastAsiaTheme="minorEastAsia" w:hAnsiTheme="minorHAnsi" w:cstheme="minorBidi"/>
      <w:sz w:val="22"/>
      <w:szCs w:val="22"/>
      <w:lang w:val="en-US" w:eastAsia="ja-JP"/>
    </w:rPr>
  </w:style>
  <w:style w:type="paragraph" w:styleId="TOC8">
    <w:name w:val="toc 8"/>
    <w:basedOn w:val="Normal"/>
    <w:next w:val="Normal"/>
    <w:autoRedefine/>
    <w:uiPriority w:val="39"/>
    <w:unhideWhenUsed/>
    <w:rsid w:val="008E0762"/>
    <w:pPr>
      <w:spacing w:after="100" w:line="259" w:lineRule="auto"/>
      <w:ind w:left="1540"/>
      <w:jc w:val="left"/>
    </w:pPr>
    <w:rPr>
      <w:rFonts w:asciiTheme="minorHAnsi" w:eastAsiaTheme="minorEastAsia" w:hAnsiTheme="minorHAnsi" w:cstheme="minorBidi"/>
      <w:sz w:val="22"/>
      <w:szCs w:val="22"/>
      <w:lang w:val="en-US" w:eastAsia="ja-JP"/>
    </w:rPr>
  </w:style>
  <w:style w:type="paragraph" w:styleId="TOC9">
    <w:name w:val="toc 9"/>
    <w:basedOn w:val="Normal"/>
    <w:next w:val="Normal"/>
    <w:autoRedefine/>
    <w:uiPriority w:val="39"/>
    <w:unhideWhenUsed/>
    <w:rsid w:val="008E0762"/>
    <w:pPr>
      <w:spacing w:after="100" w:line="259" w:lineRule="auto"/>
      <w:ind w:left="1760"/>
      <w:jc w:val="left"/>
    </w:pPr>
    <w:rPr>
      <w:rFonts w:asciiTheme="minorHAnsi" w:eastAsiaTheme="minorEastAsia" w:hAnsiTheme="minorHAnsi" w:cstheme="minorBidi"/>
      <w:sz w:val="22"/>
      <w:szCs w:val="22"/>
      <w:lang w:val="en-US" w:eastAsia="ja-JP"/>
    </w:rPr>
  </w:style>
  <w:style w:type="table" w:customStyle="1" w:styleId="WoodEISUKReportTable1">
    <w:name w:val="Wood E&amp;IS UK Report Table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character" w:customStyle="1" w:styleId="FootnotesCar">
    <w:name w:val="Footnotes Car"/>
    <w:basedOn w:val="DefaultParagraphFont"/>
    <w:rsid w:val="008E0762"/>
    <w:rPr>
      <w:rFonts w:ascii="Segoe UI" w:hAnsi="Segoe UI" w:cstheme="minorHAnsi"/>
      <w:sz w:val="16"/>
      <w:szCs w:val="20"/>
    </w:rPr>
  </w:style>
  <w:style w:type="table" w:customStyle="1" w:styleId="Table12">
    <w:name w:val="Table 12"/>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rsid w:val="008E0762"/>
    <w:pPr>
      <w:spacing w:after="0" w:line="240" w:lineRule="auto"/>
      <w:jc w:val="center"/>
    </w:pPr>
    <w:rPr>
      <w:rFonts w:ascii="Trebuchet MS" w:hAnsi="Trebuchet MS"/>
      <w:sz w:val="16"/>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quot;Calibri&quot;,sans-serif" w:hAnsi="&quot;Calibri&quot;,sans-serif" w:hint="default"/>
        <w:b/>
        <w:color w:val="FFFFFF"/>
        <w:sz w:val="16"/>
        <w:szCs w:val="16"/>
      </w:rPr>
      <w:tblPr/>
      <w:tcPr>
        <w:shd w:val="clear" w:color="auto" w:fill="005962"/>
      </w:tcPr>
    </w:tblStylePr>
  </w:style>
  <w:style w:type="paragraph" w:customStyle="1" w:styleId="foonote">
    <w:name w:val="foonote"/>
    <w:basedOn w:val="FootnoteText"/>
    <w:link w:val="foonoteChar"/>
    <w:qFormat/>
    <w:rsid w:val="008E0762"/>
    <w:pPr>
      <w:ind w:left="567"/>
      <w:jc w:val="left"/>
    </w:pPr>
    <w:rPr>
      <w:rFonts w:ascii="Arial" w:eastAsiaTheme="minorHAnsi" w:hAnsi="Arial" w:cs="Arial"/>
      <w:sz w:val="16"/>
      <w:szCs w:val="16"/>
    </w:rPr>
  </w:style>
  <w:style w:type="character" w:customStyle="1" w:styleId="foonoteChar">
    <w:name w:val="foonote Char"/>
    <w:basedOn w:val="DefaultParagraphFont"/>
    <w:link w:val="foonote"/>
    <w:rsid w:val="008E0762"/>
    <w:rPr>
      <w:rFonts w:ascii="Arial" w:hAnsi="Arial" w:cs="Arial"/>
      <w:sz w:val="16"/>
      <w:szCs w:val="16"/>
    </w:rPr>
  </w:style>
  <w:style w:type="table" w:customStyle="1" w:styleId="LightList-Accent14">
    <w:name w:val="Light List - Accent 14"/>
    <w:basedOn w:val="TableNormal"/>
    <w:next w:val="LightList-Accent1"/>
    <w:uiPriority w:val="61"/>
    <w:rsid w:val="008E0762"/>
    <w:pPr>
      <w:spacing w:after="0" w:line="240" w:lineRule="auto"/>
    </w:pPr>
    <w:rPr>
      <w:rFonts w:ascii="Verdana" w:eastAsia="Times New Roman" w:hAnsi="Verdana" w:cs="Times New Roman"/>
      <w:sz w:val="16"/>
      <w:szCs w:val="18"/>
      <w:lang w:val="da-DK"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009DF0"/>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semiHidden/>
    <w:unhideWhenUsed/>
    <w:rsid w:val="008E07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8E0762"/>
    <w:rPr>
      <w:color w:val="808080"/>
    </w:rPr>
  </w:style>
  <w:style w:type="paragraph" w:customStyle="1" w:styleId="CitaviBibliographyEntry">
    <w:name w:val="Citavi Bibliography Entry"/>
    <w:basedOn w:val="Normal"/>
    <w:link w:val="CitaviBibliographyEntryZchn"/>
    <w:uiPriority w:val="99"/>
    <w:rsid w:val="008E0762"/>
    <w:pPr>
      <w:spacing w:after="0"/>
      <w:jc w:val="left"/>
    </w:pPr>
    <w:rPr>
      <w:rFonts w:ascii="Segoe UI" w:hAnsi="Segoe UI" w:cstheme="minorBidi"/>
      <w:color w:val="000000"/>
      <w:sz w:val="20"/>
      <w:szCs w:val="22"/>
    </w:rPr>
  </w:style>
  <w:style w:type="character" w:customStyle="1" w:styleId="CitaviBibliographyEntryZchn">
    <w:name w:val="Citavi Bibliography Entry Zchn"/>
    <w:basedOn w:val="AFWBodyChar"/>
    <w:link w:val="CitaviBibliographyEntry"/>
    <w:uiPriority w:val="99"/>
    <w:rsid w:val="008E0762"/>
    <w:rPr>
      <w:rFonts w:ascii="Segoe UI" w:hAnsi="Segoe UI"/>
      <w:color w:val="000000"/>
      <w:sz w:val="20"/>
    </w:rPr>
  </w:style>
  <w:style w:type="paragraph" w:customStyle="1" w:styleId="CitaviBibliographyHeading">
    <w:name w:val="Citavi Bibliography Heading"/>
    <w:basedOn w:val="Heading1"/>
    <w:link w:val="CitaviBibliographyHeadingZchn"/>
    <w:uiPriority w:val="99"/>
    <w:rsid w:val="00F302A9"/>
    <w:pPr>
      <w:keepLines/>
      <w:pageBreakBefore/>
      <w:numPr>
        <w:numId w:val="23"/>
      </w:numPr>
      <w:spacing w:before="0" w:after="520"/>
      <w:jc w:val="left"/>
    </w:pPr>
    <w:rPr>
      <w:rFonts w:ascii="Segoe UI" w:eastAsiaTheme="majorEastAsia" w:hAnsi="Segoe UI" w:cstheme="majorBidi"/>
      <w:bCs/>
      <w:smallCaps w:val="0"/>
      <w:color w:val="884C91"/>
      <w:sz w:val="40"/>
      <w:szCs w:val="28"/>
    </w:rPr>
  </w:style>
  <w:style w:type="character" w:customStyle="1" w:styleId="CitaviBibliographyHeadingZchn">
    <w:name w:val="Citavi Bibliography Heading Zchn"/>
    <w:basedOn w:val="AFWBodyChar"/>
    <w:link w:val="CitaviBibliographyHeading"/>
    <w:uiPriority w:val="99"/>
    <w:rsid w:val="008E0762"/>
    <w:rPr>
      <w:rFonts w:ascii="Segoe UI" w:eastAsiaTheme="majorEastAsia" w:hAnsi="Segoe UI" w:cstheme="majorBidi"/>
      <w:b/>
      <w:bCs/>
      <w:color w:val="884C91"/>
      <w:sz w:val="40"/>
      <w:szCs w:val="28"/>
    </w:rPr>
  </w:style>
  <w:style w:type="paragraph" w:customStyle="1" w:styleId="CitaviChapterBibliographyHeading">
    <w:name w:val="Citavi Chapter Bibliography Heading"/>
    <w:basedOn w:val="Heading2"/>
    <w:link w:val="CitaviChapterBibliographyHeadingZchn"/>
    <w:uiPriority w:val="99"/>
    <w:rsid w:val="00F302A9"/>
    <w:pPr>
      <w:keepLines/>
      <w:numPr>
        <w:ilvl w:val="1"/>
        <w:numId w:val="23"/>
      </w:numPr>
      <w:spacing w:before="360"/>
      <w:jc w:val="left"/>
    </w:pPr>
    <w:rPr>
      <w:rFonts w:ascii="Segoe UI" w:eastAsiaTheme="majorEastAsia" w:hAnsi="Segoe UI" w:cstheme="majorBidi"/>
      <w:color w:val="884C91"/>
      <w:sz w:val="28"/>
      <w:szCs w:val="26"/>
    </w:rPr>
  </w:style>
  <w:style w:type="character" w:customStyle="1" w:styleId="CitaviChapterBibliographyHeadingZchn">
    <w:name w:val="Citavi Chapter Bibliography Heading Zchn"/>
    <w:basedOn w:val="AFWBodyChar"/>
    <w:link w:val="CitaviChapterBibliographyHeading"/>
    <w:uiPriority w:val="99"/>
    <w:rsid w:val="008E0762"/>
    <w:rPr>
      <w:rFonts w:ascii="Segoe UI" w:eastAsiaTheme="majorEastAsia" w:hAnsi="Segoe UI" w:cstheme="majorBidi"/>
      <w:b/>
      <w:color w:val="884C91"/>
      <w:sz w:val="28"/>
      <w:szCs w:val="26"/>
    </w:rPr>
  </w:style>
  <w:style w:type="paragraph" w:customStyle="1" w:styleId="CitaviBibliographySubheading1">
    <w:name w:val="Citavi Bibliography Subheading 1"/>
    <w:basedOn w:val="Heading2"/>
    <w:link w:val="CitaviBibliographySubheading1Zchn"/>
    <w:uiPriority w:val="99"/>
    <w:rsid w:val="00F302A9"/>
    <w:pPr>
      <w:keepLines/>
      <w:spacing w:before="360"/>
      <w:ind w:left="1440" w:hanging="360"/>
      <w:jc w:val="left"/>
      <w:outlineLvl w:val="9"/>
    </w:pPr>
    <w:rPr>
      <w:rFonts w:ascii="Segoe UI" w:eastAsiaTheme="majorEastAsia" w:hAnsi="Segoe UI" w:cstheme="majorBidi"/>
      <w:color w:val="884C91"/>
      <w:sz w:val="28"/>
      <w:szCs w:val="26"/>
    </w:rPr>
  </w:style>
  <w:style w:type="character" w:customStyle="1" w:styleId="CitaviBibliographySubheading1Zchn">
    <w:name w:val="Citavi Bibliography Subheading 1 Zchn"/>
    <w:basedOn w:val="AFWBodyChar"/>
    <w:link w:val="CitaviBibliographySubheading1"/>
    <w:uiPriority w:val="99"/>
    <w:rsid w:val="008E0762"/>
    <w:rPr>
      <w:rFonts w:ascii="Segoe UI" w:eastAsiaTheme="majorEastAsia" w:hAnsi="Segoe UI" w:cstheme="majorBidi"/>
      <w:b/>
      <w:color w:val="884C91"/>
      <w:sz w:val="28"/>
      <w:szCs w:val="26"/>
    </w:rPr>
  </w:style>
  <w:style w:type="paragraph" w:customStyle="1" w:styleId="CitaviBibliographySubheading2">
    <w:name w:val="Citavi Bibliography Subheading 2"/>
    <w:basedOn w:val="Heading3"/>
    <w:link w:val="CitaviBibliographySubheading2Zchn"/>
    <w:uiPriority w:val="99"/>
    <w:rsid w:val="008E0762"/>
    <w:pPr>
      <w:keepLines/>
      <w:tabs>
        <w:tab w:val="clear" w:pos="1920"/>
      </w:tabs>
      <w:spacing w:before="360" w:after="120"/>
      <w:ind w:left="0" w:firstLine="0"/>
      <w:jc w:val="left"/>
      <w:outlineLvl w:val="9"/>
    </w:pPr>
    <w:rPr>
      <w:rFonts w:ascii="Segoe UI" w:eastAsiaTheme="majorEastAsia" w:hAnsi="Segoe UI" w:cstheme="majorBidi"/>
      <w:b/>
      <w:bCs/>
      <w:i w:val="0"/>
      <w:color w:val="884C91"/>
      <w:sz w:val="20"/>
      <w:szCs w:val="26"/>
    </w:rPr>
  </w:style>
  <w:style w:type="character" w:customStyle="1" w:styleId="CitaviBibliographySubheading2Zchn">
    <w:name w:val="Citavi Bibliography Subheading 2 Zchn"/>
    <w:basedOn w:val="AFWBodyChar"/>
    <w:link w:val="CitaviBibliographySubheading2"/>
    <w:uiPriority w:val="99"/>
    <w:rsid w:val="008E0762"/>
    <w:rPr>
      <w:rFonts w:ascii="Segoe UI" w:eastAsiaTheme="majorEastAsia" w:hAnsi="Segoe UI" w:cstheme="majorBidi"/>
      <w:b/>
      <w:bCs/>
      <w:color w:val="884C91"/>
      <w:sz w:val="20"/>
      <w:szCs w:val="26"/>
    </w:rPr>
  </w:style>
  <w:style w:type="paragraph" w:customStyle="1" w:styleId="CitaviBibliographySubheading3">
    <w:name w:val="Citavi Bibliography Subheading 3"/>
    <w:basedOn w:val="Heading4"/>
    <w:link w:val="CitaviBibliographySubheading3Zchn"/>
    <w:uiPriority w:val="99"/>
    <w:rsid w:val="00F302A9"/>
    <w:pPr>
      <w:keepLines/>
      <w:tabs>
        <w:tab w:val="clear" w:pos="1920"/>
      </w:tabs>
      <w:spacing w:before="360" w:after="120"/>
      <w:ind w:left="0" w:firstLine="0"/>
      <w:jc w:val="left"/>
      <w:outlineLvl w:val="9"/>
    </w:pPr>
    <w:rPr>
      <w:rFonts w:ascii="Segoe UI" w:eastAsiaTheme="majorEastAsia" w:hAnsi="Segoe UI" w:cstheme="majorBidi"/>
      <w:iCs/>
      <w:color w:val="884C91"/>
      <w:sz w:val="20"/>
      <w:szCs w:val="26"/>
    </w:rPr>
  </w:style>
  <w:style w:type="character" w:customStyle="1" w:styleId="CitaviBibliographySubheading3Zchn">
    <w:name w:val="Citavi Bibliography Subheading 3 Zchn"/>
    <w:basedOn w:val="AFWBodyChar"/>
    <w:link w:val="CitaviBibliographySubheading3"/>
    <w:uiPriority w:val="99"/>
    <w:rsid w:val="008E0762"/>
    <w:rPr>
      <w:rFonts w:ascii="Segoe UI" w:eastAsiaTheme="majorEastAsia" w:hAnsi="Segoe UI" w:cstheme="majorBidi"/>
      <w:iCs/>
      <w:color w:val="884C91"/>
      <w:sz w:val="20"/>
      <w:szCs w:val="26"/>
    </w:rPr>
  </w:style>
  <w:style w:type="paragraph" w:customStyle="1" w:styleId="CitaviBibliographySubheading4">
    <w:name w:val="Citavi Bibliography Subheading 4"/>
    <w:basedOn w:val="Heading5"/>
    <w:link w:val="CitaviBibliographySubheading4Zchn"/>
    <w:uiPriority w:val="99"/>
    <w:rsid w:val="008E0762"/>
    <w:pPr>
      <w:numPr>
        <w:ilvl w:val="4"/>
      </w:numPr>
      <w:spacing w:before="360" w:after="120"/>
      <w:jc w:val="left"/>
      <w:outlineLvl w:val="9"/>
    </w:pPr>
    <w:rPr>
      <w:rFonts w:ascii="Segoe UI" w:hAnsi="Segoe UI"/>
      <w:i/>
      <w:iCs/>
      <w:color w:val="1F497D" w:themeColor="text2"/>
      <w:sz w:val="20"/>
      <w:szCs w:val="26"/>
    </w:rPr>
  </w:style>
  <w:style w:type="character" w:customStyle="1" w:styleId="CitaviBibliographySubheading4Zchn">
    <w:name w:val="Citavi Bibliography Subheading 4 Zchn"/>
    <w:basedOn w:val="AFWBodyChar"/>
    <w:link w:val="CitaviBibliographySubheading4"/>
    <w:uiPriority w:val="99"/>
    <w:rsid w:val="008E0762"/>
    <w:rPr>
      <w:rFonts w:ascii="Segoe UI" w:eastAsiaTheme="majorEastAsia" w:hAnsi="Segoe UI" w:cstheme="majorBidi"/>
      <w:i/>
      <w:iCs/>
      <w:color w:val="1F497D" w:themeColor="text2"/>
      <w:sz w:val="20"/>
      <w:szCs w:val="26"/>
    </w:rPr>
  </w:style>
  <w:style w:type="paragraph" w:customStyle="1" w:styleId="CitaviBibliographySubheading5">
    <w:name w:val="Citavi Bibliography Subheading 5"/>
    <w:basedOn w:val="Heading6"/>
    <w:link w:val="CitaviBibliographySubheading5Zchn"/>
    <w:uiPriority w:val="99"/>
    <w:rsid w:val="008E0762"/>
    <w:pPr>
      <w:outlineLvl w:val="9"/>
    </w:pPr>
  </w:style>
  <w:style w:type="character" w:customStyle="1" w:styleId="CitaviBibliographySubheading5Zchn">
    <w:name w:val="Citavi Bibliography Subheading 5 Zchn"/>
    <w:basedOn w:val="AFWBodyChar"/>
    <w:link w:val="CitaviBibliographySubheading5"/>
    <w:uiPriority w:val="99"/>
    <w:rsid w:val="008E0762"/>
    <w:rPr>
      <w:rFonts w:ascii="Segoe UI" w:eastAsiaTheme="majorEastAsia" w:hAnsi="Segoe UI" w:cstheme="majorBidi"/>
      <w:i/>
      <w:iCs/>
      <w:color w:val="8064A2" w:themeColor="accent4"/>
      <w:sz w:val="20"/>
      <w:szCs w:val="26"/>
    </w:rPr>
  </w:style>
  <w:style w:type="paragraph" w:customStyle="1" w:styleId="CitaviBibliographySubheading6">
    <w:name w:val="Citavi Bibliography Subheading 6"/>
    <w:basedOn w:val="Heading7"/>
    <w:link w:val="CitaviBibliographySubheading6Zchn"/>
    <w:uiPriority w:val="99"/>
    <w:rsid w:val="008E0762"/>
    <w:pPr>
      <w:outlineLvl w:val="9"/>
    </w:pPr>
    <w:rPr>
      <w:sz w:val="20"/>
    </w:rPr>
  </w:style>
  <w:style w:type="character" w:customStyle="1" w:styleId="CitaviBibliographySubheading6Zchn">
    <w:name w:val="Citavi Bibliography Subheading 6 Zchn"/>
    <w:basedOn w:val="AFWBodyChar"/>
    <w:link w:val="CitaviBibliographySubheading6"/>
    <w:uiPriority w:val="99"/>
    <w:rsid w:val="008E0762"/>
    <w:rPr>
      <w:rFonts w:asciiTheme="majorHAnsi" w:eastAsiaTheme="majorEastAsia" w:hAnsiTheme="majorHAnsi" w:cstheme="majorBidi"/>
      <w:i/>
      <w:iCs/>
      <w:color w:val="404040" w:themeColor="text1" w:themeTint="BF"/>
      <w:sz w:val="20"/>
    </w:rPr>
  </w:style>
  <w:style w:type="paragraph" w:customStyle="1" w:styleId="CitaviBibliographySubheading7">
    <w:name w:val="Citavi Bibliography Subheading 7"/>
    <w:basedOn w:val="Heading8"/>
    <w:link w:val="CitaviBibliographySubheading7Zchn"/>
    <w:uiPriority w:val="99"/>
    <w:rsid w:val="008E0762"/>
    <w:pPr>
      <w:outlineLvl w:val="9"/>
    </w:pPr>
  </w:style>
  <w:style w:type="character" w:customStyle="1" w:styleId="CitaviBibliographySubheading7Zchn">
    <w:name w:val="Citavi Bibliography Subheading 7 Zchn"/>
    <w:basedOn w:val="AFWBodyChar"/>
    <w:link w:val="CitaviBibliographySubheading7"/>
    <w:uiPriority w:val="99"/>
    <w:rsid w:val="008E0762"/>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Heading9"/>
    <w:link w:val="CitaviBibliographySubheading8Zchn"/>
    <w:uiPriority w:val="99"/>
    <w:rsid w:val="008E0762"/>
    <w:pPr>
      <w:outlineLvl w:val="9"/>
    </w:pPr>
  </w:style>
  <w:style w:type="character" w:customStyle="1" w:styleId="CitaviBibliographySubheading8Zchn">
    <w:name w:val="Citavi Bibliography Subheading 8 Zchn"/>
    <w:basedOn w:val="AFWBodyChar"/>
    <w:link w:val="CitaviBibliographySubheading8"/>
    <w:uiPriority w:val="99"/>
    <w:rsid w:val="008E0762"/>
    <w:rPr>
      <w:rFonts w:asciiTheme="majorHAnsi" w:eastAsiaTheme="majorEastAsia" w:hAnsiTheme="majorHAnsi" w:cstheme="majorBidi"/>
      <w:i/>
      <w:iCs/>
      <w:color w:val="404040" w:themeColor="text1" w:themeTint="BF"/>
      <w:sz w:val="20"/>
      <w:szCs w:val="20"/>
    </w:rPr>
  </w:style>
  <w:style w:type="paragraph" w:customStyle="1" w:styleId="CM1">
    <w:name w:val="CM1"/>
    <w:basedOn w:val="Default"/>
    <w:next w:val="Default"/>
    <w:uiPriority w:val="99"/>
    <w:rsid w:val="008E0762"/>
    <w:rPr>
      <w:color w:val="auto"/>
      <w:lang w:val="de-DE"/>
    </w:rPr>
  </w:style>
  <w:style w:type="paragraph" w:customStyle="1" w:styleId="CM3">
    <w:name w:val="CM3"/>
    <w:basedOn w:val="Default"/>
    <w:next w:val="Default"/>
    <w:uiPriority w:val="99"/>
    <w:rsid w:val="008E0762"/>
    <w:rPr>
      <w:color w:val="auto"/>
      <w:lang w:val="de-DE"/>
    </w:rPr>
  </w:style>
  <w:style w:type="character" w:customStyle="1" w:styleId="markedcontent">
    <w:name w:val="markedcontent"/>
    <w:basedOn w:val="DefaultParagraphFont"/>
    <w:rsid w:val="008E0762"/>
  </w:style>
  <w:style w:type="paragraph" w:customStyle="1" w:styleId="Pa13">
    <w:name w:val="Pa13"/>
    <w:basedOn w:val="Default"/>
    <w:next w:val="Default"/>
    <w:uiPriority w:val="99"/>
    <w:rsid w:val="008E0762"/>
    <w:pPr>
      <w:spacing w:line="141" w:lineRule="atLeast"/>
    </w:pPr>
    <w:rPr>
      <w:rFonts w:ascii="Open Sans" w:hAnsi="Open Sans" w:cstheme="minorBidi"/>
      <w:color w:val="auto"/>
      <w:lang w:val="en-GB"/>
    </w:rPr>
  </w:style>
  <w:style w:type="character" w:customStyle="1" w:styleId="A6">
    <w:name w:val="A6"/>
    <w:uiPriority w:val="99"/>
    <w:rsid w:val="008E0762"/>
    <w:rPr>
      <w:rFonts w:cs="Open Sans"/>
      <w:color w:val="211D1E"/>
      <w:sz w:val="8"/>
      <w:szCs w:val="8"/>
    </w:rPr>
  </w:style>
  <w:style w:type="table" w:styleId="ListTable4-Accent1">
    <w:name w:val="List Table 4 Accent 1"/>
    <w:basedOn w:val="TableNormal"/>
    <w:uiPriority w:val="49"/>
    <w:rsid w:val="008E0762"/>
    <w:pPr>
      <w:spacing w:after="0" w:line="240" w:lineRule="auto"/>
    </w:pPr>
    <w:rPr>
      <w:rFonts w:ascii="Verdana" w:hAnsi="Verdana"/>
      <w:sz w:val="18"/>
      <w:szCs w:val="1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tyle2">
    <w:name w:val="Style2"/>
    <w:uiPriority w:val="99"/>
    <w:rsid w:val="008E0762"/>
    <w:pPr>
      <w:numPr>
        <w:numId w:val="25"/>
      </w:numPr>
    </w:pPr>
  </w:style>
  <w:style w:type="character" w:customStyle="1" w:styleId="1stlevelgreenChar">
    <w:name w:val="1st level green Char"/>
    <w:basedOn w:val="DefaultParagraphFont"/>
    <w:link w:val="1stlevelgreen"/>
    <w:uiPriority w:val="3"/>
    <w:locked/>
    <w:rsid w:val="008E0762"/>
    <w:rPr>
      <w:rFonts w:ascii="Trebuchet MS" w:hAnsi="Trebuchet MS"/>
      <w:sz w:val="18"/>
      <w:szCs w:val="18"/>
    </w:rPr>
  </w:style>
  <w:style w:type="paragraph" w:customStyle="1" w:styleId="1stlevelgreen">
    <w:name w:val="1st level green"/>
    <w:basedOn w:val="Normal"/>
    <w:link w:val="1stlevelgreenChar"/>
    <w:uiPriority w:val="3"/>
    <w:qFormat/>
    <w:rsid w:val="008E0762"/>
    <w:pPr>
      <w:tabs>
        <w:tab w:val="left" w:pos="851"/>
      </w:tabs>
      <w:spacing w:after="0" w:line="300" w:lineRule="atLeast"/>
      <w:contextualSpacing/>
      <w:jc w:val="left"/>
    </w:pPr>
    <w:rPr>
      <w:rFonts w:ascii="Trebuchet MS" w:hAnsi="Trebuchet MS" w:cstheme="minorBidi"/>
      <w:sz w:val="18"/>
      <w:szCs w:val="18"/>
    </w:rPr>
  </w:style>
  <w:style w:type="paragraph" w:customStyle="1" w:styleId="Details">
    <w:name w:val="Details"/>
    <w:basedOn w:val="Normal"/>
    <w:rsid w:val="008E0762"/>
    <w:pPr>
      <w:spacing w:after="0" w:line="240" w:lineRule="atLeast"/>
      <w:jc w:val="left"/>
    </w:pPr>
    <w:rPr>
      <w:rFonts w:ascii="Segoe UI" w:hAnsi="Segoe UI" w:cstheme="minorBidi"/>
      <w:color w:val="000000"/>
      <w:sz w:val="20"/>
      <w:szCs w:val="22"/>
    </w:rPr>
  </w:style>
  <w:style w:type="paragraph" w:customStyle="1" w:styleId="DocumentType">
    <w:name w:val="Document Type"/>
    <w:basedOn w:val="Normal"/>
    <w:rsid w:val="008E0762"/>
    <w:pPr>
      <w:spacing w:after="360" w:line="260" w:lineRule="atLeast"/>
      <w:jc w:val="left"/>
    </w:pPr>
    <w:rPr>
      <w:rFonts w:ascii="Segoe UI" w:hAnsi="Segoe UI" w:cstheme="minorBidi"/>
      <w:b/>
      <w:sz w:val="40"/>
      <w:szCs w:val="22"/>
    </w:rPr>
  </w:style>
  <w:style w:type="paragraph" w:styleId="HTMLPreformatted">
    <w:name w:val="HTML Preformatted"/>
    <w:basedOn w:val="Normal"/>
    <w:link w:val="HTMLPreformattedChar"/>
    <w:uiPriority w:val="99"/>
    <w:semiHidden/>
    <w:unhideWhenUsed/>
    <w:rsid w:val="008E0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E0762"/>
    <w:rPr>
      <w:rFonts w:ascii="Courier New" w:eastAsia="Times New Roman" w:hAnsi="Courier New" w:cs="Courier New"/>
      <w:sz w:val="20"/>
      <w:szCs w:val="20"/>
      <w:lang w:eastAsia="en-GB"/>
    </w:rPr>
  </w:style>
  <w:style w:type="character" w:customStyle="1" w:styleId="y2iqfc">
    <w:name w:val="y2iqfc"/>
    <w:basedOn w:val="DefaultParagraphFont"/>
    <w:rsid w:val="008E0762"/>
  </w:style>
  <w:style w:type="character" w:customStyle="1" w:styleId="NoSpacingChar">
    <w:name w:val="No Spacing Char"/>
    <w:basedOn w:val="DefaultParagraphFont"/>
    <w:link w:val="NoSpacing"/>
    <w:uiPriority w:val="1"/>
    <w:rsid w:val="008E0762"/>
    <w:rPr>
      <w:rFonts w:eastAsiaTheme="minorEastAsia"/>
    </w:rPr>
  </w:style>
  <w:style w:type="paragraph" w:customStyle="1" w:styleId="Orangetabletext">
    <w:name w:val="Orange table text"/>
    <w:basedOn w:val="Normal"/>
    <w:rsid w:val="008E0762"/>
    <w:pPr>
      <w:tabs>
        <w:tab w:val="num" w:pos="720"/>
      </w:tabs>
      <w:spacing w:after="0" w:line="260" w:lineRule="atLeast"/>
      <w:ind w:left="720" w:hanging="720"/>
      <w:jc w:val="left"/>
    </w:pPr>
    <w:rPr>
      <w:rFonts w:ascii="Trebuchet MS" w:hAnsi="Trebuchet MS" w:cstheme="minorBidi"/>
      <w:b/>
      <w:bCs/>
      <w:color w:val="FFFFFF"/>
      <w:sz w:val="16"/>
      <w:szCs w:val="14"/>
      <w:lang w:eastAsia="nl-NL"/>
    </w:rPr>
  </w:style>
  <w:style w:type="paragraph" w:customStyle="1" w:styleId="FooterDate">
    <w:name w:val="Footer Date"/>
    <w:basedOn w:val="Footer"/>
    <w:link w:val="FooterDateChar"/>
    <w:rsid w:val="008E0762"/>
    <w:pPr>
      <w:tabs>
        <w:tab w:val="clear" w:pos="4535"/>
        <w:tab w:val="clear" w:pos="9071"/>
        <w:tab w:val="clear" w:pos="9921"/>
        <w:tab w:val="right" w:pos="9240"/>
      </w:tabs>
      <w:spacing w:before="0"/>
      <w:ind w:left="0" w:right="-567"/>
      <w:jc w:val="left"/>
    </w:pPr>
    <w:rPr>
      <w:rFonts w:ascii="Verdana" w:eastAsia="Times New Roman" w:hAnsi="Verdana"/>
      <w:sz w:val="16"/>
      <w:szCs w:val="20"/>
      <w:lang w:val="it-IT"/>
    </w:rPr>
  </w:style>
  <w:style w:type="character" w:customStyle="1" w:styleId="FooterDateChar">
    <w:name w:val="Footer Date Char"/>
    <w:link w:val="FooterDate"/>
    <w:rsid w:val="008E0762"/>
    <w:rPr>
      <w:rFonts w:ascii="Verdana" w:eastAsia="Times New Roman" w:hAnsi="Verdana" w:cs="Times New Roman"/>
      <w:sz w:val="16"/>
      <w:szCs w:val="20"/>
      <w:lang w:val="it-IT"/>
    </w:rPr>
  </w:style>
  <w:style w:type="paragraph" w:customStyle="1" w:styleId="DocumentSubtitle">
    <w:name w:val="Document Subtitle"/>
    <w:basedOn w:val="Normal"/>
    <w:link w:val="DocumentSubtitleChar"/>
    <w:qFormat/>
    <w:rsid w:val="008E0762"/>
    <w:pPr>
      <w:jc w:val="center"/>
    </w:pPr>
    <w:rPr>
      <w:rFonts w:ascii="Verdana" w:eastAsia="Times New Roman" w:hAnsi="Verdana"/>
      <w:sz w:val="32"/>
      <w:szCs w:val="36"/>
    </w:rPr>
  </w:style>
  <w:style w:type="character" w:customStyle="1" w:styleId="DocumentSubtitleChar">
    <w:name w:val="Document Subtitle Char"/>
    <w:link w:val="DocumentSubtitle"/>
    <w:rsid w:val="008E0762"/>
    <w:rPr>
      <w:rFonts w:ascii="Verdana" w:eastAsia="Times New Roman" w:hAnsi="Verdana" w:cs="Times New Roman"/>
      <w:sz w:val="32"/>
      <w:szCs w:val="36"/>
    </w:rPr>
  </w:style>
  <w:style w:type="table" w:styleId="TableGrid1">
    <w:name w:val="Table Grid 1"/>
    <w:basedOn w:val="TableNormal"/>
    <w:rsid w:val="008E0762"/>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ndlevelbulletpoint">
    <w:name w:val="2nd level bulletpoint"/>
    <w:basedOn w:val="ListParagraph"/>
    <w:next w:val="Normal"/>
    <w:link w:val="2ndlevelbulletpointChar"/>
    <w:rsid w:val="008E0762"/>
    <w:pPr>
      <w:numPr>
        <w:ilvl w:val="1"/>
      </w:numPr>
      <w:tabs>
        <w:tab w:val="left" w:pos="851"/>
      </w:tabs>
      <w:spacing w:after="0" w:line="300" w:lineRule="atLeast"/>
      <w:ind w:left="1661" w:hanging="357"/>
      <w:jc w:val="left"/>
    </w:pPr>
    <w:rPr>
      <w:rFonts w:ascii="Trebuchet MS" w:hAnsi="Trebuchet MS" w:cstheme="minorBidi"/>
      <w:sz w:val="18"/>
      <w:szCs w:val="22"/>
    </w:rPr>
  </w:style>
  <w:style w:type="character" w:customStyle="1" w:styleId="2ndlevelbulletpointChar">
    <w:name w:val="2nd level bulletpoint Char"/>
    <w:basedOn w:val="DefaultParagraphFont"/>
    <w:link w:val="2ndlevelbulletpoint"/>
    <w:rsid w:val="008E0762"/>
    <w:rPr>
      <w:rFonts w:ascii="Trebuchet MS" w:hAnsi="Trebuchet MS"/>
      <w:sz w:val="18"/>
    </w:rPr>
  </w:style>
  <w:style w:type="paragraph" w:customStyle="1" w:styleId="Bulletpoint">
    <w:name w:val="Bulletpoint"/>
    <w:basedOn w:val="2ndlevelbulletpoint"/>
    <w:next w:val="2ndlevelbulletpoint"/>
    <w:link w:val="BulletpointChar"/>
    <w:qFormat/>
    <w:rsid w:val="008E0762"/>
    <w:pPr>
      <w:numPr>
        <w:ilvl w:val="0"/>
      </w:numPr>
      <w:tabs>
        <w:tab w:val="num" w:pos="720"/>
      </w:tabs>
      <w:ind w:left="1264" w:hanging="720"/>
    </w:pPr>
  </w:style>
  <w:style w:type="character" w:customStyle="1" w:styleId="BulletpointChar">
    <w:name w:val="Bulletpoint Char"/>
    <w:basedOn w:val="DefaultParagraphFont"/>
    <w:link w:val="Bulletpoint"/>
    <w:rsid w:val="008E0762"/>
    <w:rPr>
      <w:rFonts w:ascii="Trebuchet MS" w:hAnsi="Trebuchet MS"/>
      <w:sz w:val="18"/>
    </w:rPr>
  </w:style>
  <w:style w:type="paragraph" w:customStyle="1" w:styleId="paragraph">
    <w:name w:val="paragraph"/>
    <w:basedOn w:val="Normal"/>
    <w:rsid w:val="008E0762"/>
    <w:pPr>
      <w:spacing w:before="100" w:beforeAutospacing="1" w:after="100" w:afterAutospacing="1"/>
      <w:jc w:val="left"/>
    </w:pPr>
    <w:rPr>
      <w:rFonts w:eastAsia="Times New Roman"/>
      <w:lang w:eastAsia="en-GB"/>
    </w:rPr>
  </w:style>
  <w:style w:type="character" w:customStyle="1" w:styleId="CaptionNotesCharChar">
    <w:name w:val="Caption Notes Char Char"/>
    <w:link w:val="CaptionNotes"/>
    <w:locked/>
    <w:rsid w:val="008E0762"/>
    <w:rPr>
      <w:i/>
      <w:iCs/>
    </w:rPr>
  </w:style>
  <w:style w:type="paragraph" w:customStyle="1" w:styleId="CaptionNotes">
    <w:name w:val="Caption Notes"/>
    <w:basedOn w:val="Normal"/>
    <w:next w:val="Normal"/>
    <w:link w:val="CaptionNotesCharChar"/>
    <w:qFormat/>
    <w:rsid w:val="008E0762"/>
    <w:pPr>
      <w:spacing w:before="60" w:line="256" w:lineRule="auto"/>
      <w:jc w:val="left"/>
    </w:pPr>
    <w:rPr>
      <w:rFonts w:asciiTheme="minorHAnsi" w:hAnsiTheme="minorHAnsi" w:cstheme="minorBidi"/>
      <w:i/>
      <w:iCs/>
      <w:sz w:val="22"/>
      <w:szCs w:val="22"/>
    </w:rPr>
  </w:style>
  <w:style w:type="character" w:customStyle="1" w:styleId="BTBullet1Zchn">
    <w:name w:val="BTBullet1 Zchn"/>
    <w:link w:val="BTBullet1"/>
    <w:uiPriority w:val="6"/>
    <w:locked/>
    <w:rsid w:val="008E0762"/>
  </w:style>
  <w:style w:type="paragraph" w:customStyle="1" w:styleId="BTBullet1">
    <w:name w:val="BTBullet1"/>
    <w:basedOn w:val="Normal"/>
    <w:link w:val="BTBullet1Zchn"/>
    <w:uiPriority w:val="6"/>
    <w:qFormat/>
    <w:rsid w:val="00F302A9"/>
    <w:pPr>
      <w:spacing w:after="160" w:line="256" w:lineRule="auto"/>
      <w:ind w:left="1760" w:hanging="360"/>
      <w:contextualSpacing/>
      <w:jc w:val="left"/>
    </w:pPr>
    <w:rPr>
      <w:rFonts w:asciiTheme="minorHAnsi" w:hAnsiTheme="minorHAnsi" w:cstheme="minorBidi"/>
      <w:sz w:val="22"/>
      <w:szCs w:val="22"/>
    </w:rPr>
  </w:style>
  <w:style w:type="character" w:styleId="Strong">
    <w:name w:val="Strong"/>
    <w:basedOn w:val="DefaultParagraphFont"/>
    <w:uiPriority w:val="22"/>
    <w:qFormat/>
    <w:rsid w:val="008E0762"/>
    <w:rPr>
      <w:b/>
      <w:bCs/>
    </w:rPr>
  </w:style>
  <w:style w:type="table" w:customStyle="1" w:styleId="Eunomia-NoTotals">
    <w:name w:val="Eunomia - No Totals"/>
    <w:basedOn w:val="TableNormal"/>
    <w:uiPriority w:val="99"/>
    <w:rsid w:val="008E0762"/>
    <w:pPr>
      <w:spacing w:before="60" w:after="60" w:line="240" w:lineRule="auto"/>
      <w:jc w:val="right"/>
    </w:pPr>
    <w:rPr>
      <w:rFonts w:ascii="Calibri" w:eastAsia="Times New Roman" w:hAnsi="Calibri" w:cs="Times New Roman"/>
      <w:sz w:val="24"/>
      <w:szCs w:val="20"/>
      <w:lang w:eastAsia="en-GB"/>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dotted" w:sz="4" w:space="0" w:color="BFBFBF" w:themeColor="background1" w:themeShade="BF"/>
        <w:insideV w:val="single" w:sz="4" w:space="0" w:color="9BBB59" w:themeColor="accent3"/>
      </w:tblBorders>
    </w:tblPr>
    <w:trPr>
      <w:cantSplit/>
    </w:trPr>
    <w:tcPr>
      <w:vAlign w:val="center"/>
    </w:tcPr>
    <w:tblStylePr w:type="firstRow">
      <w:rPr>
        <w:b/>
      </w:rPr>
      <w:tblPr/>
      <w:tcPr>
        <w:tcBorders>
          <w:top w:val="single" w:sz="4" w:space="0" w:color="A6A6A6" w:themeColor="background1" w:themeShade="A6"/>
        </w:tcBorders>
        <w:shd w:val="clear" w:color="auto" w:fill="BFBFBF" w:themeFill="background1" w:themeFillShade="BF"/>
      </w:tcPr>
    </w:tblStylePr>
    <w:tblStylePr w:type="lastRow">
      <w:tblPr/>
      <w:tcPr>
        <w:tcBorders>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tcPr>
    </w:tblStylePr>
    <w:tblStylePr w:type="lastCol">
      <w:tblPr/>
      <w:tcPr>
        <w:tcBorders>
          <w:right w:val="single" w:sz="4" w:space="0" w:color="A6A6A6" w:themeColor="background1" w:themeShade="A6"/>
        </w:tcBorders>
      </w:tcPr>
    </w:tblStylePr>
  </w:style>
  <w:style w:type="character" w:customStyle="1" w:styleId="ListenabsatzZchn8">
    <w:name w:val="Listenabsatz Zchn8"/>
    <w:aliases w:val="Style Bullet Zchn8,List_Paragraph Zchn7,Multilevel para_II Zchn7,ADB Normal Zchn7,Bullet Points Zchn7,Liste Paragraf Zchn7,List Paragraph1 Zchn7,Colorful List - Accent 11 Zchn7,Numbered Para 1 Zchn7,Dot pt Zchn7,No Spacing1 Zchn7"/>
    <w:basedOn w:val="DefaultParagraphFont"/>
    <w:uiPriority w:val="34"/>
    <w:rsid w:val="008E0762"/>
    <w:rPr>
      <w:rFonts w:asciiTheme="minorHAnsi" w:hAnsiTheme="minorHAnsi" w:cs="Arial"/>
      <w:sz w:val="24"/>
      <w:szCs w:val="24"/>
    </w:rPr>
  </w:style>
  <w:style w:type="paragraph" w:customStyle="1" w:styleId="TabelleninhaltAufzhlungszeichen">
    <w:name w:val="Tabelleninhalt Aufzählungszeichen"/>
    <w:basedOn w:val="Normal"/>
    <w:rsid w:val="008E0762"/>
    <w:pPr>
      <w:numPr>
        <w:ilvl w:val="1"/>
        <w:numId w:val="27"/>
      </w:numPr>
      <w:spacing w:after="0"/>
      <w:ind w:left="792" w:hanging="432"/>
      <w:jc w:val="left"/>
    </w:pPr>
    <w:rPr>
      <w:rFonts w:asciiTheme="minorHAnsi" w:hAnsiTheme="minorHAnsi" w:cstheme="minorBidi"/>
      <w:sz w:val="22"/>
      <w:szCs w:val="22"/>
    </w:rPr>
  </w:style>
  <w:style w:type="table" w:customStyle="1" w:styleId="WoodREIUKReportTable">
    <w:name w:val="Wood REI UK Report Table"/>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customStyle="1" w:styleId="WoodREIUKReportTable1">
    <w:name w:val="Wood REI UK Report Table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styleId="GridTable2">
    <w:name w:val="Grid Table 2"/>
    <w:basedOn w:val="TableNormal"/>
    <w:uiPriority w:val="47"/>
    <w:rsid w:val="008E07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8E0762"/>
    <w:pPr>
      <w:spacing w:before="100" w:beforeAutospacing="1" w:after="100" w:afterAutospacing="1"/>
      <w:jc w:val="left"/>
    </w:pPr>
    <w:rPr>
      <w:rFonts w:eastAsia="Times New Roman"/>
      <w:lang w:val="fr-FR" w:eastAsia="fr-FR"/>
    </w:rPr>
  </w:style>
  <w:style w:type="character" w:customStyle="1" w:styleId="sup">
    <w:name w:val="sup"/>
    <w:basedOn w:val="DefaultParagraphFont"/>
    <w:rsid w:val="008E0762"/>
  </w:style>
  <w:style w:type="table" w:customStyle="1" w:styleId="WoodEISUKReportTable2">
    <w:name w:val="Wood E&amp;IS UK Report Table2"/>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customStyle="1" w:styleId="Listeclaire-Accent21">
    <w:name w:val="Liste claire - Accent 21"/>
    <w:basedOn w:val="TableNormal"/>
    <w:next w:val="LightList-Accent2"/>
    <w:uiPriority w:val="61"/>
    <w:rsid w:val="008E076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WoodEISUKTableSimple1">
    <w:name w:val="Wood E&amp;IS UK Table Simple1"/>
    <w:basedOn w:val="TableNormal"/>
    <w:next w:val="TableGridLight"/>
    <w:uiPriority w:val="40"/>
    <w:rsid w:val="008E0762"/>
    <w:pPr>
      <w:spacing w:after="0" w:line="240" w:lineRule="auto"/>
    </w:pPr>
    <w:tblPr>
      <w:tblBorders>
        <w:bottom w:val="single" w:sz="2" w:space="0" w:color="auto"/>
      </w:tblBorders>
      <w:tblCellMar>
        <w:top w:w="113" w:type="dxa"/>
        <w:bottom w:w="113" w:type="dxa"/>
      </w:tblCellMar>
    </w:tblPr>
    <w:tblStylePr w:type="firstRow">
      <w:tblPr/>
      <w:tcPr>
        <w:tcBorders>
          <w:top w:val="single" w:sz="2" w:space="0" w:color="000000" w:themeColor="text1"/>
          <w:bottom w:val="single" w:sz="2" w:space="0" w:color="000000" w:themeColor="text1"/>
        </w:tcBorders>
      </w:tcPr>
    </w:tblStylePr>
  </w:style>
  <w:style w:type="table" w:customStyle="1" w:styleId="Tableausimple11">
    <w:name w:val="Tableau simple 11"/>
    <w:basedOn w:val="TableNormal"/>
    <w:next w:val="PlainTable1"/>
    <w:uiPriority w:val="41"/>
    <w:rsid w:val="008E07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11">
    <w:name w:val="Table 11"/>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sz w:val="16"/>
      </w:rPr>
      <w:tblPr/>
      <w:tcPr>
        <w:shd w:val="clear" w:color="auto" w:fill="005962"/>
      </w:tcPr>
    </w:tblStylePr>
    <w:tblStylePr w:type="firstCol">
      <w:pPr>
        <w:wordWrap/>
        <w:jc w:val="left"/>
        <w:outlineLvl w:val="9"/>
      </w:pPr>
    </w:tblStylePr>
  </w:style>
  <w:style w:type="table" w:customStyle="1" w:styleId="TableGridLight311">
    <w:name w:val="Table Grid Light311"/>
    <w:basedOn w:val="TableNormal"/>
    <w:uiPriority w:val="40"/>
    <w:rsid w:val="008E07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mecFosterWheelerReportTable11">
    <w:name w:val="Amec Foster Wheeler Report Table1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Ind w:w="113" w:type="dxa"/>
      <w:tblBorders>
        <w:bottom w:val="single" w:sz="6" w:space="0" w:color="C0504D"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4" w:space="0" w:color="C0504D" w:themeColor="accent2"/>
          <w:left w:val="nil"/>
          <w:bottom w:val="single" w:sz="4" w:space="0" w:color="C0504D" w:themeColor="accent2"/>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customStyle="1" w:styleId="WoodEISUKReportTable11">
    <w:name w:val="Wood E&amp;IS UK Report Table11"/>
    <w:basedOn w:val="TableNormal"/>
    <w:uiPriority w:val="99"/>
    <w:qFormat/>
    <w:rsid w:val="008E0762"/>
    <w:pPr>
      <w:spacing w:after="0" w:line="240" w:lineRule="auto"/>
    </w:pPr>
    <w:rPr>
      <w:rFonts w:ascii="Arial" w:hAnsi="Arial"/>
      <w:color w:val="000000" w:themeColor="text1" w:themeShade="BF"/>
      <w:sz w:val="20"/>
    </w:rPr>
    <w:tblPr>
      <w:tblStyleRowBandSize w:val="1"/>
      <w:tblStyleColBandSize w:val="1"/>
      <w:tblBorders>
        <w:bottom w:val="single" w:sz="2" w:space="0" w:color="000000" w:themeColor="text1"/>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2" w:space="0" w:color="000000" w:themeColor="text1"/>
          <w:left w:val="nil"/>
          <w:bottom w:val="single" w:sz="2" w:space="0" w:color="000000"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table" w:customStyle="1" w:styleId="Table121">
    <w:name w:val="Table 121"/>
    <w:basedOn w:val="TableNormal"/>
    <w:uiPriority w:val="99"/>
    <w:rsid w:val="008E0762"/>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themeColor="background1"/>
        <w:sz w:val="16"/>
      </w:rPr>
      <w:tblPr/>
      <w:tcPr>
        <w:shd w:val="clear" w:color="auto" w:fill="005962"/>
      </w:tcPr>
    </w:tblStylePr>
    <w:tblStylePr w:type="firstCol">
      <w:pPr>
        <w:wordWrap/>
        <w:jc w:val="left"/>
        <w:outlineLvl w:val="9"/>
      </w:pPr>
    </w:tblStylePr>
  </w:style>
  <w:style w:type="table" w:customStyle="1" w:styleId="Table161">
    <w:name w:val="Table 161"/>
    <w:basedOn w:val="TableNormal"/>
    <w:uiPriority w:val="99"/>
    <w:rsid w:val="008E0762"/>
    <w:pPr>
      <w:spacing w:after="0" w:line="240" w:lineRule="auto"/>
      <w:jc w:val="center"/>
    </w:pPr>
    <w:rPr>
      <w:rFonts w:ascii="Trebuchet MS" w:hAnsi="Trebuchet MS"/>
      <w:sz w:val="16"/>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quot;Calibri&quot;,sans-serif" w:hAnsi="&quot;Calibri&quot;,sans-serif" w:hint="default"/>
        <w:b/>
        <w:color w:val="FFFFFF"/>
        <w:sz w:val="16"/>
        <w:szCs w:val="16"/>
      </w:rPr>
      <w:tblPr/>
      <w:tcPr>
        <w:shd w:val="clear" w:color="auto" w:fill="005962"/>
      </w:tcPr>
    </w:tblStylePr>
  </w:style>
  <w:style w:type="table" w:customStyle="1" w:styleId="LightList-Accent141">
    <w:name w:val="Light List - Accent 141"/>
    <w:basedOn w:val="TableNormal"/>
    <w:next w:val="LightList-Accent1"/>
    <w:uiPriority w:val="61"/>
    <w:rsid w:val="008E0762"/>
    <w:pPr>
      <w:spacing w:after="0" w:line="240" w:lineRule="auto"/>
    </w:pPr>
    <w:rPr>
      <w:rFonts w:ascii="Verdana" w:eastAsia="Times New Roman" w:hAnsi="Verdana" w:cs="Times New Roman"/>
      <w:sz w:val="16"/>
      <w:szCs w:val="18"/>
      <w:lang w:val="da-DK"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009DF0"/>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eclaire-Accent11">
    <w:name w:val="Liste claire - Accent 11"/>
    <w:basedOn w:val="TableNormal"/>
    <w:next w:val="LightList-Accent1"/>
    <w:uiPriority w:val="61"/>
    <w:semiHidden/>
    <w:unhideWhenUsed/>
    <w:rsid w:val="008E07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auListe4-Accentuation11">
    <w:name w:val="Tableau Liste 4 - Accentuation 11"/>
    <w:basedOn w:val="TableNormal"/>
    <w:next w:val="ListTable4-Accent1"/>
    <w:uiPriority w:val="49"/>
    <w:rsid w:val="008E0762"/>
    <w:pPr>
      <w:spacing w:after="0" w:line="240" w:lineRule="auto"/>
    </w:pPr>
    <w:rPr>
      <w:rFonts w:ascii="Verdana" w:hAnsi="Verdana"/>
      <w:sz w:val="18"/>
      <w:szCs w:val="1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lledetableau11">
    <w:name w:val="Grille de tableau 11"/>
    <w:basedOn w:val="TableNormal"/>
    <w:next w:val="TableGrid1"/>
    <w:rsid w:val="008E0762"/>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Grille21">
    <w:name w:val="Tableau Grille 21"/>
    <w:basedOn w:val="TableNormal"/>
    <w:next w:val="GridTable2"/>
    <w:uiPriority w:val="47"/>
    <w:rsid w:val="008E076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8E07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2-Accent1">
    <w:name w:val="Grid Table 2 Accent 1"/>
    <w:basedOn w:val="TableNormal"/>
    <w:uiPriority w:val="47"/>
    <w:rsid w:val="008E0762"/>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3">
    <w:name w:val="Grid Table 2 Accent 3"/>
    <w:basedOn w:val="TableNormal"/>
    <w:uiPriority w:val="47"/>
    <w:rsid w:val="008E0762"/>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31">
    <w:name w:val="A3_1"/>
    <w:uiPriority w:val="99"/>
    <w:rsid w:val="008E0762"/>
    <w:rPr>
      <w:rFonts w:cs="Muli Light"/>
      <w:color w:val="000000"/>
      <w:sz w:val="20"/>
      <w:szCs w:val="20"/>
    </w:rPr>
  </w:style>
  <w:style w:type="table" w:styleId="GridTable6Colorful-Accent6">
    <w:name w:val="Grid Table 6 Colorful Accent 6"/>
    <w:basedOn w:val="TableNormal"/>
    <w:uiPriority w:val="51"/>
    <w:rsid w:val="008E0762"/>
    <w:pPr>
      <w:spacing w:after="0" w:line="240" w:lineRule="auto"/>
    </w:pPr>
    <w:rPr>
      <w:color w:val="E36C0A" w:themeColor="accent6" w:themeShade="BF"/>
      <w:lang w:val="de-DE"/>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4">
    <w:name w:val="Grid Table 6 Colorful Accent 4"/>
    <w:basedOn w:val="TableNormal"/>
    <w:uiPriority w:val="51"/>
    <w:rsid w:val="008E0762"/>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4">
    <w:name w:val="Grid Table 4 Accent 4"/>
    <w:basedOn w:val="TableNormal"/>
    <w:uiPriority w:val="49"/>
    <w:rsid w:val="008E0762"/>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4">
    <w:name w:val="Grid Table 5 Dark Accent 4"/>
    <w:basedOn w:val="TableNormal"/>
    <w:uiPriority w:val="50"/>
    <w:rsid w:val="008E07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Lev11">
    <w:name w:val="Lev 11"/>
    <w:next w:val="Normal"/>
    <w:uiPriority w:val="9"/>
    <w:qFormat/>
    <w:rsid w:val="008E0762"/>
    <w:pPr>
      <w:keepNext/>
      <w:keepLines/>
      <w:pageBreakBefore/>
      <w:spacing w:after="520" w:line="240" w:lineRule="auto"/>
      <w:ind w:left="502" w:hanging="360"/>
      <w:outlineLvl w:val="0"/>
    </w:pPr>
    <w:rPr>
      <w:rFonts w:ascii="Segoe UI" w:eastAsia="MS Gothic" w:hAnsi="Segoe UI" w:cs="Times New Roman"/>
      <w:b/>
      <w:bCs/>
      <w:color w:val="884C91"/>
      <w:sz w:val="40"/>
      <w:szCs w:val="28"/>
    </w:rPr>
  </w:style>
  <w:style w:type="paragraph" w:customStyle="1" w:styleId="Lev21">
    <w:name w:val="Lev 21"/>
    <w:basedOn w:val="Heading1"/>
    <w:next w:val="Normal"/>
    <w:uiPriority w:val="9"/>
    <w:qFormat/>
    <w:rsid w:val="00F302A9"/>
    <w:pPr>
      <w:keepLines/>
      <w:spacing w:before="360"/>
      <w:ind w:left="792" w:hanging="432"/>
      <w:jc w:val="left"/>
      <w:outlineLvl w:val="1"/>
    </w:pPr>
    <w:rPr>
      <w:rFonts w:ascii="Segoe UI" w:eastAsiaTheme="majorEastAsia" w:hAnsi="Segoe UI" w:cstheme="majorBidi"/>
      <w:smallCaps w:val="0"/>
      <w:color w:val="884C91"/>
      <w:sz w:val="28"/>
      <w:szCs w:val="26"/>
    </w:rPr>
  </w:style>
  <w:style w:type="paragraph" w:customStyle="1" w:styleId="berschrift71">
    <w:name w:val="Überschrift 71"/>
    <w:basedOn w:val="Normal"/>
    <w:next w:val="Normal"/>
    <w:uiPriority w:val="9"/>
    <w:semiHidden/>
    <w:rsid w:val="008E0762"/>
    <w:pPr>
      <w:keepNext/>
      <w:keepLines/>
      <w:spacing w:before="200" w:after="0"/>
      <w:ind w:left="3240" w:hanging="1080"/>
      <w:jc w:val="left"/>
      <w:outlineLvl w:val="6"/>
    </w:pPr>
    <w:rPr>
      <w:rFonts w:ascii="Cambria" w:eastAsia="MS Gothic" w:hAnsi="Cambria"/>
      <w:i/>
      <w:iCs/>
      <w:color w:val="636274"/>
      <w:sz w:val="22"/>
      <w:szCs w:val="22"/>
    </w:rPr>
  </w:style>
  <w:style w:type="paragraph" w:customStyle="1" w:styleId="berschrift81">
    <w:name w:val="Überschrift 81"/>
    <w:basedOn w:val="Normal"/>
    <w:next w:val="Normal"/>
    <w:uiPriority w:val="9"/>
    <w:semiHidden/>
    <w:unhideWhenUsed/>
    <w:qFormat/>
    <w:rsid w:val="008E0762"/>
    <w:pPr>
      <w:keepNext/>
      <w:keepLines/>
      <w:spacing w:before="200" w:after="0"/>
      <w:ind w:left="3744" w:hanging="1224"/>
      <w:jc w:val="left"/>
      <w:outlineLvl w:val="7"/>
    </w:pPr>
    <w:rPr>
      <w:rFonts w:ascii="Cambria" w:eastAsia="MS Gothic" w:hAnsi="Cambria"/>
      <w:color w:val="636274"/>
      <w:sz w:val="20"/>
      <w:szCs w:val="20"/>
    </w:rPr>
  </w:style>
  <w:style w:type="paragraph" w:customStyle="1" w:styleId="berschrift91">
    <w:name w:val="Überschrift 91"/>
    <w:basedOn w:val="Normal"/>
    <w:next w:val="Normal"/>
    <w:uiPriority w:val="9"/>
    <w:semiHidden/>
    <w:unhideWhenUsed/>
    <w:qFormat/>
    <w:rsid w:val="008E0762"/>
    <w:pPr>
      <w:keepNext/>
      <w:keepLines/>
      <w:spacing w:before="200" w:after="0"/>
      <w:ind w:left="4320" w:hanging="1440"/>
      <w:jc w:val="left"/>
      <w:outlineLvl w:val="8"/>
    </w:pPr>
    <w:rPr>
      <w:rFonts w:ascii="Cambria" w:eastAsia="MS Gothic" w:hAnsi="Cambria"/>
      <w:i/>
      <w:iCs/>
      <w:color w:val="636274"/>
      <w:sz w:val="20"/>
      <w:szCs w:val="20"/>
    </w:rPr>
  </w:style>
  <w:style w:type="character" w:customStyle="1" w:styleId="Seitenzahl1">
    <w:name w:val="Seitenzahl1"/>
    <w:basedOn w:val="DefaultParagraphFont"/>
    <w:rsid w:val="008E0762"/>
    <w:rPr>
      <w:rFonts w:ascii="Segoe UI" w:hAnsi="Segoe UI"/>
      <w:b/>
      <w:color w:val="FFFFFF"/>
      <w:sz w:val="20"/>
    </w:rPr>
  </w:style>
  <w:style w:type="paragraph" w:customStyle="1" w:styleId="Kommentartext1">
    <w:name w:val="Kommentartext1"/>
    <w:basedOn w:val="Normal"/>
    <w:next w:val="CommentText"/>
    <w:link w:val="KommentartextZchn"/>
    <w:uiPriority w:val="99"/>
    <w:unhideWhenUsed/>
    <w:rsid w:val="008E0762"/>
    <w:pPr>
      <w:spacing w:after="0"/>
      <w:jc w:val="left"/>
    </w:pPr>
    <w:rPr>
      <w:rFonts w:asciiTheme="minorHAnsi" w:hAnsiTheme="minorHAnsi" w:cstheme="minorBidi"/>
      <w:sz w:val="20"/>
      <w:szCs w:val="20"/>
      <w:lang w:val="de-DE"/>
    </w:rPr>
  </w:style>
  <w:style w:type="character" w:customStyle="1" w:styleId="KommentartextZchn">
    <w:name w:val="Kommentartext Zchn"/>
    <w:basedOn w:val="DefaultParagraphFont"/>
    <w:link w:val="Kommentartext1"/>
    <w:uiPriority w:val="99"/>
    <w:rsid w:val="008E0762"/>
    <w:rPr>
      <w:sz w:val="20"/>
      <w:szCs w:val="20"/>
      <w:lang w:val="de-DE"/>
    </w:rPr>
  </w:style>
  <w:style w:type="table" w:styleId="PlainTable4">
    <w:name w:val="Plain Table 4"/>
    <w:basedOn w:val="TableNormal"/>
    <w:uiPriority w:val="44"/>
    <w:rsid w:val="008E076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VIfnrCarCarCarCarCharCharCharChar">
    <w:name w:val="BVI fnr Car Car Car Car Char Char Char Char"/>
    <w:basedOn w:val="Normal"/>
    <w:uiPriority w:val="99"/>
    <w:rsid w:val="008E0762"/>
    <w:pPr>
      <w:spacing w:before="200" w:after="160" w:line="240" w:lineRule="exact"/>
    </w:pPr>
    <w:rPr>
      <w:rFonts w:ascii="Verdana" w:hAnsi="Verdana" w:cstheme="majorBidi"/>
      <w:sz w:val="18"/>
      <w:szCs w:val="26"/>
      <w:vertAlign w:val="superscript"/>
      <w:lang w:val="nl-BE"/>
    </w:rPr>
  </w:style>
  <w:style w:type="character" w:customStyle="1" w:styleId="Mention30">
    <w:name w:val="Mention30"/>
    <w:basedOn w:val="DefaultParagraphFont"/>
    <w:uiPriority w:val="99"/>
    <w:unhideWhenUsed/>
    <w:rsid w:val="00BB30D2"/>
    <w:rPr>
      <w:color w:val="2B579A"/>
      <w:shd w:val="clear" w:color="auto" w:fill="E1DFDD"/>
    </w:rPr>
  </w:style>
  <w:style w:type="character" w:customStyle="1" w:styleId="UnresolvedMention30">
    <w:name w:val="Unresolved Mention30"/>
    <w:basedOn w:val="DefaultParagraphFont"/>
    <w:uiPriority w:val="99"/>
    <w:unhideWhenUsed/>
    <w:rsid w:val="009D3AAB"/>
    <w:rPr>
      <w:color w:val="605E5C"/>
      <w:shd w:val="clear" w:color="auto" w:fill="E1DFDD"/>
    </w:rPr>
  </w:style>
  <w:style w:type="paragraph" w:styleId="Subtitle">
    <w:name w:val="Subtitle"/>
    <w:basedOn w:val="Normal"/>
    <w:next w:val="Normal"/>
    <w:link w:val="SubtitleChar"/>
    <w:uiPriority w:val="11"/>
    <w:qFormat/>
    <w:rsid w:val="00096212"/>
    <w:pPr>
      <w:numPr>
        <w:ilvl w:val="1"/>
      </w:numPr>
      <w:spacing w:after="160" w:line="259" w:lineRule="auto"/>
      <w:jc w:val="left"/>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096212"/>
    <w:rPr>
      <w:rFonts w:eastAsiaTheme="minorEastAsia"/>
      <w:color w:val="5A5A5A" w:themeColor="text1" w:themeTint="A5"/>
      <w:spacing w:val="15"/>
      <w:lang w:val="en-US"/>
    </w:rPr>
  </w:style>
  <w:style w:type="table" w:styleId="GridTable4-Accent6">
    <w:name w:val="Grid Table 4 Accent 6"/>
    <w:basedOn w:val="TableNormal"/>
    <w:uiPriority w:val="49"/>
    <w:rsid w:val="00096212"/>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4">
    <w:name w:val="Unresolved Mention4"/>
    <w:basedOn w:val="DefaultParagraphFont"/>
    <w:uiPriority w:val="99"/>
    <w:unhideWhenUsed/>
    <w:rsid w:val="009D1AE7"/>
    <w:rPr>
      <w:color w:val="605E5C"/>
      <w:shd w:val="clear" w:color="auto" w:fill="E1DFDD"/>
    </w:rPr>
  </w:style>
  <w:style w:type="character" w:customStyle="1" w:styleId="Mention4">
    <w:name w:val="Mention4"/>
    <w:basedOn w:val="DefaultParagraphFont"/>
    <w:uiPriority w:val="99"/>
    <w:unhideWhenUsed/>
    <w:rsid w:val="003D6427"/>
    <w:rPr>
      <w:color w:val="2B579A"/>
      <w:shd w:val="clear" w:color="auto" w:fill="E6E6E6"/>
    </w:rPr>
  </w:style>
  <w:style w:type="character" w:customStyle="1" w:styleId="Mention40">
    <w:name w:val="Mention40"/>
    <w:basedOn w:val="DefaultParagraphFont"/>
    <w:uiPriority w:val="99"/>
    <w:unhideWhenUsed/>
    <w:rsid w:val="00D529DE"/>
    <w:rPr>
      <w:color w:val="2B579A"/>
      <w:shd w:val="clear" w:color="auto" w:fill="E1DFDD"/>
    </w:rPr>
  </w:style>
  <w:style w:type="character" w:customStyle="1" w:styleId="UnresolvedMention5">
    <w:name w:val="Unresolved Mention5"/>
    <w:basedOn w:val="DefaultParagraphFont"/>
    <w:uiPriority w:val="99"/>
    <w:unhideWhenUsed/>
    <w:rsid w:val="00D529DE"/>
    <w:rPr>
      <w:color w:val="605E5C"/>
      <w:shd w:val="clear" w:color="auto" w:fill="E1DFDD"/>
    </w:rPr>
  </w:style>
  <w:style w:type="character" w:customStyle="1" w:styleId="Mention5">
    <w:name w:val="Mention5"/>
    <w:basedOn w:val="DefaultParagraphFont"/>
    <w:uiPriority w:val="99"/>
    <w:unhideWhenUsed/>
    <w:rsid w:val="00D529DE"/>
    <w:rPr>
      <w:color w:val="2B579A"/>
      <w:shd w:val="clear" w:color="auto" w:fill="E1DFDD"/>
    </w:rPr>
  </w:style>
  <w:style w:type="character" w:customStyle="1" w:styleId="UnresolvedMention6">
    <w:name w:val="Unresolved Mention6"/>
    <w:basedOn w:val="DefaultParagraphFont"/>
    <w:uiPriority w:val="99"/>
    <w:unhideWhenUsed/>
    <w:rsid w:val="00AD7B3E"/>
    <w:rPr>
      <w:color w:val="605E5C"/>
      <w:shd w:val="clear" w:color="auto" w:fill="E1DFDD"/>
    </w:rPr>
  </w:style>
  <w:style w:type="character" w:customStyle="1" w:styleId="Mention6">
    <w:name w:val="Mention6"/>
    <w:basedOn w:val="DefaultParagraphFont"/>
    <w:uiPriority w:val="99"/>
    <w:unhideWhenUsed/>
    <w:rsid w:val="00AD7B3E"/>
    <w:rPr>
      <w:color w:val="2B579A"/>
      <w:shd w:val="clear" w:color="auto" w:fill="E1DFDD"/>
    </w:rPr>
  </w:style>
  <w:style w:type="character" w:customStyle="1" w:styleId="Mention7">
    <w:name w:val="Mention7"/>
    <w:basedOn w:val="DefaultParagraphFont"/>
    <w:uiPriority w:val="99"/>
    <w:unhideWhenUsed/>
    <w:rsid w:val="0009314C"/>
    <w:rPr>
      <w:color w:val="2B579A"/>
      <w:shd w:val="clear" w:color="auto" w:fill="E6E6E6"/>
    </w:rPr>
  </w:style>
  <w:style w:type="character" w:customStyle="1" w:styleId="UnresolvedMention7">
    <w:name w:val="Unresolved Mention7"/>
    <w:basedOn w:val="DefaultParagraphFont"/>
    <w:uiPriority w:val="99"/>
    <w:unhideWhenUsed/>
    <w:rsid w:val="00307E93"/>
    <w:rPr>
      <w:color w:val="605E5C"/>
      <w:shd w:val="clear" w:color="auto" w:fill="E1DFDD"/>
    </w:rPr>
  </w:style>
  <w:style w:type="character" w:customStyle="1" w:styleId="UnresolvedMention8">
    <w:name w:val="Unresolved Mention8"/>
    <w:basedOn w:val="DefaultParagraphFont"/>
    <w:uiPriority w:val="99"/>
    <w:semiHidden/>
    <w:unhideWhenUsed/>
    <w:rsid w:val="00D35E74"/>
    <w:rPr>
      <w:color w:val="605E5C"/>
      <w:shd w:val="clear" w:color="auto" w:fill="E1DFDD"/>
    </w:rPr>
  </w:style>
  <w:style w:type="character" w:customStyle="1" w:styleId="Mention8">
    <w:name w:val="Mention8"/>
    <w:basedOn w:val="DefaultParagraphFont"/>
    <w:uiPriority w:val="99"/>
    <w:unhideWhenUsed/>
    <w:rsid w:val="00990A72"/>
    <w:rPr>
      <w:color w:val="2B579A"/>
      <w:shd w:val="clear" w:color="auto" w:fill="E1DFDD"/>
    </w:rPr>
  </w:style>
  <w:style w:type="character" w:customStyle="1" w:styleId="UnresolvedMention9">
    <w:name w:val="Unresolved Mention9"/>
    <w:basedOn w:val="DefaultParagraphFont"/>
    <w:uiPriority w:val="99"/>
    <w:unhideWhenUsed/>
    <w:rsid w:val="00A44438"/>
    <w:rPr>
      <w:color w:val="605E5C"/>
      <w:shd w:val="clear" w:color="auto" w:fill="E1DFDD"/>
    </w:rPr>
  </w:style>
  <w:style w:type="character" w:customStyle="1" w:styleId="Mention9">
    <w:name w:val="Mention9"/>
    <w:basedOn w:val="DefaultParagraphFont"/>
    <w:uiPriority w:val="99"/>
    <w:unhideWhenUsed/>
    <w:rsid w:val="00A44438"/>
    <w:rPr>
      <w:color w:val="2B579A"/>
      <w:shd w:val="clear" w:color="auto" w:fill="E1DFDD"/>
    </w:rPr>
  </w:style>
  <w:style w:type="character" w:customStyle="1" w:styleId="UnresolvedMention90">
    <w:name w:val="Unresolved Mention90"/>
    <w:basedOn w:val="DefaultParagraphFont"/>
    <w:uiPriority w:val="99"/>
    <w:unhideWhenUsed/>
    <w:rsid w:val="00C57370"/>
    <w:rPr>
      <w:color w:val="605E5C"/>
      <w:shd w:val="clear" w:color="auto" w:fill="E1DFDD"/>
    </w:rPr>
  </w:style>
  <w:style w:type="character" w:customStyle="1" w:styleId="Mention90">
    <w:name w:val="Mention90"/>
    <w:basedOn w:val="DefaultParagraphFont"/>
    <w:uiPriority w:val="99"/>
    <w:unhideWhenUsed/>
    <w:rsid w:val="00C57370"/>
    <w:rPr>
      <w:color w:val="2B579A"/>
      <w:shd w:val="clear" w:color="auto" w:fill="E1DFDD"/>
    </w:rPr>
  </w:style>
  <w:style w:type="character" w:customStyle="1" w:styleId="UnresolvedMention10">
    <w:name w:val="Unresolved Mention10"/>
    <w:basedOn w:val="DefaultParagraphFont"/>
    <w:uiPriority w:val="99"/>
    <w:unhideWhenUsed/>
    <w:rsid w:val="00514503"/>
    <w:rPr>
      <w:color w:val="605E5C"/>
      <w:shd w:val="clear" w:color="auto" w:fill="E1DFDD"/>
    </w:rPr>
  </w:style>
  <w:style w:type="character" w:customStyle="1" w:styleId="Mention10">
    <w:name w:val="Mention10"/>
    <w:basedOn w:val="DefaultParagraphFont"/>
    <w:uiPriority w:val="99"/>
    <w:unhideWhenUsed/>
    <w:rsid w:val="00514503"/>
    <w:rPr>
      <w:color w:val="2B579A"/>
      <w:shd w:val="clear" w:color="auto" w:fill="E1DFDD"/>
    </w:rPr>
  </w:style>
  <w:style w:type="table" w:customStyle="1" w:styleId="CV14">
    <w:name w:val="CV14"/>
    <w:basedOn w:val="TableNormal"/>
    <w:next w:val="TableGrid"/>
    <w:uiPriority w:val="39"/>
    <w:rsid w:val="005B4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
    <w:name w:val="CV15"/>
    <w:basedOn w:val="TableNormal"/>
    <w:next w:val="TableGrid"/>
    <w:uiPriority w:val="39"/>
    <w:rsid w:val="005B4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unhideWhenUsed/>
    <w:rsid w:val="00D14442"/>
    <w:rPr>
      <w:color w:val="605E5C"/>
      <w:shd w:val="clear" w:color="auto" w:fill="E1DFDD"/>
    </w:rPr>
  </w:style>
  <w:style w:type="character" w:customStyle="1" w:styleId="Mention11">
    <w:name w:val="Mention11"/>
    <w:basedOn w:val="DefaultParagraphFont"/>
    <w:uiPriority w:val="99"/>
    <w:unhideWhenUsed/>
    <w:rsid w:val="00D14442"/>
    <w:rPr>
      <w:color w:val="2B579A"/>
      <w:shd w:val="clear" w:color="auto" w:fill="E1DFDD"/>
    </w:rPr>
  </w:style>
  <w:style w:type="paragraph" w:styleId="BodyText">
    <w:name w:val="Body Text"/>
    <w:basedOn w:val="Normal"/>
    <w:link w:val="BodyTextChar"/>
    <w:unhideWhenUsed/>
    <w:qFormat/>
    <w:rsid w:val="00FA3E04"/>
    <w:pPr>
      <w:spacing w:after="120"/>
      <w:jc w:val="left"/>
    </w:pPr>
    <w:rPr>
      <w:rFonts w:asciiTheme="minorHAnsi" w:hAnsiTheme="minorHAnsi" w:cstheme="minorBidi"/>
      <w:sz w:val="22"/>
      <w:szCs w:val="22"/>
    </w:rPr>
  </w:style>
  <w:style w:type="character" w:customStyle="1" w:styleId="UnresolvedMention150">
    <w:name w:val="Unresolved Mention150"/>
    <w:basedOn w:val="DefaultParagraphFont"/>
    <w:uiPriority w:val="99"/>
    <w:unhideWhenUsed/>
    <w:rsid w:val="00FC10ED"/>
    <w:rPr>
      <w:color w:val="605E5C"/>
      <w:shd w:val="clear" w:color="auto" w:fill="E1DFDD"/>
    </w:rPr>
  </w:style>
  <w:style w:type="character" w:customStyle="1" w:styleId="Mention12">
    <w:name w:val="Mention12"/>
    <w:basedOn w:val="DefaultParagraphFont"/>
    <w:uiPriority w:val="99"/>
    <w:unhideWhenUsed/>
    <w:rsid w:val="00BC1872"/>
    <w:rPr>
      <w:color w:val="2B579A"/>
      <w:shd w:val="clear" w:color="auto" w:fill="E6E6E6"/>
    </w:rPr>
  </w:style>
  <w:style w:type="character" w:customStyle="1" w:styleId="UnresolvedMention12">
    <w:name w:val="Unresolved Mention12"/>
    <w:basedOn w:val="DefaultParagraphFont"/>
    <w:uiPriority w:val="99"/>
    <w:unhideWhenUsed/>
    <w:rsid w:val="00BC1872"/>
    <w:rPr>
      <w:color w:val="605E5C"/>
      <w:shd w:val="clear" w:color="auto" w:fill="E1DFDD"/>
    </w:rPr>
  </w:style>
  <w:style w:type="character" w:customStyle="1" w:styleId="UnresolvedMention13">
    <w:name w:val="Unresolved Mention13"/>
    <w:basedOn w:val="DefaultParagraphFont"/>
    <w:uiPriority w:val="99"/>
    <w:semiHidden/>
    <w:unhideWhenUsed/>
    <w:rsid w:val="00BC1872"/>
    <w:rPr>
      <w:color w:val="605E5C"/>
      <w:shd w:val="clear" w:color="auto" w:fill="E1DFDD"/>
    </w:rPr>
  </w:style>
  <w:style w:type="character" w:customStyle="1" w:styleId="Mention13">
    <w:name w:val="Mention13"/>
    <w:basedOn w:val="DefaultParagraphFont"/>
    <w:uiPriority w:val="99"/>
    <w:unhideWhenUsed/>
    <w:rsid w:val="00BC1872"/>
    <w:rPr>
      <w:color w:val="2B579A"/>
      <w:shd w:val="clear" w:color="auto" w:fill="E6E6E6"/>
    </w:rPr>
  </w:style>
  <w:style w:type="table" w:customStyle="1" w:styleId="AmecFosterWheelerReportTableBW">
    <w:name w:val="Amec Foster Wheeler Report Table B+W"/>
    <w:basedOn w:val="TableNormal"/>
    <w:uiPriority w:val="99"/>
    <w:qFormat/>
    <w:rsid w:val="00BC1872"/>
    <w:pPr>
      <w:spacing w:after="0" w:line="240" w:lineRule="auto"/>
    </w:pPr>
    <w:rPr>
      <w:rFonts w:ascii="Arial" w:hAnsi="Arial"/>
      <w:color w:val="28272F"/>
      <w:sz w:val="20"/>
    </w:rPr>
    <w:tblPr>
      <w:tblStyleRowBandSize w:val="1"/>
      <w:tblStyleColBandSize w:val="1"/>
      <w:tblInd w:w="113" w:type="dxa"/>
      <w:tblBorders>
        <w:bottom w:val="single" w:sz="4" w:space="0" w:color="auto"/>
      </w:tblBorders>
      <w:tblCellMar>
        <w:top w:w="113" w:type="dxa"/>
        <w:bottom w:w="113" w:type="dxa"/>
      </w:tblCellMar>
    </w:tblPr>
    <w:tblStylePr w:type="firstRow">
      <w:pPr>
        <w:spacing w:before="0" w:after="0" w:line="240" w:lineRule="auto"/>
      </w:pPr>
      <w:rPr>
        <w:rFonts w:ascii="Arial" w:hAnsi="Arial"/>
        <w:b/>
        <w:bCs/>
        <w:color w:val="auto"/>
        <w:sz w:val="20"/>
      </w:rPr>
      <w:tblPr/>
      <w:tcPr>
        <w:tcBorders>
          <w:top w:val="single" w:sz="4" w:space="0" w:color="auto"/>
          <w:left w:val="nil"/>
          <w:bottom w:val="single" w:sz="4" w:space="0" w:color="auto"/>
          <w:right w:val="nil"/>
          <w:insideH w:val="nil"/>
          <w:insideV w:val="nil"/>
          <w:tl2br w:val="nil"/>
          <w:tr2bl w:val="nil"/>
        </w:tcBorders>
      </w:tcPr>
    </w:tblStylePr>
    <w:tblStylePr w:type="lastRow">
      <w:pPr>
        <w:spacing w:before="0" w:after="0" w:line="240" w:lineRule="auto"/>
      </w:pPr>
      <w:rPr>
        <w:b/>
        <w:bCs/>
      </w:rPr>
      <w:tblPr/>
      <w:tcPr>
        <w:tcBorders>
          <w:top w:val="single" w:sz="8" w:space="0" w:color="36353F"/>
          <w:left w:val="nil"/>
          <w:bottom w:val="single" w:sz="8" w:space="0" w:color="3635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cPr>
    </w:tblStylePr>
    <w:tblStylePr w:type="band2Vert">
      <w:tblPr/>
      <w:tcPr>
        <w:shd w:val="clear" w:color="auto" w:fill="FFFFFF"/>
      </w:tcPr>
    </w:tblStylePr>
    <w:tblStylePr w:type="band1Horz">
      <w:tblPr/>
      <w:tcPr>
        <w:tcBorders>
          <w:left w:val="nil"/>
          <w:right w:val="nil"/>
          <w:insideH w:val="nil"/>
          <w:insideV w:val="nil"/>
        </w:tcBorders>
        <w:shd w:val="clear" w:color="auto" w:fill="EAEAEA"/>
      </w:tcPr>
    </w:tblStylePr>
    <w:tblStylePr w:type="band2Horz">
      <w:tblPr/>
      <w:tcPr>
        <w:shd w:val="clear" w:color="auto" w:fill="FFFFFF"/>
      </w:tcPr>
    </w:tblStylePr>
  </w:style>
  <w:style w:type="character" w:customStyle="1" w:styleId="Mention14">
    <w:name w:val="Mention14"/>
    <w:basedOn w:val="DefaultParagraphFont"/>
    <w:uiPriority w:val="99"/>
    <w:unhideWhenUsed/>
    <w:rsid w:val="00BC1872"/>
    <w:rPr>
      <w:color w:val="2B579A"/>
      <w:shd w:val="clear" w:color="auto" w:fill="E1DFDD"/>
    </w:rPr>
  </w:style>
  <w:style w:type="character" w:customStyle="1" w:styleId="UnresolvedMention14">
    <w:name w:val="Unresolved Mention14"/>
    <w:basedOn w:val="DefaultParagraphFont"/>
    <w:uiPriority w:val="99"/>
    <w:unhideWhenUsed/>
    <w:rsid w:val="00BC1872"/>
    <w:rPr>
      <w:color w:val="605E5C"/>
      <w:shd w:val="clear" w:color="auto" w:fill="E1DFDD"/>
    </w:rPr>
  </w:style>
  <w:style w:type="character" w:customStyle="1" w:styleId="UnresolvedMention140">
    <w:name w:val="Unresolved Mention140"/>
    <w:basedOn w:val="DefaultParagraphFont"/>
    <w:uiPriority w:val="99"/>
    <w:unhideWhenUsed/>
    <w:rsid w:val="00BC1872"/>
    <w:rPr>
      <w:color w:val="605E5C"/>
      <w:shd w:val="clear" w:color="auto" w:fill="E1DFDD"/>
    </w:rPr>
  </w:style>
  <w:style w:type="character" w:customStyle="1" w:styleId="Mention140">
    <w:name w:val="Mention140"/>
    <w:basedOn w:val="DefaultParagraphFont"/>
    <w:uiPriority w:val="99"/>
    <w:unhideWhenUsed/>
    <w:rsid w:val="00BC1872"/>
    <w:rPr>
      <w:color w:val="2B579A"/>
      <w:shd w:val="clear" w:color="auto" w:fill="E1DFDD"/>
    </w:rPr>
  </w:style>
  <w:style w:type="character" w:customStyle="1" w:styleId="UnresolvedMention15">
    <w:name w:val="Unresolved Mention15"/>
    <w:basedOn w:val="DefaultParagraphFont"/>
    <w:uiPriority w:val="99"/>
    <w:semiHidden/>
    <w:unhideWhenUsed/>
    <w:rsid w:val="00E40997"/>
    <w:rPr>
      <w:color w:val="605E5C"/>
      <w:shd w:val="clear" w:color="auto" w:fill="E1DFDD"/>
    </w:rPr>
  </w:style>
  <w:style w:type="paragraph" w:customStyle="1" w:styleId="JRCText">
    <w:name w:val="JRC_Text"/>
    <w:basedOn w:val="Normal"/>
    <w:link w:val="JRCTextChar"/>
    <w:qFormat/>
    <w:rsid w:val="00BC1872"/>
    <w:pPr>
      <w:spacing w:before="120" w:after="120"/>
    </w:pPr>
    <w:rPr>
      <w:rFonts w:ascii="EC Square Sans Pro" w:eastAsia="Calibri" w:hAnsi="EC Square Sans Pro"/>
      <w:sz w:val="20"/>
      <w:szCs w:val="22"/>
    </w:rPr>
  </w:style>
  <w:style w:type="paragraph" w:customStyle="1" w:styleId="JRCLevel-2title">
    <w:name w:val="JRC_Level-2_title"/>
    <w:basedOn w:val="Heading2"/>
    <w:next w:val="JRCText"/>
    <w:qFormat/>
    <w:rsid w:val="00BC1872"/>
    <w:pPr>
      <w:keepLines/>
      <w:spacing w:before="240" w:after="120"/>
      <w:ind w:left="576" w:hanging="576"/>
    </w:pPr>
    <w:rPr>
      <w:rFonts w:ascii="EC Square Sans Pro" w:hAnsi="EC Square Sans Pro"/>
      <w:bCs/>
      <w:iCs/>
      <w:szCs w:val="26"/>
    </w:rPr>
  </w:style>
  <w:style w:type="paragraph" w:customStyle="1" w:styleId="JRCLevel-1title">
    <w:name w:val="JRC_Level-1_title"/>
    <w:basedOn w:val="Heading1"/>
    <w:next w:val="JRCText"/>
    <w:qFormat/>
    <w:rsid w:val="00B74F3E"/>
    <w:pPr>
      <w:keepLines/>
      <w:pageBreakBefore/>
      <w:spacing w:before="0" w:after="120"/>
      <w:ind w:left="432" w:hanging="432"/>
      <w:jc w:val="left"/>
    </w:pPr>
    <w:rPr>
      <w:rFonts w:ascii="EC Square Sans Pro" w:eastAsia="Tahoma" w:hAnsi="EC Square Sans Pro"/>
      <w:smallCaps w:val="0"/>
      <w:sz w:val="26"/>
      <w:szCs w:val="24"/>
    </w:rPr>
  </w:style>
  <w:style w:type="paragraph" w:customStyle="1" w:styleId="JRCLevel-4title">
    <w:name w:val="JRC_Level-4_title"/>
    <w:basedOn w:val="Normal"/>
    <w:next w:val="JRCText"/>
    <w:qFormat/>
    <w:rsid w:val="00BC1872"/>
    <w:pPr>
      <w:keepNext/>
      <w:keepLines/>
      <w:spacing w:before="240" w:after="120"/>
      <w:ind w:left="1572" w:hanging="864"/>
      <w:jc w:val="left"/>
    </w:pPr>
    <w:rPr>
      <w:rFonts w:ascii="EC Square Sans Pro" w:eastAsia="Times New Roman" w:hAnsi="EC Square Sans Pro"/>
      <w:b/>
      <w:i/>
      <w:sz w:val="20"/>
      <w:szCs w:val="22"/>
      <w:lang w:eastAsia="en-GB"/>
    </w:rPr>
  </w:style>
  <w:style w:type="paragraph" w:customStyle="1" w:styleId="JRCLevel-3title">
    <w:name w:val="JRC_Level-3_title"/>
    <w:basedOn w:val="Heading3"/>
    <w:next w:val="JRCText"/>
    <w:qFormat/>
    <w:rsid w:val="00BC1872"/>
    <w:pPr>
      <w:keepLines/>
      <w:tabs>
        <w:tab w:val="clear" w:pos="1920"/>
      </w:tabs>
      <w:spacing w:before="240" w:after="120"/>
      <w:ind w:left="720"/>
    </w:pPr>
    <w:rPr>
      <w:rFonts w:ascii="EC Square Sans Pro" w:hAnsi="EC Square Sans Pro"/>
      <w:b/>
      <w:bCs/>
      <w:i w:val="0"/>
      <w:sz w:val="22"/>
      <w:szCs w:val="24"/>
    </w:rPr>
  </w:style>
  <w:style w:type="paragraph" w:customStyle="1" w:styleId="JRCLevel-5title">
    <w:name w:val="JRC_Level-5_title"/>
    <w:basedOn w:val="Normal"/>
    <w:next w:val="JRCText"/>
    <w:qFormat/>
    <w:rsid w:val="00BC1872"/>
    <w:pPr>
      <w:keepNext/>
      <w:keepLines/>
      <w:spacing w:before="200" w:after="0"/>
      <w:ind w:left="1008" w:hanging="1008"/>
      <w:jc w:val="left"/>
      <w:outlineLvl w:val="4"/>
    </w:pPr>
    <w:rPr>
      <w:rFonts w:ascii="EC Square Sans Pro" w:eastAsia="Times New Roman" w:hAnsi="EC Square Sans Pro"/>
      <w:sz w:val="20"/>
      <w:szCs w:val="22"/>
      <w:lang w:eastAsia="en-GB"/>
    </w:rPr>
  </w:style>
  <w:style w:type="paragraph" w:customStyle="1" w:styleId="JRCLevel-2Backtitle">
    <w:name w:val="JRC_Level-2_Back_title"/>
    <w:basedOn w:val="Normal"/>
    <w:next w:val="JRCText"/>
    <w:link w:val="JRCLevel-2BacktitleChar"/>
    <w:qFormat/>
    <w:rsid w:val="00BC1872"/>
    <w:pPr>
      <w:keepNext/>
      <w:spacing w:before="120" w:after="120"/>
      <w:jc w:val="left"/>
      <w:outlineLvl w:val="1"/>
    </w:pPr>
    <w:rPr>
      <w:rFonts w:ascii="EC Square Sans Pro" w:eastAsia="Calibri" w:hAnsi="EC Square Sans Pro"/>
      <w:b/>
      <w:sz w:val="20"/>
      <w:szCs w:val="22"/>
    </w:rPr>
  </w:style>
  <w:style w:type="character" w:customStyle="1" w:styleId="JRCLevel-2BacktitleChar">
    <w:name w:val="JRC_Level-2_Back_title Char"/>
    <w:link w:val="JRCLevel-2Backtitle"/>
    <w:rsid w:val="00BC1872"/>
    <w:rPr>
      <w:rFonts w:ascii="EC Square Sans Pro" w:eastAsia="Calibri" w:hAnsi="EC Square Sans Pro" w:cs="Times New Roman"/>
      <w:b/>
      <w:sz w:val="20"/>
    </w:rPr>
  </w:style>
  <w:style w:type="paragraph" w:customStyle="1" w:styleId="JRCBoxtitle">
    <w:name w:val="JRC_Box_title"/>
    <w:basedOn w:val="Normal"/>
    <w:qFormat/>
    <w:rsid w:val="00BC1872"/>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rFonts w:ascii="EC Square Sans Pro" w:eastAsia="Times New Roman" w:hAnsi="EC Square Sans Pro"/>
      <w:sz w:val="18"/>
      <w:szCs w:val="22"/>
      <w:lang w:eastAsia="en-GB"/>
    </w:rPr>
  </w:style>
  <w:style w:type="table" w:customStyle="1" w:styleId="TableGrid4">
    <w:name w:val="Table Grid4"/>
    <w:basedOn w:val="TableNormal"/>
    <w:next w:val="TableGrid"/>
    <w:rsid w:val="00BC187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FA3E04"/>
  </w:style>
  <w:style w:type="paragraph" w:customStyle="1" w:styleId="pf0">
    <w:name w:val="pf0"/>
    <w:basedOn w:val="Normal"/>
    <w:rsid w:val="00FA3E04"/>
    <w:pPr>
      <w:spacing w:before="100" w:beforeAutospacing="1" w:after="100" w:afterAutospacing="1"/>
      <w:jc w:val="left"/>
    </w:pPr>
    <w:rPr>
      <w:rFonts w:eastAsia="Times New Roman"/>
      <w:lang w:eastAsia="en-GB"/>
    </w:rPr>
  </w:style>
  <w:style w:type="character" w:customStyle="1" w:styleId="cf01">
    <w:name w:val="cf01"/>
    <w:basedOn w:val="DefaultParagraphFont"/>
    <w:rsid w:val="00FA3E04"/>
    <w:rPr>
      <w:rFonts w:ascii="Segoe UI" w:hAnsi="Segoe UI" w:cs="Segoe UI" w:hint="default"/>
      <w:sz w:val="18"/>
      <w:szCs w:val="18"/>
    </w:rPr>
  </w:style>
  <w:style w:type="character" w:customStyle="1" w:styleId="Mention15">
    <w:name w:val="Mention15"/>
    <w:basedOn w:val="DefaultParagraphFont"/>
    <w:uiPriority w:val="99"/>
    <w:unhideWhenUsed/>
    <w:rsid w:val="00E013A0"/>
    <w:rPr>
      <w:color w:val="2B579A"/>
      <w:shd w:val="clear" w:color="auto" w:fill="E1DFDD"/>
    </w:rPr>
  </w:style>
  <w:style w:type="character" w:customStyle="1" w:styleId="UnresolvedMention16">
    <w:name w:val="Unresolved Mention16"/>
    <w:basedOn w:val="DefaultParagraphFont"/>
    <w:uiPriority w:val="99"/>
    <w:unhideWhenUsed/>
    <w:rsid w:val="00E013A0"/>
    <w:rPr>
      <w:color w:val="605E5C"/>
      <w:shd w:val="clear" w:color="auto" w:fill="E1DFDD"/>
    </w:rPr>
  </w:style>
  <w:style w:type="character" w:customStyle="1" w:styleId="Mention16">
    <w:name w:val="Mention16"/>
    <w:basedOn w:val="DefaultParagraphFont"/>
    <w:uiPriority w:val="99"/>
    <w:unhideWhenUsed/>
    <w:rsid w:val="00D072DF"/>
    <w:rPr>
      <w:color w:val="2B579A"/>
      <w:shd w:val="clear" w:color="auto" w:fill="E1DFDD"/>
    </w:rPr>
  </w:style>
  <w:style w:type="character" w:customStyle="1" w:styleId="UnresolvedMention17">
    <w:name w:val="Unresolved Mention17"/>
    <w:basedOn w:val="DefaultParagraphFont"/>
    <w:uiPriority w:val="99"/>
    <w:unhideWhenUsed/>
    <w:rsid w:val="00BE5511"/>
    <w:rPr>
      <w:color w:val="605E5C"/>
      <w:shd w:val="clear" w:color="auto" w:fill="E1DFDD"/>
    </w:rPr>
  </w:style>
  <w:style w:type="character" w:customStyle="1" w:styleId="Mention160">
    <w:name w:val="Mention160"/>
    <w:basedOn w:val="DefaultParagraphFont"/>
    <w:uiPriority w:val="99"/>
    <w:unhideWhenUsed/>
    <w:rsid w:val="00983BC2"/>
    <w:rPr>
      <w:color w:val="2B579A"/>
      <w:shd w:val="clear" w:color="auto" w:fill="E1DFDD"/>
    </w:rPr>
  </w:style>
  <w:style w:type="character" w:customStyle="1" w:styleId="UnresolvedMention170">
    <w:name w:val="Unresolved Mention170"/>
    <w:basedOn w:val="DefaultParagraphFont"/>
    <w:uiPriority w:val="99"/>
    <w:unhideWhenUsed/>
    <w:rsid w:val="00983BC2"/>
    <w:rPr>
      <w:color w:val="605E5C"/>
      <w:shd w:val="clear" w:color="auto" w:fill="E1DFDD"/>
    </w:rPr>
  </w:style>
  <w:style w:type="character" w:customStyle="1" w:styleId="Mention17">
    <w:name w:val="Mention17"/>
    <w:basedOn w:val="DefaultParagraphFont"/>
    <w:uiPriority w:val="99"/>
    <w:unhideWhenUsed/>
    <w:rsid w:val="00FD63DE"/>
    <w:rPr>
      <w:color w:val="2B579A"/>
      <w:shd w:val="clear" w:color="auto" w:fill="E6E6E6"/>
    </w:rPr>
  </w:style>
  <w:style w:type="character" w:customStyle="1" w:styleId="UnresolvedMention18">
    <w:name w:val="Unresolved Mention18"/>
    <w:basedOn w:val="DefaultParagraphFont"/>
    <w:uiPriority w:val="99"/>
    <w:unhideWhenUsed/>
    <w:rsid w:val="0020790D"/>
    <w:rPr>
      <w:color w:val="605E5C"/>
      <w:shd w:val="clear" w:color="auto" w:fill="E1DFDD"/>
    </w:rPr>
  </w:style>
  <w:style w:type="character" w:customStyle="1" w:styleId="UnresolvedMention19">
    <w:name w:val="Unresolved Mention19"/>
    <w:basedOn w:val="DefaultParagraphFont"/>
    <w:uiPriority w:val="99"/>
    <w:semiHidden/>
    <w:unhideWhenUsed/>
    <w:rsid w:val="0068463B"/>
    <w:rPr>
      <w:color w:val="605E5C"/>
      <w:shd w:val="clear" w:color="auto" w:fill="E1DFDD"/>
    </w:rPr>
  </w:style>
  <w:style w:type="character" w:customStyle="1" w:styleId="UnresolvedMention20">
    <w:name w:val="Unresolved Mention20"/>
    <w:basedOn w:val="DefaultParagraphFont"/>
    <w:uiPriority w:val="99"/>
    <w:semiHidden/>
    <w:unhideWhenUsed/>
    <w:rsid w:val="00534624"/>
    <w:rPr>
      <w:color w:val="605E5C"/>
      <w:shd w:val="clear" w:color="auto" w:fill="E1DFDD"/>
    </w:rPr>
  </w:style>
  <w:style w:type="character" w:customStyle="1" w:styleId="Mention18">
    <w:name w:val="Mention18"/>
    <w:basedOn w:val="DefaultParagraphFont"/>
    <w:uiPriority w:val="99"/>
    <w:unhideWhenUsed/>
    <w:rsid w:val="00534624"/>
    <w:rPr>
      <w:color w:val="2B579A"/>
      <w:shd w:val="clear" w:color="auto" w:fill="E6E6E6"/>
    </w:rPr>
  </w:style>
  <w:style w:type="paragraph" w:customStyle="1" w:styleId="JRCFigurecaption">
    <w:name w:val="JRC_Figure_caption"/>
    <w:basedOn w:val="Normal"/>
    <w:next w:val="JRCText"/>
    <w:autoRedefine/>
    <w:qFormat/>
    <w:rsid w:val="003223DD"/>
    <w:pPr>
      <w:spacing w:before="120" w:after="120"/>
    </w:pPr>
    <w:rPr>
      <w:rFonts w:eastAsia="Calibri"/>
      <w:i/>
    </w:rPr>
  </w:style>
  <w:style w:type="paragraph" w:customStyle="1" w:styleId="JRCFiguresource">
    <w:name w:val="JRC_Figure_source"/>
    <w:basedOn w:val="Normal"/>
    <w:next w:val="JRCText"/>
    <w:autoRedefine/>
    <w:qFormat/>
    <w:rsid w:val="00F54798"/>
    <w:pPr>
      <w:spacing w:after="360"/>
      <w:jc w:val="center"/>
    </w:pPr>
    <w:rPr>
      <w:rFonts w:eastAsia="Times New Roman"/>
      <w:sz w:val="22"/>
      <w:szCs w:val="22"/>
    </w:rPr>
  </w:style>
  <w:style w:type="paragraph" w:customStyle="1" w:styleId="JRCTablesource">
    <w:name w:val="JRC_Table_source"/>
    <w:basedOn w:val="Normal"/>
    <w:next w:val="JRCText"/>
    <w:autoRedefine/>
    <w:qFormat/>
    <w:rsid w:val="00017476"/>
    <w:pPr>
      <w:spacing w:after="120"/>
    </w:pPr>
    <w:rPr>
      <w:rFonts w:ascii="EC Square Sans Pro" w:eastAsia="Times New Roman" w:hAnsi="EC Square Sans Pro"/>
      <w:sz w:val="20"/>
      <w:szCs w:val="28"/>
      <w:lang w:eastAsia="en-GB"/>
    </w:rPr>
  </w:style>
  <w:style w:type="paragraph" w:customStyle="1" w:styleId="JRCTabletitle">
    <w:name w:val="JRC_Table_title"/>
    <w:basedOn w:val="Normal"/>
    <w:autoRedefine/>
    <w:qFormat/>
    <w:rsid w:val="00A626F9"/>
    <w:pPr>
      <w:keepNext/>
      <w:spacing w:before="240" w:after="120"/>
      <w:jc w:val="center"/>
    </w:pPr>
    <w:rPr>
      <w:rFonts w:ascii="EC Square Sans Pro" w:eastAsia="Calibri" w:hAnsi="EC Square Sans Pro"/>
      <w:b/>
      <w:bCs/>
      <w:color w:val="000000"/>
      <w:sz w:val="18"/>
      <w:szCs w:val="22"/>
      <w:lang w:val="en-AU"/>
    </w:rPr>
  </w:style>
  <w:style w:type="character" w:customStyle="1" w:styleId="superscript">
    <w:name w:val="superscript"/>
    <w:basedOn w:val="DefaultParagraphFont"/>
    <w:rsid w:val="00A626F9"/>
  </w:style>
  <w:style w:type="table" w:styleId="GridTable1Light-Accent2">
    <w:name w:val="Grid Table 1 Light Accent 2"/>
    <w:basedOn w:val="TableNormal"/>
    <w:uiPriority w:val="46"/>
    <w:rsid w:val="00FC7F41"/>
    <w:pPr>
      <w:spacing w:after="0" w:line="240" w:lineRule="auto"/>
    </w:pPr>
    <w:rPr>
      <w:lang w:val="fr-CA" w:eastAsia="fr-CA"/>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EndnoteTextChar1">
    <w:name w:val="Endnote Text Char1"/>
    <w:basedOn w:val="DefaultParagraphFont"/>
    <w:uiPriority w:val="99"/>
    <w:semiHidden/>
    <w:rsid w:val="00FC7F41"/>
    <w:rPr>
      <w:sz w:val="20"/>
      <w:szCs w:val="20"/>
    </w:rPr>
  </w:style>
  <w:style w:type="paragraph" w:customStyle="1" w:styleId="StyleNumbering">
    <w:name w:val="Style Numbering"/>
    <w:basedOn w:val="ListParagraph"/>
    <w:qFormat/>
    <w:rsid w:val="00FC7F41"/>
    <w:pPr>
      <w:numPr>
        <w:numId w:val="43"/>
      </w:numPr>
      <w:tabs>
        <w:tab w:val="left" w:pos="357"/>
        <w:tab w:val="left" w:pos="720"/>
      </w:tabs>
      <w:spacing w:before="120" w:after="120"/>
      <w:jc w:val="left"/>
    </w:pPr>
    <w:rPr>
      <w:rFonts w:asciiTheme="minorHAnsi" w:eastAsia="Times New Roman" w:hAnsiTheme="minorHAnsi" w:cs="Arial"/>
      <w:lang w:eastAsia="en-GB"/>
    </w:rPr>
  </w:style>
  <w:style w:type="character" w:styleId="IntenseEmphasis">
    <w:name w:val="Intense Emphasis"/>
    <w:basedOn w:val="DefaultParagraphFont"/>
    <w:uiPriority w:val="21"/>
    <w:qFormat/>
    <w:rsid w:val="00FC7F41"/>
    <w:rPr>
      <w:i/>
      <w:iCs/>
      <w:color w:val="4F81BD" w:themeColor="accent1"/>
    </w:rPr>
  </w:style>
  <w:style w:type="character" w:customStyle="1" w:styleId="UnresolvedMention21">
    <w:name w:val="Unresolved Mention21"/>
    <w:basedOn w:val="DefaultParagraphFont"/>
    <w:uiPriority w:val="99"/>
    <w:unhideWhenUsed/>
    <w:rsid w:val="00A847E0"/>
    <w:rPr>
      <w:color w:val="605E5C"/>
      <w:shd w:val="clear" w:color="auto" w:fill="E1DFDD"/>
    </w:rPr>
  </w:style>
  <w:style w:type="character" w:customStyle="1" w:styleId="Mention19">
    <w:name w:val="Mention19"/>
    <w:basedOn w:val="DefaultParagraphFont"/>
    <w:uiPriority w:val="99"/>
    <w:unhideWhenUsed/>
    <w:rsid w:val="00A847E0"/>
    <w:rPr>
      <w:color w:val="2B579A"/>
      <w:shd w:val="clear" w:color="auto" w:fill="E1DFDD"/>
    </w:rPr>
  </w:style>
  <w:style w:type="character" w:customStyle="1" w:styleId="Mention20">
    <w:name w:val="Mention20"/>
    <w:basedOn w:val="DefaultParagraphFont"/>
    <w:uiPriority w:val="99"/>
    <w:unhideWhenUsed/>
    <w:rsid w:val="008B7BBA"/>
    <w:rPr>
      <w:color w:val="2B579A"/>
      <w:shd w:val="clear" w:color="auto" w:fill="E1DFDD"/>
    </w:rPr>
  </w:style>
  <w:style w:type="character" w:customStyle="1" w:styleId="Mention200">
    <w:name w:val="Mention200"/>
    <w:basedOn w:val="DefaultParagraphFont"/>
    <w:uiPriority w:val="99"/>
    <w:unhideWhenUsed/>
    <w:rsid w:val="00F33072"/>
    <w:rPr>
      <w:color w:val="2B579A"/>
      <w:shd w:val="clear" w:color="auto" w:fill="E6E6E6"/>
    </w:rPr>
  </w:style>
  <w:style w:type="character" w:customStyle="1" w:styleId="UnresolvedMention22">
    <w:name w:val="Unresolved Mention22"/>
    <w:basedOn w:val="DefaultParagraphFont"/>
    <w:uiPriority w:val="99"/>
    <w:unhideWhenUsed/>
    <w:rsid w:val="00845D72"/>
    <w:rPr>
      <w:color w:val="605E5C"/>
      <w:shd w:val="clear" w:color="auto" w:fill="E1DFDD"/>
    </w:rPr>
  </w:style>
  <w:style w:type="character" w:customStyle="1" w:styleId="Mention21">
    <w:name w:val="Mention21"/>
    <w:basedOn w:val="DefaultParagraphFont"/>
    <w:uiPriority w:val="99"/>
    <w:unhideWhenUsed/>
    <w:rsid w:val="00845D72"/>
    <w:rPr>
      <w:color w:val="2B579A"/>
      <w:shd w:val="clear" w:color="auto" w:fill="E1DFDD"/>
    </w:rPr>
  </w:style>
  <w:style w:type="character" w:customStyle="1" w:styleId="UnresolvedMention23">
    <w:name w:val="Unresolved Mention23"/>
    <w:basedOn w:val="DefaultParagraphFont"/>
    <w:uiPriority w:val="99"/>
    <w:unhideWhenUsed/>
    <w:rsid w:val="00E9737E"/>
    <w:rPr>
      <w:color w:val="605E5C"/>
      <w:shd w:val="clear" w:color="auto" w:fill="E1DFDD"/>
    </w:rPr>
  </w:style>
  <w:style w:type="character" w:customStyle="1" w:styleId="Mention22">
    <w:name w:val="Mention22"/>
    <w:basedOn w:val="DefaultParagraphFont"/>
    <w:uiPriority w:val="99"/>
    <w:unhideWhenUsed/>
    <w:rsid w:val="00E9737E"/>
    <w:rPr>
      <w:color w:val="2B579A"/>
      <w:shd w:val="clear" w:color="auto" w:fill="E1DFDD"/>
    </w:rPr>
  </w:style>
  <w:style w:type="character" w:customStyle="1" w:styleId="UnresolvedMention24">
    <w:name w:val="Unresolved Mention24"/>
    <w:basedOn w:val="DefaultParagraphFont"/>
    <w:uiPriority w:val="99"/>
    <w:unhideWhenUsed/>
    <w:rsid w:val="00B11888"/>
    <w:rPr>
      <w:color w:val="605E5C"/>
      <w:shd w:val="clear" w:color="auto" w:fill="E1DFDD"/>
    </w:rPr>
  </w:style>
  <w:style w:type="character" w:customStyle="1" w:styleId="Mention23">
    <w:name w:val="Mention23"/>
    <w:basedOn w:val="DefaultParagraphFont"/>
    <w:uiPriority w:val="99"/>
    <w:unhideWhenUsed/>
    <w:rsid w:val="00B11888"/>
    <w:rPr>
      <w:color w:val="2B579A"/>
      <w:shd w:val="clear" w:color="auto" w:fill="E1DFDD"/>
    </w:rPr>
  </w:style>
  <w:style w:type="character" w:customStyle="1" w:styleId="UnresolvedMention25">
    <w:name w:val="Unresolved Mention25"/>
    <w:basedOn w:val="DefaultParagraphFont"/>
    <w:uiPriority w:val="99"/>
    <w:unhideWhenUsed/>
    <w:rsid w:val="00140502"/>
    <w:rPr>
      <w:color w:val="605E5C"/>
      <w:shd w:val="clear" w:color="auto" w:fill="E1DFDD"/>
    </w:rPr>
  </w:style>
  <w:style w:type="character" w:customStyle="1" w:styleId="Mention24">
    <w:name w:val="Mention24"/>
    <w:basedOn w:val="DefaultParagraphFont"/>
    <w:uiPriority w:val="99"/>
    <w:unhideWhenUsed/>
    <w:rsid w:val="00140502"/>
    <w:rPr>
      <w:color w:val="2B579A"/>
      <w:shd w:val="clear" w:color="auto" w:fill="E1DFDD"/>
    </w:rPr>
  </w:style>
  <w:style w:type="character" w:customStyle="1" w:styleId="UnresolvedMention26">
    <w:name w:val="Unresolved Mention26"/>
    <w:basedOn w:val="DefaultParagraphFont"/>
    <w:uiPriority w:val="99"/>
    <w:unhideWhenUsed/>
    <w:rsid w:val="00AF6115"/>
    <w:rPr>
      <w:color w:val="605E5C"/>
      <w:shd w:val="clear" w:color="auto" w:fill="E1DFDD"/>
    </w:rPr>
  </w:style>
  <w:style w:type="character" w:customStyle="1" w:styleId="Mention25">
    <w:name w:val="Mention25"/>
    <w:basedOn w:val="DefaultParagraphFont"/>
    <w:uiPriority w:val="99"/>
    <w:unhideWhenUsed/>
    <w:rsid w:val="00AF6115"/>
    <w:rPr>
      <w:color w:val="2B579A"/>
      <w:shd w:val="clear" w:color="auto" w:fill="E1DFDD"/>
    </w:rPr>
  </w:style>
  <w:style w:type="character" w:customStyle="1" w:styleId="Mention26">
    <w:name w:val="Mention26"/>
    <w:basedOn w:val="DefaultParagraphFont"/>
    <w:uiPriority w:val="99"/>
    <w:unhideWhenUsed/>
    <w:rsid w:val="00AB2F8D"/>
    <w:rPr>
      <w:color w:val="2B579A"/>
      <w:shd w:val="clear" w:color="auto" w:fill="E6E6E6"/>
    </w:rPr>
  </w:style>
  <w:style w:type="character" w:customStyle="1" w:styleId="UnresolvedMention27">
    <w:name w:val="Unresolved Mention27"/>
    <w:basedOn w:val="DefaultParagraphFont"/>
    <w:uiPriority w:val="99"/>
    <w:unhideWhenUsed/>
    <w:rsid w:val="00AB2F8D"/>
    <w:rPr>
      <w:color w:val="605E5C"/>
      <w:shd w:val="clear" w:color="auto" w:fill="E1DFDD"/>
    </w:rPr>
  </w:style>
  <w:style w:type="character" w:customStyle="1" w:styleId="Mention270">
    <w:name w:val="Mention270"/>
    <w:basedOn w:val="DefaultParagraphFont"/>
    <w:uiPriority w:val="99"/>
    <w:unhideWhenUsed/>
    <w:rsid w:val="00E61A39"/>
    <w:rPr>
      <w:color w:val="2B579A"/>
      <w:shd w:val="clear" w:color="auto" w:fill="E1DFDD"/>
    </w:rPr>
  </w:style>
  <w:style w:type="character" w:customStyle="1" w:styleId="JRCTextChar">
    <w:name w:val="JRC_Text Char"/>
    <w:basedOn w:val="DefaultParagraphFont"/>
    <w:link w:val="JRCText"/>
    <w:rsid w:val="001111FA"/>
    <w:rPr>
      <w:rFonts w:ascii="EC Square Sans Pro" w:eastAsia="Calibri" w:hAnsi="EC Square Sans Pro" w:cs="Times New Roman"/>
      <w:sz w:val="20"/>
    </w:rPr>
  </w:style>
  <w:style w:type="character" w:customStyle="1" w:styleId="UnresolvedMention280">
    <w:name w:val="Unresolved Mention280"/>
    <w:basedOn w:val="DefaultParagraphFont"/>
    <w:uiPriority w:val="99"/>
    <w:unhideWhenUsed/>
    <w:rsid w:val="00E61A39"/>
    <w:rPr>
      <w:color w:val="605E5C"/>
      <w:shd w:val="clear" w:color="auto" w:fill="E1DFDD"/>
    </w:rPr>
  </w:style>
  <w:style w:type="character" w:customStyle="1" w:styleId="UnresolvedMention28">
    <w:name w:val="Unresolved Mention28"/>
    <w:basedOn w:val="DefaultParagraphFont"/>
    <w:uiPriority w:val="99"/>
    <w:unhideWhenUsed/>
    <w:rsid w:val="002D0669"/>
    <w:rPr>
      <w:color w:val="605E5C"/>
      <w:shd w:val="clear" w:color="auto" w:fill="E1DFDD"/>
    </w:rPr>
  </w:style>
  <w:style w:type="character" w:customStyle="1" w:styleId="Mention27">
    <w:name w:val="Mention27"/>
    <w:basedOn w:val="DefaultParagraphFont"/>
    <w:uiPriority w:val="99"/>
    <w:unhideWhenUsed/>
    <w:rsid w:val="002D0669"/>
    <w:rPr>
      <w:color w:val="2B579A"/>
      <w:shd w:val="clear" w:color="auto" w:fill="E1DFDD"/>
    </w:rPr>
  </w:style>
  <w:style w:type="table" w:customStyle="1" w:styleId="PlainTable11">
    <w:name w:val="Plain Table 11"/>
    <w:basedOn w:val="TableNormal"/>
    <w:next w:val="PlainTable1"/>
    <w:uiPriority w:val="41"/>
    <w:rsid w:val="002D0669"/>
    <w:pPr>
      <w:spacing w:after="0" w:line="240" w:lineRule="auto"/>
    </w:pPr>
    <w:rPr>
      <w:rFonts w:ascii="Calibri" w:eastAsia="Calibri" w:hAnsi="Calibri" w:cs="Arial"/>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2700">
    <w:name w:val="Mention2700"/>
    <w:basedOn w:val="DefaultParagraphFont"/>
    <w:uiPriority w:val="99"/>
    <w:unhideWhenUsed/>
    <w:rsid w:val="008C0783"/>
    <w:rPr>
      <w:color w:val="2B579A"/>
      <w:shd w:val="clear" w:color="auto" w:fill="E1DFDD"/>
    </w:rPr>
  </w:style>
  <w:style w:type="character" w:customStyle="1" w:styleId="UnresolvedMention2800">
    <w:name w:val="Unresolved Mention2800"/>
    <w:basedOn w:val="DefaultParagraphFont"/>
    <w:uiPriority w:val="99"/>
    <w:unhideWhenUsed/>
    <w:rsid w:val="008C0783"/>
    <w:rPr>
      <w:color w:val="605E5C"/>
      <w:shd w:val="clear" w:color="auto" w:fill="E1DFDD"/>
    </w:rPr>
  </w:style>
  <w:style w:type="character" w:customStyle="1" w:styleId="Mention28">
    <w:name w:val="Mention28"/>
    <w:basedOn w:val="DefaultParagraphFont"/>
    <w:uiPriority w:val="99"/>
    <w:unhideWhenUsed/>
    <w:rsid w:val="00416C46"/>
    <w:rPr>
      <w:color w:val="2B579A"/>
      <w:shd w:val="clear" w:color="auto" w:fill="E6E6E6"/>
    </w:rPr>
  </w:style>
  <w:style w:type="character" w:customStyle="1" w:styleId="UnresolvedMention29">
    <w:name w:val="Unresolved Mention29"/>
    <w:basedOn w:val="DefaultParagraphFont"/>
    <w:uiPriority w:val="99"/>
    <w:unhideWhenUsed/>
    <w:rsid w:val="005442D1"/>
    <w:rPr>
      <w:color w:val="605E5C"/>
      <w:shd w:val="clear" w:color="auto" w:fill="E1DFDD"/>
    </w:rPr>
  </w:style>
  <w:style w:type="character" w:customStyle="1" w:styleId="Mention29">
    <w:name w:val="Mention29"/>
    <w:basedOn w:val="DefaultParagraphFont"/>
    <w:uiPriority w:val="99"/>
    <w:unhideWhenUsed/>
    <w:rsid w:val="00A34E71"/>
    <w:rPr>
      <w:color w:val="2B579A"/>
      <w:shd w:val="clear" w:color="auto" w:fill="E6E6E6"/>
    </w:rPr>
  </w:style>
  <w:style w:type="character" w:customStyle="1" w:styleId="UnresolvedMention31">
    <w:name w:val="Unresolved Mention31"/>
    <w:basedOn w:val="DefaultParagraphFont"/>
    <w:uiPriority w:val="99"/>
    <w:unhideWhenUsed/>
    <w:rsid w:val="009A27C5"/>
    <w:rPr>
      <w:color w:val="605E5C"/>
      <w:shd w:val="clear" w:color="auto" w:fill="E1DFDD"/>
    </w:rPr>
  </w:style>
  <w:style w:type="character" w:customStyle="1" w:styleId="Mention31">
    <w:name w:val="Mention31"/>
    <w:basedOn w:val="DefaultParagraphFont"/>
    <w:uiPriority w:val="99"/>
    <w:unhideWhenUsed/>
    <w:rsid w:val="00BB17FC"/>
    <w:rPr>
      <w:color w:val="2B579A"/>
      <w:shd w:val="clear" w:color="auto" w:fill="E6E6E6"/>
    </w:rPr>
  </w:style>
  <w:style w:type="character" w:customStyle="1" w:styleId="Hyperlink1">
    <w:name w:val="Hyperlink1"/>
    <w:basedOn w:val="DefaultParagraphFont"/>
    <w:uiPriority w:val="99"/>
    <w:unhideWhenUsed/>
    <w:rsid w:val="00794505"/>
    <w:rPr>
      <w:color w:val="0000FF"/>
      <w:u w:val="single"/>
    </w:rPr>
  </w:style>
  <w:style w:type="paragraph" w:customStyle="1" w:styleId="FootnoteTextEP-LC1">
    <w:name w:val="Footnote Text_EP-LC1"/>
    <w:basedOn w:val="Normal"/>
    <w:next w:val="FootnoteText"/>
    <w:uiPriority w:val="99"/>
    <w:unhideWhenUsed/>
    <w:qFormat/>
    <w:rsid w:val="00794505"/>
    <w:pPr>
      <w:spacing w:after="0"/>
    </w:pPr>
    <w:rPr>
      <w:rFonts w:eastAsia="MS Mincho" w:cstheme="minorBidi"/>
      <w:sz w:val="20"/>
      <w:szCs w:val="20"/>
    </w:rPr>
  </w:style>
  <w:style w:type="paragraph" w:customStyle="1" w:styleId="JRCAbbreviations">
    <w:name w:val="JRC_Abbreviations"/>
    <w:basedOn w:val="Normal"/>
    <w:autoRedefine/>
    <w:qFormat/>
    <w:rsid w:val="00794505"/>
    <w:pPr>
      <w:tabs>
        <w:tab w:val="left" w:pos="851"/>
      </w:tabs>
      <w:spacing w:before="120" w:after="120"/>
      <w:ind w:left="851" w:hanging="851"/>
    </w:pPr>
    <w:rPr>
      <w:rFonts w:ascii="EC Square Sans Pro" w:eastAsia="Calibri" w:hAnsi="EC Square Sans Pro"/>
      <w:sz w:val="20"/>
      <w:szCs w:val="22"/>
      <w:lang w:val="en-IE"/>
    </w:rPr>
  </w:style>
  <w:style w:type="paragraph" w:customStyle="1" w:styleId="JRCCoversubtitle">
    <w:name w:val="JRC_Cover_subtitle"/>
    <w:basedOn w:val="Normal"/>
    <w:autoRedefine/>
    <w:qFormat/>
    <w:rsid w:val="00794505"/>
    <w:pPr>
      <w:spacing w:before="120" w:after="600" w:line="400" w:lineRule="exact"/>
      <w:ind w:left="5103"/>
      <w:jc w:val="left"/>
    </w:pPr>
    <w:rPr>
      <w:rFonts w:ascii="EC Square Sans Pro" w:eastAsia="Calibri" w:hAnsi="EC Square Sans Pro"/>
      <w:i/>
      <w:sz w:val="32"/>
      <w:szCs w:val="32"/>
    </w:rPr>
  </w:style>
  <w:style w:type="paragraph" w:customStyle="1" w:styleId="JRCCovertitle">
    <w:name w:val="JRC_Cover_title"/>
    <w:basedOn w:val="Normal"/>
    <w:autoRedefine/>
    <w:qFormat/>
    <w:rsid w:val="00794505"/>
    <w:pPr>
      <w:spacing w:before="600" w:after="600" w:line="640" w:lineRule="exact"/>
      <w:ind w:left="-567"/>
      <w:jc w:val="left"/>
    </w:pPr>
    <w:rPr>
      <w:rFonts w:ascii="EC Square Sans Pro" w:eastAsia="Calibri" w:hAnsi="EC Square Sans Pro"/>
      <w:b/>
      <w:noProof/>
      <w:sz w:val="56"/>
      <w:szCs w:val="56"/>
      <w:lang w:eastAsia="en-GB"/>
    </w:rPr>
  </w:style>
  <w:style w:type="paragraph" w:customStyle="1" w:styleId="JRCEquation">
    <w:name w:val="JRC_Equation"/>
    <w:basedOn w:val="Normal"/>
    <w:next w:val="Normal"/>
    <w:autoRedefine/>
    <w:qFormat/>
    <w:rsid w:val="00794505"/>
    <w:pPr>
      <w:spacing w:before="360" w:after="360"/>
      <w:jc w:val="center"/>
    </w:pPr>
    <w:rPr>
      <w:rFonts w:ascii="EC Square Sans Pro" w:eastAsia="Calibri" w:hAnsi="EC Square Sans Pro"/>
      <w:sz w:val="20"/>
      <w:szCs w:val="22"/>
    </w:rPr>
  </w:style>
  <w:style w:type="paragraph" w:customStyle="1" w:styleId="JRCLevel-1Fronttitle">
    <w:name w:val="JRC_Level-1_Front_title"/>
    <w:basedOn w:val="Normal"/>
    <w:next w:val="Normal"/>
    <w:link w:val="JRCLevel-1FronttitleChar"/>
    <w:autoRedefine/>
    <w:qFormat/>
    <w:rsid w:val="00794505"/>
    <w:pPr>
      <w:keepNext/>
      <w:pageBreakBefore/>
      <w:spacing w:after="120"/>
      <w:jc w:val="left"/>
    </w:pPr>
    <w:rPr>
      <w:rFonts w:ascii="EC Square Sans Pro" w:eastAsia="Times New Roman" w:hAnsi="EC Square Sans Pro"/>
      <w:b/>
      <w:szCs w:val="22"/>
      <w:lang w:eastAsia="en-GB"/>
    </w:rPr>
  </w:style>
  <w:style w:type="character" w:customStyle="1" w:styleId="JRCLevel-1FronttitleChar">
    <w:name w:val="JRC_Level-1_Front_title Char"/>
    <w:link w:val="JRCLevel-1Fronttitle"/>
    <w:rsid w:val="00794505"/>
    <w:rPr>
      <w:rFonts w:ascii="EC Square Sans Pro" w:eastAsia="Times New Roman" w:hAnsi="EC Square Sans Pro" w:cs="Times New Roman"/>
      <w:b/>
      <w:sz w:val="24"/>
      <w:lang w:eastAsia="en-GB"/>
    </w:rPr>
  </w:style>
  <w:style w:type="paragraph" w:customStyle="1" w:styleId="JRCLevel-2Frontsmalltitle">
    <w:name w:val="JRC_Level-2_Front_small_title"/>
    <w:basedOn w:val="Normal"/>
    <w:next w:val="JRCText"/>
    <w:autoRedefine/>
    <w:qFormat/>
    <w:rsid w:val="00794505"/>
    <w:pPr>
      <w:keepNext/>
      <w:spacing w:before="240" w:after="120"/>
      <w:jc w:val="left"/>
    </w:pPr>
    <w:rPr>
      <w:rFonts w:ascii="EC Square Sans Pro" w:eastAsia="Calibri" w:hAnsi="EC Square Sans Pro"/>
      <w:b/>
      <w:i/>
      <w:sz w:val="20"/>
      <w:szCs w:val="22"/>
    </w:rPr>
  </w:style>
  <w:style w:type="paragraph" w:customStyle="1" w:styleId="JRCTextbulletedlist1">
    <w:name w:val="JRC_Text_bulleted_list1"/>
    <w:basedOn w:val="Normal"/>
    <w:autoRedefine/>
    <w:qFormat/>
    <w:rsid w:val="00794505"/>
    <w:pPr>
      <w:spacing w:before="120" w:after="120"/>
      <w:ind w:left="360" w:hanging="360"/>
    </w:pPr>
    <w:rPr>
      <w:rFonts w:ascii="EC Square Sans Pro" w:eastAsia="Calibri" w:hAnsi="EC Square Sans Pro"/>
      <w:sz w:val="20"/>
      <w:szCs w:val="22"/>
      <w:lang w:eastAsia="en-GB"/>
    </w:rPr>
  </w:style>
  <w:style w:type="paragraph" w:customStyle="1" w:styleId="JRCTextbulletedlist2">
    <w:name w:val="JRC_Text_bulleted_list2"/>
    <w:basedOn w:val="Normal"/>
    <w:autoRedefine/>
    <w:qFormat/>
    <w:rsid w:val="00794505"/>
    <w:pPr>
      <w:spacing w:before="120" w:after="120"/>
      <w:ind w:left="1080" w:hanging="360"/>
    </w:pPr>
    <w:rPr>
      <w:rFonts w:ascii="EC Square Sans Pro" w:eastAsia="Times New Roman" w:hAnsi="EC Square Sans Pro"/>
      <w:sz w:val="20"/>
      <w:szCs w:val="22"/>
      <w:lang w:eastAsia="en-GB"/>
    </w:rPr>
  </w:style>
  <w:style w:type="paragraph" w:customStyle="1" w:styleId="JRCLevel-1Backtitle">
    <w:name w:val="JRC_Level-1_Back_title"/>
    <w:basedOn w:val="Normal"/>
    <w:next w:val="JRCText"/>
    <w:autoRedefine/>
    <w:qFormat/>
    <w:rsid w:val="00794505"/>
    <w:pPr>
      <w:keepNext/>
      <w:pageBreakBefore/>
      <w:spacing w:after="120"/>
      <w:ind w:left="432" w:hanging="432"/>
      <w:jc w:val="left"/>
      <w:outlineLvl w:val="0"/>
    </w:pPr>
    <w:rPr>
      <w:rFonts w:ascii="EC Square Sans Pro" w:eastAsia="Verdana" w:hAnsi="EC Square Sans Pro" w:cs="Verdana"/>
      <w:b/>
      <w:szCs w:val="20"/>
      <w:lang w:val="en-IE" w:eastAsia="en-GB"/>
    </w:rPr>
  </w:style>
  <w:style w:type="paragraph" w:customStyle="1" w:styleId="JRCBoxtext">
    <w:name w:val="JRC_Box_text"/>
    <w:basedOn w:val="Normal"/>
    <w:autoRedefine/>
    <w:qFormat/>
    <w:rsid w:val="00794505"/>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pPr>
    <w:rPr>
      <w:rFonts w:ascii="EC Square Sans Pro" w:eastAsia="Times New Roman" w:hAnsi="EC Square Sans Pro"/>
      <w:sz w:val="20"/>
      <w:szCs w:val="22"/>
      <w:lang w:eastAsia="en-GB"/>
    </w:rPr>
  </w:style>
  <w:style w:type="paragraph" w:customStyle="1" w:styleId="JRCBoxbulletlist">
    <w:name w:val="JRC_Box_bullet_list"/>
    <w:basedOn w:val="Normal"/>
    <w:autoRedefine/>
    <w:qFormat/>
    <w:rsid w:val="00794505"/>
    <w:pPr>
      <w:numPr>
        <w:numId w:val="95"/>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pPr>
    <w:rPr>
      <w:rFonts w:ascii="EC Square Sans Pro" w:eastAsia="Times New Roman" w:hAnsi="EC Square Sans Pro"/>
      <w:sz w:val="20"/>
      <w:szCs w:val="22"/>
      <w:lang w:eastAsia="en-GB"/>
    </w:rPr>
  </w:style>
  <w:style w:type="paragraph" w:customStyle="1" w:styleId="JRCTextnumberedlist1">
    <w:name w:val="JRC_Text_numbered_list1"/>
    <w:basedOn w:val="Normal"/>
    <w:autoRedefine/>
    <w:qFormat/>
    <w:rsid w:val="00794505"/>
    <w:pPr>
      <w:numPr>
        <w:numId w:val="96"/>
      </w:numPr>
      <w:spacing w:before="120" w:after="120"/>
    </w:pPr>
    <w:rPr>
      <w:rFonts w:ascii="EC Square Sans Pro" w:eastAsia="Times New Roman" w:hAnsi="EC Square Sans Pro"/>
      <w:sz w:val="20"/>
      <w:szCs w:val="22"/>
      <w:lang w:eastAsia="en-GB"/>
    </w:rPr>
  </w:style>
  <w:style w:type="paragraph" w:customStyle="1" w:styleId="JRCCoverauthor">
    <w:name w:val="JRC_Cover_author"/>
    <w:basedOn w:val="Normal"/>
    <w:autoRedefine/>
    <w:qFormat/>
    <w:rsid w:val="00794505"/>
    <w:pPr>
      <w:spacing w:before="120" w:after="120"/>
      <w:jc w:val="left"/>
    </w:pPr>
    <w:rPr>
      <w:rFonts w:ascii="EC Square Sans Pro" w:eastAsia="Times New Roman" w:hAnsi="EC Square Sans Pro"/>
      <w:sz w:val="20"/>
      <w:szCs w:val="22"/>
      <w:lang w:eastAsia="en-GB"/>
    </w:rPr>
  </w:style>
  <w:style w:type="paragraph" w:customStyle="1" w:styleId="JRCCoveryear">
    <w:name w:val="JRC_Cover_year"/>
    <w:basedOn w:val="Normal"/>
    <w:rsid w:val="00794505"/>
    <w:pPr>
      <w:spacing w:after="0"/>
      <w:jc w:val="left"/>
    </w:pPr>
    <w:rPr>
      <w:rFonts w:ascii="Verdana" w:eastAsia="Times New Roman" w:hAnsi="Verdana"/>
      <w:sz w:val="20"/>
      <w:szCs w:val="22"/>
      <w:lang w:eastAsia="en-GB"/>
    </w:rPr>
  </w:style>
  <w:style w:type="paragraph" w:customStyle="1" w:styleId="JRCCoverclass">
    <w:name w:val="JRC_Cover_class"/>
    <w:basedOn w:val="Normal"/>
    <w:next w:val="JRCCoveryear"/>
    <w:rsid w:val="00794505"/>
    <w:pPr>
      <w:spacing w:before="120" w:after="120"/>
    </w:pPr>
    <w:rPr>
      <w:rFonts w:ascii="Verdana" w:eastAsia="Times New Roman" w:hAnsi="Verdana"/>
      <w:color w:val="FF0000"/>
      <w:sz w:val="20"/>
      <w:szCs w:val="22"/>
      <w:lang w:eastAsia="en-GB"/>
    </w:rPr>
  </w:style>
  <w:style w:type="paragraph" w:customStyle="1" w:styleId="JRCCoverEUR">
    <w:name w:val="JRC_Cover_EUR"/>
    <w:basedOn w:val="Normal"/>
    <w:rsid w:val="00794505"/>
    <w:pPr>
      <w:spacing w:after="0"/>
      <w:jc w:val="right"/>
    </w:pPr>
    <w:rPr>
      <w:rFonts w:ascii="Verdana" w:eastAsia="Times New Roman" w:hAnsi="Verdana"/>
      <w:sz w:val="18"/>
      <w:szCs w:val="22"/>
      <w:lang w:eastAsia="en-GB"/>
    </w:rPr>
  </w:style>
  <w:style w:type="paragraph" w:customStyle="1" w:styleId="JRCCovertext">
    <w:name w:val="JRC_Cover_text"/>
    <w:basedOn w:val="Normal"/>
    <w:autoRedefine/>
    <w:qFormat/>
    <w:rsid w:val="00794505"/>
    <w:pPr>
      <w:widowControl w:val="0"/>
      <w:spacing w:after="0" w:line="200" w:lineRule="exact"/>
      <w:jc w:val="left"/>
    </w:pPr>
    <w:rPr>
      <w:rFonts w:ascii="EC Square Sans Pro" w:eastAsia="Times New Roman" w:hAnsi="EC Square Sans Pro"/>
      <w:sz w:val="16"/>
      <w:szCs w:val="14"/>
      <w:lang w:eastAsia="en-GB"/>
    </w:rPr>
  </w:style>
  <w:style w:type="paragraph" w:customStyle="1" w:styleId="JRCTablenote">
    <w:name w:val="JRC_Table_note"/>
    <w:basedOn w:val="Normal"/>
    <w:autoRedefine/>
    <w:qFormat/>
    <w:rsid w:val="00794505"/>
    <w:pPr>
      <w:spacing w:after="120"/>
      <w:ind w:left="357" w:hanging="357"/>
      <w:contextualSpacing/>
    </w:pPr>
    <w:rPr>
      <w:rFonts w:ascii="EC Square Sans Pro" w:eastAsia="Times New Roman" w:hAnsi="EC Square Sans Pro"/>
      <w:sz w:val="16"/>
      <w:szCs w:val="22"/>
      <w:lang w:eastAsia="en-GB"/>
    </w:rPr>
  </w:style>
  <w:style w:type="paragraph" w:customStyle="1" w:styleId="JRCTextnumberedlist2">
    <w:name w:val="JRC_Text_numbered_list2"/>
    <w:basedOn w:val="Normal"/>
    <w:autoRedefine/>
    <w:qFormat/>
    <w:rsid w:val="00794505"/>
    <w:pPr>
      <w:numPr>
        <w:ilvl w:val="1"/>
        <w:numId w:val="96"/>
      </w:numPr>
      <w:spacing w:before="120" w:after="120"/>
    </w:pPr>
    <w:rPr>
      <w:rFonts w:ascii="EC Square Sans Pro" w:eastAsia="Times New Roman" w:hAnsi="EC Square Sans Pro"/>
      <w:sz w:val="20"/>
      <w:szCs w:val="22"/>
      <w:lang w:eastAsia="en-GB"/>
    </w:rPr>
  </w:style>
  <w:style w:type="table" w:styleId="PlainTable5">
    <w:name w:val="Plain Table 5"/>
    <w:basedOn w:val="TableNormal"/>
    <w:uiPriority w:val="45"/>
    <w:rsid w:val="00794505"/>
    <w:pPr>
      <w:spacing w:after="0" w:line="240" w:lineRule="auto"/>
    </w:pPr>
    <w:rPr>
      <w:rFonts w:ascii="Calibri" w:eastAsia="Times New Roman" w:hAnsi="Calibri" w:cs="Times New Roman"/>
      <w:sz w:val="20"/>
      <w:szCs w:val="20"/>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groupname">
    <w:name w:val="groupname"/>
    <w:basedOn w:val="DefaultParagraphFont"/>
    <w:rsid w:val="00794505"/>
  </w:style>
  <w:style w:type="character" w:customStyle="1" w:styleId="pubyear">
    <w:name w:val="pubyear"/>
    <w:basedOn w:val="DefaultParagraphFont"/>
    <w:rsid w:val="00794505"/>
  </w:style>
  <w:style w:type="character" w:customStyle="1" w:styleId="cf11">
    <w:name w:val="cf11"/>
    <w:basedOn w:val="DefaultParagraphFont"/>
    <w:rsid w:val="00794505"/>
    <w:rPr>
      <w:rFonts w:ascii="Segoe UI" w:hAnsi="Segoe UI" w:cs="Segoe UI" w:hint="default"/>
      <w:sz w:val="18"/>
      <w:szCs w:val="18"/>
    </w:rPr>
  </w:style>
  <w:style w:type="character" w:customStyle="1" w:styleId="cf21">
    <w:name w:val="cf21"/>
    <w:basedOn w:val="DefaultParagraphFont"/>
    <w:rsid w:val="00794505"/>
    <w:rPr>
      <w:rFonts w:ascii="Segoe UI" w:hAnsi="Segoe UI" w:cs="Segoe UI" w:hint="default"/>
      <w:i/>
      <w:iCs/>
      <w:sz w:val="18"/>
      <w:szCs w:val="18"/>
    </w:rPr>
  </w:style>
  <w:style w:type="character" w:customStyle="1" w:styleId="italic">
    <w:name w:val="italic"/>
    <w:basedOn w:val="DefaultParagraphFont"/>
    <w:rsid w:val="00794505"/>
  </w:style>
  <w:style w:type="paragraph" w:customStyle="1" w:styleId="chart">
    <w:name w:val="chart"/>
    <w:basedOn w:val="JRCText"/>
    <w:rsid w:val="00794505"/>
    <w:pPr>
      <w:keepNext/>
      <w:spacing w:before="0"/>
    </w:pPr>
    <w:rPr>
      <w:rFonts w:cs="Calibri"/>
      <w:bCs/>
      <w:color w:val="000000" w:themeColor="text1"/>
      <w:szCs w:val="20"/>
      <w:shd w:val="clear" w:color="auto" w:fill="FFFFFF"/>
    </w:rPr>
  </w:style>
  <w:style w:type="character" w:customStyle="1" w:styleId="wtoffscreen">
    <w:name w:val="wtoffscreen"/>
    <w:basedOn w:val="DefaultParagraphFont"/>
    <w:rsid w:val="00794505"/>
  </w:style>
  <w:style w:type="table" w:styleId="GridTable1Light">
    <w:name w:val="Grid Table 1 Light"/>
    <w:basedOn w:val="TableNormal"/>
    <w:uiPriority w:val="46"/>
    <w:rsid w:val="00794505"/>
    <w:pPr>
      <w:spacing w:after="0" w:line="240" w:lineRule="auto"/>
    </w:pPr>
    <w:rPr>
      <w:rFonts w:ascii="Calibri" w:eastAsia="Times New Roman" w:hAnsi="Calibri" w:cs="Times New Roman"/>
      <w:sz w:val="20"/>
      <w:szCs w:val="20"/>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0000">
    <w:name w:val="Mention10000"/>
    <w:basedOn w:val="DefaultParagraphFont"/>
    <w:uiPriority w:val="99"/>
    <w:unhideWhenUsed/>
    <w:rsid w:val="00794505"/>
    <w:rPr>
      <w:color w:val="2B579A"/>
      <w:shd w:val="clear" w:color="auto" w:fill="E6E6E6"/>
    </w:rPr>
  </w:style>
  <w:style w:type="character" w:customStyle="1" w:styleId="Mention100">
    <w:name w:val="Mention100"/>
    <w:basedOn w:val="DefaultParagraphFont"/>
    <w:uiPriority w:val="99"/>
    <w:unhideWhenUsed/>
    <w:rsid w:val="00794505"/>
    <w:rPr>
      <w:color w:val="2B579A"/>
      <w:shd w:val="clear" w:color="auto" w:fill="E6E6E6"/>
    </w:rPr>
  </w:style>
  <w:style w:type="character" w:customStyle="1" w:styleId="Mention1000">
    <w:name w:val="Mention1000"/>
    <w:basedOn w:val="DefaultParagraphFont"/>
    <w:uiPriority w:val="99"/>
    <w:unhideWhenUsed/>
    <w:rsid w:val="00794505"/>
    <w:rPr>
      <w:color w:val="2B579A"/>
      <w:shd w:val="clear" w:color="auto" w:fill="E6E6E6"/>
    </w:rPr>
  </w:style>
  <w:style w:type="character" w:customStyle="1" w:styleId="Mention300">
    <w:name w:val="Mention300"/>
    <w:basedOn w:val="DefaultParagraphFont"/>
    <w:uiPriority w:val="99"/>
    <w:unhideWhenUsed/>
    <w:rsid w:val="00794505"/>
    <w:rPr>
      <w:color w:val="2B579A"/>
      <w:shd w:val="clear" w:color="auto" w:fill="E6E6E6"/>
    </w:rPr>
  </w:style>
  <w:style w:type="character" w:customStyle="1" w:styleId="Mention3000">
    <w:name w:val="Mention3000"/>
    <w:basedOn w:val="DefaultParagraphFont"/>
    <w:uiPriority w:val="99"/>
    <w:unhideWhenUsed/>
    <w:rsid w:val="00794505"/>
    <w:rPr>
      <w:color w:val="2B579A"/>
      <w:shd w:val="clear" w:color="auto" w:fill="E6E6E6"/>
    </w:rPr>
  </w:style>
  <w:style w:type="character" w:customStyle="1" w:styleId="Mention30000">
    <w:name w:val="Mention30000"/>
    <w:basedOn w:val="DefaultParagraphFont"/>
    <w:uiPriority w:val="99"/>
    <w:unhideWhenUsed/>
    <w:rsid w:val="00794505"/>
    <w:rPr>
      <w:color w:val="2B579A"/>
      <w:shd w:val="clear" w:color="auto" w:fill="E6E6E6"/>
    </w:rPr>
  </w:style>
  <w:style w:type="character" w:customStyle="1" w:styleId="Mention300000">
    <w:name w:val="Mention300000"/>
    <w:basedOn w:val="DefaultParagraphFont"/>
    <w:uiPriority w:val="99"/>
    <w:unhideWhenUsed/>
    <w:rsid w:val="00794505"/>
    <w:rPr>
      <w:color w:val="2B579A"/>
      <w:shd w:val="clear" w:color="auto" w:fill="E6E6E6"/>
    </w:rPr>
  </w:style>
  <w:style w:type="character" w:styleId="EndnoteReference">
    <w:name w:val="endnote reference"/>
    <w:basedOn w:val="DefaultParagraphFont"/>
    <w:uiPriority w:val="99"/>
    <w:semiHidden/>
    <w:unhideWhenUsed/>
    <w:rsid w:val="00794505"/>
    <w:rPr>
      <w:vertAlign w:val="superscript"/>
    </w:rPr>
  </w:style>
  <w:style w:type="character" w:customStyle="1" w:styleId="UnresolvedMention32">
    <w:name w:val="Unresolved Mention32"/>
    <w:basedOn w:val="DefaultParagraphFont"/>
    <w:uiPriority w:val="99"/>
    <w:unhideWhenUsed/>
    <w:rsid w:val="007766C7"/>
    <w:rPr>
      <w:color w:val="605E5C"/>
      <w:shd w:val="clear" w:color="auto" w:fill="E1DFDD"/>
    </w:rPr>
  </w:style>
  <w:style w:type="character" w:customStyle="1" w:styleId="Mention32">
    <w:name w:val="Mention32"/>
    <w:basedOn w:val="DefaultParagraphFont"/>
    <w:uiPriority w:val="99"/>
    <w:unhideWhenUsed/>
    <w:rsid w:val="007766C7"/>
    <w:rPr>
      <w:color w:val="2B579A"/>
      <w:shd w:val="clear" w:color="auto" w:fill="E1DFDD"/>
    </w:rPr>
  </w:style>
  <w:style w:type="character" w:customStyle="1" w:styleId="UnresolvedMention33">
    <w:name w:val="Unresolved Mention33"/>
    <w:basedOn w:val="DefaultParagraphFont"/>
    <w:uiPriority w:val="99"/>
    <w:unhideWhenUsed/>
    <w:rsid w:val="00237208"/>
    <w:rPr>
      <w:color w:val="605E5C"/>
      <w:shd w:val="clear" w:color="auto" w:fill="E1DFDD"/>
    </w:rPr>
  </w:style>
  <w:style w:type="character" w:customStyle="1" w:styleId="Mention33">
    <w:name w:val="Mention33"/>
    <w:basedOn w:val="DefaultParagraphFont"/>
    <w:uiPriority w:val="99"/>
    <w:unhideWhenUsed/>
    <w:rsid w:val="00237208"/>
    <w:rPr>
      <w:color w:val="2B579A"/>
      <w:shd w:val="clear" w:color="auto" w:fill="E1DFDD"/>
    </w:rPr>
  </w:style>
  <w:style w:type="character" w:customStyle="1" w:styleId="ui-provider">
    <w:name w:val="ui-provider"/>
    <w:basedOn w:val="DefaultParagraphFont"/>
    <w:rsid w:val="00152CDA"/>
  </w:style>
  <w:style w:type="character" w:customStyle="1" w:styleId="UnresolvedMention34">
    <w:name w:val="Unresolved Mention34"/>
    <w:basedOn w:val="DefaultParagraphFont"/>
    <w:uiPriority w:val="99"/>
    <w:unhideWhenUsed/>
    <w:rsid w:val="00E44E5E"/>
    <w:rPr>
      <w:color w:val="605E5C"/>
      <w:shd w:val="clear" w:color="auto" w:fill="E1DFDD"/>
    </w:rPr>
  </w:style>
  <w:style w:type="character" w:customStyle="1" w:styleId="Mention34">
    <w:name w:val="Mention34"/>
    <w:basedOn w:val="DefaultParagraphFont"/>
    <w:uiPriority w:val="99"/>
    <w:unhideWhenUsed/>
    <w:rsid w:val="00E44E5E"/>
    <w:rPr>
      <w:color w:val="2B579A"/>
      <w:shd w:val="clear" w:color="auto" w:fill="E1DFDD"/>
    </w:rPr>
  </w:style>
  <w:style w:type="character" w:customStyle="1" w:styleId="UnresolvedMention35">
    <w:name w:val="Unresolved Mention35"/>
    <w:basedOn w:val="DefaultParagraphFont"/>
    <w:uiPriority w:val="99"/>
    <w:unhideWhenUsed/>
    <w:rsid w:val="00A34C01"/>
    <w:rPr>
      <w:color w:val="605E5C"/>
      <w:shd w:val="clear" w:color="auto" w:fill="E1DFDD"/>
    </w:rPr>
  </w:style>
  <w:style w:type="character" w:customStyle="1" w:styleId="Mention35">
    <w:name w:val="Mention35"/>
    <w:basedOn w:val="DefaultParagraphFont"/>
    <w:uiPriority w:val="99"/>
    <w:unhideWhenUsed/>
    <w:rsid w:val="00A34C01"/>
    <w:rPr>
      <w:color w:val="2B579A"/>
      <w:shd w:val="clear" w:color="auto" w:fill="E1DFDD"/>
    </w:rPr>
  </w:style>
  <w:style w:type="character" w:customStyle="1" w:styleId="UnresolvedMention36">
    <w:name w:val="Unresolved Mention36"/>
    <w:basedOn w:val="DefaultParagraphFont"/>
    <w:uiPriority w:val="99"/>
    <w:unhideWhenUsed/>
    <w:rsid w:val="00A5177F"/>
    <w:rPr>
      <w:color w:val="605E5C"/>
      <w:shd w:val="clear" w:color="auto" w:fill="E1DFDD"/>
    </w:rPr>
  </w:style>
  <w:style w:type="character" w:customStyle="1" w:styleId="Mention36">
    <w:name w:val="Mention36"/>
    <w:basedOn w:val="DefaultParagraphFont"/>
    <w:uiPriority w:val="99"/>
    <w:unhideWhenUsed/>
    <w:rsid w:val="00A5177F"/>
    <w:rPr>
      <w:color w:val="2B579A"/>
      <w:shd w:val="clear" w:color="auto" w:fill="E1DFDD"/>
    </w:rPr>
  </w:style>
  <w:style w:type="character" w:customStyle="1" w:styleId="UnresolvedMention37">
    <w:name w:val="Unresolved Mention37"/>
    <w:basedOn w:val="DefaultParagraphFont"/>
    <w:uiPriority w:val="99"/>
    <w:unhideWhenUsed/>
    <w:rsid w:val="001C02CD"/>
    <w:rPr>
      <w:color w:val="605E5C"/>
      <w:shd w:val="clear" w:color="auto" w:fill="E1DFDD"/>
    </w:rPr>
  </w:style>
  <w:style w:type="character" w:customStyle="1" w:styleId="Mention37">
    <w:name w:val="Mention37"/>
    <w:basedOn w:val="DefaultParagraphFont"/>
    <w:uiPriority w:val="99"/>
    <w:unhideWhenUsed/>
    <w:rsid w:val="001C02CD"/>
    <w:rPr>
      <w:color w:val="2B579A"/>
      <w:shd w:val="clear" w:color="auto" w:fill="E1DFDD"/>
    </w:rPr>
  </w:style>
  <w:style w:type="character" w:customStyle="1" w:styleId="UnresolvedMention38">
    <w:name w:val="Unresolved Mention38"/>
    <w:basedOn w:val="DefaultParagraphFont"/>
    <w:uiPriority w:val="99"/>
    <w:unhideWhenUsed/>
    <w:rsid w:val="008F1F15"/>
    <w:rPr>
      <w:color w:val="605E5C"/>
      <w:shd w:val="clear" w:color="auto" w:fill="E1DFDD"/>
    </w:rPr>
  </w:style>
  <w:style w:type="character" w:customStyle="1" w:styleId="Mention38">
    <w:name w:val="Mention38"/>
    <w:basedOn w:val="DefaultParagraphFont"/>
    <w:uiPriority w:val="99"/>
    <w:unhideWhenUsed/>
    <w:rsid w:val="008F1F15"/>
    <w:rPr>
      <w:color w:val="2B579A"/>
      <w:shd w:val="clear" w:color="auto" w:fill="E1DFDD"/>
    </w:rPr>
  </w:style>
  <w:style w:type="character" w:customStyle="1" w:styleId="UnresolvedMention39">
    <w:name w:val="Unresolved Mention39"/>
    <w:basedOn w:val="DefaultParagraphFont"/>
    <w:uiPriority w:val="99"/>
    <w:unhideWhenUsed/>
    <w:rsid w:val="00A97ED9"/>
    <w:rPr>
      <w:color w:val="605E5C"/>
      <w:shd w:val="clear" w:color="auto" w:fill="E1DFDD"/>
    </w:rPr>
  </w:style>
  <w:style w:type="character" w:customStyle="1" w:styleId="Mention39">
    <w:name w:val="Mention39"/>
    <w:basedOn w:val="DefaultParagraphFont"/>
    <w:uiPriority w:val="99"/>
    <w:unhideWhenUsed/>
    <w:rsid w:val="00A97ED9"/>
    <w:rPr>
      <w:color w:val="2B579A"/>
      <w:shd w:val="clear" w:color="auto" w:fill="E1DFDD"/>
    </w:rPr>
  </w:style>
  <w:style w:type="character" w:customStyle="1" w:styleId="UnresolvedMention390">
    <w:name w:val="Unresolved Mention390"/>
    <w:basedOn w:val="DefaultParagraphFont"/>
    <w:uiPriority w:val="99"/>
    <w:unhideWhenUsed/>
    <w:rsid w:val="007730B1"/>
    <w:rPr>
      <w:color w:val="605E5C"/>
      <w:shd w:val="clear" w:color="auto" w:fill="E1DFDD"/>
    </w:rPr>
  </w:style>
  <w:style w:type="character" w:customStyle="1" w:styleId="Mention390">
    <w:name w:val="Mention390"/>
    <w:basedOn w:val="DefaultParagraphFont"/>
    <w:uiPriority w:val="99"/>
    <w:unhideWhenUsed/>
    <w:rsid w:val="007730B1"/>
    <w:rPr>
      <w:color w:val="2B579A"/>
      <w:shd w:val="clear" w:color="auto" w:fill="E1DFDD"/>
    </w:rPr>
  </w:style>
  <w:style w:type="character" w:customStyle="1" w:styleId="Mention41">
    <w:name w:val="Mention41"/>
    <w:basedOn w:val="DefaultParagraphFont"/>
    <w:uiPriority w:val="99"/>
    <w:unhideWhenUsed/>
    <w:rsid w:val="005B74C4"/>
    <w:rPr>
      <w:color w:val="2B579A"/>
      <w:shd w:val="clear" w:color="auto" w:fill="E6E6E6"/>
    </w:rPr>
  </w:style>
  <w:style w:type="character" w:customStyle="1" w:styleId="UnresolvedMention3900">
    <w:name w:val="Unresolved Mention3900"/>
    <w:basedOn w:val="DefaultParagraphFont"/>
    <w:uiPriority w:val="99"/>
    <w:unhideWhenUsed/>
    <w:rsid w:val="003F5EF8"/>
    <w:rPr>
      <w:color w:val="605E5C"/>
      <w:shd w:val="clear" w:color="auto" w:fill="E1DFDD"/>
    </w:rPr>
  </w:style>
  <w:style w:type="character" w:customStyle="1" w:styleId="Mention42">
    <w:name w:val="Mention42"/>
    <w:basedOn w:val="DefaultParagraphFont"/>
    <w:uiPriority w:val="99"/>
    <w:unhideWhenUsed/>
    <w:rsid w:val="003F5EF8"/>
    <w:rPr>
      <w:color w:val="2B579A"/>
      <w:shd w:val="clear" w:color="auto" w:fill="E1DFDD"/>
    </w:rPr>
  </w:style>
  <w:style w:type="character" w:customStyle="1" w:styleId="UnresolvedMention39000">
    <w:name w:val="Unresolved Mention39000"/>
    <w:basedOn w:val="DefaultParagraphFont"/>
    <w:uiPriority w:val="99"/>
    <w:unhideWhenUsed/>
    <w:rsid w:val="003F5EF8"/>
    <w:rPr>
      <w:color w:val="605E5C"/>
      <w:shd w:val="clear" w:color="auto" w:fill="E1DFDD"/>
    </w:rPr>
  </w:style>
  <w:style w:type="character" w:customStyle="1" w:styleId="UnresolvedMention390000">
    <w:name w:val="Unresolved Mention390000"/>
    <w:basedOn w:val="DefaultParagraphFont"/>
    <w:uiPriority w:val="99"/>
    <w:unhideWhenUsed/>
    <w:rsid w:val="003F5EF8"/>
    <w:rPr>
      <w:color w:val="605E5C"/>
      <w:shd w:val="clear" w:color="auto" w:fill="E1DFDD"/>
    </w:rPr>
  </w:style>
  <w:style w:type="character" w:customStyle="1" w:styleId="UnresolvedMention3900000">
    <w:name w:val="Unresolved Mention3900000"/>
    <w:basedOn w:val="DefaultParagraphFont"/>
    <w:uiPriority w:val="99"/>
    <w:unhideWhenUsed/>
    <w:rsid w:val="003F5EF8"/>
    <w:rPr>
      <w:color w:val="605E5C"/>
      <w:shd w:val="clear" w:color="auto" w:fill="E1DFDD"/>
    </w:rPr>
  </w:style>
  <w:style w:type="character" w:customStyle="1" w:styleId="UnresolvedMention39000000">
    <w:name w:val="Unresolved Mention39000000"/>
    <w:basedOn w:val="DefaultParagraphFont"/>
    <w:uiPriority w:val="99"/>
    <w:unhideWhenUsed/>
    <w:rsid w:val="003F5EF8"/>
    <w:rPr>
      <w:color w:val="605E5C"/>
      <w:shd w:val="clear" w:color="auto" w:fill="E1DFDD"/>
    </w:rPr>
  </w:style>
  <w:style w:type="character" w:customStyle="1" w:styleId="Mention43">
    <w:name w:val="Mention43"/>
    <w:basedOn w:val="DefaultParagraphFont"/>
    <w:uiPriority w:val="99"/>
    <w:unhideWhenUsed/>
    <w:rsid w:val="00B609A9"/>
    <w:rPr>
      <w:color w:val="2B579A"/>
      <w:shd w:val="clear" w:color="auto" w:fill="E6E6E6"/>
    </w:rPr>
  </w:style>
  <w:style w:type="character" w:customStyle="1" w:styleId="UnresolvedMention40">
    <w:name w:val="Unresolved Mention40"/>
    <w:basedOn w:val="DefaultParagraphFont"/>
    <w:uiPriority w:val="99"/>
    <w:unhideWhenUsed/>
    <w:rsid w:val="00E86F2D"/>
    <w:rPr>
      <w:color w:val="605E5C"/>
      <w:shd w:val="clear" w:color="auto" w:fill="E1DFDD"/>
    </w:rPr>
  </w:style>
  <w:style w:type="character" w:customStyle="1" w:styleId="Mention44">
    <w:name w:val="Mention44"/>
    <w:basedOn w:val="DefaultParagraphFont"/>
    <w:uiPriority w:val="99"/>
    <w:unhideWhenUsed/>
    <w:rsid w:val="00E86F2D"/>
    <w:rPr>
      <w:color w:val="2B579A"/>
      <w:shd w:val="clear" w:color="auto" w:fill="E1DFDD"/>
    </w:rPr>
  </w:style>
  <w:style w:type="character" w:customStyle="1" w:styleId="Mention45">
    <w:name w:val="Mention45"/>
    <w:basedOn w:val="DefaultParagraphFont"/>
    <w:uiPriority w:val="99"/>
    <w:unhideWhenUsed/>
    <w:rsid w:val="00410D9F"/>
    <w:rPr>
      <w:color w:val="2B579A"/>
      <w:shd w:val="clear" w:color="auto" w:fill="E6E6E6"/>
    </w:rPr>
  </w:style>
  <w:style w:type="character" w:customStyle="1" w:styleId="UnresolvedMention400">
    <w:name w:val="Unresolved Mention400"/>
    <w:basedOn w:val="DefaultParagraphFont"/>
    <w:uiPriority w:val="99"/>
    <w:unhideWhenUsed/>
    <w:rsid w:val="00F4683C"/>
    <w:rPr>
      <w:color w:val="605E5C"/>
      <w:shd w:val="clear" w:color="auto" w:fill="E1DFDD"/>
    </w:rPr>
  </w:style>
  <w:style w:type="character" w:customStyle="1" w:styleId="UnresolvedMention41">
    <w:name w:val="Unresolved Mention41"/>
    <w:basedOn w:val="DefaultParagraphFont"/>
    <w:uiPriority w:val="99"/>
    <w:semiHidden/>
    <w:unhideWhenUsed/>
    <w:rsid w:val="00600540"/>
    <w:rPr>
      <w:color w:val="605E5C"/>
      <w:shd w:val="clear" w:color="auto" w:fill="E1DFDD"/>
    </w:rPr>
  </w:style>
  <w:style w:type="character" w:customStyle="1" w:styleId="UnresolvedMention4000000010">
    <w:name w:val="Unresolved Mention4000000010"/>
    <w:basedOn w:val="DefaultParagraphFont"/>
    <w:uiPriority w:val="99"/>
    <w:unhideWhenUsed/>
    <w:rsid w:val="00DF4870"/>
    <w:rPr>
      <w:color w:val="605E5C"/>
      <w:shd w:val="clear" w:color="auto" w:fill="E1DFDD"/>
    </w:rPr>
  </w:style>
  <w:style w:type="character" w:customStyle="1" w:styleId="Mention46">
    <w:name w:val="Mention46"/>
    <w:basedOn w:val="DefaultParagraphFont"/>
    <w:uiPriority w:val="99"/>
    <w:unhideWhenUsed/>
    <w:rsid w:val="008B4F85"/>
    <w:rPr>
      <w:color w:val="2B579A"/>
      <w:shd w:val="clear" w:color="auto" w:fill="E1DFDD"/>
    </w:rPr>
  </w:style>
  <w:style w:type="character" w:customStyle="1" w:styleId="UnresolvedMention4000">
    <w:name w:val="Unresolved Mention4000"/>
    <w:basedOn w:val="DefaultParagraphFont"/>
    <w:uiPriority w:val="99"/>
    <w:unhideWhenUsed/>
    <w:rsid w:val="00F84D3F"/>
    <w:rPr>
      <w:color w:val="605E5C"/>
      <w:shd w:val="clear" w:color="auto" w:fill="E1DFDD"/>
    </w:rPr>
  </w:style>
  <w:style w:type="character" w:customStyle="1" w:styleId="UnresolvedMention400000000">
    <w:name w:val="Unresolved Mention400000000"/>
    <w:basedOn w:val="DefaultParagraphFont"/>
    <w:uiPriority w:val="99"/>
    <w:unhideWhenUsed/>
    <w:rsid w:val="00F84D3F"/>
    <w:rPr>
      <w:color w:val="605E5C"/>
      <w:shd w:val="clear" w:color="auto" w:fill="E1DFDD"/>
    </w:rPr>
  </w:style>
  <w:style w:type="character" w:customStyle="1" w:styleId="UnresolvedMention40000">
    <w:name w:val="Unresolved Mention40000"/>
    <w:basedOn w:val="DefaultParagraphFont"/>
    <w:uiPriority w:val="99"/>
    <w:unhideWhenUsed/>
    <w:rsid w:val="00F84D3F"/>
    <w:rPr>
      <w:color w:val="605E5C"/>
      <w:shd w:val="clear" w:color="auto" w:fill="E1DFDD"/>
    </w:rPr>
  </w:style>
  <w:style w:type="character" w:customStyle="1" w:styleId="UnresolvedMention400000">
    <w:name w:val="Unresolved Mention400000"/>
    <w:basedOn w:val="DefaultParagraphFont"/>
    <w:uiPriority w:val="99"/>
    <w:unhideWhenUsed/>
    <w:rsid w:val="00F84D3F"/>
    <w:rPr>
      <w:color w:val="605E5C"/>
      <w:shd w:val="clear" w:color="auto" w:fill="E1DFDD"/>
    </w:rPr>
  </w:style>
  <w:style w:type="character" w:customStyle="1" w:styleId="UnresolvedMention4000000">
    <w:name w:val="Unresolved Mention4000000"/>
    <w:basedOn w:val="DefaultParagraphFont"/>
    <w:uiPriority w:val="99"/>
    <w:unhideWhenUsed/>
    <w:rsid w:val="00F84D3F"/>
    <w:rPr>
      <w:color w:val="605E5C"/>
      <w:shd w:val="clear" w:color="auto" w:fill="E1DFDD"/>
    </w:rPr>
  </w:style>
  <w:style w:type="character" w:customStyle="1" w:styleId="UnresolvedMention40000000">
    <w:name w:val="Unresolved Mention40000000"/>
    <w:basedOn w:val="DefaultParagraphFont"/>
    <w:uiPriority w:val="99"/>
    <w:unhideWhenUsed/>
    <w:rsid w:val="00F84D3F"/>
    <w:rPr>
      <w:color w:val="605E5C"/>
      <w:shd w:val="clear" w:color="auto" w:fill="E1DFDD"/>
    </w:rPr>
  </w:style>
  <w:style w:type="character" w:customStyle="1" w:styleId="UnresolvedMention400000001">
    <w:name w:val="Unresolved Mention400000001"/>
    <w:basedOn w:val="DefaultParagraphFont"/>
    <w:uiPriority w:val="99"/>
    <w:unhideWhenUsed/>
    <w:rsid w:val="00F84D3F"/>
    <w:rPr>
      <w:color w:val="605E5C"/>
      <w:shd w:val="clear" w:color="auto" w:fill="E1DFDD"/>
    </w:rPr>
  </w:style>
  <w:style w:type="character" w:customStyle="1" w:styleId="UnresolvedMention40000000100">
    <w:name w:val="Unresolved Mention40000000100"/>
    <w:basedOn w:val="DefaultParagraphFont"/>
    <w:uiPriority w:val="99"/>
    <w:unhideWhenUsed/>
    <w:rsid w:val="00775B46"/>
    <w:rPr>
      <w:color w:val="605E5C"/>
      <w:shd w:val="clear" w:color="auto" w:fill="E1DFDD"/>
    </w:rPr>
  </w:style>
  <w:style w:type="character" w:customStyle="1" w:styleId="UnresolvedMention400000001000">
    <w:name w:val="Unresolved Mention400000001000"/>
    <w:basedOn w:val="DefaultParagraphFont"/>
    <w:uiPriority w:val="99"/>
    <w:unhideWhenUsed/>
    <w:rsid w:val="00775B46"/>
    <w:rPr>
      <w:color w:val="605E5C"/>
      <w:shd w:val="clear" w:color="auto" w:fill="E1DFDD"/>
    </w:rPr>
  </w:style>
  <w:style w:type="character" w:customStyle="1" w:styleId="UnresolvedMention4000000010000">
    <w:name w:val="Unresolved Mention4000000010000"/>
    <w:basedOn w:val="DefaultParagraphFont"/>
    <w:uiPriority w:val="99"/>
    <w:unhideWhenUsed/>
    <w:rsid w:val="00722092"/>
    <w:rPr>
      <w:color w:val="605E5C"/>
      <w:shd w:val="clear" w:color="auto" w:fill="E1DFDD"/>
    </w:rPr>
  </w:style>
  <w:style w:type="character" w:customStyle="1" w:styleId="UnresolvedMention40000000100000">
    <w:name w:val="Unresolved Mention40000000100000"/>
    <w:basedOn w:val="DefaultParagraphFont"/>
    <w:uiPriority w:val="99"/>
    <w:unhideWhenUsed/>
    <w:rsid w:val="00722092"/>
    <w:rPr>
      <w:color w:val="605E5C"/>
      <w:shd w:val="clear" w:color="auto" w:fill="E1DFDD"/>
    </w:rPr>
  </w:style>
  <w:style w:type="character" w:customStyle="1" w:styleId="UnresolvedMention400000001000000">
    <w:name w:val="Unresolved Mention400000001000000"/>
    <w:basedOn w:val="DefaultParagraphFont"/>
    <w:uiPriority w:val="99"/>
    <w:unhideWhenUsed/>
    <w:rsid w:val="00722092"/>
    <w:rPr>
      <w:color w:val="605E5C"/>
      <w:shd w:val="clear" w:color="auto" w:fill="E1DFDD"/>
    </w:rPr>
  </w:style>
  <w:style w:type="character" w:customStyle="1" w:styleId="UnresolvedMention4000000010000000">
    <w:name w:val="Unresolved Mention4000000010000000"/>
    <w:basedOn w:val="DefaultParagraphFont"/>
    <w:uiPriority w:val="99"/>
    <w:unhideWhenUsed/>
    <w:rsid w:val="00722092"/>
    <w:rPr>
      <w:color w:val="605E5C"/>
      <w:shd w:val="clear" w:color="auto" w:fill="E1DFDD"/>
    </w:rPr>
  </w:style>
  <w:style w:type="character" w:customStyle="1" w:styleId="UnresolvedMention40000000100000000">
    <w:name w:val="Unresolved Mention40000000100000000"/>
    <w:basedOn w:val="DefaultParagraphFont"/>
    <w:uiPriority w:val="99"/>
    <w:unhideWhenUsed/>
    <w:rsid w:val="00722092"/>
    <w:rPr>
      <w:color w:val="605E5C"/>
      <w:shd w:val="clear" w:color="auto" w:fill="E1DFDD"/>
    </w:rPr>
  </w:style>
  <w:style w:type="character" w:customStyle="1" w:styleId="UnresolvedMention400000001000000000">
    <w:name w:val="Unresolved Mention400000001000000000"/>
    <w:basedOn w:val="DefaultParagraphFont"/>
    <w:uiPriority w:val="99"/>
    <w:unhideWhenUsed/>
    <w:rsid w:val="00722092"/>
    <w:rPr>
      <w:color w:val="605E5C"/>
      <w:shd w:val="clear" w:color="auto" w:fill="E1DFDD"/>
    </w:rPr>
  </w:style>
  <w:style w:type="character" w:customStyle="1" w:styleId="UnresolvedMention4000000010000000000">
    <w:name w:val="Unresolved Mention4000000010000000000"/>
    <w:basedOn w:val="DefaultParagraphFont"/>
    <w:uiPriority w:val="99"/>
    <w:unhideWhenUsed/>
    <w:rsid w:val="00722092"/>
    <w:rPr>
      <w:color w:val="605E5C"/>
      <w:shd w:val="clear" w:color="auto" w:fill="E1DFDD"/>
    </w:rPr>
  </w:style>
  <w:style w:type="character" w:customStyle="1" w:styleId="UnresolvedMention40000000100000000000">
    <w:name w:val="Unresolved Mention40000000100000000000"/>
    <w:basedOn w:val="DefaultParagraphFont"/>
    <w:uiPriority w:val="99"/>
    <w:unhideWhenUsed/>
    <w:rsid w:val="00722092"/>
    <w:rPr>
      <w:color w:val="605E5C"/>
      <w:shd w:val="clear" w:color="auto" w:fill="E1DFDD"/>
    </w:rPr>
  </w:style>
  <w:style w:type="character" w:customStyle="1" w:styleId="UnresolvedMention400000001000000000000">
    <w:name w:val="Unresolved Mention400000001000000000000"/>
    <w:basedOn w:val="DefaultParagraphFont"/>
    <w:uiPriority w:val="99"/>
    <w:unhideWhenUsed/>
    <w:rsid w:val="00722092"/>
    <w:rPr>
      <w:color w:val="605E5C"/>
      <w:shd w:val="clear" w:color="auto" w:fill="E1DFDD"/>
    </w:rPr>
  </w:style>
  <w:style w:type="character" w:customStyle="1" w:styleId="UnresolvedMention4000000010000000000000">
    <w:name w:val="Unresolved Mention4000000010000000000000"/>
    <w:basedOn w:val="DefaultParagraphFont"/>
    <w:uiPriority w:val="99"/>
    <w:unhideWhenUsed/>
    <w:rsid w:val="00722092"/>
    <w:rPr>
      <w:color w:val="605E5C"/>
      <w:shd w:val="clear" w:color="auto" w:fill="E1DFDD"/>
    </w:rPr>
  </w:style>
  <w:style w:type="character" w:customStyle="1" w:styleId="UnresolvedMention42">
    <w:name w:val="Unresolved Mention42"/>
    <w:basedOn w:val="DefaultParagraphFont"/>
    <w:uiPriority w:val="99"/>
    <w:semiHidden/>
    <w:unhideWhenUsed/>
    <w:rsid w:val="00D56B81"/>
    <w:rPr>
      <w:color w:val="605E5C"/>
      <w:shd w:val="clear" w:color="auto" w:fill="E1DFDD"/>
    </w:rPr>
  </w:style>
  <w:style w:type="table" w:customStyle="1" w:styleId="Table13">
    <w:name w:val="Table 13"/>
    <w:basedOn w:val="TableNormal"/>
    <w:uiPriority w:val="5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themeColor="background1"/>
        <w:sz w:val="16"/>
      </w:rPr>
      <w:tblPr/>
      <w:tcPr>
        <w:shd w:val="clear" w:color="auto" w:fill="005962"/>
      </w:tcPr>
    </w:tblStylePr>
    <w:tblStylePr w:type="firstCol">
      <w:pPr>
        <w:wordWrap/>
        <w:jc w:val="left"/>
        <w:outlineLvl w:val="9"/>
      </w:pPr>
    </w:tblStylePr>
  </w:style>
  <w:style w:type="table" w:customStyle="1" w:styleId="Table1112">
    <w:name w:val="Table 1112"/>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sz w:val="16"/>
      </w:rPr>
      <w:tblPr/>
      <w:tcPr>
        <w:shd w:val="clear" w:color="auto" w:fill="005962"/>
      </w:tcPr>
    </w:tblStylePr>
    <w:tblStylePr w:type="firstCol">
      <w:pPr>
        <w:wordWrap/>
        <w:jc w:val="left"/>
        <w:outlineLvl w:val="9"/>
      </w:pPr>
    </w:tblStylePr>
  </w:style>
  <w:style w:type="table" w:customStyle="1" w:styleId="Table122">
    <w:name w:val="Table 122"/>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themeColor="background1"/>
        <w:sz w:val="16"/>
      </w:rPr>
      <w:tblPr/>
      <w:tcPr>
        <w:shd w:val="clear" w:color="auto" w:fill="005962"/>
      </w:tcPr>
    </w:tblStylePr>
    <w:tblStylePr w:type="firstCol">
      <w:pPr>
        <w:wordWrap/>
        <w:jc w:val="left"/>
        <w:outlineLvl w:val="9"/>
      </w:pPr>
    </w:tblStylePr>
  </w:style>
  <w:style w:type="table" w:customStyle="1" w:styleId="Table162">
    <w:name w:val="Table 162"/>
    <w:basedOn w:val="TableNormal"/>
    <w:uiPriority w:val="99"/>
    <w:rsid w:val="00FB3D28"/>
    <w:pPr>
      <w:spacing w:after="0" w:line="240" w:lineRule="auto"/>
      <w:jc w:val="center"/>
    </w:pPr>
    <w:rPr>
      <w:rFonts w:ascii="Trebuchet MS" w:hAnsi="Trebuchet MS"/>
      <w:sz w:val="16"/>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quot;Calibri&quot;,sans-serif" w:hAnsi="&quot;Calibri&quot;,sans-serif" w:hint="default"/>
        <w:b/>
        <w:color w:val="FFFFFF"/>
        <w:sz w:val="16"/>
        <w:szCs w:val="16"/>
      </w:rPr>
      <w:tblPr/>
      <w:tcPr>
        <w:shd w:val="clear" w:color="auto" w:fill="005962"/>
      </w:tcPr>
    </w:tblStylePr>
  </w:style>
  <w:style w:type="numbering" w:customStyle="1" w:styleId="Style21">
    <w:name w:val="Style21"/>
    <w:uiPriority w:val="99"/>
    <w:rsid w:val="00FB3D28"/>
    <w:pPr>
      <w:numPr>
        <w:numId w:val="142"/>
      </w:numPr>
    </w:pPr>
  </w:style>
  <w:style w:type="table" w:customStyle="1" w:styleId="Table112">
    <w:name w:val="Table 112"/>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themeColor="background1"/>
        <w:sz w:val="16"/>
      </w:rPr>
      <w:tblPr/>
      <w:tcPr>
        <w:shd w:val="clear" w:color="auto" w:fill="005962"/>
      </w:tcPr>
    </w:tblStylePr>
    <w:tblStylePr w:type="firstCol">
      <w:pPr>
        <w:wordWrap/>
        <w:jc w:val="left"/>
        <w:outlineLvl w:val="9"/>
      </w:pPr>
    </w:tblStylePr>
  </w:style>
  <w:style w:type="table" w:customStyle="1" w:styleId="Table11111">
    <w:name w:val="Table 11111"/>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sz w:val="16"/>
      </w:rPr>
      <w:tblPr/>
      <w:tcPr>
        <w:shd w:val="clear" w:color="auto" w:fill="005962"/>
      </w:tcPr>
    </w:tblStylePr>
    <w:tblStylePr w:type="firstCol">
      <w:pPr>
        <w:wordWrap/>
        <w:jc w:val="left"/>
        <w:outlineLvl w:val="9"/>
      </w:pPr>
    </w:tblStylePr>
  </w:style>
  <w:style w:type="table" w:customStyle="1" w:styleId="Table1211">
    <w:name w:val="Table 1211"/>
    <w:basedOn w:val="TableNormal"/>
    <w:uiPriority w:val="99"/>
    <w:rsid w:val="00FB3D28"/>
    <w:pPr>
      <w:spacing w:after="0" w:line="240" w:lineRule="auto"/>
      <w:jc w:val="center"/>
    </w:pPr>
    <w:rPr>
      <w:rFonts w:ascii="Trebuchet MS" w:hAnsi="Trebuchet MS"/>
      <w:sz w:val="16"/>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quot;Calibri&quot;,sans-serif" w:hAnsi="&quot;Calibri&quot;,sans-serif"/>
        <w:b/>
        <w:color w:val="FFFFFF" w:themeColor="background1"/>
        <w:sz w:val="16"/>
      </w:rPr>
      <w:tblPr/>
      <w:tcPr>
        <w:shd w:val="clear" w:color="auto" w:fill="005962"/>
      </w:tcPr>
    </w:tblStylePr>
    <w:tblStylePr w:type="firstCol">
      <w:pPr>
        <w:wordWrap/>
        <w:jc w:val="left"/>
        <w:outlineLvl w:val="9"/>
      </w:pPr>
    </w:tblStylePr>
  </w:style>
  <w:style w:type="table" w:customStyle="1" w:styleId="Table1611">
    <w:name w:val="Table 1611"/>
    <w:basedOn w:val="TableNormal"/>
    <w:uiPriority w:val="99"/>
    <w:rsid w:val="00FB3D28"/>
    <w:pPr>
      <w:spacing w:after="0" w:line="240" w:lineRule="auto"/>
      <w:jc w:val="center"/>
    </w:pPr>
    <w:rPr>
      <w:rFonts w:ascii="Trebuchet MS" w:hAnsi="Trebuchet MS"/>
      <w:sz w:val="16"/>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quot;Calibri&quot;,sans-serif" w:hAnsi="&quot;Calibri&quot;,sans-serif" w:hint="default"/>
        <w:b/>
        <w:color w:val="FFFFFF"/>
        <w:sz w:val="16"/>
        <w:szCs w:val="16"/>
      </w:rPr>
      <w:tblPr/>
      <w:tcPr>
        <w:shd w:val="clear" w:color="auto" w:fill="005962"/>
      </w:tcPr>
    </w:tblStylePr>
  </w:style>
  <w:style w:type="character" w:customStyle="1" w:styleId="UnresolvedMention43">
    <w:name w:val="Unresolved Mention43"/>
    <w:basedOn w:val="DefaultParagraphFont"/>
    <w:uiPriority w:val="99"/>
    <w:unhideWhenUsed/>
    <w:rsid w:val="002236A2"/>
    <w:rPr>
      <w:color w:val="605E5C"/>
      <w:shd w:val="clear" w:color="auto" w:fill="E1DFDD"/>
    </w:rPr>
  </w:style>
  <w:style w:type="character" w:customStyle="1" w:styleId="Mention47">
    <w:name w:val="Mention47"/>
    <w:basedOn w:val="DefaultParagraphFont"/>
    <w:uiPriority w:val="99"/>
    <w:unhideWhenUsed/>
    <w:rsid w:val="002236A2"/>
    <w:rPr>
      <w:color w:val="2B579A"/>
      <w:shd w:val="clear" w:color="auto" w:fill="E1DFDD"/>
    </w:rPr>
  </w:style>
  <w:style w:type="character" w:customStyle="1" w:styleId="UnresolvedMention44">
    <w:name w:val="Unresolved Mention44"/>
    <w:basedOn w:val="DefaultParagraphFont"/>
    <w:uiPriority w:val="99"/>
    <w:unhideWhenUsed/>
    <w:rsid w:val="008F73B2"/>
    <w:rPr>
      <w:color w:val="605E5C"/>
      <w:shd w:val="clear" w:color="auto" w:fill="E1DFDD"/>
    </w:rPr>
  </w:style>
  <w:style w:type="character" w:customStyle="1" w:styleId="Mention48">
    <w:name w:val="Mention48"/>
    <w:basedOn w:val="DefaultParagraphFont"/>
    <w:uiPriority w:val="99"/>
    <w:unhideWhenUsed/>
    <w:rsid w:val="008F73B2"/>
    <w:rPr>
      <w:color w:val="2B579A"/>
      <w:shd w:val="clear" w:color="auto" w:fill="E1DFDD"/>
    </w:rPr>
  </w:style>
  <w:style w:type="paragraph" w:styleId="EndnoteText">
    <w:name w:val="endnote text"/>
    <w:basedOn w:val="Normal"/>
    <w:link w:val="EndnoteTextChar"/>
    <w:uiPriority w:val="99"/>
    <w:semiHidden/>
    <w:unhideWhenUsed/>
    <w:rsid w:val="005B1A4F"/>
    <w:pPr>
      <w:spacing w:after="0"/>
    </w:pPr>
    <w:rPr>
      <w:sz w:val="20"/>
      <w:szCs w:val="20"/>
    </w:rPr>
  </w:style>
  <w:style w:type="character" w:customStyle="1" w:styleId="EndnoteTextChar">
    <w:name w:val="Endnote Text Char"/>
    <w:basedOn w:val="DefaultParagraphFont"/>
    <w:link w:val="EndnoteText"/>
    <w:uiPriority w:val="99"/>
    <w:semiHidden/>
    <w:rsid w:val="005B1A4F"/>
    <w:rPr>
      <w:rFonts w:ascii="Times New Roman" w:hAnsi="Times New Roman" w:cs="Times New Roman"/>
      <w:sz w:val="20"/>
      <w:szCs w:val="20"/>
    </w:rPr>
  </w:style>
  <w:style w:type="paragraph" w:customStyle="1" w:styleId="lp11">
    <w:name w:val="lp11"/>
    <w:basedOn w:val="Normal"/>
    <w:next w:val="ListParagraph"/>
    <w:uiPriority w:val="34"/>
    <w:qFormat/>
    <w:rsid w:val="0057032E"/>
    <w:pPr>
      <w:ind w:left="720"/>
      <w:contextualSpacing/>
    </w:pPr>
    <w:rPr>
      <w:lang w:val="en-US"/>
    </w:rPr>
  </w:style>
  <w:style w:type="character" w:customStyle="1" w:styleId="Nessuno">
    <w:name w:val="Nessuno"/>
    <w:rsid w:val="00885FBA"/>
  </w:style>
  <w:style w:type="character" w:customStyle="1" w:styleId="UnresolvedMention440">
    <w:name w:val="Unresolved Mention44"/>
    <w:basedOn w:val="DefaultParagraphFont"/>
    <w:uiPriority w:val="99"/>
    <w:unhideWhenUsed/>
    <w:rsid w:val="00885FBA"/>
    <w:rPr>
      <w:color w:val="605E5C"/>
      <w:shd w:val="clear" w:color="auto" w:fill="E1DFDD"/>
    </w:rPr>
  </w:style>
  <w:style w:type="character" w:customStyle="1" w:styleId="Mention480">
    <w:name w:val="Mention48"/>
    <w:basedOn w:val="DefaultParagraphFont"/>
    <w:uiPriority w:val="99"/>
    <w:unhideWhenUsed/>
    <w:rsid w:val="00885FBA"/>
    <w:rPr>
      <w:color w:val="2B579A"/>
      <w:shd w:val="clear" w:color="auto" w:fill="E1DFDD"/>
    </w:rPr>
  </w:style>
  <w:style w:type="character" w:customStyle="1" w:styleId="UnresolvedMention450">
    <w:name w:val="Unresolved Mention450"/>
    <w:basedOn w:val="DefaultParagraphFont"/>
    <w:uiPriority w:val="99"/>
    <w:unhideWhenUsed/>
    <w:rsid w:val="00885FBA"/>
    <w:rPr>
      <w:color w:val="605E5C"/>
      <w:shd w:val="clear" w:color="auto" w:fill="E1DFDD"/>
    </w:rPr>
  </w:style>
  <w:style w:type="character" w:customStyle="1" w:styleId="UnresolvedMention46">
    <w:name w:val="Unresolved Mention46"/>
    <w:basedOn w:val="DefaultParagraphFont"/>
    <w:uiPriority w:val="99"/>
    <w:semiHidden/>
    <w:unhideWhenUsed/>
    <w:rsid w:val="00885FBA"/>
    <w:rPr>
      <w:color w:val="605E5C"/>
      <w:shd w:val="clear" w:color="auto" w:fill="E1DFDD"/>
    </w:rPr>
  </w:style>
  <w:style w:type="character" w:customStyle="1" w:styleId="UnresolvedMention45">
    <w:name w:val="Unresolved Mention45"/>
    <w:basedOn w:val="DefaultParagraphFont"/>
    <w:uiPriority w:val="99"/>
    <w:unhideWhenUsed/>
    <w:rsid w:val="00885FBA"/>
    <w:rPr>
      <w:color w:val="605E5C"/>
      <w:shd w:val="clear" w:color="auto" w:fill="E1DFDD"/>
    </w:rPr>
  </w:style>
  <w:style w:type="character" w:customStyle="1" w:styleId="Mention49">
    <w:name w:val="Mention49"/>
    <w:basedOn w:val="DefaultParagraphFont"/>
    <w:uiPriority w:val="99"/>
    <w:unhideWhenUsed/>
    <w:rsid w:val="00885FBA"/>
    <w:rPr>
      <w:color w:val="2B579A"/>
      <w:shd w:val="clear" w:color="auto" w:fill="E1DFDD"/>
    </w:rPr>
  </w:style>
  <w:style w:type="character" w:customStyle="1" w:styleId="Mention50">
    <w:name w:val="Mention50"/>
    <w:basedOn w:val="DefaultParagraphFont"/>
    <w:uiPriority w:val="99"/>
    <w:unhideWhenUsed/>
    <w:rsid w:val="00885FBA"/>
    <w:rPr>
      <w:color w:val="2B579A"/>
      <w:shd w:val="clear" w:color="auto" w:fill="E1DFDD"/>
    </w:rPr>
  </w:style>
  <w:style w:type="character" w:customStyle="1" w:styleId="UnresolvedMention47">
    <w:name w:val="Unresolved Mention47"/>
    <w:basedOn w:val="DefaultParagraphFont"/>
    <w:uiPriority w:val="99"/>
    <w:semiHidden/>
    <w:unhideWhenUsed/>
    <w:rsid w:val="00885FBA"/>
    <w:rPr>
      <w:color w:val="605E5C"/>
      <w:shd w:val="clear" w:color="auto" w:fill="E1DFDD"/>
    </w:rPr>
  </w:style>
  <w:style w:type="character" w:customStyle="1" w:styleId="Mention51">
    <w:name w:val="Mention51"/>
    <w:basedOn w:val="DefaultParagraphFont"/>
    <w:uiPriority w:val="99"/>
    <w:unhideWhenUsed/>
    <w:rsid w:val="00885FBA"/>
    <w:rPr>
      <w:color w:val="2B579A"/>
      <w:shd w:val="clear" w:color="auto" w:fill="E1DFDD"/>
    </w:rPr>
  </w:style>
  <w:style w:type="table" w:styleId="ListTable1Light-Accent1">
    <w:name w:val="List Table 1 Light Accent 1"/>
    <w:basedOn w:val="TableNormal"/>
    <w:uiPriority w:val="46"/>
    <w:rsid w:val="00AA4484"/>
    <w:pPr>
      <w:spacing w:after="0" w:line="240" w:lineRule="auto"/>
    </w:pPr>
    <w:rPr>
      <w:lang w:val="en-AU"/>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
    <w:name w:val="Text"/>
    <w:basedOn w:val="Heading2"/>
    <w:rsid w:val="00104982"/>
    <w:rPr>
      <w:rFonts w:eastAsiaTheme="minorEastAsia"/>
      <w:sz w:val="22"/>
      <w:szCs w:val="22"/>
      <w:lang w:eastAsia="en-GB"/>
    </w:rPr>
  </w:style>
  <w:style w:type="character" w:customStyle="1" w:styleId="UnresolvedMention48">
    <w:name w:val="Unresolved Mention48"/>
    <w:basedOn w:val="DefaultParagraphFont"/>
    <w:uiPriority w:val="99"/>
    <w:unhideWhenUsed/>
    <w:rsid w:val="00E70271"/>
    <w:rPr>
      <w:color w:val="605E5C"/>
      <w:shd w:val="clear" w:color="auto" w:fill="E1DFDD"/>
    </w:rPr>
  </w:style>
  <w:style w:type="character" w:customStyle="1" w:styleId="Mention52">
    <w:name w:val="Mention52"/>
    <w:basedOn w:val="DefaultParagraphFont"/>
    <w:uiPriority w:val="99"/>
    <w:unhideWhenUsed/>
    <w:rsid w:val="00E70271"/>
    <w:rPr>
      <w:color w:val="2B579A"/>
      <w:shd w:val="clear" w:color="auto" w:fill="E1DFDD"/>
    </w:rPr>
  </w:style>
  <w:style w:type="paragraph" w:customStyle="1" w:styleId="TechnicalBlock">
    <w:name w:val="Technical Block"/>
    <w:basedOn w:val="Normal"/>
    <w:link w:val="TechnicalBlockChar"/>
    <w:rsid w:val="003502CA"/>
    <w:pPr>
      <w:jc w:val="center"/>
    </w:pPr>
  </w:style>
  <w:style w:type="character" w:customStyle="1" w:styleId="TechnicalBlockChar">
    <w:name w:val="Technical Block Char"/>
    <w:basedOn w:val="DefaultParagraphFont"/>
    <w:link w:val="TechnicalBlock"/>
    <w:rsid w:val="003502CA"/>
    <w:rPr>
      <w:rFonts w:ascii="Times New Roman" w:hAnsi="Times New Roman" w:cs="Times New Roman"/>
      <w:sz w:val="24"/>
      <w:szCs w:val="24"/>
    </w:rPr>
  </w:style>
  <w:style w:type="paragraph" w:customStyle="1" w:styleId="EntText">
    <w:name w:val="EntText"/>
    <w:basedOn w:val="Normal"/>
    <w:rsid w:val="003502CA"/>
    <w:pPr>
      <w:spacing w:before="120" w:after="120" w:line="360" w:lineRule="auto"/>
      <w:jc w:val="left"/>
    </w:pPr>
    <w:rPr>
      <w:szCs w:val="22"/>
    </w:rPr>
  </w:style>
  <w:style w:type="paragraph" w:customStyle="1" w:styleId="Lignefinal">
    <w:name w:val="Ligne final"/>
    <w:basedOn w:val="Normal"/>
    <w:next w:val="Normal"/>
    <w:rsid w:val="003502CA"/>
    <w:pPr>
      <w:pBdr>
        <w:bottom w:val="single" w:sz="4" w:space="0" w:color="000000"/>
      </w:pBdr>
      <w:spacing w:before="360" w:after="120" w:line="360" w:lineRule="auto"/>
      <w:ind w:left="3400" w:right="3400"/>
      <w:jc w:val="center"/>
    </w:pPr>
    <w:rPr>
      <w:b/>
      <w:szCs w:val="22"/>
    </w:rPr>
  </w:style>
  <w:style w:type="paragraph" w:customStyle="1" w:styleId="pj">
    <w:name w:val="p.j."/>
    <w:basedOn w:val="Normal"/>
    <w:link w:val="pjChar"/>
    <w:rsid w:val="003502CA"/>
    <w:pPr>
      <w:spacing w:before="1200" w:after="120"/>
      <w:ind w:left="1440" w:hanging="1440"/>
      <w:jc w:val="left"/>
    </w:pPr>
  </w:style>
  <w:style w:type="character" w:customStyle="1" w:styleId="pjChar">
    <w:name w:val="p.j. Char"/>
    <w:basedOn w:val="TechnicalBlockChar"/>
    <w:link w:val="pj"/>
    <w:rsid w:val="003502CA"/>
    <w:rPr>
      <w:rFonts w:ascii="Times New Roman" w:hAnsi="Times New Roman" w:cs="Times New Roman"/>
      <w:sz w:val="24"/>
      <w:szCs w:val="24"/>
    </w:rPr>
  </w:style>
  <w:style w:type="paragraph" w:customStyle="1" w:styleId="nbbordered">
    <w:name w:val="nb bordered"/>
    <w:basedOn w:val="Normal"/>
    <w:link w:val="nbborderedChar"/>
    <w:rsid w:val="003502CA"/>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b/>
    </w:rPr>
  </w:style>
  <w:style w:type="character" w:customStyle="1" w:styleId="nbborderedChar">
    <w:name w:val="nb bordered Char"/>
    <w:basedOn w:val="TechnicalBlockChar"/>
    <w:link w:val="nbbordered"/>
    <w:rsid w:val="003502CA"/>
    <w:rPr>
      <w:rFonts w:ascii="Times New Roman" w:hAnsi="Times New Roman" w:cs="Times New Roman"/>
      <w:b/>
      <w:sz w:val="24"/>
      <w:szCs w:val="24"/>
    </w:rPr>
  </w:style>
  <w:style w:type="paragraph" w:customStyle="1" w:styleId="HeaderCouncil">
    <w:name w:val="Header Council"/>
    <w:basedOn w:val="Normal"/>
    <w:link w:val="HeaderCouncilChar"/>
    <w:rsid w:val="003502CA"/>
    <w:pPr>
      <w:spacing w:after="0"/>
    </w:pPr>
    <w:rPr>
      <w:noProof/>
      <w:sz w:val="2"/>
      <w:lang w:val="en-IE"/>
    </w:rPr>
  </w:style>
  <w:style w:type="character" w:customStyle="1" w:styleId="HeaderCouncilChar">
    <w:name w:val="Header Council Char"/>
    <w:basedOn w:val="DefaultParagraphFont"/>
    <w:link w:val="HeaderCouncil"/>
    <w:rsid w:val="003502CA"/>
    <w:rPr>
      <w:rFonts w:ascii="Times New Roman" w:hAnsi="Times New Roman" w:cs="Times New Roman"/>
      <w:noProof/>
      <w:sz w:val="2"/>
      <w:szCs w:val="24"/>
      <w:lang w:val="en-IE"/>
    </w:rPr>
  </w:style>
  <w:style w:type="paragraph" w:customStyle="1" w:styleId="HeaderCouncilLarge">
    <w:name w:val="Header Council Large"/>
    <w:basedOn w:val="Normal"/>
    <w:link w:val="HeaderCouncilLargeChar"/>
    <w:rsid w:val="003502CA"/>
    <w:pPr>
      <w:spacing w:after="440"/>
    </w:pPr>
    <w:rPr>
      <w:noProof/>
      <w:sz w:val="2"/>
      <w:lang w:val="en-IE"/>
    </w:rPr>
  </w:style>
  <w:style w:type="character" w:customStyle="1" w:styleId="HeaderCouncilLargeChar">
    <w:name w:val="Header Council Large Char"/>
    <w:basedOn w:val="DefaultParagraphFont"/>
    <w:link w:val="HeaderCouncilLarge"/>
    <w:rsid w:val="003502CA"/>
    <w:rPr>
      <w:rFonts w:ascii="Times New Roman" w:hAnsi="Times New Roman" w:cs="Times New Roman"/>
      <w:noProof/>
      <w:sz w:val="2"/>
      <w:szCs w:val="24"/>
      <w:lang w:val="en-IE"/>
    </w:rPr>
  </w:style>
  <w:style w:type="paragraph" w:customStyle="1" w:styleId="FooterCouncil">
    <w:name w:val="Footer Council"/>
    <w:basedOn w:val="Normal"/>
    <w:link w:val="FooterCouncilChar"/>
    <w:rsid w:val="003502CA"/>
    <w:pPr>
      <w:spacing w:after="0"/>
    </w:pPr>
    <w:rPr>
      <w:noProof/>
      <w:sz w:val="2"/>
      <w:lang w:val="en-IE"/>
    </w:rPr>
  </w:style>
  <w:style w:type="character" w:customStyle="1" w:styleId="FooterCouncilChar">
    <w:name w:val="Footer Council Char"/>
    <w:basedOn w:val="DefaultParagraphFont"/>
    <w:link w:val="FooterCouncil"/>
    <w:rsid w:val="003502CA"/>
    <w:rPr>
      <w:rFonts w:ascii="Times New Roman" w:hAnsi="Times New Roman" w:cs="Times New Roman"/>
      <w:noProof/>
      <w:sz w:val="2"/>
      <w:szCs w:val="24"/>
      <w:lang w:val="en-IE"/>
    </w:rPr>
  </w:style>
  <w:style w:type="paragraph" w:customStyle="1" w:styleId="FooterText">
    <w:name w:val="Footer Text"/>
    <w:basedOn w:val="Normal"/>
    <w:rsid w:val="003502CA"/>
    <w:pPr>
      <w:spacing w:after="0"/>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1914">
      <w:bodyDiv w:val="1"/>
      <w:marLeft w:val="0"/>
      <w:marRight w:val="0"/>
      <w:marTop w:val="0"/>
      <w:marBottom w:val="0"/>
      <w:divBdr>
        <w:top w:val="none" w:sz="0" w:space="0" w:color="auto"/>
        <w:left w:val="none" w:sz="0" w:space="0" w:color="auto"/>
        <w:bottom w:val="none" w:sz="0" w:space="0" w:color="auto"/>
        <w:right w:val="none" w:sz="0" w:space="0" w:color="auto"/>
      </w:divBdr>
    </w:div>
    <w:div w:id="16732994">
      <w:bodyDiv w:val="1"/>
      <w:marLeft w:val="0"/>
      <w:marRight w:val="0"/>
      <w:marTop w:val="0"/>
      <w:marBottom w:val="0"/>
      <w:divBdr>
        <w:top w:val="none" w:sz="0" w:space="0" w:color="auto"/>
        <w:left w:val="none" w:sz="0" w:space="0" w:color="auto"/>
        <w:bottom w:val="none" w:sz="0" w:space="0" w:color="auto"/>
        <w:right w:val="none" w:sz="0" w:space="0" w:color="auto"/>
      </w:divBdr>
    </w:div>
    <w:div w:id="18430489">
      <w:bodyDiv w:val="1"/>
      <w:marLeft w:val="0"/>
      <w:marRight w:val="0"/>
      <w:marTop w:val="0"/>
      <w:marBottom w:val="0"/>
      <w:divBdr>
        <w:top w:val="none" w:sz="0" w:space="0" w:color="auto"/>
        <w:left w:val="none" w:sz="0" w:space="0" w:color="auto"/>
        <w:bottom w:val="none" w:sz="0" w:space="0" w:color="auto"/>
        <w:right w:val="none" w:sz="0" w:space="0" w:color="auto"/>
      </w:divBdr>
    </w:div>
    <w:div w:id="42142263">
      <w:bodyDiv w:val="1"/>
      <w:marLeft w:val="0"/>
      <w:marRight w:val="0"/>
      <w:marTop w:val="0"/>
      <w:marBottom w:val="0"/>
      <w:divBdr>
        <w:top w:val="none" w:sz="0" w:space="0" w:color="auto"/>
        <w:left w:val="none" w:sz="0" w:space="0" w:color="auto"/>
        <w:bottom w:val="none" w:sz="0" w:space="0" w:color="auto"/>
        <w:right w:val="none" w:sz="0" w:space="0" w:color="auto"/>
      </w:divBdr>
    </w:div>
    <w:div w:id="45221165">
      <w:bodyDiv w:val="1"/>
      <w:marLeft w:val="0"/>
      <w:marRight w:val="0"/>
      <w:marTop w:val="0"/>
      <w:marBottom w:val="0"/>
      <w:divBdr>
        <w:top w:val="none" w:sz="0" w:space="0" w:color="auto"/>
        <w:left w:val="none" w:sz="0" w:space="0" w:color="auto"/>
        <w:bottom w:val="none" w:sz="0" w:space="0" w:color="auto"/>
        <w:right w:val="none" w:sz="0" w:space="0" w:color="auto"/>
      </w:divBdr>
    </w:div>
    <w:div w:id="49378877">
      <w:bodyDiv w:val="1"/>
      <w:marLeft w:val="0"/>
      <w:marRight w:val="0"/>
      <w:marTop w:val="0"/>
      <w:marBottom w:val="0"/>
      <w:divBdr>
        <w:top w:val="none" w:sz="0" w:space="0" w:color="auto"/>
        <w:left w:val="none" w:sz="0" w:space="0" w:color="auto"/>
        <w:bottom w:val="none" w:sz="0" w:space="0" w:color="auto"/>
        <w:right w:val="none" w:sz="0" w:space="0" w:color="auto"/>
      </w:divBdr>
    </w:div>
    <w:div w:id="59983961">
      <w:bodyDiv w:val="1"/>
      <w:marLeft w:val="0"/>
      <w:marRight w:val="0"/>
      <w:marTop w:val="0"/>
      <w:marBottom w:val="0"/>
      <w:divBdr>
        <w:top w:val="none" w:sz="0" w:space="0" w:color="auto"/>
        <w:left w:val="none" w:sz="0" w:space="0" w:color="auto"/>
        <w:bottom w:val="none" w:sz="0" w:space="0" w:color="auto"/>
        <w:right w:val="none" w:sz="0" w:space="0" w:color="auto"/>
      </w:divBdr>
    </w:div>
    <w:div w:id="60256770">
      <w:bodyDiv w:val="1"/>
      <w:marLeft w:val="0"/>
      <w:marRight w:val="0"/>
      <w:marTop w:val="0"/>
      <w:marBottom w:val="0"/>
      <w:divBdr>
        <w:top w:val="none" w:sz="0" w:space="0" w:color="auto"/>
        <w:left w:val="none" w:sz="0" w:space="0" w:color="auto"/>
        <w:bottom w:val="none" w:sz="0" w:space="0" w:color="auto"/>
        <w:right w:val="none" w:sz="0" w:space="0" w:color="auto"/>
      </w:divBdr>
    </w:div>
    <w:div w:id="70125117">
      <w:bodyDiv w:val="1"/>
      <w:marLeft w:val="0"/>
      <w:marRight w:val="0"/>
      <w:marTop w:val="0"/>
      <w:marBottom w:val="0"/>
      <w:divBdr>
        <w:top w:val="none" w:sz="0" w:space="0" w:color="auto"/>
        <w:left w:val="none" w:sz="0" w:space="0" w:color="auto"/>
        <w:bottom w:val="none" w:sz="0" w:space="0" w:color="auto"/>
        <w:right w:val="none" w:sz="0" w:space="0" w:color="auto"/>
      </w:divBdr>
      <w:divsChild>
        <w:div w:id="1975017986">
          <w:marLeft w:val="0"/>
          <w:marRight w:val="0"/>
          <w:marTop w:val="0"/>
          <w:marBottom w:val="0"/>
          <w:divBdr>
            <w:top w:val="none" w:sz="0" w:space="0" w:color="auto"/>
            <w:left w:val="none" w:sz="0" w:space="0" w:color="auto"/>
            <w:bottom w:val="none" w:sz="0" w:space="0" w:color="auto"/>
            <w:right w:val="none" w:sz="0" w:space="0" w:color="auto"/>
          </w:divBdr>
        </w:div>
      </w:divsChild>
    </w:div>
    <w:div w:id="71199097">
      <w:bodyDiv w:val="1"/>
      <w:marLeft w:val="0"/>
      <w:marRight w:val="0"/>
      <w:marTop w:val="0"/>
      <w:marBottom w:val="0"/>
      <w:divBdr>
        <w:top w:val="none" w:sz="0" w:space="0" w:color="auto"/>
        <w:left w:val="none" w:sz="0" w:space="0" w:color="auto"/>
        <w:bottom w:val="none" w:sz="0" w:space="0" w:color="auto"/>
        <w:right w:val="none" w:sz="0" w:space="0" w:color="auto"/>
      </w:divBdr>
    </w:div>
    <w:div w:id="82801894">
      <w:bodyDiv w:val="1"/>
      <w:marLeft w:val="0"/>
      <w:marRight w:val="0"/>
      <w:marTop w:val="0"/>
      <w:marBottom w:val="0"/>
      <w:divBdr>
        <w:top w:val="none" w:sz="0" w:space="0" w:color="auto"/>
        <w:left w:val="none" w:sz="0" w:space="0" w:color="auto"/>
        <w:bottom w:val="none" w:sz="0" w:space="0" w:color="auto"/>
        <w:right w:val="none" w:sz="0" w:space="0" w:color="auto"/>
      </w:divBdr>
    </w:div>
    <w:div w:id="99225738">
      <w:bodyDiv w:val="1"/>
      <w:marLeft w:val="0"/>
      <w:marRight w:val="0"/>
      <w:marTop w:val="0"/>
      <w:marBottom w:val="0"/>
      <w:divBdr>
        <w:top w:val="none" w:sz="0" w:space="0" w:color="auto"/>
        <w:left w:val="none" w:sz="0" w:space="0" w:color="auto"/>
        <w:bottom w:val="none" w:sz="0" w:space="0" w:color="auto"/>
        <w:right w:val="none" w:sz="0" w:space="0" w:color="auto"/>
      </w:divBdr>
    </w:div>
    <w:div w:id="116140458">
      <w:bodyDiv w:val="1"/>
      <w:marLeft w:val="0"/>
      <w:marRight w:val="0"/>
      <w:marTop w:val="0"/>
      <w:marBottom w:val="0"/>
      <w:divBdr>
        <w:top w:val="none" w:sz="0" w:space="0" w:color="auto"/>
        <w:left w:val="none" w:sz="0" w:space="0" w:color="auto"/>
        <w:bottom w:val="none" w:sz="0" w:space="0" w:color="auto"/>
        <w:right w:val="none" w:sz="0" w:space="0" w:color="auto"/>
      </w:divBdr>
    </w:div>
    <w:div w:id="145322081">
      <w:bodyDiv w:val="1"/>
      <w:marLeft w:val="0"/>
      <w:marRight w:val="0"/>
      <w:marTop w:val="0"/>
      <w:marBottom w:val="0"/>
      <w:divBdr>
        <w:top w:val="none" w:sz="0" w:space="0" w:color="auto"/>
        <w:left w:val="none" w:sz="0" w:space="0" w:color="auto"/>
        <w:bottom w:val="none" w:sz="0" w:space="0" w:color="auto"/>
        <w:right w:val="none" w:sz="0" w:space="0" w:color="auto"/>
      </w:divBdr>
    </w:div>
    <w:div w:id="154302472">
      <w:bodyDiv w:val="1"/>
      <w:marLeft w:val="0"/>
      <w:marRight w:val="0"/>
      <w:marTop w:val="0"/>
      <w:marBottom w:val="0"/>
      <w:divBdr>
        <w:top w:val="none" w:sz="0" w:space="0" w:color="auto"/>
        <w:left w:val="none" w:sz="0" w:space="0" w:color="auto"/>
        <w:bottom w:val="none" w:sz="0" w:space="0" w:color="auto"/>
        <w:right w:val="none" w:sz="0" w:space="0" w:color="auto"/>
      </w:divBdr>
    </w:div>
    <w:div w:id="160388978">
      <w:bodyDiv w:val="1"/>
      <w:marLeft w:val="0"/>
      <w:marRight w:val="0"/>
      <w:marTop w:val="0"/>
      <w:marBottom w:val="0"/>
      <w:divBdr>
        <w:top w:val="none" w:sz="0" w:space="0" w:color="auto"/>
        <w:left w:val="none" w:sz="0" w:space="0" w:color="auto"/>
        <w:bottom w:val="none" w:sz="0" w:space="0" w:color="auto"/>
        <w:right w:val="none" w:sz="0" w:space="0" w:color="auto"/>
      </w:divBdr>
    </w:div>
    <w:div w:id="162287410">
      <w:bodyDiv w:val="1"/>
      <w:marLeft w:val="0"/>
      <w:marRight w:val="0"/>
      <w:marTop w:val="0"/>
      <w:marBottom w:val="0"/>
      <w:divBdr>
        <w:top w:val="none" w:sz="0" w:space="0" w:color="auto"/>
        <w:left w:val="none" w:sz="0" w:space="0" w:color="auto"/>
        <w:bottom w:val="none" w:sz="0" w:space="0" w:color="auto"/>
        <w:right w:val="none" w:sz="0" w:space="0" w:color="auto"/>
      </w:divBdr>
    </w:div>
    <w:div w:id="197665571">
      <w:bodyDiv w:val="1"/>
      <w:marLeft w:val="0"/>
      <w:marRight w:val="0"/>
      <w:marTop w:val="0"/>
      <w:marBottom w:val="0"/>
      <w:divBdr>
        <w:top w:val="none" w:sz="0" w:space="0" w:color="auto"/>
        <w:left w:val="none" w:sz="0" w:space="0" w:color="auto"/>
        <w:bottom w:val="none" w:sz="0" w:space="0" w:color="auto"/>
        <w:right w:val="none" w:sz="0" w:space="0" w:color="auto"/>
      </w:divBdr>
      <w:divsChild>
        <w:div w:id="763380597">
          <w:marLeft w:val="0"/>
          <w:marRight w:val="0"/>
          <w:marTop w:val="0"/>
          <w:marBottom w:val="0"/>
          <w:divBdr>
            <w:top w:val="none" w:sz="0" w:space="0" w:color="auto"/>
            <w:left w:val="none" w:sz="0" w:space="0" w:color="auto"/>
            <w:bottom w:val="none" w:sz="0" w:space="0" w:color="auto"/>
            <w:right w:val="none" w:sz="0" w:space="0" w:color="auto"/>
          </w:divBdr>
          <w:divsChild>
            <w:div w:id="304698802">
              <w:marLeft w:val="0"/>
              <w:marRight w:val="0"/>
              <w:marTop w:val="0"/>
              <w:marBottom w:val="0"/>
              <w:divBdr>
                <w:top w:val="none" w:sz="0" w:space="0" w:color="auto"/>
                <w:left w:val="none" w:sz="0" w:space="0" w:color="auto"/>
                <w:bottom w:val="none" w:sz="0" w:space="0" w:color="auto"/>
                <w:right w:val="none" w:sz="0" w:space="0" w:color="auto"/>
              </w:divBdr>
            </w:div>
            <w:div w:id="6583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3650">
      <w:bodyDiv w:val="1"/>
      <w:marLeft w:val="0"/>
      <w:marRight w:val="0"/>
      <w:marTop w:val="0"/>
      <w:marBottom w:val="0"/>
      <w:divBdr>
        <w:top w:val="none" w:sz="0" w:space="0" w:color="auto"/>
        <w:left w:val="none" w:sz="0" w:space="0" w:color="auto"/>
        <w:bottom w:val="none" w:sz="0" w:space="0" w:color="auto"/>
        <w:right w:val="none" w:sz="0" w:space="0" w:color="auto"/>
      </w:divBdr>
    </w:div>
    <w:div w:id="218059146">
      <w:bodyDiv w:val="1"/>
      <w:marLeft w:val="0"/>
      <w:marRight w:val="0"/>
      <w:marTop w:val="0"/>
      <w:marBottom w:val="0"/>
      <w:divBdr>
        <w:top w:val="none" w:sz="0" w:space="0" w:color="auto"/>
        <w:left w:val="none" w:sz="0" w:space="0" w:color="auto"/>
        <w:bottom w:val="none" w:sz="0" w:space="0" w:color="auto"/>
        <w:right w:val="none" w:sz="0" w:space="0" w:color="auto"/>
      </w:divBdr>
    </w:div>
    <w:div w:id="232087486">
      <w:bodyDiv w:val="1"/>
      <w:marLeft w:val="0"/>
      <w:marRight w:val="0"/>
      <w:marTop w:val="0"/>
      <w:marBottom w:val="0"/>
      <w:divBdr>
        <w:top w:val="none" w:sz="0" w:space="0" w:color="auto"/>
        <w:left w:val="none" w:sz="0" w:space="0" w:color="auto"/>
        <w:bottom w:val="none" w:sz="0" w:space="0" w:color="auto"/>
        <w:right w:val="none" w:sz="0" w:space="0" w:color="auto"/>
      </w:divBdr>
      <w:divsChild>
        <w:div w:id="271205031">
          <w:marLeft w:val="0"/>
          <w:marRight w:val="0"/>
          <w:marTop w:val="0"/>
          <w:marBottom w:val="0"/>
          <w:divBdr>
            <w:top w:val="none" w:sz="0" w:space="0" w:color="auto"/>
            <w:left w:val="none" w:sz="0" w:space="0" w:color="auto"/>
            <w:bottom w:val="none" w:sz="0" w:space="0" w:color="auto"/>
            <w:right w:val="none" w:sz="0" w:space="0" w:color="auto"/>
          </w:divBdr>
          <w:divsChild>
            <w:div w:id="6078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818">
      <w:bodyDiv w:val="1"/>
      <w:marLeft w:val="0"/>
      <w:marRight w:val="0"/>
      <w:marTop w:val="0"/>
      <w:marBottom w:val="0"/>
      <w:divBdr>
        <w:top w:val="none" w:sz="0" w:space="0" w:color="auto"/>
        <w:left w:val="none" w:sz="0" w:space="0" w:color="auto"/>
        <w:bottom w:val="none" w:sz="0" w:space="0" w:color="auto"/>
        <w:right w:val="none" w:sz="0" w:space="0" w:color="auto"/>
      </w:divBdr>
    </w:div>
    <w:div w:id="257450430">
      <w:bodyDiv w:val="1"/>
      <w:marLeft w:val="0"/>
      <w:marRight w:val="0"/>
      <w:marTop w:val="0"/>
      <w:marBottom w:val="0"/>
      <w:divBdr>
        <w:top w:val="none" w:sz="0" w:space="0" w:color="auto"/>
        <w:left w:val="none" w:sz="0" w:space="0" w:color="auto"/>
        <w:bottom w:val="none" w:sz="0" w:space="0" w:color="auto"/>
        <w:right w:val="none" w:sz="0" w:space="0" w:color="auto"/>
      </w:divBdr>
    </w:div>
    <w:div w:id="259028823">
      <w:bodyDiv w:val="1"/>
      <w:marLeft w:val="0"/>
      <w:marRight w:val="0"/>
      <w:marTop w:val="0"/>
      <w:marBottom w:val="0"/>
      <w:divBdr>
        <w:top w:val="none" w:sz="0" w:space="0" w:color="auto"/>
        <w:left w:val="none" w:sz="0" w:space="0" w:color="auto"/>
        <w:bottom w:val="none" w:sz="0" w:space="0" w:color="auto"/>
        <w:right w:val="none" w:sz="0" w:space="0" w:color="auto"/>
      </w:divBdr>
    </w:div>
    <w:div w:id="267279504">
      <w:bodyDiv w:val="1"/>
      <w:marLeft w:val="0"/>
      <w:marRight w:val="0"/>
      <w:marTop w:val="0"/>
      <w:marBottom w:val="0"/>
      <w:divBdr>
        <w:top w:val="none" w:sz="0" w:space="0" w:color="auto"/>
        <w:left w:val="none" w:sz="0" w:space="0" w:color="auto"/>
        <w:bottom w:val="none" w:sz="0" w:space="0" w:color="auto"/>
        <w:right w:val="none" w:sz="0" w:space="0" w:color="auto"/>
      </w:divBdr>
    </w:div>
    <w:div w:id="273901076">
      <w:bodyDiv w:val="1"/>
      <w:marLeft w:val="0"/>
      <w:marRight w:val="0"/>
      <w:marTop w:val="0"/>
      <w:marBottom w:val="0"/>
      <w:divBdr>
        <w:top w:val="none" w:sz="0" w:space="0" w:color="auto"/>
        <w:left w:val="none" w:sz="0" w:space="0" w:color="auto"/>
        <w:bottom w:val="none" w:sz="0" w:space="0" w:color="auto"/>
        <w:right w:val="none" w:sz="0" w:space="0" w:color="auto"/>
      </w:divBdr>
      <w:divsChild>
        <w:div w:id="2097393">
          <w:marLeft w:val="0"/>
          <w:marRight w:val="0"/>
          <w:marTop w:val="0"/>
          <w:marBottom w:val="0"/>
          <w:divBdr>
            <w:top w:val="none" w:sz="0" w:space="0" w:color="auto"/>
            <w:left w:val="none" w:sz="0" w:space="0" w:color="auto"/>
            <w:bottom w:val="none" w:sz="0" w:space="0" w:color="auto"/>
            <w:right w:val="none" w:sz="0" w:space="0" w:color="auto"/>
          </w:divBdr>
        </w:div>
        <w:div w:id="402532632">
          <w:marLeft w:val="0"/>
          <w:marRight w:val="0"/>
          <w:marTop w:val="0"/>
          <w:marBottom w:val="0"/>
          <w:divBdr>
            <w:top w:val="none" w:sz="0" w:space="0" w:color="auto"/>
            <w:left w:val="none" w:sz="0" w:space="0" w:color="auto"/>
            <w:bottom w:val="none" w:sz="0" w:space="0" w:color="auto"/>
            <w:right w:val="none" w:sz="0" w:space="0" w:color="auto"/>
          </w:divBdr>
        </w:div>
      </w:divsChild>
    </w:div>
    <w:div w:id="281083955">
      <w:bodyDiv w:val="1"/>
      <w:marLeft w:val="0"/>
      <w:marRight w:val="0"/>
      <w:marTop w:val="0"/>
      <w:marBottom w:val="0"/>
      <w:divBdr>
        <w:top w:val="none" w:sz="0" w:space="0" w:color="auto"/>
        <w:left w:val="none" w:sz="0" w:space="0" w:color="auto"/>
        <w:bottom w:val="none" w:sz="0" w:space="0" w:color="auto"/>
        <w:right w:val="none" w:sz="0" w:space="0" w:color="auto"/>
      </w:divBdr>
    </w:div>
    <w:div w:id="291790433">
      <w:bodyDiv w:val="1"/>
      <w:marLeft w:val="0"/>
      <w:marRight w:val="0"/>
      <w:marTop w:val="0"/>
      <w:marBottom w:val="0"/>
      <w:divBdr>
        <w:top w:val="none" w:sz="0" w:space="0" w:color="auto"/>
        <w:left w:val="none" w:sz="0" w:space="0" w:color="auto"/>
        <w:bottom w:val="none" w:sz="0" w:space="0" w:color="auto"/>
        <w:right w:val="none" w:sz="0" w:space="0" w:color="auto"/>
      </w:divBdr>
      <w:divsChild>
        <w:div w:id="19554173">
          <w:marLeft w:val="0"/>
          <w:marRight w:val="0"/>
          <w:marTop w:val="0"/>
          <w:marBottom w:val="0"/>
          <w:divBdr>
            <w:top w:val="none" w:sz="0" w:space="0" w:color="auto"/>
            <w:left w:val="none" w:sz="0" w:space="0" w:color="auto"/>
            <w:bottom w:val="none" w:sz="0" w:space="0" w:color="auto"/>
            <w:right w:val="none" w:sz="0" w:space="0" w:color="auto"/>
          </w:divBdr>
        </w:div>
        <w:div w:id="52387944">
          <w:marLeft w:val="0"/>
          <w:marRight w:val="0"/>
          <w:marTop w:val="0"/>
          <w:marBottom w:val="0"/>
          <w:divBdr>
            <w:top w:val="none" w:sz="0" w:space="0" w:color="auto"/>
            <w:left w:val="none" w:sz="0" w:space="0" w:color="auto"/>
            <w:bottom w:val="none" w:sz="0" w:space="0" w:color="auto"/>
            <w:right w:val="none" w:sz="0" w:space="0" w:color="auto"/>
          </w:divBdr>
        </w:div>
        <w:div w:id="61025255">
          <w:marLeft w:val="0"/>
          <w:marRight w:val="0"/>
          <w:marTop w:val="0"/>
          <w:marBottom w:val="0"/>
          <w:divBdr>
            <w:top w:val="none" w:sz="0" w:space="0" w:color="auto"/>
            <w:left w:val="none" w:sz="0" w:space="0" w:color="auto"/>
            <w:bottom w:val="none" w:sz="0" w:space="0" w:color="auto"/>
            <w:right w:val="none" w:sz="0" w:space="0" w:color="auto"/>
          </w:divBdr>
        </w:div>
        <w:div w:id="92826660">
          <w:marLeft w:val="0"/>
          <w:marRight w:val="0"/>
          <w:marTop w:val="0"/>
          <w:marBottom w:val="0"/>
          <w:divBdr>
            <w:top w:val="none" w:sz="0" w:space="0" w:color="auto"/>
            <w:left w:val="none" w:sz="0" w:space="0" w:color="auto"/>
            <w:bottom w:val="none" w:sz="0" w:space="0" w:color="auto"/>
            <w:right w:val="none" w:sz="0" w:space="0" w:color="auto"/>
          </w:divBdr>
          <w:divsChild>
            <w:div w:id="544752279">
              <w:marLeft w:val="0"/>
              <w:marRight w:val="0"/>
              <w:marTop w:val="0"/>
              <w:marBottom w:val="0"/>
              <w:divBdr>
                <w:top w:val="none" w:sz="0" w:space="0" w:color="auto"/>
                <w:left w:val="none" w:sz="0" w:space="0" w:color="auto"/>
                <w:bottom w:val="none" w:sz="0" w:space="0" w:color="auto"/>
                <w:right w:val="none" w:sz="0" w:space="0" w:color="auto"/>
              </w:divBdr>
            </w:div>
            <w:div w:id="995691300">
              <w:marLeft w:val="0"/>
              <w:marRight w:val="0"/>
              <w:marTop w:val="0"/>
              <w:marBottom w:val="0"/>
              <w:divBdr>
                <w:top w:val="none" w:sz="0" w:space="0" w:color="auto"/>
                <w:left w:val="none" w:sz="0" w:space="0" w:color="auto"/>
                <w:bottom w:val="none" w:sz="0" w:space="0" w:color="auto"/>
                <w:right w:val="none" w:sz="0" w:space="0" w:color="auto"/>
              </w:divBdr>
            </w:div>
            <w:div w:id="1795324610">
              <w:marLeft w:val="0"/>
              <w:marRight w:val="0"/>
              <w:marTop w:val="0"/>
              <w:marBottom w:val="0"/>
              <w:divBdr>
                <w:top w:val="none" w:sz="0" w:space="0" w:color="auto"/>
                <w:left w:val="none" w:sz="0" w:space="0" w:color="auto"/>
                <w:bottom w:val="none" w:sz="0" w:space="0" w:color="auto"/>
                <w:right w:val="none" w:sz="0" w:space="0" w:color="auto"/>
              </w:divBdr>
            </w:div>
            <w:div w:id="1822498101">
              <w:marLeft w:val="0"/>
              <w:marRight w:val="0"/>
              <w:marTop w:val="0"/>
              <w:marBottom w:val="0"/>
              <w:divBdr>
                <w:top w:val="none" w:sz="0" w:space="0" w:color="auto"/>
                <w:left w:val="none" w:sz="0" w:space="0" w:color="auto"/>
                <w:bottom w:val="none" w:sz="0" w:space="0" w:color="auto"/>
                <w:right w:val="none" w:sz="0" w:space="0" w:color="auto"/>
              </w:divBdr>
            </w:div>
            <w:div w:id="2064477875">
              <w:marLeft w:val="0"/>
              <w:marRight w:val="0"/>
              <w:marTop w:val="0"/>
              <w:marBottom w:val="0"/>
              <w:divBdr>
                <w:top w:val="none" w:sz="0" w:space="0" w:color="auto"/>
                <w:left w:val="none" w:sz="0" w:space="0" w:color="auto"/>
                <w:bottom w:val="none" w:sz="0" w:space="0" w:color="auto"/>
                <w:right w:val="none" w:sz="0" w:space="0" w:color="auto"/>
              </w:divBdr>
            </w:div>
          </w:divsChild>
        </w:div>
        <w:div w:id="108400924">
          <w:marLeft w:val="0"/>
          <w:marRight w:val="0"/>
          <w:marTop w:val="0"/>
          <w:marBottom w:val="0"/>
          <w:divBdr>
            <w:top w:val="none" w:sz="0" w:space="0" w:color="auto"/>
            <w:left w:val="none" w:sz="0" w:space="0" w:color="auto"/>
            <w:bottom w:val="none" w:sz="0" w:space="0" w:color="auto"/>
            <w:right w:val="none" w:sz="0" w:space="0" w:color="auto"/>
          </w:divBdr>
          <w:divsChild>
            <w:div w:id="1367178235">
              <w:marLeft w:val="0"/>
              <w:marRight w:val="0"/>
              <w:marTop w:val="0"/>
              <w:marBottom w:val="0"/>
              <w:divBdr>
                <w:top w:val="none" w:sz="0" w:space="0" w:color="auto"/>
                <w:left w:val="none" w:sz="0" w:space="0" w:color="auto"/>
                <w:bottom w:val="none" w:sz="0" w:space="0" w:color="auto"/>
                <w:right w:val="none" w:sz="0" w:space="0" w:color="auto"/>
              </w:divBdr>
            </w:div>
          </w:divsChild>
        </w:div>
        <w:div w:id="157616923">
          <w:marLeft w:val="0"/>
          <w:marRight w:val="0"/>
          <w:marTop w:val="0"/>
          <w:marBottom w:val="0"/>
          <w:divBdr>
            <w:top w:val="none" w:sz="0" w:space="0" w:color="auto"/>
            <w:left w:val="none" w:sz="0" w:space="0" w:color="auto"/>
            <w:bottom w:val="none" w:sz="0" w:space="0" w:color="auto"/>
            <w:right w:val="none" w:sz="0" w:space="0" w:color="auto"/>
          </w:divBdr>
        </w:div>
        <w:div w:id="160894788">
          <w:marLeft w:val="0"/>
          <w:marRight w:val="0"/>
          <w:marTop w:val="0"/>
          <w:marBottom w:val="0"/>
          <w:divBdr>
            <w:top w:val="none" w:sz="0" w:space="0" w:color="auto"/>
            <w:left w:val="none" w:sz="0" w:space="0" w:color="auto"/>
            <w:bottom w:val="none" w:sz="0" w:space="0" w:color="auto"/>
            <w:right w:val="none" w:sz="0" w:space="0" w:color="auto"/>
          </w:divBdr>
        </w:div>
        <w:div w:id="175771413">
          <w:marLeft w:val="0"/>
          <w:marRight w:val="0"/>
          <w:marTop w:val="0"/>
          <w:marBottom w:val="0"/>
          <w:divBdr>
            <w:top w:val="none" w:sz="0" w:space="0" w:color="auto"/>
            <w:left w:val="none" w:sz="0" w:space="0" w:color="auto"/>
            <w:bottom w:val="none" w:sz="0" w:space="0" w:color="auto"/>
            <w:right w:val="none" w:sz="0" w:space="0" w:color="auto"/>
          </w:divBdr>
        </w:div>
        <w:div w:id="193539808">
          <w:marLeft w:val="0"/>
          <w:marRight w:val="0"/>
          <w:marTop w:val="0"/>
          <w:marBottom w:val="0"/>
          <w:divBdr>
            <w:top w:val="none" w:sz="0" w:space="0" w:color="auto"/>
            <w:left w:val="none" w:sz="0" w:space="0" w:color="auto"/>
            <w:bottom w:val="none" w:sz="0" w:space="0" w:color="auto"/>
            <w:right w:val="none" w:sz="0" w:space="0" w:color="auto"/>
          </w:divBdr>
          <w:divsChild>
            <w:div w:id="1492217023">
              <w:marLeft w:val="0"/>
              <w:marRight w:val="0"/>
              <w:marTop w:val="0"/>
              <w:marBottom w:val="0"/>
              <w:divBdr>
                <w:top w:val="none" w:sz="0" w:space="0" w:color="auto"/>
                <w:left w:val="none" w:sz="0" w:space="0" w:color="auto"/>
                <w:bottom w:val="none" w:sz="0" w:space="0" w:color="auto"/>
                <w:right w:val="none" w:sz="0" w:space="0" w:color="auto"/>
              </w:divBdr>
            </w:div>
            <w:div w:id="1919555644">
              <w:marLeft w:val="0"/>
              <w:marRight w:val="0"/>
              <w:marTop w:val="0"/>
              <w:marBottom w:val="0"/>
              <w:divBdr>
                <w:top w:val="none" w:sz="0" w:space="0" w:color="auto"/>
                <w:left w:val="none" w:sz="0" w:space="0" w:color="auto"/>
                <w:bottom w:val="none" w:sz="0" w:space="0" w:color="auto"/>
                <w:right w:val="none" w:sz="0" w:space="0" w:color="auto"/>
              </w:divBdr>
            </w:div>
            <w:div w:id="2087454540">
              <w:marLeft w:val="0"/>
              <w:marRight w:val="0"/>
              <w:marTop w:val="0"/>
              <w:marBottom w:val="0"/>
              <w:divBdr>
                <w:top w:val="none" w:sz="0" w:space="0" w:color="auto"/>
                <w:left w:val="none" w:sz="0" w:space="0" w:color="auto"/>
                <w:bottom w:val="none" w:sz="0" w:space="0" w:color="auto"/>
                <w:right w:val="none" w:sz="0" w:space="0" w:color="auto"/>
              </w:divBdr>
            </w:div>
          </w:divsChild>
        </w:div>
        <w:div w:id="241374574">
          <w:marLeft w:val="0"/>
          <w:marRight w:val="0"/>
          <w:marTop w:val="0"/>
          <w:marBottom w:val="0"/>
          <w:divBdr>
            <w:top w:val="none" w:sz="0" w:space="0" w:color="auto"/>
            <w:left w:val="none" w:sz="0" w:space="0" w:color="auto"/>
            <w:bottom w:val="none" w:sz="0" w:space="0" w:color="auto"/>
            <w:right w:val="none" w:sz="0" w:space="0" w:color="auto"/>
          </w:divBdr>
        </w:div>
        <w:div w:id="283972606">
          <w:marLeft w:val="0"/>
          <w:marRight w:val="0"/>
          <w:marTop w:val="0"/>
          <w:marBottom w:val="0"/>
          <w:divBdr>
            <w:top w:val="none" w:sz="0" w:space="0" w:color="auto"/>
            <w:left w:val="none" w:sz="0" w:space="0" w:color="auto"/>
            <w:bottom w:val="none" w:sz="0" w:space="0" w:color="auto"/>
            <w:right w:val="none" w:sz="0" w:space="0" w:color="auto"/>
          </w:divBdr>
        </w:div>
        <w:div w:id="292828451">
          <w:marLeft w:val="0"/>
          <w:marRight w:val="0"/>
          <w:marTop w:val="0"/>
          <w:marBottom w:val="0"/>
          <w:divBdr>
            <w:top w:val="none" w:sz="0" w:space="0" w:color="auto"/>
            <w:left w:val="none" w:sz="0" w:space="0" w:color="auto"/>
            <w:bottom w:val="none" w:sz="0" w:space="0" w:color="auto"/>
            <w:right w:val="none" w:sz="0" w:space="0" w:color="auto"/>
          </w:divBdr>
        </w:div>
        <w:div w:id="293220691">
          <w:marLeft w:val="0"/>
          <w:marRight w:val="0"/>
          <w:marTop w:val="0"/>
          <w:marBottom w:val="0"/>
          <w:divBdr>
            <w:top w:val="none" w:sz="0" w:space="0" w:color="auto"/>
            <w:left w:val="none" w:sz="0" w:space="0" w:color="auto"/>
            <w:bottom w:val="none" w:sz="0" w:space="0" w:color="auto"/>
            <w:right w:val="none" w:sz="0" w:space="0" w:color="auto"/>
          </w:divBdr>
          <w:divsChild>
            <w:div w:id="608925532">
              <w:marLeft w:val="0"/>
              <w:marRight w:val="0"/>
              <w:marTop w:val="0"/>
              <w:marBottom w:val="0"/>
              <w:divBdr>
                <w:top w:val="none" w:sz="0" w:space="0" w:color="auto"/>
                <w:left w:val="none" w:sz="0" w:space="0" w:color="auto"/>
                <w:bottom w:val="none" w:sz="0" w:space="0" w:color="auto"/>
                <w:right w:val="none" w:sz="0" w:space="0" w:color="auto"/>
              </w:divBdr>
            </w:div>
            <w:div w:id="609707484">
              <w:marLeft w:val="0"/>
              <w:marRight w:val="0"/>
              <w:marTop w:val="0"/>
              <w:marBottom w:val="0"/>
              <w:divBdr>
                <w:top w:val="none" w:sz="0" w:space="0" w:color="auto"/>
                <w:left w:val="none" w:sz="0" w:space="0" w:color="auto"/>
                <w:bottom w:val="none" w:sz="0" w:space="0" w:color="auto"/>
                <w:right w:val="none" w:sz="0" w:space="0" w:color="auto"/>
              </w:divBdr>
            </w:div>
            <w:div w:id="637225203">
              <w:marLeft w:val="0"/>
              <w:marRight w:val="0"/>
              <w:marTop w:val="0"/>
              <w:marBottom w:val="0"/>
              <w:divBdr>
                <w:top w:val="none" w:sz="0" w:space="0" w:color="auto"/>
                <w:left w:val="none" w:sz="0" w:space="0" w:color="auto"/>
                <w:bottom w:val="none" w:sz="0" w:space="0" w:color="auto"/>
                <w:right w:val="none" w:sz="0" w:space="0" w:color="auto"/>
              </w:divBdr>
            </w:div>
            <w:div w:id="1294553585">
              <w:marLeft w:val="0"/>
              <w:marRight w:val="0"/>
              <w:marTop w:val="0"/>
              <w:marBottom w:val="0"/>
              <w:divBdr>
                <w:top w:val="none" w:sz="0" w:space="0" w:color="auto"/>
                <w:left w:val="none" w:sz="0" w:space="0" w:color="auto"/>
                <w:bottom w:val="none" w:sz="0" w:space="0" w:color="auto"/>
                <w:right w:val="none" w:sz="0" w:space="0" w:color="auto"/>
              </w:divBdr>
            </w:div>
            <w:div w:id="1812364837">
              <w:marLeft w:val="0"/>
              <w:marRight w:val="0"/>
              <w:marTop w:val="0"/>
              <w:marBottom w:val="0"/>
              <w:divBdr>
                <w:top w:val="none" w:sz="0" w:space="0" w:color="auto"/>
                <w:left w:val="none" w:sz="0" w:space="0" w:color="auto"/>
                <w:bottom w:val="none" w:sz="0" w:space="0" w:color="auto"/>
                <w:right w:val="none" w:sz="0" w:space="0" w:color="auto"/>
              </w:divBdr>
            </w:div>
          </w:divsChild>
        </w:div>
        <w:div w:id="337080423">
          <w:marLeft w:val="0"/>
          <w:marRight w:val="0"/>
          <w:marTop w:val="0"/>
          <w:marBottom w:val="0"/>
          <w:divBdr>
            <w:top w:val="none" w:sz="0" w:space="0" w:color="auto"/>
            <w:left w:val="none" w:sz="0" w:space="0" w:color="auto"/>
            <w:bottom w:val="none" w:sz="0" w:space="0" w:color="auto"/>
            <w:right w:val="none" w:sz="0" w:space="0" w:color="auto"/>
          </w:divBdr>
        </w:div>
        <w:div w:id="339161788">
          <w:marLeft w:val="0"/>
          <w:marRight w:val="0"/>
          <w:marTop w:val="0"/>
          <w:marBottom w:val="0"/>
          <w:divBdr>
            <w:top w:val="none" w:sz="0" w:space="0" w:color="auto"/>
            <w:left w:val="none" w:sz="0" w:space="0" w:color="auto"/>
            <w:bottom w:val="none" w:sz="0" w:space="0" w:color="auto"/>
            <w:right w:val="none" w:sz="0" w:space="0" w:color="auto"/>
          </w:divBdr>
        </w:div>
        <w:div w:id="397216242">
          <w:marLeft w:val="0"/>
          <w:marRight w:val="0"/>
          <w:marTop w:val="0"/>
          <w:marBottom w:val="0"/>
          <w:divBdr>
            <w:top w:val="none" w:sz="0" w:space="0" w:color="auto"/>
            <w:left w:val="none" w:sz="0" w:space="0" w:color="auto"/>
            <w:bottom w:val="none" w:sz="0" w:space="0" w:color="auto"/>
            <w:right w:val="none" w:sz="0" w:space="0" w:color="auto"/>
          </w:divBdr>
        </w:div>
        <w:div w:id="398794117">
          <w:marLeft w:val="0"/>
          <w:marRight w:val="0"/>
          <w:marTop w:val="0"/>
          <w:marBottom w:val="0"/>
          <w:divBdr>
            <w:top w:val="none" w:sz="0" w:space="0" w:color="auto"/>
            <w:left w:val="none" w:sz="0" w:space="0" w:color="auto"/>
            <w:bottom w:val="none" w:sz="0" w:space="0" w:color="auto"/>
            <w:right w:val="none" w:sz="0" w:space="0" w:color="auto"/>
          </w:divBdr>
        </w:div>
        <w:div w:id="404112885">
          <w:marLeft w:val="0"/>
          <w:marRight w:val="0"/>
          <w:marTop w:val="0"/>
          <w:marBottom w:val="0"/>
          <w:divBdr>
            <w:top w:val="none" w:sz="0" w:space="0" w:color="auto"/>
            <w:left w:val="none" w:sz="0" w:space="0" w:color="auto"/>
            <w:bottom w:val="none" w:sz="0" w:space="0" w:color="auto"/>
            <w:right w:val="none" w:sz="0" w:space="0" w:color="auto"/>
          </w:divBdr>
          <w:divsChild>
            <w:div w:id="464590769">
              <w:marLeft w:val="0"/>
              <w:marRight w:val="0"/>
              <w:marTop w:val="0"/>
              <w:marBottom w:val="0"/>
              <w:divBdr>
                <w:top w:val="none" w:sz="0" w:space="0" w:color="auto"/>
                <w:left w:val="none" w:sz="0" w:space="0" w:color="auto"/>
                <w:bottom w:val="none" w:sz="0" w:space="0" w:color="auto"/>
                <w:right w:val="none" w:sz="0" w:space="0" w:color="auto"/>
              </w:divBdr>
            </w:div>
            <w:div w:id="681975873">
              <w:marLeft w:val="0"/>
              <w:marRight w:val="0"/>
              <w:marTop w:val="0"/>
              <w:marBottom w:val="0"/>
              <w:divBdr>
                <w:top w:val="none" w:sz="0" w:space="0" w:color="auto"/>
                <w:left w:val="none" w:sz="0" w:space="0" w:color="auto"/>
                <w:bottom w:val="none" w:sz="0" w:space="0" w:color="auto"/>
                <w:right w:val="none" w:sz="0" w:space="0" w:color="auto"/>
              </w:divBdr>
            </w:div>
            <w:div w:id="1562055215">
              <w:marLeft w:val="0"/>
              <w:marRight w:val="0"/>
              <w:marTop w:val="0"/>
              <w:marBottom w:val="0"/>
              <w:divBdr>
                <w:top w:val="none" w:sz="0" w:space="0" w:color="auto"/>
                <w:left w:val="none" w:sz="0" w:space="0" w:color="auto"/>
                <w:bottom w:val="none" w:sz="0" w:space="0" w:color="auto"/>
                <w:right w:val="none" w:sz="0" w:space="0" w:color="auto"/>
              </w:divBdr>
            </w:div>
            <w:div w:id="1769810413">
              <w:marLeft w:val="0"/>
              <w:marRight w:val="0"/>
              <w:marTop w:val="0"/>
              <w:marBottom w:val="0"/>
              <w:divBdr>
                <w:top w:val="none" w:sz="0" w:space="0" w:color="auto"/>
                <w:left w:val="none" w:sz="0" w:space="0" w:color="auto"/>
                <w:bottom w:val="none" w:sz="0" w:space="0" w:color="auto"/>
                <w:right w:val="none" w:sz="0" w:space="0" w:color="auto"/>
              </w:divBdr>
            </w:div>
            <w:div w:id="2100131585">
              <w:marLeft w:val="0"/>
              <w:marRight w:val="0"/>
              <w:marTop w:val="0"/>
              <w:marBottom w:val="0"/>
              <w:divBdr>
                <w:top w:val="none" w:sz="0" w:space="0" w:color="auto"/>
                <w:left w:val="none" w:sz="0" w:space="0" w:color="auto"/>
                <w:bottom w:val="none" w:sz="0" w:space="0" w:color="auto"/>
                <w:right w:val="none" w:sz="0" w:space="0" w:color="auto"/>
              </w:divBdr>
            </w:div>
          </w:divsChild>
        </w:div>
        <w:div w:id="409621894">
          <w:marLeft w:val="0"/>
          <w:marRight w:val="0"/>
          <w:marTop w:val="0"/>
          <w:marBottom w:val="0"/>
          <w:divBdr>
            <w:top w:val="none" w:sz="0" w:space="0" w:color="auto"/>
            <w:left w:val="none" w:sz="0" w:space="0" w:color="auto"/>
            <w:bottom w:val="none" w:sz="0" w:space="0" w:color="auto"/>
            <w:right w:val="none" w:sz="0" w:space="0" w:color="auto"/>
          </w:divBdr>
        </w:div>
        <w:div w:id="413741563">
          <w:marLeft w:val="0"/>
          <w:marRight w:val="0"/>
          <w:marTop w:val="0"/>
          <w:marBottom w:val="0"/>
          <w:divBdr>
            <w:top w:val="none" w:sz="0" w:space="0" w:color="auto"/>
            <w:left w:val="none" w:sz="0" w:space="0" w:color="auto"/>
            <w:bottom w:val="none" w:sz="0" w:space="0" w:color="auto"/>
            <w:right w:val="none" w:sz="0" w:space="0" w:color="auto"/>
          </w:divBdr>
          <w:divsChild>
            <w:div w:id="951740097">
              <w:marLeft w:val="0"/>
              <w:marRight w:val="0"/>
              <w:marTop w:val="0"/>
              <w:marBottom w:val="0"/>
              <w:divBdr>
                <w:top w:val="none" w:sz="0" w:space="0" w:color="auto"/>
                <w:left w:val="none" w:sz="0" w:space="0" w:color="auto"/>
                <w:bottom w:val="none" w:sz="0" w:space="0" w:color="auto"/>
                <w:right w:val="none" w:sz="0" w:space="0" w:color="auto"/>
              </w:divBdr>
            </w:div>
            <w:div w:id="955991166">
              <w:marLeft w:val="0"/>
              <w:marRight w:val="0"/>
              <w:marTop w:val="0"/>
              <w:marBottom w:val="0"/>
              <w:divBdr>
                <w:top w:val="none" w:sz="0" w:space="0" w:color="auto"/>
                <w:left w:val="none" w:sz="0" w:space="0" w:color="auto"/>
                <w:bottom w:val="none" w:sz="0" w:space="0" w:color="auto"/>
                <w:right w:val="none" w:sz="0" w:space="0" w:color="auto"/>
              </w:divBdr>
            </w:div>
            <w:div w:id="1038555581">
              <w:marLeft w:val="0"/>
              <w:marRight w:val="0"/>
              <w:marTop w:val="0"/>
              <w:marBottom w:val="0"/>
              <w:divBdr>
                <w:top w:val="none" w:sz="0" w:space="0" w:color="auto"/>
                <w:left w:val="none" w:sz="0" w:space="0" w:color="auto"/>
                <w:bottom w:val="none" w:sz="0" w:space="0" w:color="auto"/>
                <w:right w:val="none" w:sz="0" w:space="0" w:color="auto"/>
              </w:divBdr>
            </w:div>
            <w:div w:id="2009751617">
              <w:marLeft w:val="0"/>
              <w:marRight w:val="0"/>
              <w:marTop w:val="0"/>
              <w:marBottom w:val="0"/>
              <w:divBdr>
                <w:top w:val="none" w:sz="0" w:space="0" w:color="auto"/>
                <w:left w:val="none" w:sz="0" w:space="0" w:color="auto"/>
                <w:bottom w:val="none" w:sz="0" w:space="0" w:color="auto"/>
                <w:right w:val="none" w:sz="0" w:space="0" w:color="auto"/>
              </w:divBdr>
            </w:div>
            <w:div w:id="2013609226">
              <w:marLeft w:val="0"/>
              <w:marRight w:val="0"/>
              <w:marTop w:val="0"/>
              <w:marBottom w:val="0"/>
              <w:divBdr>
                <w:top w:val="none" w:sz="0" w:space="0" w:color="auto"/>
                <w:left w:val="none" w:sz="0" w:space="0" w:color="auto"/>
                <w:bottom w:val="none" w:sz="0" w:space="0" w:color="auto"/>
                <w:right w:val="none" w:sz="0" w:space="0" w:color="auto"/>
              </w:divBdr>
            </w:div>
          </w:divsChild>
        </w:div>
        <w:div w:id="432013433">
          <w:marLeft w:val="0"/>
          <w:marRight w:val="0"/>
          <w:marTop w:val="0"/>
          <w:marBottom w:val="0"/>
          <w:divBdr>
            <w:top w:val="none" w:sz="0" w:space="0" w:color="auto"/>
            <w:left w:val="none" w:sz="0" w:space="0" w:color="auto"/>
            <w:bottom w:val="none" w:sz="0" w:space="0" w:color="auto"/>
            <w:right w:val="none" w:sz="0" w:space="0" w:color="auto"/>
          </w:divBdr>
          <w:divsChild>
            <w:div w:id="138041871">
              <w:marLeft w:val="0"/>
              <w:marRight w:val="0"/>
              <w:marTop w:val="0"/>
              <w:marBottom w:val="0"/>
              <w:divBdr>
                <w:top w:val="none" w:sz="0" w:space="0" w:color="auto"/>
                <w:left w:val="none" w:sz="0" w:space="0" w:color="auto"/>
                <w:bottom w:val="none" w:sz="0" w:space="0" w:color="auto"/>
                <w:right w:val="none" w:sz="0" w:space="0" w:color="auto"/>
              </w:divBdr>
            </w:div>
            <w:div w:id="362556500">
              <w:marLeft w:val="0"/>
              <w:marRight w:val="0"/>
              <w:marTop w:val="0"/>
              <w:marBottom w:val="0"/>
              <w:divBdr>
                <w:top w:val="none" w:sz="0" w:space="0" w:color="auto"/>
                <w:left w:val="none" w:sz="0" w:space="0" w:color="auto"/>
                <w:bottom w:val="none" w:sz="0" w:space="0" w:color="auto"/>
                <w:right w:val="none" w:sz="0" w:space="0" w:color="auto"/>
              </w:divBdr>
            </w:div>
            <w:div w:id="398671073">
              <w:marLeft w:val="0"/>
              <w:marRight w:val="0"/>
              <w:marTop w:val="0"/>
              <w:marBottom w:val="0"/>
              <w:divBdr>
                <w:top w:val="none" w:sz="0" w:space="0" w:color="auto"/>
                <w:left w:val="none" w:sz="0" w:space="0" w:color="auto"/>
                <w:bottom w:val="none" w:sz="0" w:space="0" w:color="auto"/>
                <w:right w:val="none" w:sz="0" w:space="0" w:color="auto"/>
              </w:divBdr>
            </w:div>
            <w:div w:id="1608729420">
              <w:marLeft w:val="0"/>
              <w:marRight w:val="0"/>
              <w:marTop w:val="0"/>
              <w:marBottom w:val="0"/>
              <w:divBdr>
                <w:top w:val="none" w:sz="0" w:space="0" w:color="auto"/>
                <w:left w:val="none" w:sz="0" w:space="0" w:color="auto"/>
                <w:bottom w:val="none" w:sz="0" w:space="0" w:color="auto"/>
                <w:right w:val="none" w:sz="0" w:space="0" w:color="auto"/>
              </w:divBdr>
            </w:div>
            <w:div w:id="1726951711">
              <w:marLeft w:val="0"/>
              <w:marRight w:val="0"/>
              <w:marTop w:val="0"/>
              <w:marBottom w:val="0"/>
              <w:divBdr>
                <w:top w:val="none" w:sz="0" w:space="0" w:color="auto"/>
                <w:left w:val="none" w:sz="0" w:space="0" w:color="auto"/>
                <w:bottom w:val="none" w:sz="0" w:space="0" w:color="auto"/>
                <w:right w:val="none" w:sz="0" w:space="0" w:color="auto"/>
              </w:divBdr>
            </w:div>
          </w:divsChild>
        </w:div>
        <w:div w:id="485245274">
          <w:marLeft w:val="0"/>
          <w:marRight w:val="0"/>
          <w:marTop w:val="0"/>
          <w:marBottom w:val="0"/>
          <w:divBdr>
            <w:top w:val="none" w:sz="0" w:space="0" w:color="auto"/>
            <w:left w:val="none" w:sz="0" w:space="0" w:color="auto"/>
            <w:bottom w:val="none" w:sz="0" w:space="0" w:color="auto"/>
            <w:right w:val="none" w:sz="0" w:space="0" w:color="auto"/>
          </w:divBdr>
        </w:div>
        <w:div w:id="492795158">
          <w:marLeft w:val="0"/>
          <w:marRight w:val="0"/>
          <w:marTop w:val="0"/>
          <w:marBottom w:val="0"/>
          <w:divBdr>
            <w:top w:val="none" w:sz="0" w:space="0" w:color="auto"/>
            <w:left w:val="none" w:sz="0" w:space="0" w:color="auto"/>
            <w:bottom w:val="none" w:sz="0" w:space="0" w:color="auto"/>
            <w:right w:val="none" w:sz="0" w:space="0" w:color="auto"/>
          </w:divBdr>
          <w:divsChild>
            <w:div w:id="1035471516">
              <w:marLeft w:val="0"/>
              <w:marRight w:val="0"/>
              <w:marTop w:val="0"/>
              <w:marBottom w:val="0"/>
              <w:divBdr>
                <w:top w:val="none" w:sz="0" w:space="0" w:color="auto"/>
                <w:left w:val="none" w:sz="0" w:space="0" w:color="auto"/>
                <w:bottom w:val="none" w:sz="0" w:space="0" w:color="auto"/>
                <w:right w:val="none" w:sz="0" w:space="0" w:color="auto"/>
              </w:divBdr>
            </w:div>
            <w:div w:id="1128233987">
              <w:marLeft w:val="0"/>
              <w:marRight w:val="0"/>
              <w:marTop w:val="0"/>
              <w:marBottom w:val="0"/>
              <w:divBdr>
                <w:top w:val="none" w:sz="0" w:space="0" w:color="auto"/>
                <w:left w:val="none" w:sz="0" w:space="0" w:color="auto"/>
                <w:bottom w:val="none" w:sz="0" w:space="0" w:color="auto"/>
                <w:right w:val="none" w:sz="0" w:space="0" w:color="auto"/>
              </w:divBdr>
            </w:div>
            <w:div w:id="1638074129">
              <w:marLeft w:val="0"/>
              <w:marRight w:val="0"/>
              <w:marTop w:val="0"/>
              <w:marBottom w:val="0"/>
              <w:divBdr>
                <w:top w:val="none" w:sz="0" w:space="0" w:color="auto"/>
                <w:left w:val="none" w:sz="0" w:space="0" w:color="auto"/>
                <w:bottom w:val="none" w:sz="0" w:space="0" w:color="auto"/>
                <w:right w:val="none" w:sz="0" w:space="0" w:color="auto"/>
              </w:divBdr>
            </w:div>
            <w:div w:id="1956668005">
              <w:marLeft w:val="0"/>
              <w:marRight w:val="0"/>
              <w:marTop w:val="0"/>
              <w:marBottom w:val="0"/>
              <w:divBdr>
                <w:top w:val="none" w:sz="0" w:space="0" w:color="auto"/>
                <w:left w:val="none" w:sz="0" w:space="0" w:color="auto"/>
                <w:bottom w:val="none" w:sz="0" w:space="0" w:color="auto"/>
                <w:right w:val="none" w:sz="0" w:space="0" w:color="auto"/>
              </w:divBdr>
            </w:div>
            <w:div w:id="2062316277">
              <w:marLeft w:val="0"/>
              <w:marRight w:val="0"/>
              <w:marTop w:val="0"/>
              <w:marBottom w:val="0"/>
              <w:divBdr>
                <w:top w:val="none" w:sz="0" w:space="0" w:color="auto"/>
                <w:left w:val="none" w:sz="0" w:space="0" w:color="auto"/>
                <w:bottom w:val="none" w:sz="0" w:space="0" w:color="auto"/>
                <w:right w:val="none" w:sz="0" w:space="0" w:color="auto"/>
              </w:divBdr>
            </w:div>
          </w:divsChild>
        </w:div>
        <w:div w:id="512037755">
          <w:marLeft w:val="0"/>
          <w:marRight w:val="0"/>
          <w:marTop w:val="0"/>
          <w:marBottom w:val="0"/>
          <w:divBdr>
            <w:top w:val="none" w:sz="0" w:space="0" w:color="auto"/>
            <w:left w:val="none" w:sz="0" w:space="0" w:color="auto"/>
            <w:bottom w:val="none" w:sz="0" w:space="0" w:color="auto"/>
            <w:right w:val="none" w:sz="0" w:space="0" w:color="auto"/>
          </w:divBdr>
          <w:divsChild>
            <w:div w:id="328025027">
              <w:marLeft w:val="0"/>
              <w:marRight w:val="0"/>
              <w:marTop w:val="0"/>
              <w:marBottom w:val="0"/>
              <w:divBdr>
                <w:top w:val="none" w:sz="0" w:space="0" w:color="auto"/>
                <w:left w:val="none" w:sz="0" w:space="0" w:color="auto"/>
                <w:bottom w:val="none" w:sz="0" w:space="0" w:color="auto"/>
                <w:right w:val="none" w:sz="0" w:space="0" w:color="auto"/>
              </w:divBdr>
            </w:div>
            <w:div w:id="522090010">
              <w:marLeft w:val="0"/>
              <w:marRight w:val="0"/>
              <w:marTop w:val="0"/>
              <w:marBottom w:val="0"/>
              <w:divBdr>
                <w:top w:val="none" w:sz="0" w:space="0" w:color="auto"/>
                <w:left w:val="none" w:sz="0" w:space="0" w:color="auto"/>
                <w:bottom w:val="none" w:sz="0" w:space="0" w:color="auto"/>
                <w:right w:val="none" w:sz="0" w:space="0" w:color="auto"/>
              </w:divBdr>
            </w:div>
            <w:div w:id="706367651">
              <w:marLeft w:val="0"/>
              <w:marRight w:val="0"/>
              <w:marTop w:val="0"/>
              <w:marBottom w:val="0"/>
              <w:divBdr>
                <w:top w:val="none" w:sz="0" w:space="0" w:color="auto"/>
                <w:left w:val="none" w:sz="0" w:space="0" w:color="auto"/>
                <w:bottom w:val="none" w:sz="0" w:space="0" w:color="auto"/>
                <w:right w:val="none" w:sz="0" w:space="0" w:color="auto"/>
              </w:divBdr>
            </w:div>
            <w:div w:id="1648507895">
              <w:marLeft w:val="0"/>
              <w:marRight w:val="0"/>
              <w:marTop w:val="0"/>
              <w:marBottom w:val="0"/>
              <w:divBdr>
                <w:top w:val="none" w:sz="0" w:space="0" w:color="auto"/>
                <w:left w:val="none" w:sz="0" w:space="0" w:color="auto"/>
                <w:bottom w:val="none" w:sz="0" w:space="0" w:color="auto"/>
                <w:right w:val="none" w:sz="0" w:space="0" w:color="auto"/>
              </w:divBdr>
            </w:div>
            <w:div w:id="1856457696">
              <w:marLeft w:val="0"/>
              <w:marRight w:val="0"/>
              <w:marTop w:val="0"/>
              <w:marBottom w:val="0"/>
              <w:divBdr>
                <w:top w:val="none" w:sz="0" w:space="0" w:color="auto"/>
                <w:left w:val="none" w:sz="0" w:space="0" w:color="auto"/>
                <w:bottom w:val="none" w:sz="0" w:space="0" w:color="auto"/>
                <w:right w:val="none" w:sz="0" w:space="0" w:color="auto"/>
              </w:divBdr>
            </w:div>
          </w:divsChild>
        </w:div>
        <w:div w:id="516770569">
          <w:marLeft w:val="0"/>
          <w:marRight w:val="0"/>
          <w:marTop w:val="0"/>
          <w:marBottom w:val="0"/>
          <w:divBdr>
            <w:top w:val="none" w:sz="0" w:space="0" w:color="auto"/>
            <w:left w:val="none" w:sz="0" w:space="0" w:color="auto"/>
            <w:bottom w:val="none" w:sz="0" w:space="0" w:color="auto"/>
            <w:right w:val="none" w:sz="0" w:space="0" w:color="auto"/>
          </w:divBdr>
        </w:div>
        <w:div w:id="532228079">
          <w:marLeft w:val="0"/>
          <w:marRight w:val="0"/>
          <w:marTop w:val="0"/>
          <w:marBottom w:val="0"/>
          <w:divBdr>
            <w:top w:val="none" w:sz="0" w:space="0" w:color="auto"/>
            <w:left w:val="none" w:sz="0" w:space="0" w:color="auto"/>
            <w:bottom w:val="none" w:sz="0" w:space="0" w:color="auto"/>
            <w:right w:val="none" w:sz="0" w:space="0" w:color="auto"/>
          </w:divBdr>
          <w:divsChild>
            <w:div w:id="61951155">
              <w:marLeft w:val="0"/>
              <w:marRight w:val="0"/>
              <w:marTop w:val="0"/>
              <w:marBottom w:val="0"/>
              <w:divBdr>
                <w:top w:val="none" w:sz="0" w:space="0" w:color="auto"/>
                <w:left w:val="none" w:sz="0" w:space="0" w:color="auto"/>
                <w:bottom w:val="none" w:sz="0" w:space="0" w:color="auto"/>
                <w:right w:val="none" w:sz="0" w:space="0" w:color="auto"/>
              </w:divBdr>
            </w:div>
            <w:div w:id="362823706">
              <w:marLeft w:val="0"/>
              <w:marRight w:val="0"/>
              <w:marTop w:val="0"/>
              <w:marBottom w:val="0"/>
              <w:divBdr>
                <w:top w:val="none" w:sz="0" w:space="0" w:color="auto"/>
                <w:left w:val="none" w:sz="0" w:space="0" w:color="auto"/>
                <w:bottom w:val="none" w:sz="0" w:space="0" w:color="auto"/>
                <w:right w:val="none" w:sz="0" w:space="0" w:color="auto"/>
              </w:divBdr>
            </w:div>
            <w:div w:id="1161894494">
              <w:marLeft w:val="0"/>
              <w:marRight w:val="0"/>
              <w:marTop w:val="0"/>
              <w:marBottom w:val="0"/>
              <w:divBdr>
                <w:top w:val="none" w:sz="0" w:space="0" w:color="auto"/>
                <w:left w:val="none" w:sz="0" w:space="0" w:color="auto"/>
                <w:bottom w:val="none" w:sz="0" w:space="0" w:color="auto"/>
                <w:right w:val="none" w:sz="0" w:space="0" w:color="auto"/>
              </w:divBdr>
            </w:div>
            <w:div w:id="1470124898">
              <w:marLeft w:val="0"/>
              <w:marRight w:val="0"/>
              <w:marTop w:val="0"/>
              <w:marBottom w:val="0"/>
              <w:divBdr>
                <w:top w:val="none" w:sz="0" w:space="0" w:color="auto"/>
                <w:left w:val="none" w:sz="0" w:space="0" w:color="auto"/>
                <w:bottom w:val="none" w:sz="0" w:space="0" w:color="auto"/>
                <w:right w:val="none" w:sz="0" w:space="0" w:color="auto"/>
              </w:divBdr>
            </w:div>
            <w:div w:id="1929461876">
              <w:marLeft w:val="0"/>
              <w:marRight w:val="0"/>
              <w:marTop w:val="0"/>
              <w:marBottom w:val="0"/>
              <w:divBdr>
                <w:top w:val="none" w:sz="0" w:space="0" w:color="auto"/>
                <w:left w:val="none" w:sz="0" w:space="0" w:color="auto"/>
                <w:bottom w:val="none" w:sz="0" w:space="0" w:color="auto"/>
                <w:right w:val="none" w:sz="0" w:space="0" w:color="auto"/>
              </w:divBdr>
            </w:div>
          </w:divsChild>
        </w:div>
        <w:div w:id="548884816">
          <w:marLeft w:val="0"/>
          <w:marRight w:val="0"/>
          <w:marTop w:val="0"/>
          <w:marBottom w:val="0"/>
          <w:divBdr>
            <w:top w:val="none" w:sz="0" w:space="0" w:color="auto"/>
            <w:left w:val="none" w:sz="0" w:space="0" w:color="auto"/>
            <w:bottom w:val="none" w:sz="0" w:space="0" w:color="auto"/>
            <w:right w:val="none" w:sz="0" w:space="0" w:color="auto"/>
          </w:divBdr>
        </w:div>
        <w:div w:id="554850342">
          <w:marLeft w:val="0"/>
          <w:marRight w:val="0"/>
          <w:marTop w:val="0"/>
          <w:marBottom w:val="0"/>
          <w:divBdr>
            <w:top w:val="none" w:sz="0" w:space="0" w:color="auto"/>
            <w:left w:val="none" w:sz="0" w:space="0" w:color="auto"/>
            <w:bottom w:val="none" w:sz="0" w:space="0" w:color="auto"/>
            <w:right w:val="none" w:sz="0" w:space="0" w:color="auto"/>
          </w:divBdr>
          <w:divsChild>
            <w:div w:id="763765957">
              <w:marLeft w:val="0"/>
              <w:marRight w:val="0"/>
              <w:marTop w:val="0"/>
              <w:marBottom w:val="0"/>
              <w:divBdr>
                <w:top w:val="none" w:sz="0" w:space="0" w:color="auto"/>
                <w:left w:val="none" w:sz="0" w:space="0" w:color="auto"/>
                <w:bottom w:val="none" w:sz="0" w:space="0" w:color="auto"/>
                <w:right w:val="none" w:sz="0" w:space="0" w:color="auto"/>
              </w:divBdr>
            </w:div>
            <w:div w:id="994718683">
              <w:marLeft w:val="0"/>
              <w:marRight w:val="0"/>
              <w:marTop w:val="0"/>
              <w:marBottom w:val="0"/>
              <w:divBdr>
                <w:top w:val="none" w:sz="0" w:space="0" w:color="auto"/>
                <w:left w:val="none" w:sz="0" w:space="0" w:color="auto"/>
                <w:bottom w:val="none" w:sz="0" w:space="0" w:color="auto"/>
                <w:right w:val="none" w:sz="0" w:space="0" w:color="auto"/>
              </w:divBdr>
            </w:div>
            <w:div w:id="1228998377">
              <w:marLeft w:val="0"/>
              <w:marRight w:val="0"/>
              <w:marTop w:val="0"/>
              <w:marBottom w:val="0"/>
              <w:divBdr>
                <w:top w:val="none" w:sz="0" w:space="0" w:color="auto"/>
                <w:left w:val="none" w:sz="0" w:space="0" w:color="auto"/>
                <w:bottom w:val="none" w:sz="0" w:space="0" w:color="auto"/>
                <w:right w:val="none" w:sz="0" w:space="0" w:color="auto"/>
              </w:divBdr>
            </w:div>
            <w:div w:id="1681740303">
              <w:marLeft w:val="0"/>
              <w:marRight w:val="0"/>
              <w:marTop w:val="0"/>
              <w:marBottom w:val="0"/>
              <w:divBdr>
                <w:top w:val="none" w:sz="0" w:space="0" w:color="auto"/>
                <w:left w:val="none" w:sz="0" w:space="0" w:color="auto"/>
                <w:bottom w:val="none" w:sz="0" w:space="0" w:color="auto"/>
                <w:right w:val="none" w:sz="0" w:space="0" w:color="auto"/>
              </w:divBdr>
            </w:div>
            <w:div w:id="2107845968">
              <w:marLeft w:val="0"/>
              <w:marRight w:val="0"/>
              <w:marTop w:val="0"/>
              <w:marBottom w:val="0"/>
              <w:divBdr>
                <w:top w:val="none" w:sz="0" w:space="0" w:color="auto"/>
                <w:left w:val="none" w:sz="0" w:space="0" w:color="auto"/>
                <w:bottom w:val="none" w:sz="0" w:space="0" w:color="auto"/>
                <w:right w:val="none" w:sz="0" w:space="0" w:color="auto"/>
              </w:divBdr>
            </w:div>
          </w:divsChild>
        </w:div>
        <w:div w:id="558243953">
          <w:marLeft w:val="0"/>
          <w:marRight w:val="0"/>
          <w:marTop w:val="0"/>
          <w:marBottom w:val="0"/>
          <w:divBdr>
            <w:top w:val="none" w:sz="0" w:space="0" w:color="auto"/>
            <w:left w:val="none" w:sz="0" w:space="0" w:color="auto"/>
            <w:bottom w:val="none" w:sz="0" w:space="0" w:color="auto"/>
            <w:right w:val="none" w:sz="0" w:space="0" w:color="auto"/>
          </w:divBdr>
        </w:div>
        <w:div w:id="619459525">
          <w:marLeft w:val="0"/>
          <w:marRight w:val="0"/>
          <w:marTop w:val="0"/>
          <w:marBottom w:val="0"/>
          <w:divBdr>
            <w:top w:val="none" w:sz="0" w:space="0" w:color="auto"/>
            <w:left w:val="none" w:sz="0" w:space="0" w:color="auto"/>
            <w:bottom w:val="none" w:sz="0" w:space="0" w:color="auto"/>
            <w:right w:val="none" w:sz="0" w:space="0" w:color="auto"/>
          </w:divBdr>
        </w:div>
        <w:div w:id="625283242">
          <w:marLeft w:val="0"/>
          <w:marRight w:val="0"/>
          <w:marTop w:val="0"/>
          <w:marBottom w:val="0"/>
          <w:divBdr>
            <w:top w:val="none" w:sz="0" w:space="0" w:color="auto"/>
            <w:left w:val="none" w:sz="0" w:space="0" w:color="auto"/>
            <w:bottom w:val="none" w:sz="0" w:space="0" w:color="auto"/>
            <w:right w:val="none" w:sz="0" w:space="0" w:color="auto"/>
          </w:divBdr>
        </w:div>
        <w:div w:id="634918390">
          <w:marLeft w:val="0"/>
          <w:marRight w:val="0"/>
          <w:marTop w:val="0"/>
          <w:marBottom w:val="0"/>
          <w:divBdr>
            <w:top w:val="none" w:sz="0" w:space="0" w:color="auto"/>
            <w:left w:val="none" w:sz="0" w:space="0" w:color="auto"/>
            <w:bottom w:val="none" w:sz="0" w:space="0" w:color="auto"/>
            <w:right w:val="none" w:sz="0" w:space="0" w:color="auto"/>
          </w:divBdr>
        </w:div>
        <w:div w:id="641227108">
          <w:marLeft w:val="0"/>
          <w:marRight w:val="0"/>
          <w:marTop w:val="0"/>
          <w:marBottom w:val="0"/>
          <w:divBdr>
            <w:top w:val="none" w:sz="0" w:space="0" w:color="auto"/>
            <w:left w:val="none" w:sz="0" w:space="0" w:color="auto"/>
            <w:bottom w:val="none" w:sz="0" w:space="0" w:color="auto"/>
            <w:right w:val="none" w:sz="0" w:space="0" w:color="auto"/>
          </w:divBdr>
        </w:div>
        <w:div w:id="671645038">
          <w:marLeft w:val="0"/>
          <w:marRight w:val="0"/>
          <w:marTop w:val="0"/>
          <w:marBottom w:val="0"/>
          <w:divBdr>
            <w:top w:val="none" w:sz="0" w:space="0" w:color="auto"/>
            <w:left w:val="none" w:sz="0" w:space="0" w:color="auto"/>
            <w:bottom w:val="none" w:sz="0" w:space="0" w:color="auto"/>
            <w:right w:val="none" w:sz="0" w:space="0" w:color="auto"/>
          </w:divBdr>
        </w:div>
        <w:div w:id="701789786">
          <w:marLeft w:val="0"/>
          <w:marRight w:val="0"/>
          <w:marTop w:val="0"/>
          <w:marBottom w:val="0"/>
          <w:divBdr>
            <w:top w:val="none" w:sz="0" w:space="0" w:color="auto"/>
            <w:left w:val="none" w:sz="0" w:space="0" w:color="auto"/>
            <w:bottom w:val="none" w:sz="0" w:space="0" w:color="auto"/>
            <w:right w:val="none" w:sz="0" w:space="0" w:color="auto"/>
          </w:divBdr>
          <w:divsChild>
            <w:div w:id="92478750">
              <w:marLeft w:val="0"/>
              <w:marRight w:val="0"/>
              <w:marTop w:val="0"/>
              <w:marBottom w:val="0"/>
              <w:divBdr>
                <w:top w:val="none" w:sz="0" w:space="0" w:color="auto"/>
                <w:left w:val="none" w:sz="0" w:space="0" w:color="auto"/>
                <w:bottom w:val="none" w:sz="0" w:space="0" w:color="auto"/>
                <w:right w:val="none" w:sz="0" w:space="0" w:color="auto"/>
              </w:divBdr>
            </w:div>
            <w:div w:id="958991972">
              <w:marLeft w:val="0"/>
              <w:marRight w:val="0"/>
              <w:marTop w:val="0"/>
              <w:marBottom w:val="0"/>
              <w:divBdr>
                <w:top w:val="none" w:sz="0" w:space="0" w:color="auto"/>
                <w:left w:val="none" w:sz="0" w:space="0" w:color="auto"/>
                <w:bottom w:val="none" w:sz="0" w:space="0" w:color="auto"/>
                <w:right w:val="none" w:sz="0" w:space="0" w:color="auto"/>
              </w:divBdr>
            </w:div>
            <w:div w:id="1584292454">
              <w:marLeft w:val="0"/>
              <w:marRight w:val="0"/>
              <w:marTop w:val="0"/>
              <w:marBottom w:val="0"/>
              <w:divBdr>
                <w:top w:val="none" w:sz="0" w:space="0" w:color="auto"/>
                <w:left w:val="none" w:sz="0" w:space="0" w:color="auto"/>
                <w:bottom w:val="none" w:sz="0" w:space="0" w:color="auto"/>
                <w:right w:val="none" w:sz="0" w:space="0" w:color="auto"/>
              </w:divBdr>
            </w:div>
            <w:div w:id="1955407020">
              <w:marLeft w:val="0"/>
              <w:marRight w:val="0"/>
              <w:marTop w:val="0"/>
              <w:marBottom w:val="0"/>
              <w:divBdr>
                <w:top w:val="none" w:sz="0" w:space="0" w:color="auto"/>
                <w:left w:val="none" w:sz="0" w:space="0" w:color="auto"/>
                <w:bottom w:val="none" w:sz="0" w:space="0" w:color="auto"/>
                <w:right w:val="none" w:sz="0" w:space="0" w:color="auto"/>
              </w:divBdr>
            </w:div>
            <w:div w:id="1968927834">
              <w:marLeft w:val="0"/>
              <w:marRight w:val="0"/>
              <w:marTop w:val="0"/>
              <w:marBottom w:val="0"/>
              <w:divBdr>
                <w:top w:val="none" w:sz="0" w:space="0" w:color="auto"/>
                <w:left w:val="none" w:sz="0" w:space="0" w:color="auto"/>
                <w:bottom w:val="none" w:sz="0" w:space="0" w:color="auto"/>
                <w:right w:val="none" w:sz="0" w:space="0" w:color="auto"/>
              </w:divBdr>
            </w:div>
          </w:divsChild>
        </w:div>
        <w:div w:id="709569868">
          <w:marLeft w:val="0"/>
          <w:marRight w:val="0"/>
          <w:marTop w:val="0"/>
          <w:marBottom w:val="0"/>
          <w:divBdr>
            <w:top w:val="none" w:sz="0" w:space="0" w:color="auto"/>
            <w:left w:val="none" w:sz="0" w:space="0" w:color="auto"/>
            <w:bottom w:val="none" w:sz="0" w:space="0" w:color="auto"/>
            <w:right w:val="none" w:sz="0" w:space="0" w:color="auto"/>
          </w:divBdr>
        </w:div>
        <w:div w:id="722602973">
          <w:marLeft w:val="0"/>
          <w:marRight w:val="0"/>
          <w:marTop w:val="0"/>
          <w:marBottom w:val="0"/>
          <w:divBdr>
            <w:top w:val="none" w:sz="0" w:space="0" w:color="auto"/>
            <w:left w:val="none" w:sz="0" w:space="0" w:color="auto"/>
            <w:bottom w:val="none" w:sz="0" w:space="0" w:color="auto"/>
            <w:right w:val="none" w:sz="0" w:space="0" w:color="auto"/>
          </w:divBdr>
        </w:div>
        <w:div w:id="841508231">
          <w:marLeft w:val="0"/>
          <w:marRight w:val="0"/>
          <w:marTop w:val="0"/>
          <w:marBottom w:val="0"/>
          <w:divBdr>
            <w:top w:val="none" w:sz="0" w:space="0" w:color="auto"/>
            <w:left w:val="none" w:sz="0" w:space="0" w:color="auto"/>
            <w:bottom w:val="none" w:sz="0" w:space="0" w:color="auto"/>
            <w:right w:val="none" w:sz="0" w:space="0" w:color="auto"/>
          </w:divBdr>
        </w:div>
        <w:div w:id="846942815">
          <w:marLeft w:val="0"/>
          <w:marRight w:val="0"/>
          <w:marTop w:val="0"/>
          <w:marBottom w:val="0"/>
          <w:divBdr>
            <w:top w:val="none" w:sz="0" w:space="0" w:color="auto"/>
            <w:left w:val="none" w:sz="0" w:space="0" w:color="auto"/>
            <w:bottom w:val="none" w:sz="0" w:space="0" w:color="auto"/>
            <w:right w:val="none" w:sz="0" w:space="0" w:color="auto"/>
          </w:divBdr>
          <w:divsChild>
            <w:div w:id="306789436">
              <w:marLeft w:val="0"/>
              <w:marRight w:val="0"/>
              <w:marTop w:val="0"/>
              <w:marBottom w:val="0"/>
              <w:divBdr>
                <w:top w:val="none" w:sz="0" w:space="0" w:color="auto"/>
                <w:left w:val="none" w:sz="0" w:space="0" w:color="auto"/>
                <w:bottom w:val="none" w:sz="0" w:space="0" w:color="auto"/>
                <w:right w:val="none" w:sz="0" w:space="0" w:color="auto"/>
              </w:divBdr>
            </w:div>
            <w:div w:id="1754281827">
              <w:marLeft w:val="0"/>
              <w:marRight w:val="0"/>
              <w:marTop w:val="0"/>
              <w:marBottom w:val="0"/>
              <w:divBdr>
                <w:top w:val="none" w:sz="0" w:space="0" w:color="auto"/>
                <w:left w:val="none" w:sz="0" w:space="0" w:color="auto"/>
                <w:bottom w:val="none" w:sz="0" w:space="0" w:color="auto"/>
                <w:right w:val="none" w:sz="0" w:space="0" w:color="auto"/>
              </w:divBdr>
            </w:div>
            <w:div w:id="2040622876">
              <w:marLeft w:val="0"/>
              <w:marRight w:val="0"/>
              <w:marTop w:val="0"/>
              <w:marBottom w:val="0"/>
              <w:divBdr>
                <w:top w:val="none" w:sz="0" w:space="0" w:color="auto"/>
                <w:left w:val="none" w:sz="0" w:space="0" w:color="auto"/>
                <w:bottom w:val="none" w:sz="0" w:space="0" w:color="auto"/>
                <w:right w:val="none" w:sz="0" w:space="0" w:color="auto"/>
              </w:divBdr>
            </w:div>
          </w:divsChild>
        </w:div>
        <w:div w:id="887305810">
          <w:marLeft w:val="0"/>
          <w:marRight w:val="0"/>
          <w:marTop w:val="0"/>
          <w:marBottom w:val="0"/>
          <w:divBdr>
            <w:top w:val="none" w:sz="0" w:space="0" w:color="auto"/>
            <w:left w:val="none" w:sz="0" w:space="0" w:color="auto"/>
            <w:bottom w:val="none" w:sz="0" w:space="0" w:color="auto"/>
            <w:right w:val="none" w:sz="0" w:space="0" w:color="auto"/>
          </w:divBdr>
        </w:div>
        <w:div w:id="957104984">
          <w:marLeft w:val="0"/>
          <w:marRight w:val="0"/>
          <w:marTop w:val="0"/>
          <w:marBottom w:val="0"/>
          <w:divBdr>
            <w:top w:val="none" w:sz="0" w:space="0" w:color="auto"/>
            <w:left w:val="none" w:sz="0" w:space="0" w:color="auto"/>
            <w:bottom w:val="none" w:sz="0" w:space="0" w:color="auto"/>
            <w:right w:val="none" w:sz="0" w:space="0" w:color="auto"/>
          </w:divBdr>
        </w:div>
        <w:div w:id="1056202051">
          <w:marLeft w:val="0"/>
          <w:marRight w:val="0"/>
          <w:marTop w:val="0"/>
          <w:marBottom w:val="0"/>
          <w:divBdr>
            <w:top w:val="none" w:sz="0" w:space="0" w:color="auto"/>
            <w:left w:val="none" w:sz="0" w:space="0" w:color="auto"/>
            <w:bottom w:val="none" w:sz="0" w:space="0" w:color="auto"/>
            <w:right w:val="none" w:sz="0" w:space="0" w:color="auto"/>
          </w:divBdr>
        </w:div>
        <w:div w:id="1072704610">
          <w:marLeft w:val="0"/>
          <w:marRight w:val="0"/>
          <w:marTop w:val="0"/>
          <w:marBottom w:val="0"/>
          <w:divBdr>
            <w:top w:val="none" w:sz="0" w:space="0" w:color="auto"/>
            <w:left w:val="none" w:sz="0" w:space="0" w:color="auto"/>
            <w:bottom w:val="none" w:sz="0" w:space="0" w:color="auto"/>
            <w:right w:val="none" w:sz="0" w:space="0" w:color="auto"/>
          </w:divBdr>
        </w:div>
        <w:div w:id="1186863082">
          <w:marLeft w:val="0"/>
          <w:marRight w:val="0"/>
          <w:marTop w:val="0"/>
          <w:marBottom w:val="0"/>
          <w:divBdr>
            <w:top w:val="none" w:sz="0" w:space="0" w:color="auto"/>
            <w:left w:val="none" w:sz="0" w:space="0" w:color="auto"/>
            <w:bottom w:val="none" w:sz="0" w:space="0" w:color="auto"/>
            <w:right w:val="none" w:sz="0" w:space="0" w:color="auto"/>
          </w:divBdr>
        </w:div>
        <w:div w:id="1212184731">
          <w:marLeft w:val="0"/>
          <w:marRight w:val="0"/>
          <w:marTop w:val="0"/>
          <w:marBottom w:val="0"/>
          <w:divBdr>
            <w:top w:val="none" w:sz="0" w:space="0" w:color="auto"/>
            <w:left w:val="none" w:sz="0" w:space="0" w:color="auto"/>
            <w:bottom w:val="none" w:sz="0" w:space="0" w:color="auto"/>
            <w:right w:val="none" w:sz="0" w:space="0" w:color="auto"/>
          </w:divBdr>
        </w:div>
        <w:div w:id="1234122630">
          <w:marLeft w:val="0"/>
          <w:marRight w:val="0"/>
          <w:marTop w:val="0"/>
          <w:marBottom w:val="0"/>
          <w:divBdr>
            <w:top w:val="none" w:sz="0" w:space="0" w:color="auto"/>
            <w:left w:val="none" w:sz="0" w:space="0" w:color="auto"/>
            <w:bottom w:val="none" w:sz="0" w:space="0" w:color="auto"/>
            <w:right w:val="none" w:sz="0" w:space="0" w:color="auto"/>
          </w:divBdr>
        </w:div>
        <w:div w:id="1265959875">
          <w:marLeft w:val="0"/>
          <w:marRight w:val="0"/>
          <w:marTop w:val="0"/>
          <w:marBottom w:val="0"/>
          <w:divBdr>
            <w:top w:val="none" w:sz="0" w:space="0" w:color="auto"/>
            <w:left w:val="none" w:sz="0" w:space="0" w:color="auto"/>
            <w:bottom w:val="none" w:sz="0" w:space="0" w:color="auto"/>
            <w:right w:val="none" w:sz="0" w:space="0" w:color="auto"/>
          </w:divBdr>
        </w:div>
        <w:div w:id="1360816208">
          <w:marLeft w:val="0"/>
          <w:marRight w:val="0"/>
          <w:marTop w:val="0"/>
          <w:marBottom w:val="0"/>
          <w:divBdr>
            <w:top w:val="none" w:sz="0" w:space="0" w:color="auto"/>
            <w:left w:val="none" w:sz="0" w:space="0" w:color="auto"/>
            <w:bottom w:val="none" w:sz="0" w:space="0" w:color="auto"/>
            <w:right w:val="none" w:sz="0" w:space="0" w:color="auto"/>
          </w:divBdr>
        </w:div>
        <w:div w:id="1363631965">
          <w:marLeft w:val="0"/>
          <w:marRight w:val="0"/>
          <w:marTop w:val="0"/>
          <w:marBottom w:val="0"/>
          <w:divBdr>
            <w:top w:val="none" w:sz="0" w:space="0" w:color="auto"/>
            <w:left w:val="none" w:sz="0" w:space="0" w:color="auto"/>
            <w:bottom w:val="none" w:sz="0" w:space="0" w:color="auto"/>
            <w:right w:val="none" w:sz="0" w:space="0" w:color="auto"/>
          </w:divBdr>
        </w:div>
        <w:div w:id="1386367299">
          <w:marLeft w:val="0"/>
          <w:marRight w:val="0"/>
          <w:marTop w:val="0"/>
          <w:marBottom w:val="0"/>
          <w:divBdr>
            <w:top w:val="none" w:sz="0" w:space="0" w:color="auto"/>
            <w:left w:val="none" w:sz="0" w:space="0" w:color="auto"/>
            <w:bottom w:val="none" w:sz="0" w:space="0" w:color="auto"/>
            <w:right w:val="none" w:sz="0" w:space="0" w:color="auto"/>
          </w:divBdr>
        </w:div>
        <w:div w:id="1402561406">
          <w:marLeft w:val="0"/>
          <w:marRight w:val="0"/>
          <w:marTop w:val="0"/>
          <w:marBottom w:val="0"/>
          <w:divBdr>
            <w:top w:val="none" w:sz="0" w:space="0" w:color="auto"/>
            <w:left w:val="none" w:sz="0" w:space="0" w:color="auto"/>
            <w:bottom w:val="none" w:sz="0" w:space="0" w:color="auto"/>
            <w:right w:val="none" w:sz="0" w:space="0" w:color="auto"/>
          </w:divBdr>
          <w:divsChild>
            <w:div w:id="219366800">
              <w:marLeft w:val="-75"/>
              <w:marRight w:val="0"/>
              <w:marTop w:val="30"/>
              <w:marBottom w:val="30"/>
              <w:divBdr>
                <w:top w:val="none" w:sz="0" w:space="0" w:color="auto"/>
                <w:left w:val="none" w:sz="0" w:space="0" w:color="auto"/>
                <w:bottom w:val="none" w:sz="0" w:space="0" w:color="auto"/>
                <w:right w:val="none" w:sz="0" w:space="0" w:color="auto"/>
              </w:divBdr>
              <w:divsChild>
                <w:div w:id="696656931">
                  <w:marLeft w:val="0"/>
                  <w:marRight w:val="0"/>
                  <w:marTop w:val="0"/>
                  <w:marBottom w:val="0"/>
                  <w:divBdr>
                    <w:top w:val="none" w:sz="0" w:space="0" w:color="auto"/>
                    <w:left w:val="none" w:sz="0" w:space="0" w:color="auto"/>
                    <w:bottom w:val="none" w:sz="0" w:space="0" w:color="auto"/>
                    <w:right w:val="none" w:sz="0" w:space="0" w:color="auto"/>
                  </w:divBdr>
                  <w:divsChild>
                    <w:div w:id="75371530">
                      <w:marLeft w:val="0"/>
                      <w:marRight w:val="0"/>
                      <w:marTop w:val="0"/>
                      <w:marBottom w:val="0"/>
                      <w:divBdr>
                        <w:top w:val="none" w:sz="0" w:space="0" w:color="auto"/>
                        <w:left w:val="none" w:sz="0" w:space="0" w:color="auto"/>
                        <w:bottom w:val="none" w:sz="0" w:space="0" w:color="auto"/>
                        <w:right w:val="none" w:sz="0" w:space="0" w:color="auto"/>
                      </w:divBdr>
                    </w:div>
                    <w:div w:id="686253428">
                      <w:marLeft w:val="0"/>
                      <w:marRight w:val="0"/>
                      <w:marTop w:val="0"/>
                      <w:marBottom w:val="0"/>
                      <w:divBdr>
                        <w:top w:val="none" w:sz="0" w:space="0" w:color="auto"/>
                        <w:left w:val="none" w:sz="0" w:space="0" w:color="auto"/>
                        <w:bottom w:val="none" w:sz="0" w:space="0" w:color="auto"/>
                        <w:right w:val="none" w:sz="0" w:space="0" w:color="auto"/>
                      </w:divBdr>
                    </w:div>
                    <w:div w:id="1077090070">
                      <w:marLeft w:val="0"/>
                      <w:marRight w:val="0"/>
                      <w:marTop w:val="0"/>
                      <w:marBottom w:val="0"/>
                      <w:divBdr>
                        <w:top w:val="none" w:sz="0" w:space="0" w:color="auto"/>
                        <w:left w:val="none" w:sz="0" w:space="0" w:color="auto"/>
                        <w:bottom w:val="none" w:sz="0" w:space="0" w:color="auto"/>
                        <w:right w:val="none" w:sz="0" w:space="0" w:color="auto"/>
                      </w:divBdr>
                    </w:div>
                    <w:div w:id="1095591661">
                      <w:marLeft w:val="0"/>
                      <w:marRight w:val="0"/>
                      <w:marTop w:val="0"/>
                      <w:marBottom w:val="0"/>
                      <w:divBdr>
                        <w:top w:val="none" w:sz="0" w:space="0" w:color="auto"/>
                        <w:left w:val="none" w:sz="0" w:space="0" w:color="auto"/>
                        <w:bottom w:val="none" w:sz="0" w:space="0" w:color="auto"/>
                        <w:right w:val="none" w:sz="0" w:space="0" w:color="auto"/>
                      </w:divBdr>
                    </w:div>
                    <w:div w:id="1213998576">
                      <w:marLeft w:val="0"/>
                      <w:marRight w:val="0"/>
                      <w:marTop w:val="0"/>
                      <w:marBottom w:val="0"/>
                      <w:divBdr>
                        <w:top w:val="none" w:sz="0" w:space="0" w:color="auto"/>
                        <w:left w:val="none" w:sz="0" w:space="0" w:color="auto"/>
                        <w:bottom w:val="none" w:sz="0" w:space="0" w:color="auto"/>
                        <w:right w:val="none" w:sz="0" w:space="0" w:color="auto"/>
                      </w:divBdr>
                    </w:div>
                    <w:div w:id="1750537135">
                      <w:marLeft w:val="0"/>
                      <w:marRight w:val="0"/>
                      <w:marTop w:val="0"/>
                      <w:marBottom w:val="0"/>
                      <w:divBdr>
                        <w:top w:val="none" w:sz="0" w:space="0" w:color="auto"/>
                        <w:left w:val="none" w:sz="0" w:space="0" w:color="auto"/>
                        <w:bottom w:val="none" w:sz="0" w:space="0" w:color="auto"/>
                        <w:right w:val="none" w:sz="0" w:space="0" w:color="auto"/>
                      </w:divBdr>
                    </w:div>
                  </w:divsChild>
                </w:div>
                <w:div w:id="1000041342">
                  <w:marLeft w:val="0"/>
                  <w:marRight w:val="0"/>
                  <w:marTop w:val="0"/>
                  <w:marBottom w:val="0"/>
                  <w:divBdr>
                    <w:top w:val="none" w:sz="0" w:space="0" w:color="auto"/>
                    <w:left w:val="none" w:sz="0" w:space="0" w:color="auto"/>
                    <w:bottom w:val="none" w:sz="0" w:space="0" w:color="auto"/>
                    <w:right w:val="none" w:sz="0" w:space="0" w:color="auto"/>
                  </w:divBdr>
                  <w:divsChild>
                    <w:div w:id="1831289715">
                      <w:marLeft w:val="0"/>
                      <w:marRight w:val="0"/>
                      <w:marTop w:val="0"/>
                      <w:marBottom w:val="0"/>
                      <w:divBdr>
                        <w:top w:val="none" w:sz="0" w:space="0" w:color="auto"/>
                        <w:left w:val="none" w:sz="0" w:space="0" w:color="auto"/>
                        <w:bottom w:val="none" w:sz="0" w:space="0" w:color="auto"/>
                        <w:right w:val="none" w:sz="0" w:space="0" w:color="auto"/>
                      </w:divBdr>
                    </w:div>
                  </w:divsChild>
                </w:div>
                <w:div w:id="2032534700">
                  <w:marLeft w:val="0"/>
                  <w:marRight w:val="0"/>
                  <w:marTop w:val="0"/>
                  <w:marBottom w:val="0"/>
                  <w:divBdr>
                    <w:top w:val="none" w:sz="0" w:space="0" w:color="auto"/>
                    <w:left w:val="none" w:sz="0" w:space="0" w:color="auto"/>
                    <w:bottom w:val="none" w:sz="0" w:space="0" w:color="auto"/>
                    <w:right w:val="none" w:sz="0" w:space="0" w:color="auto"/>
                  </w:divBdr>
                  <w:divsChild>
                    <w:div w:id="36513293">
                      <w:marLeft w:val="0"/>
                      <w:marRight w:val="0"/>
                      <w:marTop w:val="0"/>
                      <w:marBottom w:val="0"/>
                      <w:divBdr>
                        <w:top w:val="none" w:sz="0" w:space="0" w:color="auto"/>
                        <w:left w:val="none" w:sz="0" w:space="0" w:color="auto"/>
                        <w:bottom w:val="none" w:sz="0" w:space="0" w:color="auto"/>
                        <w:right w:val="none" w:sz="0" w:space="0" w:color="auto"/>
                      </w:divBdr>
                    </w:div>
                    <w:div w:id="206333767">
                      <w:marLeft w:val="0"/>
                      <w:marRight w:val="0"/>
                      <w:marTop w:val="0"/>
                      <w:marBottom w:val="0"/>
                      <w:divBdr>
                        <w:top w:val="none" w:sz="0" w:space="0" w:color="auto"/>
                        <w:left w:val="none" w:sz="0" w:space="0" w:color="auto"/>
                        <w:bottom w:val="none" w:sz="0" w:space="0" w:color="auto"/>
                        <w:right w:val="none" w:sz="0" w:space="0" w:color="auto"/>
                      </w:divBdr>
                    </w:div>
                    <w:div w:id="262224976">
                      <w:marLeft w:val="0"/>
                      <w:marRight w:val="0"/>
                      <w:marTop w:val="0"/>
                      <w:marBottom w:val="0"/>
                      <w:divBdr>
                        <w:top w:val="none" w:sz="0" w:space="0" w:color="auto"/>
                        <w:left w:val="none" w:sz="0" w:space="0" w:color="auto"/>
                        <w:bottom w:val="none" w:sz="0" w:space="0" w:color="auto"/>
                        <w:right w:val="none" w:sz="0" w:space="0" w:color="auto"/>
                      </w:divBdr>
                    </w:div>
                    <w:div w:id="270867706">
                      <w:marLeft w:val="0"/>
                      <w:marRight w:val="0"/>
                      <w:marTop w:val="0"/>
                      <w:marBottom w:val="0"/>
                      <w:divBdr>
                        <w:top w:val="none" w:sz="0" w:space="0" w:color="auto"/>
                        <w:left w:val="none" w:sz="0" w:space="0" w:color="auto"/>
                        <w:bottom w:val="none" w:sz="0" w:space="0" w:color="auto"/>
                        <w:right w:val="none" w:sz="0" w:space="0" w:color="auto"/>
                      </w:divBdr>
                    </w:div>
                    <w:div w:id="481896637">
                      <w:marLeft w:val="0"/>
                      <w:marRight w:val="0"/>
                      <w:marTop w:val="0"/>
                      <w:marBottom w:val="0"/>
                      <w:divBdr>
                        <w:top w:val="none" w:sz="0" w:space="0" w:color="auto"/>
                        <w:left w:val="none" w:sz="0" w:space="0" w:color="auto"/>
                        <w:bottom w:val="none" w:sz="0" w:space="0" w:color="auto"/>
                        <w:right w:val="none" w:sz="0" w:space="0" w:color="auto"/>
                      </w:divBdr>
                    </w:div>
                    <w:div w:id="550196031">
                      <w:marLeft w:val="0"/>
                      <w:marRight w:val="0"/>
                      <w:marTop w:val="0"/>
                      <w:marBottom w:val="0"/>
                      <w:divBdr>
                        <w:top w:val="none" w:sz="0" w:space="0" w:color="auto"/>
                        <w:left w:val="none" w:sz="0" w:space="0" w:color="auto"/>
                        <w:bottom w:val="none" w:sz="0" w:space="0" w:color="auto"/>
                        <w:right w:val="none" w:sz="0" w:space="0" w:color="auto"/>
                      </w:divBdr>
                    </w:div>
                    <w:div w:id="603928946">
                      <w:marLeft w:val="0"/>
                      <w:marRight w:val="0"/>
                      <w:marTop w:val="0"/>
                      <w:marBottom w:val="0"/>
                      <w:divBdr>
                        <w:top w:val="none" w:sz="0" w:space="0" w:color="auto"/>
                        <w:left w:val="none" w:sz="0" w:space="0" w:color="auto"/>
                        <w:bottom w:val="none" w:sz="0" w:space="0" w:color="auto"/>
                        <w:right w:val="none" w:sz="0" w:space="0" w:color="auto"/>
                      </w:divBdr>
                    </w:div>
                    <w:div w:id="646128736">
                      <w:marLeft w:val="0"/>
                      <w:marRight w:val="0"/>
                      <w:marTop w:val="0"/>
                      <w:marBottom w:val="0"/>
                      <w:divBdr>
                        <w:top w:val="none" w:sz="0" w:space="0" w:color="auto"/>
                        <w:left w:val="none" w:sz="0" w:space="0" w:color="auto"/>
                        <w:bottom w:val="none" w:sz="0" w:space="0" w:color="auto"/>
                        <w:right w:val="none" w:sz="0" w:space="0" w:color="auto"/>
                      </w:divBdr>
                    </w:div>
                    <w:div w:id="647320031">
                      <w:marLeft w:val="0"/>
                      <w:marRight w:val="0"/>
                      <w:marTop w:val="0"/>
                      <w:marBottom w:val="0"/>
                      <w:divBdr>
                        <w:top w:val="none" w:sz="0" w:space="0" w:color="auto"/>
                        <w:left w:val="none" w:sz="0" w:space="0" w:color="auto"/>
                        <w:bottom w:val="none" w:sz="0" w:space="0" w:color="auto"/>
                        <w:right w:val="none" w:sz="0" w:space="0" w:color="auto"/>
                      </w:divBdr>
                    </w:div>
                    <w:div w:id="714156683">
                      <w:marLeft w:val="0"/>
                      <w:marRight w:val="0"/>
                      <w:marTop w:val="0"/>
                      <w:marBottom w:val="0"/>
                      <w:divBdr>
                        <w:top w:val="none" w:sz="0" w:space="0" w:color="auto"/>
                        <w:left w:val="none" w:sz="0" w:space="0" w:color="auto"/>
                        <w:bottom w:val="none" w:sz="0" w:space="0" w:color="auto"/>
                        <w:right w:val="none" w:sz="0" w:space="0" w:color="auto"/>
                      </w:divBdr>
                    </w:div>
                    <w:div w:id="716123789">
                      <w:marLeft w:val="0"/>
                      <w:marRight w:val="0"/>
                      <w:marTop w:val="0"/>
                      <w:marBottom w:val="0"/>
                      <w:divBdr>
                        <w:top w:val="none" w:sz="0" w:space="0" w:color="auto"/>
                        <w:left w:val="none" w:sz="0" w:space="0" w:color="auto"/>
                        <w:bottom w:val="none" w:sz="0" w:space="0" w:color="auto"/>
                        <w:right w:val="none" w:sz="0" w:space="0" w:color="auto"/>
                      </w:divBdr>
                    </w:div>
                    <w:div w:id="789713897">
                      <w:marLeft w:val="0"/>
                      <w:marRight w:val="0"/>
                      <w:marTop w:val="0"/>
                      <w:marBottom w:val="0"/>
                      <w:divBdr>
                        <w:top w:val="none" w:sz="0" w:space="0" w:color="auto"/>
                        <w:left w:val="none" w:sz="0" w:space="0" w:color="auto"/>
                        <w:bottom w:val="none" w:sz="0" w:space="0" w:color="auto"/>
                        <w:right w:val="none" w:sz="0" w:space="0" w:color="auto"/>
                      </w:divBdr>
                    </w:div>
                    <w:div w:id="937061558">
                      <w:marLeft w:val="0"/>
                      <w:marRight w:val="0"/>
                      <w:marTop w:val="0"/>
                      <w:marBottom w:val="0"/>
                      <w:divBdr>
                        <w:top w:val="none" w:sz="0" w:space="0" w:color="auto"/>
                        <w:left w:val="none" w:sz="0" w:space="0" w:color="auto"/>
                        <w:bottom w:val="none" w:sz="0" w:space="0" w:color="auto"/>
                        <w:right w:val="none" w:sz="0" w:space="0" w:color="auto"/>
                      </w:divBdr>
                    </w:div>
                    <w:div w:id="1115247544">
                      <w:marLeft w:val="0"/>
                      <w:marRight w:val="0"/>
                      <w:marTop w:val="0"/>
                      <w:marBottom w:val="0"/>
                      <w:divBdr>
                        <w:top w:val="none" w:sz="0" w:space="0" w:color="auto"/>
                        <w:left w:val="none" w:sz="0" w:space="0" w:color="auto"/>
                        <w:bottom w:val="none" w:sz="0" w:space="0" w:color="auto"/>
                        <w:right w:val="none" w:sz="0" w:space="0" w:color="auto"/>
                      </w:divBdr>
                    </w:div>
                    <w:div w:id="1270353744">
                      <w:marLeft w:val="0"/>
                      <w:marRight w:val="0"/>
                      <w:marTop w:val="0"/>
                      <w:marBottom w:val="0"/>
                      <w:divBdr>
                        <w:top w:val="none" w:sz="0" w:space="0" w:color="auto"/>
                        <w:left w:val="none" w:sz="0" w:space="0" w:color="auto"/>
                        <w:bottom w:val="none" w:sz="0" w:space="0" w:color="auto"/>
                        <w:right w:val="none" w:sz="0" w:space="0" w:color="auto"/>
                      </w:divBdr>
                    </w:div>
                    <w:div w:id="1322154452">
                      <w:marLeft w:val="0"/>
                      <w:marRight w:val="0"/>
                      <w:marTop w:val="0"/>
                      <w:marBottom w:val="0"/>
                      <w:divBdr>
                        <w:top w:val="none" w:sz="0" w:space="0" w:color="auto"/>
                        <w:left w:val="none" w:sz="0" w:space="0" w:color="auto"/>
                        <w:bottom w:val="none" w:sz="0" w:space="0" w:color="auto"/>
                        <w:right w:val="none" w:sz="0" w:space="0" w:color="auto"/>
                      </w:divBdr>
                    </w:div>
                    <w:div w:id="1457917570">
                      <w:marLeft w:val="0"/>
                      <w:marRight w:val="0"/>
                      <w:marTop w:val="0"/>
                      <w:marBottom w:val="0"/>
                      <w:divBdr>
                        <w:top w:val="none" w:sz="0" w:space="0" w:color="auto"/>
                        <w:left w:val="none" w:sz="0" w:space="0" w:color="auto"/>
                        <w:bottom w:val="none" w:sz="0" w:space="0" w:color="auto"/>
                        <w:right w:val="none" w:sz="0" w:space="0" w:color="auto"/>
                      </w:divBdr>
                    </w:div>
                    <w:div w:id="1681809367">
                      <w:marLeft w:val="0"/>
                      <w:marRight w:val="0"/>
                      <w:marTop w:val="0"/>
                      <w:marBottom w:val="0"/>
                      <w:divBdr>
                        <w:top w:val="none" w:sz="0" w:space="0" w:color="auto"/>
                        <w:left w:val="none" w:sz="0" w:space="0" w:color="auto"/>
                        <w:bottom w:val="none" w:sz="0" w:space="0" w:color="auto"/>
                        <w:right w:val="none" w:sz="0" w:space="0" w:color="auto"/>
                      </w:divBdr>
                    </w:div>
                    <w:div w:id="1702700589">
                      <w:marLeft w:val="0"/>
                      <w:marRight w:val="0"/>
                      <w:marTop w:val="0"/>
                      <w:marBottom w:val="0"/>
                      <w:divBdr>
                        <w:top w:val="none" w:sz="0" w:space="0" w:color="auto"/>
                        <w:left w:val="none" w:sz="0" w:space="0" w:color="auto"/>
                        <w:bottom w:val="none" w:sz="0" w:space="0" w:color="auto"/>
                        <w:right w:val="none" w:sz="0" w:space="0" w:color="auto"/>
                      </w:divBdr>
                    </w:div>
                    <w:div w:id="1712152359">
                      <w:marLeft w:val="0"/>
                      <w:marRight w:val="0"/>
                      <w:marTop w:val="0"/>
                      <w:marBottom w:val="0"/>
                      <w:divBdr>
                        <w:top w:val="none" w:sz="0" w:space="0" w:color="auto"/>
                        <w:left w:val="none" w:sz="0" w:space="0" w:color="auto"/>
                        <w:bottom w:val="none" w:sz="0" w:space="0" w:color="auto"/>
                        <w:right w:val="none" w:sz="0" w:space="0" w:color="auto"/>
                      </w:divBdr>
                    </w:div>
                    <w:div w:id="1726178352">
                      <w:marLeft w:val="0"/>
                      <w:marRight w:val="0"/>
                      <w:marTop w:val="0"/>
                      <w:marBottom w:val="0"/>
                      <w:divBdr>
                        <w:top w:val="none" w:sz="0" w:space="0" w:color="auto"/>
                        <w:left w:val="none" w:sz="0" w:space="0" w:color="auto"/>
                        <w:bottom w:val="none" w:sz="0" w:space="0" w:color="auto"/>
                        <w:right w:val="none" w:sz="0" w:space="0" w:color="auto"/>
                      </w:divBdr>
                    </w:div>
                    <w:div w:id="1797216113">
                      <w:marLeft w:val="0"/>
                      <w:marRight w:val="0"/>
                      <w:marTop w:val="0"/>
                      <w:marBottom w:val="0"/>
                      <w:divBdr>
                        <w:top w:val="none" w:sz="0" w:space="0" w:color="auto"/>
                        <w:left w:val="none" w:sz="0" w:space="0" w:color="auto"/>
                        <w:bottom w:val="none" w:sz="0" w:space="0" w:color="auto"/>
                        <w:right w:val="none" w:sz="0" w:space="0" w:color="auto"/>
                      </w:divBdr>
                    </w:div>
                    <w:div w:id="1860662321">
                      <w:marLeft w:val="0"/>
                      <w:marRight w:val="0"/>
                      <w:marTop w:val="0"/>
                      <w:marBottom w:val="0"/>
                      <w:divBdr>
                        <w:top w:val="none" w:sz="0" w:space="0" w:color="auto"/>
                        <w:left w:val="none" w:sz="0" w:space="0" w:color="auto"/>
                        <w:bottom w:val="none" w:sz="0" w:space="0" w:color="auto"/>
                        <w:right w:val="none" w:sz="0" w:space="0" w:color="auto"/>
                      </w:divBdr>
                    </w:div>
                    <w:div w:id="1860924926">
                      <w:marLeft w:val="0"/>
                      <w:marRight w:val="0"/>
                      <w:marTop w:val="0"/>
                      <w:marBottom w:val="0"/>
                      <w:divBdr>
                        <w:top w:val="none" w:sz="0" w:space="0" w:color="auto"/>
                        <w:left w:val="none" w:sz="0" w:space="0" w:color="auto"/>
                        <w:bottom w:val="none" w:sz="0" w:space="0" w:color="auto"/>
                        <w:right w:val="none" w:sz="0" w:space="0" w:color="auto"/>
                      </w:divBdr>
                    </w:div>
                    <w:div w:id="1864633528">
                      <w:marLeft w:val="0"/>
                      <w:marRight w:val="0"/>
                      <w:marTop w:val="0"/>
                      <w:marBottom w:val="0"/>
                      <w:divBdr>
                        <w:top w:val="none" w:sz="0" w:space="0" w:color="auto"/>
                        <w:left w:val="none" w:sz="0" w:space="0" w:color="auto"/>
                        <w:bottom w:val="none" w:sz="0" w:space="0" w:color="auto"/>
                        <w:right w:val="none" w:sz="0" w:space="0" w:color="auto"/>
                      </w:divBdr>
                    </w:div>
                    <w:div w:id="1996101416">
                      <w:marLeft w:val="0"/>
                      <w:marRight w:val="0"/>
                      <w:marTop w:val="0"/>
                      <w:marBottom w:val="0"/>
                      <w:divBdr>
                        <w:top w:val="none" w:sz="0" w:space="0" w:color="auto"/>
                        <w:left w:val="none" w:sz="0" w:space="0" w:color="auto"/>
                        <w:bottom w:val="none" w:sz="0" w:space="0" w:color="auto"/>
                        <w:right w:val="none" w:sz="0" w:space="0" w:color="auto"/>
                      </w:divBdr>
                    </w:div>
                  </w:divsChild>
                </w:div>
                <w:div w:id="2094928786">
                  <w:marLeft w:val="0"/>
                  <w:marRight w:val="0"/>
                  <w:marTop w:val="0"/>
                  <w:marBottom w:val="0"/>
                  <w:divBdr>
                    <w:top w:val="none" w:sz="0" w:space="0" w:color="auto"/>
                    <w:left w:val="none" w:sz="0" w:space="0" w:color="auto"/>
                    <w:bottom w:val="none" w:sz="0" w:space="0" w:color="auto"/>
                    <w:right w:val="none" w:sz="0" w:space="0" w:color="auto"/>
                  </w:divBdr>
                  <w:divsChild>
                    <w:div w:id="19266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21342">
          <w:marLeft w:val="0"/>
          <w:marRight w:val="0"/>
          <w:marTop w:val="0"/>
          <w:marBottom w:val="0"/>
          <w:divBdr>
            <w:top w:val="none" w:sz="0" w:space="0" w:color="auto"/>
            <w:left w:val="none" w:sz="0" w:space="0" w:color="auto"/>
            <w:bottom w:val="none" w:sz="0" w:space="0" w:color="auto"/>
            <w:right w:val="none" w:sz="0" w:space="0" w:color="auto"/>
          </w:divBdr>
        </w:div>
        <w:div w:id="1496412663">
          <w:marLeft w:val="0"/>
          <w:marRight w:val="0"/>
          <w:marTop w:val="0"/>
          <w:marBottom w:val="0"/>
          <w:divBdr>
            <w:top w:val="none" w:sz="0" w:space="0" w:color="auto"/>
            <w:left w:val="none" w:sz="0" w:space="0" w:color="auto"/>
            <w:bottom w:val="none" w:sz="0" w:space="0" w:color="auto"/>
            <w:right w:val="none" w:sz="0" w:space="0" w:color="auto"/>
          </w:divBdr>
        </w:div>
        <w:div w:id="1523974322">
          <w:marLeft w:val="0"/>
          <w:marRight w:val="0"/>
          <w:marTop w:val="0"/>
          <w:marBottom w:val="0"/>
          <w:divBdr>
            <w:top w:val="none" w:sz="0" w:space="0" w:color="auto"/>
            <w:left w:val="none" w:sz="0" w:space="0" w:color="auto"/>
            <w:bottom w:val="none" w:sz="0" w:space="0" w:color="auto"/>
            <w:right w:val="none" w:sz="0" w:space="0" w:color="auto"/>
          </w:divBdr>
        </w:div>
        <w:div w:id="1527060433">
          <w:marLeft w:val="0"/>
          <w:marRight w:val="0"/>
          <w:marTop w:val="0"/>
          <w:marBottom w:val="0"/>
          <w:divBdr>
            <w:top w:val="none" w:sz="0" w:space="0" w:color="auto"/>
            <w:left w:val="none" w:sz="0" w:space="0" w:color="auto"/>
            <w:bottom w:val="none" w:sz="0" w:space="0" w:color="auto"/>
            <w:right w:val="none" w:sz="0" w:space="0" w:color="auto"/>
          </w:divBdr>
        </w:div>
        <w:div w:id="1590655893">
          <w:marLeft w:val="0"/>
          <w:marRight w:val="0"/>
          <w:marTop w:val="0"/>
          <w:marBottom w:val="0"/>
          <w:divBdr>
            <w:top w:val="none" w:sz="0" w:space="0" w:color="auto"/>
            <w:left w:val="none" w:sz="0" w:space="0" w:color="auto"/>
            <w:bottom w:val="none" w:sz="0" w:space="0" w:color="auto"/>
            <w:right w:val="none" w:sz="0" w:space="0" w:color="auto"/>
          </w:divBdr>
        </w:div>
        <w:div w:id="1606841463">
          <w:marLeft w:val="0"/>
          <w:marRight w:val="0"/>
          <w:marTop w:val="0"/>
          <w:marBottom w:val="0"/>
          <w:divBdr>
            <w:top w:val="none" w:sz="0" w:space="0" w:color="auto"/>
            <w:left w:val="none" w:sz="0" w:space="0" w:color="auto"/>
            <w:bottom w:val="none" w:sz="0" w:space="0" w:color="auto"/>
            <w:right w:val="none" w:sz="0" w:space="0" w:color="auto"/>
          </w:divBdr>
          <w:divsChild>
            <w:div w:id="172578076">
              <w:marLeft w:val="0"/>
              <w:marRight w:val="0"/>
              <w:marTop w:val="0"/>
              <w:marBottom w:val="0"/>
              <w:divBdr>
                <w:top w:val="none" w:sz="0" w:space="0" w:color="auto"/>
                <w:left w:val="none" w:sz="0" w:space="0" w:color="auto"/>
                <w:bottom w:val="none" w:sz="0" w:space="0" w:color="auto"/>
                <w:right w:val="none" w:sz="0" w:space="0" w:color="auto"/>
              </w:divBdr>
            </w:div>
            <w:div w:id="410733903">
              <w:marLeft w:val="0"/>
              <w:marRight w:val="0"/>
              <w:marTop w:val="0"/>
              <w:marBottom w:val="0"/>
              <w:divBdr>
                <w:top w:val="none" w:sz="0" w:space="0" w:color="auto"/>
                <w:left w:val="none" w:sz="0" w:space="0" w:color="auto"/>
                <w:bottom w:val="none" w:sz="0" w:space="0" w:color="auto"/>
                <w:right w:val="none" w:sz="0" w:space="0" w:color="auto"/>
              </w:divBdr>
            </w:div>
            <w:div w:id="765076590">
              <w:marLeft w:val="0"/>
              <w:marRight w:val="0"/>
              <w:marTop w:val="0"/>
              <w:marBottom w:val="0"/>
              <w:divBdr>
                <w:top w:val="none" w:sz="0" w:space="0" w:color="auto"/>
                <w:left w:val="none" w:sz="0" w:space="0" w:color="auto"/>
                <w:bottom w:val="none" w:sz="0" w:space="0" w:color="auto"/>
                <w:right w:val="none" w:sz="0" w:space="0" w:color="auto"/>
              </w:divBdr>
            </w:div>
            <w:div w:id="1825125810">
              <w:marLeft w:val="0"/>
              <w:marRight w:val="0"/>
              <w:marTop w:val="0"/>
              <w:marBottom w:val="0"/>
              <w:divBdr>
                <w:top w:val="none" w:sz="0" w:space="0" w:color="auto"/>
                <w:left w:val="none" w:sz="0" w:space="0" w:color="auto"/>
                <w:bottom w:val="none" w:sz="0" w:space="0" w:color="auto"/>
                <w:right w:val="none" w:sz="0" w:space="0" w:color="auto"/>
              </w:divBdr>
            </w:div>
          </w:divsChild>
        </w:div>
        <w:div w:id="1812941099">
          <w:marLeft w:val="0"/>
          <w:marRight w:val="0"/>
          <w:marTop w:val="0"/>
          <w:marBottom w:val="0"/>
          <w:divBdr>
            <w:top w:val="none" w:sz="0" w:space="0" w:color="auto"/>
            <w:left w:val="none" w:sz="0" w:space="0" w:color="auto"/>
            <w:bottom w:val="none" w:sz="0" w:space="0" w:color="auto"/>
            <w:right w:val="none" w:sz="0" w:space="0" w:color="auto"/>
          </w:divBdr>
        </w:div>
        <w:div w:id="1861508403">
          <w:marLeft w:val="0"/>
          <w:marRight w:val="0"/>
          <w:marTop w:val="0"/>
          <w:marBottom w:val="0"/>
          <w:divBdr>
            <w:top w:val="none" w:sz="0" w:space="0" w:color="auto"/>
            <w:left w:val="none" w:sz="0" w:space="0" w:color="auto"/>
            <w:bottom w:val="none" w:sz="0" w:space="0" w:color="auto"/>
            <w:right w:val="none" w:sz="0" w:space="0" w:color="auto"/>
          </w:divBdr>
        </w:div>
        <w:div w:id="1887836681">
          <w:marLeft w:val="0"/>
          <w:marRight w:val="0"/>
          <w:marTop w:val="0"/>
          <w:marBottom w:val="0"/>
          <w:divBdr>
            <w:top w:val="none" w:sz="0" w:space="0" w:color="auto"/>
            <w:left w:val="none" w:sz="0" w:space="0" w:color="auto"/>
            <w:bottom w:val="none" w:sz="0" w:space="0" w:color="auto"/>
            <w:right w:val="none" w:sz="0" w:space="0" w:color="auto"/>
          </w:divBdr>
        </w:div>
        <w:div w:id="1924685807">
          <w:marLeft w:val="0"/>
          <w:marRight w:val="0"/>
          <w:marTop w:val="0"/>
          <w:marBottom w:val="0"/>
          <w:divBdr>
            <w:top w:val="none" w:sz="0" w:space="0" w:color="auto"/>
            <w:left w:val="none" w:sz="0" w:space="0" w:color="auto"/>
            <w:bottom w:val="none" w:sz="0" w:space="0" w:color="auto"/>
            <w:right w:val="none" w:sz="0" w:space="0" w:color="auto"/>
          </w:divBdr>
        </w:div>
        <w:div w:id="1938174728">
          <w:marLeft w:val="0"/>
          <w:marRight w:val="0"/>
          <w:marTop w:val="0"/>
          <w:marBottom w:val="0"/>
          <w:divBdr>
            <w:top w:val="none" w:sz="0" w:space="0" w:color="auto"/>
            <w:left w:val="none" w:sz="0" w:space="0" w:color="auto"/>
            <w:bottom w:val="none" w:sz="0" w:space="0" w:color="auto"/>
            <w:right w:val="none" w:sz="0" w:space="0" w:color="auto"/>
          </w:divBdr>
          <w:divsChild>
            <w:div w:id="96827074">
              <w:marLeft w:val="0"/>
              <w:marRight w:val="0"/>
              <w:marTop w:val="0"/>
              <w:marBottom w:val="0"/>
              <w:divBdr>
                <w:top w:val="none" w:sz="0" w:space="0" w:color="auto"/>
                <w:left w:val="none" w:sz="0" w:space="0" w:color="auto"/>
                <w:bottom w:val="none" w:sz="0" w:space="0" w:color="auto"/>
                <w:right w:val="none" w:sz="0" w:space="0" w:color="auto"/>
              </w:divBdr>
            </w:div>
            <w:div w:id="141772039">
              <w:marLeft w:val="0"/>
              <w:marRight w:val="0"/>
              <w:marTop w:val="0"/>
              <w:marBottom w:val="0"/>
              <w:divBdr>
                <w:top w:val="none" w:sz="0" w:space="0" w:color="auto"/>
                <w:left w:val="none" w:sz="0" w:space="0" w:color="auto"/>
                <w:bottom w:val="none" w:sz="0" w:space="0" w:color="auto"/>
                <w:right w:val="none" w:sz="0" w:space="0" w:color="auto"/>
              </w:divBdr>
            </w:div>
            <w:div w:id="578907437">
              <w:marLeft w:val="0"/>
              <w:marRight w:val="0"/>
              <w:marTop w:val="0"/>
              <w:marBottom w:val="0"/>
              <w:divBdr>
                <w:top w:val="none" w:sz="0" w:space="0" w:color="auto"/>
                <w:left w:val="none" w:sz="0" w:space="0" w:color="auto"/>
                <w:bottom w:val="none" w:sz="0" w:space="0" w:color="auto"/>
                <w:right w:val="none" w:sz="0" w:space="0" w:color="auto"/>
              </w:divBdr>
            </w:div>
            <w:div w:id="980501111">
              <w:marLeft w:val="0"/>
              <w:marRight w:val="0"/>
              <w:marTop w:val="0"/>
              <w:marBottom w:val="0"/>
              <w:divBdr>
                <w:top w:val="none" w:sz="0" w:space="0" w:color="auto"/>
                <w:left w:val="none" w:sz="0" w:space="0" w:color="auto"/>
                <w:bottom w:val="none" w:sz="0" w:space="0" w:color="auto"/>
                <w:right w:val="none" w:sz="0" w:space="0" w:color="auto"/>
              </w:divBdr>
            </w:div>
            <w:div w:id="1981613760">
              <w:marLeft w:val="0"/>
              <w:marRight w:val="0"/>
              <w:marTop w:val="0"/>
              <w:marBottom w:val="0"/>
              <w:divBdr>
                <w:top w:val="none" w:sz="0" w:space="0" w:color="auto"/>
                <w:left w:val="none" w:sz="0" w:space="0" w:color="auto"/>
                <w:bottom w:val="none" w:sz="0" w:space="0" w:color="auto"/>
                <w:right w:val="none" w:sz="0" w:space="0" w:color="auto"/>
              </w:divBdr>
            </w:div>
          </w:divsChild>
        </w:div>
        <w:div w:id="2061198636">
          <w:marLeft w:val="0"/>
          <w:marRight w:val="0"/>
          <w:marTop w:val="0"/>
          <w:marBottom w:val="0"/>
          <w:divBdr>
            <w:top w:val="none" w:sz="0" w:space="0" w:color="auto"/>
            <w:left w:val="none" w:sz="0" w:space="0" w:color="auto"/>
            <w:bottom w:val="none" w:sz="0" w:space="0" w:color="auto"/>
            <w:right w:val="none" w:sz="0" w:space="0" w:color="auto"/>
          </w:divBdr>
          <w:divsChild>
            <w:div w:id="716244685">
              <w:marLeft w:val="-75"/>
              <w:marRight w:val="0"/>
              <w:marTop w:val="30"/>
              <w:marBottom w:val="30"/>
              <w:divBdr>
                <w:top w:val="none" w:sz="0" w:space="0" w:color="auto"/>
                <w:left w:val="none" w:sz="0" w:space="0" w:color="auto"/>
                <w:bottom w:val="none" w:sz="0" w:space="0" w:color="auto"/>
                <w:right w:val="none" w:sz="0" w:space="0" w:color="auto"/>
              </w:divBdr>
              <w:divsChild>
                <w:div w:id="192111613">
                  <w:marLeft w:val="0"/>
                  <w:marRight w:val="0"/>
                  <w:marTop w:val="0"/>
                  <w:marBottom w:val="0"/>
                  <w:divBdr>
                    <w:top w:val="none" w:sz="0" w:space="0" w:color="auto"/>
                    <w:left w:val="none" w:sz="0" w:space="0" w:color="auto"/>
                    <w:bottom w:val="none" w:sz="0" w:space="0" w:color="auto"/>
                    <w:right w:val="none" w:sz="0" w:space="0" w:color="auto"/>
                  </w:divBdr>
                  <w:divsChild>
                    <w:div w:id="520750030">
                      <w:marLeft w:val="0"/>
                      <w:marRight w:val="0"/>
                      <w:marTop w:val="0"/>
                      <w:marBottom w:val="0"/>
                      <w:divBdr>
                        <w:top w:val="none" w:sz="0" w:space="0" w:color="auto"/>
                        <w:left w:val="none" w:sz="0" w:space="0" w:color="auto"/>
                        <w:bottom w:val="none" w:sz="0" w:space="0" w:color="auto"/>
                        <w:right w:val="none" w:sz="0" w:space="0" w:color="auto"/>
                      </w:divBdr>
                    </w:div>
                  </w:divsChild>
                </w:div>
                <w:div w:id="364061023">
                  <w:marLeft w:val="0"/>
                  <w:marRight w:val="0"/>
                  <w:marTop w:val="0"/>
                  <w:marBottom w:val="0"/>
                  <w:divBdr>
                    <w:top w:val="none" w:sz="0" w:space="0" w:color="auto"/>
                    <w:left w:val="none" w:sz="0" w:space="0" w:color="auto"/>
                    <w:bottom w:val="none" w:sz="0" w:space="0" w:color="auto"/>
                    <w:right w:val="none" w:sz="0" w:space="0" w:color="auto"/>
                  </w:divBdr>
                  <w:divsChild>
                    <w:div w:id="757099738">
                      <w:marLeft w:val="0"/>
                      <w:marRight w:val="0"/>
                      <w:marTop w:val="0"/>
                      <w:marBottom w:val="0"/>
                      <w:divBdr>
                        <w:top w:val="none" w:sz="0" w:space="0" w:color="auto"/>
                        <w:left w:val="none" w:sz="0" w:space="0" w:color="auto"/>
                        <w:bottom w:val="none" w:sz="0" w:space="0" w:color="auto"/>
                        <w:right w:val="none" w:sz="0" w:space="0" w:color="auto"/>
                      </w:divBdr>
                    </w:div>
                  </w:divsChild>
                </w:div>
                <w:div w:id="370957406">
                  <w:marLeft w:val="0"/>
                  <w:marRight w:val="0"/>
                  <w:marTop w:val="0"/>
                  <w:marBottom w:val="0"/>
                  <w:divBdr>
                    <w:top w:val="none" w:sz="0" w:space="0" w:color="auto"/>
                    <w:left w:val="none" w:sz="0" w:space="0" w:color="auto"/>
                    <w:bottom w:val="none" w:sz="0" w:space="0" w:color="auto"/>
                    <w:right w:val="none" w:sz="0" w:space="0" w:color="auto"/>
                  </w:divBdr>
                  <w:divsChild>
                    <w:div w:id="803540883">
                      <w:marLeft w:val="0"/>
                      <w:marRight w:val="0"/>
                      <w:marTop w:val="0"/>
                      <w:marBottom w:val="0"/>
                      <w:divBdr>
                        <w:top w:val="none" w:sz="0" w:space="0" w:color="auto"/>
                        <w:left w:val="none" w:sz="0" w:space="0" w:color="auto"/>
                        <w:bottom w:val="none" w:sz="0" w:space="0" w:color="auto"/>
                        <w:right w:val="none" w:sz="0" w:space="0" w:color="auto"/>
                      </w:divBdr>
                    </w:div>
                  </w:divsChild>
                </w:div>
                <w:div w:id="411856504">
                  <w:marLeft w:val="0"/>
                  <w:marRight w:val="0"/>
                  <w:marTop w:val="0"/>
                  <w:marBottom w:val="0"/>
                  <w:divBdr>
                    <w:top w:val="none" w:sz="0" w:space="0" w:color="auto"/>
                    <w:left w:val="none" w:sz="0" w:space="0" w:color="auto"/>
                    <w:bottom w:val="none" w:sz="0" w:space="0" w:color="auto"/>
                    <w:right w:val="none" w:sz="0" w:space="0" w:color="auto"/>
                  </w:divBdr>
                  <w:divsChild>
                    <w:div w:id="373819260">
                      <w:marLeft w:val="0"/>
                      <w:marRight w:val="0"/>
                      <w:marTop w:val="0"/>
                      <w:marBottom w:val="0"/>
                      <w:divBdr>
                        <w:top w:val="none" w:sz="0" w:space="0" w:color="auto"/>
                        <w:left w:val="none" w:sz="0" w:space="0" w:color="auto"/>
                        <w:bottom w:val="none" w:sz="0" w:space="0" w:color="auto"/>
                        <w:right w:val="none" w:sz="0" w:space="0" w:color="auto"/>
                      </w:divBdr>
                    </w:div>
                  </w:divsChild>
                </w:div>
                <w:div w:id="451481015">
                  <w:marLeft w:val="0"/>
                  <w:marRight w:val="0"/>
                  <w:marTop w:val="0"/>
                  <w:marBottom w:val="0"/>
                  <w:divBdr>
                    <w:top w:val="none" w:sz="0" w:space="0" w:color="auto"/>
                    <w:left w:val="none" w:sz="0" w:space="0" w:color="auto"/>
                    <w:bottom w:val="none" w:sz="0" w:space="0" w:color="auto"/>
                    <w:right w:val="none" w:sz="0" w:space="0" w:color="auto"/>
                  </w:divBdr>
                  <w:divsChild>
                    <w:div w:id="976647934">
                      <w:marLeft w:val="0"/>
                      <w:marRight w:val="0"/>
                      <w:marTop w:val="0"/>
                      <w:marBottom w:val="0"/>
                      <w:divBdr>
                        <w:top w:val="none" w:sz="0" w:space="0" w:color="auto"/>
                        <w:left w:val="none" w:sz="0" w:space="0" w:color="auto"/>
                        <w:bottom w:val="none" w:sz="0" w:space="0" w:color="auto"/>
                        <w:right w:val="none" w:sz="0" w:space="0" w:color="auto"/>
                      </w:divBdr>
                    </w:div>
                  </w:divsChild>
                </w:div>
                <w:div w:id="544147106">
                  <w:marLeft w:val="0"/>
                  <w:marRight w:val="0"/>
                  <w:marTop w:val="0"/>
                  <w:marBottom w:val="0"/>
                  <w:divBdr>
                    <w:top w:val="none" w:sz="0" w:space="0" w:color="auto"/>
                    <w:left w:val="none" w:sz="0" w:space="0" w:color="auto"/>
                    <w:bottom w:val="none" w:sz="0" w:space="0" w:color="auto"/>
                    <w:right w:val="none" w:sz="0" w:space="0" w:color="auto"/>
                  </w:divBdr>
                  <w:divsChild>
                    <w:div w:id="720329622">
                      <w:marLeft w:val="0"/>
                      <w:marRight w:val="0"/>
                      <w:marTop w:val="0"/>
                      <w:marBottom w:val="0"/>
                      <w:divBdr>
                        <w:top w:val="none" w:sz="0" w:space="0" w:color="auto"/>
                        <w:left w:val="none" w:sz="0" w:space="0" w:color="auto"/>
                        <w:bottom w:val="none" w:sz="0" w:space="0" w:color="auto"/>
                        <w:right w:val="none" w:sz="0" w:space="0" w:color="auto"/>
                      </w:divBdr>
                    </w:div>
                  </w:divsChild>
                </w:div>
                <w:div w:id="677004798">
                  <w:marLeft w:val="0"/>
                  <w:marRight w:val="0"/>
                  <w:marTop w:val="0"/>
                  <w:marBottom w:val="0"/>
                  <w:divBdr>
                    <w:top w:val="none" w:sz="0" w:space="0" w:color="auto"/>
                    <w:left w:val="none" w:sz="0" w:space="0" w:color="auto"/>
                    <w:bottom w:val="none" w:sz="0" w:space="0" w:color="auto"/>
                    <w:right w:val="none" w:sz="0" w:space="0" w:color="auto"/>
                  </w:divBdr>
                  <w:divsChild>
                    <w:div w:id="1917205656">
                      <w:marLeft w:val="0"/>
                      <w:marRight w:val="0"/>
                      <w:marTop w:val="0"/>
                      <w:marBottom w:val="0"/>
                      <w:divBdr>
                        <w:top w:val="none" w:sz="0" w:space="0" w:color="auto"/>
                        <w:left w:val="none" w:sz="0" w:space="0" w:color="auto"/>
                        <w:bottom w:val="none" w:sz="0" w:space="0" w:color="auto"/>
                        <w:right w:val="none" w:sz="0" w:space="0" w:color="auto"/>
                      </w:divBdr>
                    </w:div>
                  </w:divsChild>
                </w:div>
                <w:div w:id="733352311">
                  <w:marLeft w:val="0"/>
                  <w:marRight w:val="0"/>
                  <w:marTop w:val="0"/>
                  <w:marBottom w:val="0"/>
                  <w:divBdr>
                    <w:top w:val="none" w:sz="0" w:space="0" w:color="auto"/>
                    <w:left w:val="none" w:sz="0" w:space="0" w:color="auto"/>
                    <w:bottom w:val="none" w:sz="0" w:space="0" w:color="auto"/>
                    <w:right w:val="none" w:sz="0" w:space="0" w:color="auto"/>
                  </w:divBdr>
                  <w:divsChild>
                    <w:div w:id="674307722">
                      <w:marLeft w:val="0"/>
                      <w:marRight w:val="0"/>
                      <w:marTop w:val="0"/>
                      <w:marBottom w:val="0"/>
                      <w:divBdr>
                        <w:top w:val="none" w:sz="0" w:space="0" w:color="auto"/>
                        <w:left w:val="none" w:sz="0" w:space="0" w:color="auto"/>
                        <w:bottom w:val="none" w:sz="0" w:space="0" w:color="auto"/>
                        <w:right w:val="none" w:sz="0" w:space="0" w:color="auto"/>
                      </w:divBdr>
                    </w:div>
                  </w:divsChild>
                </w:div>
                <w:div w:id="734816091">
                  <w:marLeft w:val="0"/>
                  <w:marRight w:val="0"/>
                  <w:marTop w:val="0"/>
                  <w:marBottom w:val="0"/>
                  <w:divBdr>
                    <w:top w:val="none" w:sz="0" w:space="0" w:color="auto"/>
                    <w:left w:val="none" w:sz="0" w:space="0" w:color="auto"/>
                    <w:bottom w:val="none" w:sz="0" w:space="0" w:color="auto"/>
                    <w:right w:val="none" w:sz="0" w:space="0" w:color="auto"/>
                  </w:divBdr>
                  <w:divsChild>
                    <w:div w:id="1251087122">
                      <w:marLeft w:val="0"/>
                      <w:marRight w:val="0"/>
                      <w:marTop w:val="0"/>
                      <w:marBottom w:val="0"/>
                      <w:divBdr>
                        <w:top w:val="none" w:sz="0" w:space="0" w:color="auto"/>
                        <w:left w:val="none" w:sz="0" w:space="0" w:color="auto"/>
                        <w:bottom w:val="none" w:sz="0" w:space="0" w:color="auto"/>
                        <w:right w:val="none" w:sz="0" w:space="0" w:color="auto"/>
                      </w:divBdr>
                    </w:div>
                  </w:divsChild>
                </w:div>
                <w:div w:id="867985756">
                  <w:marLeft w:val="0"/>
                  <w:marRight w:val="0"/>
                  <w:marTop w:val="0"/>
                  <w:marBottom w:val="0"/>
                  <w:divBdr>
                    <w:top w:val="none" w:sz="0" w:space="0" w:color="auto"/>
                    <w:left w:val="none" w:sz="0" w:space="0" w:color="auto"/>
                    <w:bottom w:val="none" w:sz="0" w:space="0" w:color="auto"/>
                    <w:right w:val="none" w:sz="0" w:space="0" w:color="auto"/>
                  </w:divBdr>
                  <w:divsChild>
                    <w:div w:id="2094887105">
                      <w:marLeft w:val="0"/>
                      <w:marRight w:val="0"/>
                      <w:marTop w:val="0"/>
                      <w:marBottom w:val="0"/>
                      <w:divBdr>
                        <w:top w:val="none" w:sz="0" w:space="0" w:color="auto"/>
                        <w:left w:val="none" w:sz="0" w:space="0" w:color="auto"/>
                        <w:bottom w:val="none" w:sz="0" w:space="0" w:color="auto"/>
                        <w:right w:val="none" w:sz="0" w:space="0" w:color="auto"/>
                      </w:divBdr>
                    </w:div>
                  </w:divsChild>
                </w:div>
                <w:div w:id="1037505087">
                  <w:marLeft w:val="0"/>
                  <w:marRight w:val="0"/>
                  <w:marTop w:val="0"/>
                  <w:marBottom w:val="0"/>
                  <w:divBdr>
                    <w:top w:val="none" w:sz="0" w:space="0" w:color="auto"/>
                    <w:left w:val="none" w:sz="0" w:space="0" w:color="auto"/>
                    <w:bottom w:val="none" w:sz="0" w:space="0" w:color="auto"/>
                    <w:right w:val="none" w:sz="0" w:space="0" w:color="auto"/>
                  </w:divBdr>
                  <w:divsChild>
                    <w:div w:id="913468952">
                      <w:marLeft w:val="0"/>
                      <w:marRight w:val="0"/>
                      <w:marTop w:val="0"/>
                      <w:marBottom w:val="0"/>
                      <w:divBdr>
                        <w:top w:val="none" w:sz="0" w:space="0" w:color="auto"/>
                        <w:left w:val="none" w:sz="0" w:space="0" w:color="auto"/>
                        <w:bottom w:val="none" w:sz="0" w:space="0" w:color="auto"/>
                        <w:right w:val="none" w:sz="0" w:space="0" w:color="auto"/>
                      </w:divBdr>
                    </w:div>
                  </w:divsChild>
                </w:div>
                <w:div w:id="1151362730">
                  <w:marLeft w:val="0"/>
                  <w:marRight w:val="0"/>
                  <w:marTop w:val="0"/>
                  <w:marBottom w:val="0"/>
                  <w:divBdr>
                    <w:top w:val="none" w:sz="0" w:space="0" w:color="auto"/>
                    <w:left w:val="none" w:sz="0" w:space="0" w:color="auto"/>
                    <w:bottom w:val="none" w:sz="0" w:space="0" w:color="auto"/>
                    <w:right w:val="none" w:sz="0" w:space="0" w:color="auto"/>
                  </w:divBdr>
                  <w:divsChild>
                    <w:div w:id="2084404161">
                      <w:marLeft w:val="0"/>
                      <w:marRight w:val="0"/>
                      <w:marTop w:val="0"/>
                      <w:marBottom w:val="0"/>
                      <w:divBdr>
                        <w:top w:val="none" w:sz="0" w:space="0" w:color="auto"/>
                        <w:left w:val="none" w:sz="0" w:space="0" w:color="auto"/>
                        <w:bottom w:val="none" w:sz="0" w:space="0" w:color="auto"/>
                        <w:right w:val="none" w:sz="0" w:space="0" w:color="auto"/>
                      </w:divBdr>
                    </w:div>
                  </w:divsChild>
                </w:div>
                <w:div w:id="1295671585">
                  <w:marLeft w:val="0"/>
                  <w:marRight w:val="0"/>
                  <w:marTop w:val="0"/>
                  <w:marBottom w:val="0"/>
                  <w:divBdr>
                    <w:top w:val="none" w:sz="0" w:space="0" w:color="auto"/>
                    <w:left w:val="none" w:sz="0" w:space="0" w:color="auto"/>
                    <w:bottom w:val="none" w:sz="0" w:space="0" w:color="auto"/>
                    <w:right w:val="none" w:sz="0" w:space="0" w:color="auto"/>
                  </w:divBdr>
                  <w:divsChild>
                    <w:div w:id="1270239623">
                      <w:marLeft w:val="0"/>
                      <w:marRight w:val="0"/>
                      <w:marTop w:val="0"/>
                      <w:marBottom w:val="0"/>
                      <w:divBdr>
                        <w:top w:val="none" w:sz="0" w:space="0" w:color="auto"/>
                        <w:left w:val="none" w:sz="0" w:space="0" w:color="auto"/>
                        <w:bottom w:val="none" w:sz="0" w:space="0" w:color="auto"/>
                        <w:right w:val="none" w:sz="0" w:space="0" w:color="auto"/>
                      </w:divBdr>
                    </w:div>
                  </w:divsChild>
                </w:div>
                <w:div w:id="1310402899">
                  <w:marLeft w:val="0"/>
                  <w:marRight w:val="0"/>
                  <w:marTop w:val="0"/>
                  <w:marBottom w:val="0"/>
                  <w:divBdr>
                    <w:top w:val="none" w:sz="0" w:space="0" w:color="auto"/>
                    <w:left w:val="none" w:sz="0" w:space="0" w:color="auto"/>
                    <w:bottom w:val="none" w:sz="0" w:space="0" w:color="auto"/>
                    <w:right w:val="none" w:sz="0" w:space="0" w:color="auto"/>
                  </w:divBdr>
                  <w:divsChild>
                    <w:div w:id="1617132391">
                      <w:marLeft w:val="0"/>
                      <w:marRight w:val="0"/>
                      <w:marTop w:val="0"/>
                      <w:marBottom w:val="0"/>
                      <w:divBdr>
                        <w:top w:val="none" w:sz="0" w:space="0" w:color="auto"/>
                        <w:left w:val="none" w:sz="0" w:space="0" w:color="auto"/>
                        <w:bottom w:val="none" w:sz="0" w:space="0" w:color="auto"/>
                        <w:right w:val="none" w:sz="0" w:space="0" w:color="auto"/>
                      </w:divBdr>
                    </w:div>
                  </w:divsChild>
                </w:div>
                <w:div w:id="1399473665">
                  <w:marLeft w:val="0"/>
                  <w:marRight w:val="0"/>
                  <w:marTop w:val="0"/>
                  <w:marBottom w:val="0"/>
                  <w:divBdr>
                    <w:top w:val="none" w:sz="0" w:space="0" w:color="auto"/>
                    <w:left w:val="none" w:sz="0" w:space="0" w:color="auto"/>
                    <w:bottom w:val="none" w:sz="0" w:space="0" w:color="auto"/>
                    <w:right w:val="none" w:sz="0" w:space="0" w:color="auto"/>
                  </w:divBdr>
                  <w:divsChild>
                    <w:div w:id="1239484188">
                      <w:marLeft w:val="0"/>
                      <w:marRight w:val="0"/>
                      <w:marTop w:val="0"/>
                      <w:marBottom w:val="0"/>
                      <w:divBdr>
                        <w:top w:val="none" w:sz="0" w:space="0" w:color="auto"/>
                        <w:left w:val="none" w:sz="0" w:space="0" w:color="auto"/>
                        <w:bottom w:val="none" w:sz="0" w:space="0" w:color="auto"/>
                        <w:right w:val="none" w:sz="0" w:space="0" w:color="auto"/>
                      </w:divBdr>
                    </w:div>
                  </w:divsChild>
                </w:div>
                <w:div w:id="1502039744">
                  <w:marLeft w:val="0"/>
                  <w:marRight w:val="0"/>
                  <w:marTop w:val="0"/>
                  <w:marBottom w:val="0"/>
                  <w:divBdr>
                    <w:top w:val="none" w:sz="0" w:space="0" w:color="auto"/>
                    <w:left w:val="none" w:sz="0" w:space="0" w:color="auto"/>
                    <w:bottom w:val="none" w:sz="0" w:space="0" w:color="auto"/>
                    <w:right w:val="none" w:sz="0" w:space="0" w:color="auto"/>
                  </w:divBdr>
                  <w:divsChild>
                    <w:div w:id="328560433">
                      <w:marLeft w:val="0"/>
                      <w:marRight w:val="0"/>
                      <w:marTop w:val="0"/>
                      <w:marBottom w:val="0"/>
                      <w:divBdr>
                        <w:top w:val="none" w:sz="0" w:space="0" w:color="auto"/>
                        <w:left w:val="none" w:sz="0" w:space="0" w:color="auto"/>
                        <w:bottom w:val="none" w:sz="0" w:space="0" w:color="auto"/>
                        <w:right w:val="none" w:sz="0" w:space="0" w:color="auto"/>
                      </w:divBdr>
                    </w:div>
                  </w:divsChild>
                </w:div>
                <w:div w:id="1563449074">
                  <w:marLeft w:val="0"/>
                  <w:marRight w:val="0"/>
                  <w:marTop w:val="0"/>
                  <w:marBottom w:val="0"/>
                  <w:divBdr>
                    <w:top w:val="none" w:sz="0" w:space="0" w:color="auto"/>
                    <w:left w:val="none" w:sz="0" w:space="0" w:color="auto"/>
                    <w:bottom w:val="none" w:sz="0" w:space="0" w:color="auto"/>
                    <w:right w:val="none" w:sz="0" w:space="0" w:color="auto"/>
                  </w:divBdr>
                  <w:divsChild>
                    <w:div w:id="341860942">
                      <w:marLeft w:val="0"/>
                      <w:marRight w:val="0"/>
                      <w:marTop w:val="0"/>
                      <w:marBottom w:val="0"/>
                      <w:divBdr>
                        <w:top w:val="none" w:sz="0" w:space="0" w:color="auto"/>
                        <w:left w:val="none" w:sz="0" w:space="0" w:color="auto"/>
                        <w:bottom w:val="none" w:sz="0" w:space="0" w:color="auto"/>
                        <w:right w:val="none" w:sz="0" w:space="0" w:color="auto"/>
                      </w:divBdr>
                    </w:div>
                  </w:divsChild>
                </w:div>
                <w:div w:id="1665235847">
                  <w:marLeft w:val="0"/>
                  <w:marRight w:val="0"/>
                  <w:marTop w:val="0"/>
                  <w:marBottom w:val="0"/>
                  <w:divBdr>
                    <w:top w:val="none" w:sz="0" w:space="0" w:color="auto"/>
                    <w:left w:val="none" w:sz="0" w:space="0" w:color="auto"/>
                    <w:bottom w:val="none" w:sz="0" w:space="0" w:color="auto"/>
                    <w:right w:val="none" w:sz="0" w:space="0" w:color="auto"/>
                  </w:divBdr>
                  <w:divsChild>
                    <w:div w:id="326828755">
                      <w:marLeft w:val="0"/>
                      <w:marRight w:val="0"/>
                      <w:marTop w:val="0"/>
                      <w:marBottom w:val="0"/>
                      <w:divBdr>
                        <w:top w:val="none" w:sz="0" w:space="0" w:color="auto"/>
                        <w:left w:val="none" w:sz="0" w:space="0" w:color="auto"/>
                        <w:bottom w:val="none" w:sz="0" w:space="0" w:color="auto"/>
                        <w:right w:val="none" w:sz="0" w:space="0" w:color="auto"/>
                      </w:divBdr>
                    </w:div>
                  </w:divsChild>
                </w:div>
                <w:div w:id="1674070623">
                  <w:marLeft w:val="0"/>
                  <w:marRight w:val="0"/>
                  <w:marTop w:val="0"/>
                  <w:marBottom w:val="0"/>
                  <w:divBdr>
                    <w:top w:val="none" w:sz="0" w:space="0" w:color="auto"/>
                    <w:left w:val="none" w:sz="0" w:space="0" w:color="auto"/>
                    <w:bottom w:val="none" w:sz="0" w:space="0" w:color="auto"/>
                    <w:right w:val="none" w:sz="0" w:space="0" w:color="auto"/>
                  </w:divBdr>
                  <w:divsChild>
                    <w:div w:id="989754385">
                      <w:marLeft w:val="0"/>
                      <w:marRight w:val="0"/>
                      <w:marTop w:val="0"/>
                      <w:marBottom w:val="0"/>
                      <w:divBdr>
                        <w:top w:val="none" w:sz="0" w:space="0" w:color="auto"/>
                        <w:left w:val="none" w:sz="0" w:space="0" w:color="auto"/>
                        <w:bottom w:val="none" w:sz="0" w:space="0" w:color="auto"/>
                        <w:right w:val="none" w:sz="0" w:space="0" w:color="auto"/>
                      </w:divBdr>
                    </w:div>
                  </w:divsChild>
                </w:div>
                <w:div w:id="1674721256">
                  <w:marLeft w:val="0"/>
                  <w:marRight w:val="0"/>
                  <w:marTop w:val="0"/>
                  <w:marBottom w:val="0"/>
                  <w:divBdr>
                    <w:top w:val="none" w:sz="0" w:space="0" w:color="auto"/>
                    <w:left w:val="none" w:sz="0" w:space="0" w:color="auto"/>
                    <w:bottom w:val="none" w:sz="0" w:space="0" w:color="auto"/>
                    <w:right w:val="none" w:sz="0" w:space="0" w:color="auto"/>
                  </w:divBdr>
                  <w:divsChild>
                    <w:div w:id="365954638">
                      <w:marLeft w:val="0"/>
                      <w:marRight w:val="0"/>
                      <w:marTop w:val="0"/>
                      <w:marBottom w:val="0"/>
                      <w:divBdr>
                        <w:top w:val="none" w:sz="0" w:space="0" w:color="auto"/>
                        <w:left w:val="none" w:sz="0" w:space="0" w:color="auto"/>
                        <w:bottom w:val="none" w:sz="0" w:space="0" w:color="auto"/>
                        <w:right w:val="none" w:sz="0" w:space="0" w:color="auto"/>
                      </w:divBdr>
                    </w:div>
                  </w:divsChild>
                </w:div>
                <w:div w:id="1794400134">
                  <w:marLeft w:val="0"/>
                  <w:marRight w:val="0"/>
                  <w:marTop w:val="0"/>
                  <w:marBottom w:val="0"/>
                  <w:divBdr>
                    <w:top w:val="none" w:sz="0" w:space="0" w:color="auto"/>
                    <w:left w:val="none" w:sz="0" w:space="0" w:color="auto"/>
                    <w:bottom w:val="none" w:sz="0" w:space="0" w:color="auto"/>
                    <w:right w:val="none" w:sz="0" w:space="0" w:color="auto"/>
                  </w:divBdr>
                  <w:divsChild>
                    <w:div w:id="908735314">
                      <w:marLeft w:val="0"/>
                      <w:marRight w:val="0"/>
                      <w:marTop w:val="0"/>
                      <w:marBottom w:val="0"/>
                      <w:divBdr>
                        <w:top w:val="none" w:sz="0" w:space="0" w:color="auto"/>
                        <w:left w:val="none" w:sz="0" w:space="0" w:color="auto"/>
                        <w:bottom w:val="none" w:sz="0" w:space="0" w:color="auto"/>
                        <w:right w:val="none" w:sz="0" w:space="0" w:color="auto"/>
                      </w:divBdr>
                    </w:div>
                  </w:divsChild>
                </w:div>
                <w:div w:id="1955599590">
                  <w:marLeft w:val="0"/>
                  <w:marRight w:val="0"/>
                  <w:marTop w:val="0"/>
                  <w:marBottom w:val="0"/>
                  <w:divBdr>
                    <w:top w:val="none" w:sz="0" w:space="0" w:color="auto"/>
                    <w:left w:val="none" w:sz="0" w:space="0" w:color="auto"/>
                    <w:bottom w:val="none" w:sz="0" w:space="0" w:color="auto"/>
                    <w:right w:val="none" w:sz="0" w:space="0" w:color="auto"/>
                  </w:divBdr>
                  <w:divsChild>
                    <w:div w:id="60392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9287">
          <w:marLeft w:val="0"/>
          <w:marRight w:val="0"/>
          <w:marTop w:val="0"/>
          <w:marBottom w:val="0"/>
          <w:divBdr>
            <w:top w:val="none" w:sz="0" w:space="0" w:color="auto"/>
            <w:left w:val="none" w:sz="0" w:space="0" w:color="auto"/>
            <w:bottom w:val="none" w:sz="0" w:space="0" w:color="auto"/>
            <w:right w:val="none" w:sz="0" w:space="0" w:color="auto"/>
          </w:divBdr>
        </w:div>
      </w:divsChild>
    </w:div>
    <w:div w:id="301347822">
      <w:bodyDiv w:val="1"/>
      <w:marLeft w:val="0"/>
      <w:marRight w:val="0"/>
      <w:marTop w:val="0"/>
      <w:marBottom w:val="0"/>
      <w:divBdr>
        <w:top w:val="none" w:sz="0" w:space="0" w:color="auto"/>
        <w:left w:val="none" w:sz="0" w:space="0" w:color="auto"/>
        <w:bottom w:val="none" w:sz="0" w:space="0" w:color="auto"/>
        <w:right w:val="none" w:sz="0" w:space="0" w:color="auto"/>
      </w:divBdr>
    </w:div>
    <w:div w:id="303051519">
      <w:bodyDiv w:val="1"/>
      <w:marLeft w:val="0"/>
      <w:marRight w:val="0"/>
      <w:marTop w:val="0"/>
      <w:marBottom w:val="0"/>
      <w:divBdr>
        <w:top w:val="none" w:sz="0" w:space="0" w:color="auto"/>
        <w:left w:val="none" w:sz="0" w:space="0" w:color="auto"/>
        <w:bottom w:val="none" w:sz="0" w:space="0" w:color="auto"/>
        <w:right w:val="none" w:sz="0" w:space="0" w:color="auto"/>
      </w:divBdr>
    </w:div>
    <w:div w:id="307132627">
      <w:bodyDiv w:val="1"/>
      <w:marLeft w:val="0"/>
      <w:marRight w:val="0"/>
      <w:marTop w:val="0"/>
      <w:marBottom w:val="0"/>
      <w:divBdr>
        <w:top w:val="none" w:sz="0" w:space="0" w:color="auto"/>
        <w:left w:val="none" w:sz="0" w:space="0" w:color="auto"/>
        <w:bottom w:val="none" w:sz="0" w:space="0" w:color="auto"/>
        <w:right w:val="none" w:sz="0" w:space="0" w:color="auto"/>
      </w:divBdr>
    </w:div>
    <w:div w:id="307978387">
      <w:bodyDiv w:val="1"/>
      <w:marLeft w:val="0"/>
      <w:marRight w:val="0"/>
      <w:marTop w:val="0"/>
      <w:marBottom w:val="0"/>
      <w:divBdr>
        <w:top w:val="none" w:sz="0" w:space="0" w:color="auto"/>
        <w:left w:val="none" w:sz="0" w:space="0" w:color="auto"/>
        <w:bottom w:val="none" w:sz="0" w:space="0" w:color="auto"/>
        <w:right w:val="none" w:sz="0" w:space="0" w:color="auto"/>
      </w:divBdr>
    </w:div>
    <w:div w:id="341861997">
      <w:bodyDiv w:val="1"/>
      <w:marLeft w:val="0"/>
      <w:marRight w:val="0"/>
      <w:marTop w:val="0"/>
      <w:marBottom w:val="0"/>
      <w:divBdr>
        <w:top w:val="none" w:sz="0" w:space="0" w:color="auto"/>
        <w:left w:val="none" w:sz="0" w:space="0" w:color="auto"/>
        <w:bottom w:val="none" w:sz="0" w:space="0" w:color="auto"/>
        <w:right w:val="none" w:sz="0" w:space="0" w:color="auto"/>
      </w:divBdr>
    </w:div>
    <w:div w:id="347416608">
      <w:bodyDiv w:val="1"/>
      <w:marLeft w:val="0"/>
      <w:marRight w:val="0"/>
      <w:marTop w:val="0"/>
      <w:marBottom w:val="0"/>
      <w:divBdr>
        <w:top w:val="none" w:sz="0" w:space="0" w:color="auto"/>
        <w:left w:val="none" w:sz="0" w:space="0" w:color="auto"/>
        <w:bottom w:val="none" w:sz="0" w:space="0" w:color="auto"/>
        <w:right w:val="none" w:sz="0" w:space="0" w:color="auto"/>
      </w:divBdr>
    </w:div>
    <w:div w:id="359671422">
      <w:bodyDiv w:val="1"/>
      <w:marLeft w:val="0"/>
      <w:marRight w:val="0"/>
      <w:marTop w:val="0"/>
      <w:marBottom w:val="0"/>
      <w:divBdr>
        <w:top w:val="none" w:sz="0" w:space="0" w:color="auto"/>
        <w:left w:val="none" w:sz="0" w:space="0" w:color="auto"/>
        <w:bottom w:val="none" w:sz="0" w:space="0" w:color="auto"/>
        <w:right w:val="none" w:sz="0" w:space="0" w:color="auto"/>
      </w:divBdr>
    </w:div>
    <w:div w:id="365715223">
      <w:bodyDiv w:val="1"/>
      <w:marLeft w:val="0"/>
      <w:marRight w:val="0"/>
      <w:marTop w:val="0"/>
      <w:marBottom w:val="0"/>
      <w:divBdr>
        <w:top w:val="none" w:sz="0" w:space="0" w:color="auto"/>
        <w:left w:val="none" w:sz="0" w:space="0" w:color="auto"/>
        <w:bottom w:val="none" w:sz="0" w:space="0" w:color="auto"/>
        <w:right w:val="none" w:sz="0" w:space="0" w:color="auto"/>
      </w:divBdr>
    </w:div>
    <w:div w:id="369494635">
      <w:bodyDiv w:val="1"/>
      <w:marLeft w:val="0"/>
      <w:marRight w:val="0"/>
      <w:marTop w:val="0"/>
      <w:marBottom w:val="0"/>
      <w:divBdr>
        <w:top w:val="none" w:sz="0" w:space="0" w:color="auto"/>
        <w:left w:val="none" w:sz="0" w:space="0" w:color="auto"/>
        <w:bottom w:val="none" w:sz="0" w:space="0" w:color="auto"/>
        <w:right w:val="none" w:sz="0" w:space="0" w:color="auto"/>
      </w:divBdr>
    </w:div>
    <w:div w:id="373385818">
      <w:bodyDiv w:val="1"/>
      <w:marLeft w:val="0"/>
      <w:marRight w:val="0"/>
      <w:marTop w:val="0"/>
      <w:marBottom w:val="0"/>
      <w:divBdr>
        <w:top w:val="none" w:sz="0" w:space="0" w:color="auto"/>
        <w:left w:val="none" w:sz="0" w:space="0" w:color="auto"/>
        <w:bottom w:val="none" w:sz="0" w:space="0" w:color="auto"/>
        <w:right w:val="none" w:sz="0" w:space="0" w:color="auto"/>
      </w:divBdr>
    </w:div>
    <w:div w:id="386226964">
      <w:bodyDiv w:val="1"/>
      <w:marLeft w:val="0"/>
      <w:marRight w:val="0"/>
      <w:marTop w:val="0"/>
      <w:marBottom w:val="0"/>
      <w:divBdr>
        <w:top w:val="none" w:sz="0" w:space="0" w:color="auto"/>
        <w:left w:val="none" w:sz="0" w:space="0" w:color="auto"/>
        <w:bottom w:val="none" w:sz="0" w:space="0" w:color="auto"/>
        <w:right w:val="none" w:sz="0" w:space="0" w:color="auto"/>
      </w:divBdr>
    </w:div>
    <w:div w:id="387807892">
      <w:bodyDiv w:val="1"/>
      <w:marLeft w:val="0"/>
      <w:marRight w:val="0"/>
      <w:marTop w:val="0"/>
      <w:marBottom w:val="0"/>
      <w:divBdr>
        <w:top w:val="none" w:sz="0" w:space="0" w:color="auto"/>
        <w:left w:val="none" w:sz="0" w:space="0" w:color="auto"/>
        <w:bottom w:val="none" w:sz="0" w:space="0" w:color="auto"/>
        <w:right w:val="none" w:sz="0" w:space="0" w:color="auto"/>
      </w:divBdr>
      <w:divsChild>
        <w:div w:id="104429827">
          <w:marLeft w:val="0"/>
          <w:marRight w:val="0"/>
          <w:marTop w:val="30"/>
          <w:marBottom w:val="30"/>
          <w:divBdr>
            <w:top w:val="none" w:sz="0" w:space="0" w:color="auto"/>
            <w:left w:val="none" w:sz="0" w:space="0" w:color="auto"/>
            <w:bottom w:val="none" w:sz="0" w:space="0" w:color="auto"/>
            <w:right w:val="none" w:sz="0" w:space="0" w:color="auto"/>
          </w:divBdr>
          <w:divsChild>
            <w:div w:id="7874570">
              <w:marLeft w:val="0"/>
              <w:marRight w:val="0"/>
              <w:marTop w:val="0"/>
              <w:marBottom w:val="0"/>
              <w:divBdr>
                <w:top w:val="none" w:sz="0" w:space="0" w:color="auto"/>
                <w:left w:val="none" w:sz="0" w:space="0" w:color="auto"/>
                <w:bottom w:val="none" w:sz="0" w:space="0" w:color="auto"/>
                <w:right w:val="none" w:sz="0" w:space="0" w:color="auto"/>
              </w:divBdr>
              <w:divsChild>
                <w:div w:id="266040067">
                  <w:marLeft w:val="0"/>
                  <w:marRight w:val="0"/>
                  <w:marTop w:val="0"/>
                  <w:marBottom w:val="0"/>
                  <w:divBdr>
                    <w:top w:val="none" w:sz="0" w:space="0" w:color="auto"/>
                    <w:left w:val="none" w:sz="0" w:space="0" w:color="auto"/>
                    <w:bottom w:val="none" w:sz="0" w:space="0" w:color="auto"/>
                    <w:right w:val="none" w:sz="0" w:space="0" w:color="auto"/>
                  </w:divBdr>
                </w:div>
                <w:div w:id="292518657">
                  <w:marLeft w:val="0"/>
                  <w:marRight w:val="0"/>
                  <w:marTop w:val="0"/>
                  <w:marBottom w:val="0"/>
                  <w:divBdr>
                    <w:top w:val="none" w:sz="0" w:space="0" w:color="auto"/>
                    <w:left w:val="none" w:sz="0" w:space="0" w:color="auto"/>
                    <w:bottom w:val="none" w:sz="0" w:space="0" w:color="auto"/>
                    <w:right w:val="none" w:sz="0" w:space="0" w:color="auto"/>
                  </w:divBdr>
                </w:div>
                <w:div w:id="1824273716">
                  <w:marLeft w:val="0"/>
                  <w:marRight w:val="0"/>
                  <w:marTop w:val="0"/>
                  <w:marBottom w:val="0"/>
                  <w:divBdr>
                    <w:top w:val="none" w:sz="0" w:space="0" w:color="auto"/>
                    <w:left w:val="none" w:sz="0" w:space="0" w:color="auto"/>
                    <w:bottom w:val="none" w:sz="0" w:space="0" w:color="auto"/>
                    <w:right w:val="none" w:sz="0" w:space="0" w:color="auto"/>
                  </w:divBdr>
                </w:div>
              </w:divsChild>
            </w:div>
            <w:div w:id="112098000">
              <w:marLeft w:val="0"/>
              <w:marRight w:val="0"/>
              <w:marTop w:val="0"/>
              <w:marBottom w:val="0"/>
              <w:divBdr>
                <w:top w:val="none" w:sz="0" w:space="0" w:color="auto"/>
                <w:left w:val="none" w:sz="0" w:space="0" w:color="auto"/>
                <w:bottom w:val="none" w:sz="0" w:space="0" w:color="auto"/>
                <w:right w:val="none" w:sz="0" w:space="0" w:color="auto"/>
              </w:divBdr>
              <w:divsChild>
                <w:div w:id="1037436999">
                  <w:marLeft w:val="0"/>
                  <w:marRight w:val="0"/>
                  <w:marTop w:val="0"/>
                  <w:marBottom w:val="0"/>
                  <w:divBdr>
                    <w:top w:val="none" w:sz="0" w:space="0" w:color="auto"/>
                    <w:left w:val="none" w:sz="0" w:space="0" w:color="auto"/>
                    <w:bottom w:val="none" w:sz="0" w:space="0" w:color="auto"/>
                    <w:right w:val="none" w:sz="0" w:space="0" w:color="auto"/>
                  </w:divBdr>
                </w:div>
              </w:divsChild>
            </w:div>
            <w:div w:id="159078287">
              <w:marLeft w:val="0"/>
              <w:marRight w:val="0"/>
              <w:marTop w:val="0"/>
              <w:marBottom w:val="0"/>
              <w:divBdr>
                <w:top w:val="none" w:sz="0" w:space="0" w:color="auto"/>
                <w:left w:val="none" w:sz="0" w:space="0" w:color="auto"/>
                <w:bottom w:val="none" w:sz="0" w:space="0" w:color="auto"/>
                <w:right w:val="none" w:sz="0" w:space="0" w:color="auto"/>
              </w:divBdr>
              <w:divsChild>
                <w:div w:id="2118451874">
                  <w:marLeft w:val="0"/>
                  <w:marRight w:val="0"/>
                  <w:marTop w:val="0"/>
                  <w:marBottom w:val="0"/>
                  <w:divBdr>
                    <w:top w:val="none" w:sz="0" w:space="0" w:color="auto"/>
                    <w:left w:val="none" w:sz="0" w:space="0" w:color="auto"/>
                    <w:bottom w:val="none" w:sz="0" w:space="0" w:color="auto"/>
                    <w:right w:val="none" w:sz="0" w:space="0" w:color="auto"/>
                  </w:divBdr>
                </w:div>
              </w:divsChild>
            </w:div>
            <w:div w:id="163403736">
              <w:marLeft w:val="0"/>
              <w:marRight w:val="0"/>
              <w:marTop w:val="0"/>
              <w:marBottom w:val="0"/>
              <w:divBdr>
                <w:top w:val="none" w:sz="0" w:space="0" w:color="auto"/>
                <w:left w:val="none" w:sz="0" w:space="0" w:color="auto"/>
                <w:bottom w:val="none" w:sz="0" w:space="0" w:color="auto"/>
                <w:right w:val="none" w:sz="0" w:space="0" w:color="auto"/>
              </w:divBdr>
              <w:divsChild>
                <w:div w:id="642661250">
                  <w:marLeft w:val="0"/>
                  <w:marRight w:val="0"/>
                  <w:marTop w:val="0"/>
                  <w:marBottom w:val="0"/>
                  <w:divBdr>
                    <w:top w:val="none" w:sz="0" w:space="0" w:color="auto"/>
                    <w:left w:val="none" w:sz="0" w:space="0" w:color="auto"/>
                    <w:bottom w:val="none" w:sz="0" w:space="0" w:color="auto"/>
                    <w:right w:val="none" w:sz="0" w:space="0" w:color="auto"/>
                  </w:divBdr>
                </w:div>
              </w:divsChild>
            </w:div>
            <w:div w:id="165101561">
              <w:marLeft w:val="0"/>
              <w:marRight w:val="0"/>
              <w:marTop w:val="0"/>
              <w:marBottom w:val="0"/>
              <w:divBdr>
                <w:top w:val="none" w:sz="0" w:space="0" w:color="auto"/>
                <w:left w:val="none" w:sz="0" w:space="0" w:color="auto"/>
                <w:bottom w:val="none" w:sz="0" w:space="0" w:color="auto"/>
                <w:right w:val="none" w:sz="0" w:space="0" w:color="auto"/>
              </w:divBdr>
              <w:divsChild>
                <w:div w:id="1969235304">
                  <w:marLeft w:val="0"/>
                  <w:marRight w:val="0"/>
                  <w:marTop w:val="0"/>
                  <w:marBottom w:val="0"/>
                  <w:divBdr>
                    <w:top w:val="none" w:sz="0" w:space="0" w:color="auto"/>
                    <w:left w:val="none" w:sz="0" w:space="0" w:color="auto"/>
                    <w:bottom w:val="none" w:sz="0" w:space="0" w:color="auto"/>
                    <w:right w:val="none" w:sz="0" w:space="0" w:color="auto"/>
                  </w:divBdr>
                </w:div>
              </w:divsChild>
            </w:div>
            <w:div w:id="210769429">
              <w:marLeft w:val="0"/>
              <w:marRight w:val="0"/>
              <w:marTop w:val="0"/>
              <w:marBottom w:val="0"/>
              <w:divBdr>
                <w:top w:val="none" w:sz="0" w:space="0" w:color="auto"/>
                <w:left w:val="none" w:sz="0" w:space="0" w:color="auto"/>
                <w:bottom w:val="none" w:sz="0" w:space="0" w:color="auto"/>
                <w:right w:val="none" w:sz="0" w:space="0" w:color="auto"/>
              </w:divBdr>
              <w:divsChild>
                <w:div w:id="365376042">
                  <w:marLeft w:val="0"/>
                  <w:marRight w:val="0"/>
                  <w:marTop w:val="0"/>
                  <w:marBottom w:val="0"/>
                  <w:divBdr>
                    <w:top w:val="none" w:sz="0" w:space="0" w:color="auto"/>
                    <w:left w:val="none" w:sz="0" w:space="0" w:color="auto"/>
                    <w:bottom w:val="none" w:sz="0" w:space="0" w:color="auto"/>
                    <w:right w:val="none" w:sz="0" w:space="0" w:color="auto"/>
                  </w:divBdr>
                </w:div>
              </w:divsChild>
            </w:div>
            <w:div w:id="263809825">
              <w:marLeft w:val="0"/>
              <w:marRight w:val="0"/>
              <w:marTop w:val="0"/>
              <w:marBottom w:val="0"/>
              <w:divBdr>
                <w:top w:val="none" w:sz="0" w:space="0" w:color="auto"/>
                <w:left w:val="none" w:sz="0" w:space="0" w:color="auto"/>
                <w:bottom w:val="none" w:sz="0" w:space="0" w:color="auto"/>
                <w:right w:val="none" w:sz="0" w:space="0" w:color="auto"/>
              </w:divBdr>
              <w:divsChild>
                <w:div w:id="56634672">
                  <w:marLeft w:val="0"/>
                  <w:marRight w:val="0"/>
                  <w:marTop w:val="0"/>
                  <w:marBottom w:val="0"/>
                  <w:divBdr>
                    <w:top w:val="none" w:sz="0" w:space="0" w:color="auto"/>
                    <w:left w:val="none" w:sz="0" w:space="0" w:color="auto"/>
                    <w:bottom w:val="none" w:sz="0" w:space="0" w:color="auto"/>
                    <w:right w:val="none" w:sz="0" w:space="0" w:color="auto"/>
                  </w:divBdr>
                </w:div>
              </w:divsChild>
            </w:div>
            <w:div w:id="321546647">
              <w:marLeft w:val="0"/>
              <w:marRight w:val="0"/>
              <w:marTop w:val="0"/>
              <w:marBottom w:val="0"/>
              <w:divBdr>
                <w:top w:val="none" w:sz="0" w:space="0" w:color="auto"/>
                <w:left w:val="none" w:sz="0" w:space="0" w:color="auto"/>
                <w:bottom w:val="none" w:sz="0" w:space="0" w:color="auto"/>
                <w:right w:val="none" w:sz="0" w:space="0" w:color="auto"/>
              </w:divBdr>
              <w:divsChild>
                <w:div w:id="2066759585">
                  <w:marLeft w:val="0"/>
                  <w:marRight w:val="0"/>
                  <w:marTop w:val="0"/>
                  <w:marBottom w:val="0"/>
                  <w:divBdr>
                    <w:top w:val="none" w:sz="0" w:space="0" w:color="auto"/>
                    <w:left w:val="none" w:sz="0" w:space="0" w:color="auto"/>
                    <w:bottom w:val="none" w:sz="0" w:space="0" w:color="auto"/>
                    <w:right w:val="none" w:sz="0" w:space="0" w:color="auto"/>
                  </w:divBdr>
                </w:div>
              </w:divsChild>
            </w:div>
            <w:div w:id="375934496">
              <w:marLeft w:val="0"/>
              <w:marRight w:val="0"/>
              <w:marTop w:val="0"/>
              <w:marBottom w:val="0"/>
              <w:divBdr>
                <w:top w:val="none" w:sz="0" w:space="0" w:color="auto"/>
                <w:left w:val="none" w:sz="0" w:space="0" w:color="auto"/>
                <w:bottom w:val="none" w:sz="0" w:space="0" w:color="auto"/>
                <w:right w:val="none" w:sz="0" w:space="0" w:color="auto"/>
              </w:divBdr>
              <w:divsChild>
                <w:div w:id="332071713">
                  <w:marLeft w:val="0"/>
                  <w:marRight w:val="0"/>
                  <w:marTop w:val="0"/>
                  <w:marBottom w:val="0"/>
                  <w:divBdr>
                    <w:top w:val="none" w:sz="0" w:space="0" w:color="auto"/>
                    <w:left w:val="none" w:sz="0" w:space="0" w:color="auto"/>
                    <w:bottom w:val="none" w:sz="0" w:space="0" w:color="auto"/>
                    <w:right w:val="none" w:sz="0" w:space="0" w:color="auto"/>
                  </w:divBdr>
                </w:div>
              </w:divsChild>
            </w:div>
            <w:div w:id="461072468">
              <w:marLeft w:val="0"/>
              <w:marRight w:val="0"/>
              <w:marTop w:val="0"/>
              <w:marBottom w:val="0"/>
              <w:divBdr>
                <w:top w:val="none" w:sz="0" w:space="0" w:color="auto"/>
                <w:left w:val="none" w:sz="0" w:space="0" w:color="auto"/>
                <w:bottom w:val="none" w:sz="0" w:space="0" w:color="auto"/>
                <w:right w:val="none" w:sz="0" w:space="0" w:color="auto"/>
              </w:divBdr>
              <w:divsChild>
                <w:div w:id="1415319480">
                  <w:marLeft w:val="0"/>
                  <w:marRight w:val="0"/>
                  <w:marTop w:val="0"/>
                  <w:marBottom w:val="0"/>
                  <w:divBdr>
                    <w:top w:val="none" w:sz="0" w:space="0" w:color="auto"/>
                    <w:left w:val="none" w:sz="0" w:space="0" w:color="auto"/>
                    <w:bottom w:val="none" w:sz="0" w:space="0" w:color="auto"/>
                    <w:right w:val="none" w:sz="0" w:space="0" w:color="auto"/>
                  </w:divBdr>
                </w:div>
                <w:div w:id="1800027491">
                  <w:marLeft w:val="0"/>
                  <w:marRight w:val="0"/>
                  <w:marTop w:val="0"/>
                  <w:marBottom w:val="0"/>
                  <w:divBdr>
                    <w:top w:val="none" w:sz="0" w:space="0" w:color="auto"/>
                    <w:left w:val="none" w:sz="0" w:space="0" w:color="auto"/>
                    <w:bottom w:val="none" w:sz="0" w:space="0" w:color="auto"/>
                    <w:right w:val="none" w:sz="0" w:space="0" w:color="auto"/>
                  </w:divBdr>
                </w:div>
              </w:divsChild>
            </w:div>
            <w:div w:id="581448330">
              <w:marLeft w:val="0"/>
              <w:marRight w:val="0"/>
              <w:marTop w:val="0"/>
              <w:marBottom w:val="0"/>
              <w:divBdr>
                <w:top w:val="none" w:sz="0" w:space="0" w:color="auto"/>
                <w:left w:val="none" w:sz="0" w:space="0" w:color="auto"/>
                <w:bottom w:val="none" w:sz="0" w:space="0" w:color="auto"/>
                <w:right w:val="none" w:sz="0" w:space="0" w:color="auto"/>
              </w:divBdr>
              <w:divsChild>
                <w:div w:id="608053909">
                  <w:marLeft w:val="0"/>
                  <w:marRight w:val="0"/>
                  <w:marTop w:val="0"/>
                  <w:marBottom w:val="0"/>
                  <w:divBdr>
                    <w:top w:val="none" w:sz="0" w:space="0" w:color="auto"/>
                    <w:left w:val="none" w:sz="0" w:space="0" w:color="auto"/>
                    <w:bottom w:val="none" w:sz="0" w:space="0" w:color="auto"/>
                    <w:right w:val="none" w:sz="0" w:space="0" w:color="auto"/>
                  </w:divBdr>
                </w:div>
              </w:divsChild>
            </w:div>
            <w:div w:id="691303846">
              <w:marLeft w:val="0"/>
              <w:marRight w:val="0"/>
              <w:marTop w:val="0"/>
              <w:marBottom w:val="0"/>
              <w:divBdr>
                <w:top w:val="none" w:sz="0" w:space="0" w:color="auto"/>
                <w:left w:val="none" w:sz="0" w:space="0" w:color="auto"/>
                <w:bottom w:val="none" w:sz="0" w:space="0" w:color="auto"/>
                <w:right w:val="none" w:sz="0" w:space="0" w:color="auto"/>
              </w:divBdr>
              <w:divsChild>
                <w:div w:id="757403233">
                  <w:marLeft w:val="0"/>
                  <w:marRight w:val="0"/>
                  <w:marTop w:val="0"/>
                  <w:marBottom w:val="0"/>
                  <w:divBdr>
                    <w:top w:val="none" w:sz="0" w:space="0" w:color="auto"/>
                    <w:left w:val="none" w:sz="0" w:space="0" w:color="auto"/>
                    <w:bottom w:val="none" w:sz="0" w:space="0" w:color="auto"/>
                    <w:right w:val="none" w:sz="0" w:space="0" w:color="auto"/>
                  </w:divBdr>
                </w:div>
              </w:divsChild>
            </w:div>
            <w:div w:id="714425639">
              <w:marLeft w:val="0"/>
              <w:marRight w:val="0"/>
              <w:marTop w:val="0"/>
              <w:marBottom w:val="0"/>
              <w:divBdr>
                <w:top w:val="none" w:sz="0" w:space="0" w:color="auto"/>
                <w:left w:val="none" w:sz="0" w:space="0" w:color="auto"/>
                <w:bottom w:val="none" w:sz="0" w:space="0" w:color="auto"/>
                <w:right w:val="none" w:sz="0" w:space="0" w:color="auto"/>
              </w:divBdr>
              <w:divsChild>
                <w:div w:id="1281960267">
                  <w:marLeft w:val="0"/>
                  <w:marRight w:val="0"/>
                  <w:marTop w:val="0"/>
                  <w:marBottom w:val="0"/>
                  <w:divBdr>
                    <w:top w:val="none" w:sz="0" w:space="0" w:color="auto"/>
                    <w:left w:val="none" w:sz="0" w:space="0" w:color="auto"/>
                    <w:bottom w:val="none" w:sz="0" w:space="0" w:color="auto"/>
                    <w:right w:val="none" w:sz="0" w:space="0" w:color="auto"/>
                  </w:divBdr>
                </w:div>
              </w:divsChild>
            </w:div>
            <w:div w:id="731854703">
              <w:marLeft w:val="0"/>
              <w:marRight w:val="0"/>
              <w:marTop w:val="0"/>
              <w:marBottom w:val="0"/>
              <w:divBdr>
                <w:top w:val="none" w:sz="0" w:space="0" w:color="auto"/>
                <w:left w:val="none" w:sz="0" w:space="0" w:color="auto"/>
                <w:bottom w:val="none" w:sz="0" w:space="0" w:color="auto"/>
                <w:right w:val="none" w:sz="0" w:space="0" w:color="auto"/>
              </w:divBdr>
              <w:divsChild>
                <w:div w:id="374431798">
                  <w:marLeft w:val="0"/>
                  <w:marRight w:val="0"/>
                  <w:marTop w:val="0"/>
                  <w:marBottom w:val="0"/>
                  <w:divBdr>
                    <w:top w:val="none" w:sz="0" w:space="0" w:color="auto"/>
                    <w:left w:val="none" w:sz="0" w:space="0" w:color="auto"/>
                    <w:bottom w:val="none" w:sz="0" w:space="0" w:color="auto"/>
                    <w:right w:val="none" w:sz="0" w:space="0" w:color="auto"/>
                  </w:divBdr>
                </w:div>
              </w:divsChild>
            </w:div>
            <w:div w:id="819736534">
              <w:marLeft w:val="0"/>
              <w:marRight w:val="0"/>
              <w:marTop w:val="0"/>
              <w:marBottom w:val="0"/>
              <w:divBdr>
                <w:top w:val="none" w:sz="0" w:space="0" w:color="auto"/>
                <w:left w:val="none" w:sz="0" w:space="0" w:color="auto"/>
                <w:bottom w:val="none" w:sz="0" w:space="0" w:color="auto"/>
                <w:right w:val="none" w:sz="0" w:space="0" w:color="auto"/>
              </w:divBdr>
              <w:divsChild>
                <w:div w:id="1242912538">
                  <w:marLeft w:val="0"/>
                  <w:marRight w:val="0"/>
                  <w:marTop w:val="0"/>
                  <w:marBottom w:val="0"/>
                  <w:divBdr>
                    <w:top w:val="none" w:sz="0" w:space="0" w:color="auto"/>
                    <w:left w:val="none" w:sz="0" w:space="0" w:color="auto"/>
                    <w:bottom w:val="none" w:sz="0" w:space="0" w:color="auto"/>
                    <w:right w:val="none" w:sz="0" w:space="0" w:color="auto"/>
                  </w:divBdr>
                </w:div>
              </w:divsChild>
            </w:div>
            <w:div w:id="845631895">
              <w:marLeft w:val="0"/>
              <w:marRight w:val="0"/>
              <w:marTop w:val="0"/>
              <w:marBottom w:val="0"/>
              <w:divBdr>
                <w:top w:val="none" w:sz="0" w:space="0" w:color="auto"/>
                <w:left w:val="none" w:sz="0" w:space="0" w:color="auto"/>
                <w:bottom w:val="none" w:sz="0" w:space="0" w:color="auto"/>
                <w:right w:val="none" w:sz="0" w:space="0" w:color="auto"/>
              </w:divBdr>
              <w:divsChild>
                <w:div w:id="1407802312">
                  <w:marLeft w:val="0"/>
                  <w:marRight w:val="0"/>
                  <w:marTop w:val="0"/>
                  <w:marBottom w:val="0"/>
                  <w:divBdr>
                    <w:top w:val="none" w:sz="0" w:space="0" w:color="auto"/>
                    <w:left w:val="none" w:sz="0" w:space="0" w:color="auto"/>
                    <w:bottom w:val="none" w:sz="0" w:space="0" w:color="auto"/>
                    <w:right w:val="none" w:sz="0" w:space="0" w:color="auto"/>
                  </w:divBdr>
                </w:div>
                <w:div w:id="1476727230">
                  <w:marLeft w:val="0"/>
                  <w:marRight w:val="0"/>
                  <w:marTop w:val="0"/>
                  <w:marBottom w:val="0"/>
                  <w:divBdr>
                    <w:top w:val="none" w:sz="0" w:space="0" w:color="auto"/>
                    <w:left w:val="none" w:sz="0" w:space="0" w:color="auto"/>
                    <w:bottom w:val="none" w:sz="0" w:space="0" w:color="auto"/>
                    <w:right w:val="none" w:sz="0" w:space="0" w:color="auto"/>
                  </w:divBdr>
                </w:div>
              </w:divsChild>
            </w:div>
            <w:div w:id="906496567">
              <w:marLeft w:val="0"/>
              <w:marRight w:val="0"/>
              <w:marTop w:val="0"/>
              <w:marBottom w:val="0"/>
              <w:divBdr>
                <w:top w:val="none" w:sz="0" w:space="0" w:color="auto"/>
                <w:left w:val="none" w:sz="0" w:space="0" w:color="auto"/>
                <w:bottom w:val="none" w:sz="0" w:space="0" w:color="auto"/>
                <w:right w:val="none" w:sz="0" w:space="0" w:color="auto"/>
              </w:divBdr>
              <w:divsChild>
                <w:div w:id="1172066498">
                  <w:marLeft w:val="0"/>
                  <w:marRight w:val="0"/>
                  <w:marTop w:val="0"/>
                  <w:marBottom w:val="0"/>
                  <w:divBdr>
                    <w:top w:val="none" w:sz="0" w:space="0" w:color="auto"/>
                    <w:left w:val="none" w:sz="0" w:space="0" w:color="auto"/>
                    <w:bottom w:val="none" w:sz="0" w:space="0" w:color="auto"/>
                    <w:right w:val="none" w:sz="0" w:space="0" w:color="auto"/>
                  </w:divBdr>
                </w:div>
              </w:divsChild>
            </w:div>
            <w:div w:id="985090805">
              <w:marLeft w:val="0"/>
              <w:marRight w:val="0"/>
              <w:marTop w:val="0"/>
              <w:marBottom w:val="0"/>
              <w:divBdr>
                <w:top w:val="none" w:sz="0" w:space="0" w:color="auto"/>
                <w:left w:val="none" w:sz="0" w:space="0" w:color="auto"/>
                <w:bottom w:val="none" w:sz="0" w:space="0" w:color="auto"/>
                <w:right w:val="none" w:sz="0" w:space="0" w:color="auto"/>
              </w:divBdr>
              <w:divsChild>
                <w:div w:id="1198618216">
                  <w:marLeft w:val="0"/>
                  <w:marRight w:val="0"/>
                  <w:marTop w:val="0"/>
                  <w:marBottom w:val="0"/>
                  <w:divBdr>
                    <w:top w:val="none" w:sz="0" w:space="0" w:color="auto"/>
                    <w:left w:val="none" w:sz="0" w:space="0" w:color="auto"/>
                    <w:bottom w:val="none" w:sz="0" w:space="0" w:color="auto"/>
                    <w:right w:val="none" w:sz="0" w:space="0" w:color="auto"/>
                  </w:divBdr>
                </w:div>
                <w:div w:id="1264605295">
                  <w:marLeft w:val="0"/>
                  <w:marRight w:val="0"/>
                  <w:marTop w:val="0"/>
                  <w:marBottom w:val="0"/>
                  <w:divBdr>
                    <w:top w:val="none" w:sz="0" w:space="0" w:color="auto"/>
                    <w:left w:val="none" w:sz="0" w:space="0" w:color="auto"/>
                    <w:bottom w:val="none" w:sz="0" w:space="0" w:color="auto"/>
                    <w:right w:val="none" w:sz="0" w:space="0" w:color="auto"/>
                  </w:divBdr>
                </w:div>
                <w:div w:id="1854488624">
                  <w:marLeft w:val="0"/>
                  <w:marRight w:val="0"/>
                  <w:marTop w:val="0"/>
                  <w:marBottom w:val="0"/>
                  <w:divBdr>
                    <w:top w:val="none" w:sz="0" w:space="0" w:color="auto"/>
                    <w:left w:val="none" w:sz="0" w:space="0" w:color="auto"/>
                    <w:bottom w:val="none" w:sz="0" w:space="0" w:color="auto"/>
                    <w:right w:val="none" w:sz="0" w:space="0" w:color="auto"/>
                  </w:divBdr>
                </w:div>
                <w:div w:id="1967931669">
                  <w:marLeft w:val="0"/>
                  <w:marRight w:val="0"/>
                  <w:marTop w:val="0"/>
                  <w:marBottom w:val="0"/>
                  <w:divBdr>
                    <w:top w:val="none" w:sz="0" w:space="0" w:color="auto"/>
                    <w:left w:val="none" w:sz="0" w:space="0" w:color="auto"/>
                    <w:bottom w:val="none" w:sz="0" w:space="0" w:color="auto"/>
                    <w:right w:val="none" w:sz="0" w:space="0" w:color="auto"/>
                  </w:divBdr>
                </w:div>
              </w:divsChild>
            </w:div>
            <w:div w:id="1034303512">
              <w:marLeft w:val="0"/>
              <w:marRight w:val="0"/>
              <w:marTop w:val="0"/>
              <w:marBottom w:val="0"/>
              <w:divBdr>
                <w:top w:val="none" w:sz="0" w:space="0" w:color="auto"/>
                <w:left w:val="none" w:sz="0" w:space="0" w:color="auto"/>
                <w:bottom w:val="none" w:sz="0" w:space="0" w:color="auto"/>
                <w:right w:val="none" w:sz="0" w:space="0" w:color="auto"/>
              </w:divBdr>
              <w:divsChild>
                <w:div w:id="926420825">
                  <w:marLeft w:val="0"/>
                  <w:marRight w:val="0"/>
                  <w:marTop w:val="0"/>
                  <w:marBottom w:val="0"/>
                  <w:divBdr>
                    <w:top w:val="none" w:sz="0" w:space="0" w:color="auto"/>
                    <w:left w:val="none" w:sz="0" w:space="0" w:color="auto"/>
                    <w:bottom w:val="none" w:sz="0" w:space="0" w:color="auto"/>
                    <w:right w:val="none" w:sz="0" w:space="0" w:color="auto"/>
                  </w:divBdr>
                </w:div>
                <w:div w:id="1122184759">
                  <w:marLeft w:val="0"/>
                  <w:marRight w:val="0"/>
                  <w:marTop w:val="0"/>
                  <w:marBottom w:val="0"/>
                  <w:divBdr>
                    <w:top w:val="none" w:sz="0" w:space="0" w:color="auto"/>
                    <w:left w:val="none" w:sz="0" w:space="0" w:color="auto"/>
                    <w:bottom w:val="none" w:sz="0" w:space="0" w:color="auto"/>
                    <w:right w:val="none" w:sz="0" w:space="0" w:color="auto"/>
                  </w:divBdr>
                </w:div>
                <w:div w:id="2014338460">
                  <w:marLeft w:val="0"/>
                  <w:marRight w:val="0"/>
                  <w:marTop w:val="0"/>
                  <w:marBottom w:val="0"/>
                  <w:divBdr>
                    <w:top w:val="none" w:sz="0" w:space="0" w:color="auto"/>
                    <w:left w:val="none" w:sz="0" w:space="0" w:color="auto"/>
                    <w:bottom w:val="none" w:sz="0" w:space="0" w:color="auto"/>
                    <w:right w:val="none" w:sz="0" w:space="0" w:color="auto"/>
                  </w:divBdr>
                </w:div>
              </w:divsChild>
            </w:div>
            <w:div w:id="1070690432">
              <w:marLeft w:val="0"/>
              <w:marRight w:val="0"/>
              <w:marTop w:val="0"/>
              <w:marBottom w:val="0"/>
              <w:divBdr>
                <w:top w:val="none" w:sz="0" w:space="0" w:color="auto"/>
                <w:left w:val="none" w:sz="0" w:space="0" w:color="auto"/>
                <w:bottom w:val="none" w:sz="0" w:space="0" w:color="auto"/>
                <w:right w:val="none" w:sz="0" w:space="0" w:color="auto"/>
              </w:divBdr>
              <w:divsChild>
                <w:div w:id="1152143023">
                  <w:marLeft w:val="0"/>
                  <w:marRight w:val="0"/>
                  <w:marTop w:val="0"/>
                  <w:marBottom w:val="0"/>
                  <w:divBdr>
                    <w:top w:val="none" w:sz="0" w:space="0" w:color="auto"/>
                    <w:left w:val="none" w:sz="0" w:space="0" w:color="auto"/>
                    <w:bottom w:val="none" w:sz="0" w:space="0" w:color="auto"/>
                    <w:right w:val="none" w:sz="0" w:space="0" w:color="auto"/>
                  </w:divBdr>
                </w:div>
              </w:divsChild>
            </w:div>
            <w:div w:id="1098527569">
              <w:marLeft w:val="0"/>
              <w:marRight w:val="0"/>
              <w:marTop w:val="0"/>
              <w:marBottom w:val="0"/>
              <w:divBdr>
                <w:top w:val="none" w:sz="0" w:space="0" w:color="auto"/>
                <w:left w:val="none" w:sz="0" w:space="0" w:color="auto"/>
                <w:bottom w:val="none" w:sz="0" w:space="0" w:color="auto"/>
                <w:right w:val="none" w:sz="0" w:space="0" w:color="auto"/>
              </w:divBdr>
              <w:divsChild>
                <w:div w:id="144712625">
                  <w:marLeft w:val="0"/>
                  <w:marRight w:val="0"/>
                  <w:marTop w:val="0"/>
                  <w:marBottom w:val="0"/>
                  <w:divBdr>
                    <w:top w:val="none" w:sz="0" w:space="0" w:color="auto"/>
                    <w:left w:val="none" w:sz="0" w:space="0" w:color="auto"/>
                    <w:bottom w:val="none" w:sz="0" w:space="0" w:color="auto"/>
                    <w:right w:val="none" w:sz="0" w:space="0" w:color="auto"/>
                  </w:divBdr>
                </w:div>
              </w:divsChild>
            </w:div>
            <w:div w:id="1108698338">
              <w:marLeft w:val="0"/>
              <w:marRight w:val="0"/>
              <w:marTop w:val="0"/>
              <w:marBottom w:val="0"/>
              <w:divBdr>
                <w:top w:val="none" w:sz="0" w:space="0" w:color="auto"/>
                <w:left w:val="none" w:sz="0" w:space="0" w:color="auto"/>
                <w:bottom w:val="none" w:sz="0" w:space="0" w:color="auto"/>
                <w:right w:val="none" w:sz="0" w:space="0" w:color="auto"/>
              </w:divBdr>
              <w:divsChild>
                <w:div w:id="610278644">
                  <w:marLeft w:val="0"/>
                  <w:marRight w:val="0"/>
                  <w:marTop w:val="0"/>
                  <w:marBottom w:val="0"/>
                  <w:divBdr>
                    <w:top w:val="none" w:sz="0" w:space="0" w:color="auto"/>
                    <w:left w:val="none" w:sz="0" w:space="0" w:color="auto"/>
                    <w:bottom w:val="none" w:sz="0" w:space="0" w:color="auto"/>
                    <w:right w:val="none" w:sz="0" w:space="0" w:color="auto"/>
                  </w:divBdr>
                </w:div>
              </w:divsChild>
            </w:div>
            <w:div w:id="1138189044">
              <w:marLeft w:val="0"/>
              <w:marRight w:val="0"/>
              <w:marTop w:val="0"/>
              <w:marBottom w:val="0"/>
              <w:divBdr>
                <w:top w:val="none" w:sz="0" w:space="0" w:color="auto"/>
                <w:left w:val="none" w:sz="0" w:space="0" w:color="auto"/>
                <w:bottom w:val="none" w:sz="0" w:space="0" w:color="auto"/>
                <w:right w:val="none" w:sz="0" w:space="0" w:color="auto"/>
              </w:divBdr>
              <w:divsChild>
                <w:div w:id="791903850">
                  <w:marLeft w:val="0"/>
                  <w:marRight w:val="0"/>
                  <w:marTop w:val="0"/>
                  <w:marBottom w:val="0"/>
                  <w:divBdr>
                    <w:top w:val="none" w:sz="0" w:space="0" w:color="auto"/>
                    <w:left w:val="none" w:sz="0" w:space="0" w:color="auto"/>
                    <w:bottom w:val="none" w:sz="0" w:space="0" w:color="auto"/>
                    <w:right w:val="none" w:sz="0" w:space="0" w:color="auto"/>
                  </w:divBdr>
                </w:div>
              </w:divsChild>
            </w:div>
            <w:div w:id="1196389598">
              <w:marLeft w:val="0"/>
              <w:marRight w:val="0"/>
              <w:marTop w:val="0"/>
              <w:marBottom w:val="0"/>
              <w:divBdr>
                <w:top w:val="none" w:sz="0" w:space="0" w:color="auto"/>
                <w:left w:val="none" w:sz="0" w:space="0" w:color="auto"/>
                <w:bottom w:val="none" w:sz="0" w:space="0" w:color="auto"/>
                <w:right w:val="none" w:sz="0" w:space="0" w:color="auto"/>
              </w:divBdr>
              <w:divsChild>
                <w:div w:id="7559865">
                  <w:marLeft w:val="0"/>
                  <w:marRight w:val="0"/>
                  <w:marTop w:val="0"/>
                  <w:marBottom w:val="0"/>
                  <w:divBdr>
                    <w:top w:val="none" w:sz="0" w:space="0" w:color="auto"/>
                    <w:left w:val="none" w:sz="0" w:space="0" w:color="auto"/>
                    <w:bottom w:val="none" w:sz="0" w:space="0" w:color="auto"/>
                    <w:right w:val="none" w:sz="0" w:space="0" w:color="auto"/>
                  </w:divBdr>
                </w:div>
                <w:div w:id="873737818">
                  <w:marLeft w:val="0"/>
                  <w:marRight w:val="0"/>
                  <w:marTop w:val="0"/>
                  <w:marBottom w:val="0"/>
                  <w:divBdr>
                    <w:top w:val="none" w:sz="0" w:space="0" w:color="auto"/>
                    <w:left w:val="none" w:sz="0" w:space="0" w:color="auto"/>
                    <w:bottom w:val="none" w:sz="0" w:space="0" w:color="auto"/>
                    <w:right w:val="none" w:sz="0" w:space="0" w:color="auto"/>
                  </w:divBdr>
                </w:div>
                <w:div w:id="1960452085">
                  <w:marLeft w:val="0"/>
                  <w:marRight w:val="0"/>
                  <w:marTop w:val="0"/>
                  <w:marBottom w:val="0"/>
                  <w:divBdr>
                    <w:top w:val="none" w:sz="0" w:space="0" w:color="auto"/>
                    <w:left w:val="none" w:sz="0" w:space="0" w:color="auto"/>
                    <w:bottom w:val="none" w:sz="0" w:space="0" w:color="auto"/>
                    <w:right w:val="none" w:sz="0" w:space="0" w:color="auto"/>
                  </w:divBdr>
                </w:div>
              </w:divsChild>
            </w:div>
            <w:div w:id="1244217777">
              <w:marLeft w:val="0"/>
              <w:marRight w:val="0"/>
              <w:marTop w:val="0"/>
              <w:marBottom w:val="0"/>
              <w:divBdr>
                <w:top w:val="none" w:sz="0" w:space="0" w:color="auto"/>
                <w:left w:val="none" w:sz="0" w:space="0" w:color="auto"/>
                <w:bottom w:val="none" w:sz="0" w:space="0" w:color="auto"/>
                <w:right w:val="none" w:sz="0" w:space="0" w:color="auto"/>
              </w:divBdr>
              <w:divsChild>
                <w:div w:id="565726704">
                  <w:marLeft w:val="0"/>
                  <w:marRight w:val="0"/>
                  <w:marTop w:val="0"/>
                  <w:marBottom w:val="0"/>
                  <w:divBdr>
                    <w:top w:val="none" w:sz="0" w:space="0" w:color="auto"/>
                    <w:left w:val="none" w:sz="0" w:space="0" w:color="auto"/>
                    <w:bottom w:val="none" w:sz="0" w:space="0" w:color="auto"/>
                    <w:right w:val="none" w:sz="0" w:space="0" w:color="auto"/>
                  </w:divBdr>
                </w:div>
                <w:div w:id="704912835">
                  <w:marLeft w:val="0"/>
                  <w:marRight w:val="0"/>
                  <w:marTop w:val="0"/>
                  <w:marBottom w:val="0"/>
                  <w:divBdr>
                    <w:top w:val="none" w:sz="0" w:space="0" w:color="auto"/>
                    <w:left w:val="none" w:sz="0" w:space="0" w:color="auto"/>
                    <w:bottom w:val="none" w:sz="0" w:space="0" w:color="auto"/>
                    <w:right w:val="none" w:sz="0" w:space="0" w:color="auto"/>
                  </w:divBdr>
                </w:div>
                <w:div w:id="1863083109">
                  <w:marLeft w:val="0"/>
                  <w:marRight w:val="0"/>
                  <w:marTop w:val="0"/>
                  <w:marBottom w:val="0"/>
                  <w:divBdr>
                    <w:top w:val="none" w:sz="0" w:space="0" w:color="auto"/>
                    <w:left w:val="none" w:sz="0" w:space="0" w:color="auto"/>
                    <w:bottom w:val="none" w:sz="0" w:space="0" w:color="auto"/>
                    <w:right w:val="none" w:sz="0" w:space="0" w:color="auto"/>
                  </w:divBdr>
                </w:div>
                <w:div w:id="1938126984">
                  <w:marLeft w:val="0"/>
                  <w:marRight w:val="0"/>
                  <w:marTop w:val="0"/>
                  <w:marBottom w:val="0"/>
                  <w:divBdr>
                    <w:top w:val="none" w:sz="0" w:space="0" w:color="auto"/>
                    <w:left w:val="none" w:sz="0" w:space="0" w:color="auto"/>
                    <w:bottom w:val="none" w:sz="0" w:space="0" w:color="auto"/>
                    <w:right w:val="none" w:sz="0" w:space="0" w:color="auto"/>
                  </w:divBdr>
                </w:div>
              </w:divsChild>
            </w:div>
            <w:div w:id="1264190263">
              <w:marLeft w:val="0"/>
              <w:marRight w:val="0"/>
              <w:marTop w:val="0"/>
              <w:marBottom w:val="0"/>
              <w:divBdr>
                <w:top w:val="none" w:sz="0" w:space="0" w:color="auto"/>
                <w:left w:val="none" w:sz="0" w:space="0" w:color="auto"/>
                <w:bottom w:val="none" w:sz="0" w:space="0" w:color="auto"/>
                <w:right w:val="none" w:sz="0" w:space="0" w:color="auto"/>
              </w:divBdr>
              <w:divsChild>
                <w:div w:id="148058744">
                  <w:marLeft w:val="0"/>
                  <w:marRight w:val="0"/>
                  <w:marTop w:val="0"/>
                  <w:marBottom w:val="0"/>
                  <w:divBdr>
                    <w:top w:val="none" w:sz="0" w:space="0" w:color="auto"/>
                    <w:left w:val="none" w:sz="0" w:space="0" w:color="auto"/>
                    <w:bottom w:val="none" w:sz="0" w:space="0" w:color="auto"/>
                    <w:right w:val="none" w:sz="0" w:space="0" w:color="auto"/>
                  </w:divBdr>
                </w:div>
              </w:divsChild>
            </w:div>
            <w:div w:id="1274049902">
              <w:marLeft w:val="0"/>
              <w:marRight w:val="0"/>
              <w:marTop w:val="0"/>
              <w:marBottom w:val="0"/>
              <w:divBdr>
                <w:top w:val="none" w:sz="0" w:space="0" w:color="auto"/>
                <w:left w:val="none" w:sz="0" w:space="0" w:color="auto"/>
                <w:bottom w:val="none" w:sz="0" w:space="0" w:color="auto"/>
                <w:right w:val="none" w:sz="0" w:space="0" w:color="auto"/>
              </w:divBdr>
              <w:divsChild>
                <w:div w:id="1098907833">
                  <w:marLeft w:val="0"/>
                  <w:marRight w:val="0"/>
                  <w:marTop w:val="0"/>
                  <w:marBottom w:val="0"/>
                  <w:divBdr>
                    <w:top w:val="none" w:sz="0" w:space="0" w:color="auto"/>
                    <w:left w:val="none" w:sz="0" w:space="0" w:color="auto"/>
                    <w:bottom w:val="none" w:sz="0" w:space="0" w:color="auto"/>
                    <w:right w:val="none" w:sz="0" w:space="0" w:color="auto"/>
                  </w:divBdr>
                </w:div>
              </w:divsChild>
            </w:div>
            <w:div w:id="1284922971">
              <w:marLeft w:val="0"/>
              <w:marRight w:val="0"/>
              <w:marTop w:val="0"/>
              <w:marBottom w:val="0"/>
              <w:divBdr>
                <w:top w:val="none" w:sz="0" w:space="0" w:color="auto"/>
                <w:left w:val="none" w:sz="0" w:space="0" w:color="auto"/>
                <w:bottom w:val="none" w:sz="0" w:space="0" w:color="auto"/>
                <w:right w:val="none" w:sz="0" w:space="0" w:color="auto"/>
              </w:divBdr>
              <w:divsChild>
                <w:div w:id="520121865">
                  <w:marLeft w:val="0"/>
                  <w:marRight w:val="0"/>
                  <w:marTop w:val="0"/>
                  <w:marBottom w:val="0"/>
                  <w:divBdr>
                    <w:top w:val="none" w:sz="0" w:space="0" w:color="auto"/>
                    <w:left w:val="none" w:sz="0" w:space="0" w:color="auto"/>
                    <w:bottom w:val="none" w:sz="0" w:space="0" w:color="auto"/>
                    <w:right w:val="none" w:sz="0" w:space="0" w:color="auto"/>
                  </w:divBdr>
                </w:div>
                <w:div w:id="2089229423">
                  <w:marLeft w:val="0"/>
                  <w:marRight w:val="0"/>
                  <w:marTop w:val="0"/>
                  <w:marBottom w:val="0"/>
                  <w:divBdr>
                    <w:top w:val="none" w:sz="0" w:space="0" w:color="auto"/>
                    <w:left w:val="none" w:sz="0" w:space="0" w:color="auto"/>
                    <w:bottom w:val="none" w:sz="0" w:space="0" w:color="auto"/>
                    <w:right w:val="none" w:sz="0" w:space="0" w:color="auto"/>
                  </w:divBdr>
                </w:div>
              </w:divsChild>
            </w:div>
            <w:div w:id="1503467620">
              <w:marLeft w:val="0"/>
              <w:marRight w:val="0"/>
              <w:marTop w:val="0"/>
              <w:marBottom w:val="0"/>
              <w:divBdr>
                <w:top w:val="none" w:sz="0" w:space="0" w:color="auto"/>
                <w:left w:val="none" w:sz="0" w:space="0" w:color="auto"/>
                <w:bottom w:val="none" w:sz="0" w:space="0" w:color="auto"/>
                <w:right w:val="none" w:sz="0" w:space="0" w:color="auto"/>
              </w:divBdr>
              <w:divsChild>
                <w:div w:id="1234925108">
                  <w:marLeft w:val="0"/>
                  <w:marRight w:val="0"/>
                  <w:marTop w:val="0"/>
                  <w:marBottom w:val="0"/>
                  <w:divBdr>
                    <w:top w:val="none" w:sz="0" w:space="0" w:color="auto"/>
                    <w:left w:val="none" w:sz="0" w:space="0" w:color="auto"/>
                    <w:bottom w:val="none" w:sz="0" w:space="0" w:color="auto"/>
                    <w:right w:val="none" w:sz="0" w:space="0" w:color="auto"/>
                  </w:divBdr>
                </w:div>
              </w:divsChild>
            </w:div>
            <w:div w:id="1556627211">
              <w:marLeft w:val="0"/>
              <w:marRight w:val="0"/>
              <w:marTop w:val="0"/>
              <w:marBottom w:val="0"/>
              <w:divBdr>
                <w:top w:val="none" w:sz="0" w:space="0" w:color="auto"/>
                <w:left w:val="none" w:sz="0" w:space="0" w:color="auto"/>
                <w:bottom w:val="none" w:sz="0" w:space="0" w:color="auto"/>
                <w:right w:val="none" w:sz="0" w:space="0" w:color="auto"/>
              </w:divBdr>
              <w:divsChild>
                <w:div w:id="1255896259">
                  <w:marLeft w:val="0"/>
                  <w:marRight w:val="0"/>
                  <w:marTop w:val="0"/>
                  <w:marBottom w:val="0"/>
                  <w:divBdr>
                    <w:top w:val="none" w:sz="0" w:space="0" w:color="auto"/>
                    <w:left w:val="none" w:sz="0" w:space="0" w:color="auto"/>
                    <w:bottom w:val="none" w:sz="0" w:space="0" w:color="auto"/>
                    <w:right w:val="none" w:sz="0" w:space="0" w:color="auto"/>
                  </w:divBdr>
                </w:div>
                <w:div w:id="1290093405">
                  <w:marLeft w:val="0"/>
                  <w:marRight w:val="0"/>
                  <w:marTop w:val="0"/>
                  <w:marBottom w:val="0"/>
                  <w:divBdr>
                    <w:top w:val="none" w:sz="0" w:space="0" w:color="auto"/>
                    <w:left w:val="none" w:sz="0" w:space="0" w:color="auto"/>
                    <w:bottom w:val="none" w:sz="0" w:space="0" w:color="auto"/>
                    <w:right w:val="none" w:sz="0" w:space="0" w:color="auto"/>
                  </w:divBdr>
                </w:div>
              </w:divsChild>
            </w:div>
            <w:div w:id="1557816444">
              <w:marLeft w:val="0"/>
              <w:marRight w:val="0"/>
              <w:marTop w:val="0"/>
              <w:marBottom w:val="0"/>
              <w:divBdr>
                <w:top w:val="none" w:sz="0" w:space="0" w:color="auto"/>
                <w:left w:val="none" w:sz="0" w:space="0" w:color="auto"/>
                <w:bottom w:val="none" w:sz="0" w:space="0" w:color="auto"/>
                <w:right w:val="none" w:sz="0" w:space="0" w:color="auto"/>
              </w:divBdr>
              <w:divsChild>
                <w:div w:id="736172973">
                  <w:marLeft w:val="0"/>
                  <w:marRight w:val="0"/>
                  <w:marTop w:val="0"/>
                  <w:marBottom w:val="0"/>
                  <w:divBdr>
                    <w:top w:val="none" w:sz="0" w:space="0" w:color="auto"/>
                    <w:left w:val="none" w:sz="0" w:space="0" w:color="auto"/>
                    <w:bottom w:val="none" w:sz="0" w:space="0" w:color="auto"/>
                    <w:right w:val="none" w:sz="0" w:space="0" w:color="auto"/>
                  </w:divBdr>
                </w:div>
              </w:divsChild>
            </w:div>
            <w:div w:id="1579100223">
              <w:marLeft w:val="0"/>
              <w:marRight w:val="0"/>
              <w:marTop w:val="0"/>
              <w:marBottom w:val="0"/>
              <w:divBdr>
                <w:top w:val="none" w:sz="0" w:space="0" w:color="auto"/>
                <w:left w:val="none" w:sz="0" w:space="0" w:color="auto"/>
                <w:bottom w:val="none" w:sz="0" w:space="0" w:color="auto"/>
                <w:right w:val="none" w:sz="0" w:space="0" w:color="auto"/>
              </w:divBdr>
              <w:divsChild>
                <w:div w:id="2050567637">
                  <w:marLeft w:val="0"/>
                  <w:marRight w:val="0"/>
                  <w:marTop w:val="0"/>
                  <w:marBottom w:val="0"/>
                  <w:divBdr>
                    <w:top w:val="none" w:sz="0" w:space="0" w:color="auto"/>
                    <w:left w:val="none" w:sz="0" w:space="0" w:color="auto"/>
                    <w:bottom w:val="none" w:sz="0" w:space="0" w:color="auto"/>
                    <w:right w:val="none" w:sz="0" w:space="0" w:color="auto"/>
                  </w:divBdr>
                </w:div>
              </w:divsChild>
            </w:div>
            <w:div w:id="1657802078">
              <w:marLeft w:val="0"/>
              <w:marRight w:val="0"/>
              <w:marTop w:val="0"/>
              <w:marBottom w:val="0"/>
              <w:divBdr>
                <w:top w:val="none" w:sz="0" w:space="0" w:color="auto"/>
                <w:left w:val="none" w:sz="0" w:space="0" w:color="auto"/>
                <w:bottom w:val="none" w:sz="0" w:space="0" w:color="auto"/>
                <w:right w:val="none" w:sz="0" w:space="0" w:color="auto"/>
              </w:divBdr>
              <w:divsChild>
                <w:div w:id="1117141390">
                  <w:marLeft w:val="0"/>
                  <w:marRight w:val="0"/>
                  <w:marTop w:val="0"/>
                  <w:marBottom w:val="0"/>
                  <w:divBdr>
                    <w:top w:val="none" w:sz="0" w:space="0" w:color="auto"/>
                    <w:left w:val="none" w:sz="0" w:space="0" w:color="auto"/>
                    <w:bottom w:val="none" w:sz="0" w:space="0" w:color="auto"/>
                    <w:right w:val="none" w:sz="0" w:space="0" w:color="auto"/>
                  </w:divBdr>
                </w:div>
                <w:div w:id="2036344921">
                  <w:marLeft w:val="0"/>
                  <w:marRight w:val="0"/>
                  <w:marTop w:val="0"/>
                  <w:marBottom w:val="0"/>
                  <w:divBdr>
                    <w:top w:val="none" w:sz="0" w:space="0" w:color="auto"/>
                    <w:left w:val="none" w:sz="0" w:space="0" w:color="auto"/>
                    <w:bottom w:val="none" w:sz="0" w:space="0" w:color="auto"/>
                    <w:right w:val="none" w:sz="0" w:space="0" w:color="auto"/>
                  </w:divBdr>
                </w:div>
              </w:divsChild>
            </w:div>
            <w:div w:id="1737046792">
              <w:marLeft w:val="0"/>
              <w:marRight w:val="0"/>
              <w:marTop w:val="0"/>
              <w:marBottom w:val="0"/>
              <w:divBdr>
                <w:top w:val="none" w:sz="0" w:space="0" w:color="auto"/>
                <w:left w:val="none" w:sz="0" w:space="0" w:color="auto"/>
                <w:bottom w:val="none" w:sz="0" w:space="0" w:color="auto"/>
                <w:right w:val="none" w:sz="0" w:space="0" w:color="auto"/>
              </w:divBdr>
              <w:divsChild>
                <w:div w:id="198974642">
                  <w:marLeft w:val="0"/>
                  <w:marRight w:val="0"/>
                  <w:marTop w:val="0"/>
                  <w:marBottom w:val="0"/>
                  <w:divBdr>
                    <w:top w:val="none" w:sz="0" w:space="0" w:color="auto"/>
                    <w:left w:val="none" w:sz="0" w:space="0" w:color="auto"/>
                    <w:bottom w:val="none" w:sz="0" w:space="0" w:color="auto"/>
                    <w:right w:val="none" w:sz="0" w:space="0" w:color="auto"/>
                  </w:divBdr>
                </w:div>
              </w:divsChild>
            </w:div>
            <w:div w:id="1765757576">
              <w:marLeft w:val="0"/>
              <w:marRight w:val="0"/>
              <w:marTop w:val="0"/>
              <w:marBottom w:val="0"/>
              <w:divBdr>
                <w:top w:val="none" w:sz="0" w:space="0" w:color="auto"/>
                <w:left w:val="none" w:sz="0" w:space="0" w:color="auto"/>
                <w:bottom w:val="none" w:sz="0" w:space="0" w:color="auto"/>
                <w:right w:val="none" w:sz="0" w:space="0" w:color="auto"/>
              </w:divBdr>
              <w:divsChild>
                <w:div w:id="1011831046">
                  <w:marLeft w:val="0"/>
                  <w:marRight w:val="0"/>
                  <w:marTop w:val="0"/>
                  <w:marBottom w:val="0"/>
                  <w:divBdr>
                    <w:top w:val="none" w:sz="0" w:space="0" w:color="auto"/>
                    <w:left w:val="none" w:sz="0" w:space="0" w:color="auto"/>
                    <w:bottom w:val="none" w:sz="0" w:space="0" w:color="auto"/>
                    <w:right w:val="none" w:sz="0" w:space="0" w:color="auto"/>
                  </w:divBdr>
                </w:div>
                <w:div w:id="1815677128">
                  <w:marLeft w:val="0"/>
                  <w:marRight w:val="0"/>
                  <w:marTop w:val="0"/>
                  <w:marBottom w:val="0"/>
                  <w:divBdr>
                    <w:top w:val="none" w:sz="0" w:space="0" w:color="auto"/>
                    <w:left w:val="none" w:sz="0" w:space="0" w:color="auto"/>
                    <w:bottom w:val="none" w:sz="0" w:space="0" w:color="auto"/>
                    <w:right w:val="none" w:sz="0" w:space="0" w:color="auto"/>
                  </w:divBdr>
                </w:div>
              </w:divsChild>
            </w:div>
            <w:div w:id="1818956958">
              <w:marLeft w:val="0"/>
              <w:marRight w:val="0"/>
              <w:marTop w:val="0"/>
              <w:marBottom w:val="0"/>
              <w:divBdr>
                <w:top w:val="none" w:sz="0" w:space="0" w:color="auto"/>
                <w:left w:val="none" w:sz="0" w:space="0" w:color="auto"/>
                <w:bottom w:val="none" w:sz="0" w:space="0" w:color="auto"/>
                <w:right w:val="none" w:sz="0" w:space="0" w:color="auto"/>
              </w:divBdr>
              <w:divsChild>
                <w:div w:id="2092004106">
                  <w:marLeft w:val="0"/>
                  <w:marRight w:val="0"/>
                  <w:marTop w:val="0"/>
                  <w:marBottom w:val="0"/>
                  <w:divBdr>
                    <w:top w:val="none" w:sz="0" w:space="0" w:color="auto"/>
                    <w:left w:val="none" w:sz="0" w:space="0" w:color="auto"/>
                    <w:bottom w:val="none" w:sz="0" w:space="0" w:color="auto"/>
                    <w:right w:val="none" w:sz="0" w:space="0" w:color="auto"/>
                  </w:divBdr>
                </w:div>
              </w:divsChild>
            </w:div>
            <w:div w:id="1857888169">
              <w:marLeft w:val="0"/>
              <w:marRight w:val="0"/>
              <w:marTop w:val="0"/>
              <w:marBottom w:val="0"/>
              <w:divBdr>
                <w:top w:val="none" w:sz="0" w:space="0" w:color="auto"/>
                <w:left w:val="none" w:sz="0" w:space="0" w:color="auto"/>
                <w:bottom w:val="none" w:sz="0" w:space="0" w:color="auto"/>
                <w:right w:val="none" w:sz="0" w:space="0" w:color="auto"/>
              </w:divBdr>
              <w:divsChild>
                <w:div w:id="1165167553">
                  <w:marLeft w:val="0"/>
                  <w:marRight w:val="0"/>
                  <w:marTop w:val="0"/>
                  <w:marBottom w:val="0"/>
                  <w:divBdr>
                    <w:top w:val="none" w:sz="0" w:space="0" w:color="auto"/>
                    <w:left w:val="none" w:sz="0" w:space="0" w:color="auto"/>
                    <w:bottom w:val="none" w:sz="0" w:space="0" w:color="auto"/>
                    <w:right w:val="none" w:sz="0" w:space="0" w:color="auto"/>
                  </w:divBdr>
                </w:div>
              </w:divsChild>
            </w:div>
            <w:div w:id="1874801361">
              <w:marLeft w:val="0"/>
              <w:marRight w:val="0"/>
              <w:marTop w:val="0"/>
              <w:marBottom w:val="0"/>
              <w:divBdr>
                <w:top w:val="none" w:sz="0" w:space="0" w:color="auto"/>
                <w:left w:val="none" w:sz="0" w:space="0" w:color="auto"/>
                <w:bottom w:val="none" w:sz="0" w:space="0" w:color="auto"/>
                <w:right w:val="none" w:sz="0" w:space="0" w:color="auto"/>
              </w:divBdr>
              <w:divsChild>
                <w:div w:id="1406492354">
                  <w:marLeft w:val="0"/>
                  <w:marRight w:val="0"/>
                  <w:marTop w:val="0"/>
                  <w:marBottom w:val="0"/>
                  <w:divBdr>
                    <w:top w:val="none" w:sz="0" w:space="0" w:color="auto"/>
                    <w:left w:val="none" w:sz="0" w:space="0" w:color="auto"/>
                    <w:bottom w:val="none" w:sz="0" w:space="0" w:color="auto"/>
                    <w:right w:val="none" w:sz="0" w:space="0" w:color="auto"/>
                  </w:divBdr>
                </w:div>
              </w:divsChild>
            </w:div>
            <w:div w:id="1879315095">
              <w:marLeft w:val="0"/>
              <w:marRight w:val="0"/>
              <w:marTop w:val="0"/>
              <w:marBottom w:val="0"/>
              <w:divBdr>
                <w:top w:val="none" w:sz="0" w:space="0" w:color="auto"/>
                <w:left w:val="none" w:sz="0" w:space="0" w:color="auto"/>
                <w:bottom w:val="none" w:sz="0" w:space="0" w:color="auto"/>
                <w:right w:val="none" w:sz="0" w:space="0" w:color="auto"/>
              </w:divBdr>
              <w:divsChild>
                <w:div w:id="8915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65519">
          <w:marLeft w:val="0"/>
          <w:marRight w:val="0"/>
          <w:marTop w:val="30"/>
          <w:marBottom w:val="30"/>
          <w:divBdr>
            <w:top w:val="none" w:sz="0" w:space="0" w:color="auto"/>
            <w:left w:val="none" w:sz="0" w:space="0" w:color="auto"/>
            <w:bottom w:val="none" w:sz="0" w:space="0" w:color="auto"/>
            <w:right w:val="none" w:sz="0" w:space="0" w:color="auto"/>
          </w:divBdr>
          <w:divsChild>
            <w:div w:id="5258692">
              <w:marLeft w:val="0"/>
              <w:marRight w:val="0"/>
              <w:marTop w:val="0"/>
              <w:marBottom w:val="0"/>
              <w:divBdr>
                <w:top w:val="none" w:sz="0" w:space="0" w:color="auto"/>
                <w:left w:val="none" w:sz="0" w:space="0" w:color="auto"/>
                <w:bottom w:val="none" w:sz="0" w:space="0" w:color="auto"/>
                <w:right w:val="none" w:sz="0" w:space="0" w:color="auto"/>
              </w:divBdr>
              <w:divsChild>
                <w:div w:id="1525172252">
                  <w:marLeft w:val="0"/>
                  <w:marRight w:val="0"/>
                  <w:marTop w:val="0"/>
                  <w:marBottom w:val="0"/>
                  <w:divBdr>
                    <w:top w:val="none" w:sz="0" w:space="0" w:color="auto"/>
                    <w:left w:val="none" w:sz="0" w:space="0" w:color="auto"/>
                    <w:bottom w:val="none" w:sz="0" w:space="0" w:color="auto"/>
                    <w:right w:val="none" w:sz="0" w:space="0" w:color="auto"/>
                  </w:divBdr>
                </w:div>
              </w:divsChild>
            </w:div>
            <w:div w:id="143200341">
              <w:marLeft w:val="0"/>
              <w:marRight w:val="0"/>
              <w:marTop w:val="0"/>
              <w:marBottom w:val="0"/>
              <w:divBdr>
                <w:top w:val="none" w:sz="0" w:space="0" w:color="auto"/>
                <w:left w:val="none" w:sz="0" w:space="0" w:color="auto"/>
                <w:bottom w:val="none" w:sz="0" w:space="0" w:color="auto"/>
                <w:right w:val="none" w:sz="0" w:space="0" w:color="auto"/>
              </w:divBdr>
              <w:divsChild>
                <w:div w:id="306905262">
                  <w:marLeft w:val="0"/>
                  <w:marRight w:val="0"/>
                  <w:marTop w:val="0"/>
                  <w:marBottom w:val="0"/>
                  <w:divBdr>
                    <w:top w:val="none" w:sz="0" w:space="0" w:color="auto"/>
                    <w:left w:val="none" w:sz="0" w:space="0" w:color="auto"/>
                    <w:bottom w:val="none" w:sz="0" w:space="0" w:color="auto"/>
                    <w:right w:val="none" w:sz="0" w:space="0" w:color="auto"/>
                  </w:divBdr>
                </w:div>
              </w:divsChild>
            </w:div>
            <w:div w:id="289748881">
              <w:marLeft w:val="0"/>
              <w:marRight w:val="0"/>
              <w:marTop w:val="0"/>
              <w:marBottom w:val="0"/>
              <w:divBdr>
                <w:top w:val="none" w:sz="0" w:space="0" w:color="auto"/>
                <w:left w:val="none" w:sz="0" w:space="0" w:color="auto"/>
                <w:bottom w:val="none" w:sz="0" w:space="0" w:color="auto"/>
                <w:right w:val="none" w:sz="0" w:space="0" w:color="auto"/>
              </w:divBdr>
              <w:divsChild>
                <w:div w:id="834883602">
                  <w:marLeft w:val="0"/>
                  <w:marRight w:val="0"/>
                  <w:marTop w:val="0"/>
                  <w:marBottom w:val="0"/>
                  <w:divBdr>
                    <w:top w:val="none" w:sz="0" w:space="0" w:color="auto"/>
                    <w:left w:val="none" w:sz="0" w:space="0" w:color="auto"/>
                    <w:bottom w:val="none" w:sz="0" w:space="0" w:color="auto"/>
                    <w:right w:val="none" w:sz="0" w:space="0" w:color="auto"/>
                  </w:divBdr>
                </w:div>
                <w:div w:id="1907567473">
                  <w:marLeft w:val="0"/>
                  <w:marRight w:val="0"/>
                  <w:marTop w:val="0"/>
                  <w:marBottom w:val="0"/>
                  <w:divBdr>
                    <w:top w:val="none" w:sz="0" w:space="0" w:color="auto"/>
                    <w:left w:val="none" w:sz="0" w:space="0" w:color="auto"/>
                    <w:bottom w:val="none" w:sz="0" w:space="0" w:color="auto"/>
                    <w:right w:val="none" w:sz="0" w:space="0" w:color="auto"/>
                  </w:divBdr>
                </w:div>
              </w:divsChild>
            </w:div>
            <w:div w:id="316543744">
              <w:marLeft w:val="0"/>
              <w:marRight w:val="0"/>
              <w:marTop w:val="0"/>
              <w:marBottom w:val="0"/>
              <w:divBdr>
                <w:top w:val="none" w:sz="0" w:space="0" w:color="auto"/>
                <w:left w:val="none" w:sz="0" w:space="0" w:color="auto"/>
                <w:bottom w:val="none" w:sz="0" w:space="0" w:color="auto"/>
                <w:right w:val="none" w:sz="0" w:space="0" w:color="auto"/>
              </w:divBdr>
              <w:divsChild>
                <w:div w:id="161970855">
                  <w:marLeft w:val="0"/>
                  <w:marRight w:val="0"/>
                  <w:marTop w:val="0"/>
                  <w:marBottom w:val="0"/>
                  <w:divBdr>
                    <w:top w:val="none" w:sz="0" w:space="0" w:color="auto"/>
                    <w:left w:val="none" w:sz="0" w:space="0" w:color="auto"/>
                    <w:bottom w:val="none" w:sz="0" w:space="0" w:color="auto"/>
                    <w:right w:val="none" w:sz="0" w:space="0" w:color="auto"/>
                  </w:divBdr>
                </w:div>
                <w:div w:id="969822911">
                  <w:marLeft w:val="0"/>
                  <w:marRight w:val="0"/>
                  <w:marTop w:val="0"/>
                  <w:marBottom w:val="0"/>
                  <w:divBdr>
                    <w:top w:val="none" w:sz="0" w:space="0" w:color="auto"/>
                    <w:left w:val="none" w:sz="0" w:space="0" w:color="auto"/>
                    <w:bottom w:val="none" w:sz="0" w:space="0" w:color="auto"/>
                    <w:right w:val="none" w:sz="0" w:space="0" w:color="auto"/>
                  </w:divBdr>
                </w:div>
              </w:divsChild>
            </w:div>
            <w:div w:id="316543745">
              <w:marLeft w:val="0"/>
              <w:marRight w:val="0"/>
              <w:marTop w:val="0"/>
              <w:marBottom w:val="0"/>
              <w:divBdr>
                <w:top w:val="none" w:sz="0" w:space="0" w:color="auto"/>
                <w:left w:val="none" w:sz="0" w:space="0" w:color="auto"/>
                <w:bottom w:val="none" w:sz="0" w:space="0" w:color="auto"/>
                <w:right w:val="none" w:sz="0" w:space="0" w:color="auto"/>
              </w:divBdr>
              <w:divsChild>
                <w:div w:id="1768772417">
                  <w:marLeft w:val="0"/>
                  <w:marRight w:val="0"/>
                  <w:marTop w:val="0"/>
                  <w:marBottom w:val="0"/>
                  <w:divBdr>
                    <w:top w:val="none" w:sz="0" w:space="0" w:color="auto"/>
                    <w:left w:val="none" w:sz="0" w:space="0" w:color="auto"/>
                    <w:bottom w:val="none" w:sz="0" w:space="0" w:color="auto"/>
                    <w:right w:val="none" w:sz="0" w:space="0" w:color="auto"/>
                  </w:divBdr>
                </w:div>
              </w:divsChild>
            </w:div>
            <w:div w:id="347367881">
              <w:marLeft w:val="0"/>
              <w:marRight w:val="0"/>
              <w:marTop w:val="0"/>
              <w:marBottom w:val="0"/>
              <w:divBdr>
                <w:top w:val="none" w:sz="0" w:space="0" w:color="auto"/>
                <w:left w:val="none" w:sz="0" w:space="0" w:color="auto"/>
                <w:bottom w:val="none" w:sz="0" w:space="0" w:color="auto"/>
                <w:right w:val="none" w:sz="0" w:space="0" w:color="auto"/>
              </w:divBdr>
              <w:divsChild>
                <w:div w:id="1246644663">
                  <w:marLeft w:val="0"/>
                  <w:marRight w:val="0"/>
                  <w:marTop w:val="0"/>
                  <w:marBottom w:val="0"/>
                  <w:divBdr>
                    <w:top w:val="none" w:sz="0" w:space="0" w:color="auto"/>
                    <w:left w:val="none" w:sz="0" w:space="0" w:color="auto"/>
                    <w:bottom w:val="none" w:sz="0" w:space="0" w:color="auto"/>
                    <w:right w:val="none" w:sz="0" w:space="0" w:color="auto"/>
                  </w:divBdr>
                </w:div>
              </w:divsChild>
            </w:div>
            <w:div w:id="379593105">
              <w:marLeft w:val="0"/>
              <w:marRight w:val="0"/>
              <w:marTop w:val="0"/>
              <w:marBottom w:val="0"/>
              <w:divBdr>
                <w:top w:val="none" w:sz="0" w:space="0" w:color="auto"/>
                <w:left w:val="none" w:sz="0" w:space="0" w:color="auto"/>
                <w:bottom w:val="none" w:sz="0" w:space="0" w:color="auto"/>
                <w:right w:val="none" w:sz="0" w:space="0" w:color="auto"/>
              </w:divBdr>
              <w:divsChild>
                <w:div w:id="1153719166">
                  <w:marLeft w:val="0"/>
                  <w:marRight w:val="0"/>
                  <w:marTop w:val="0"/>
                  <w:marBottom w:val="0"/>
                  <w:divBdr>
                    <w:top w:val="none" w:sz="0" w:space="0" w:color="auto"/>
                    <w:left w:val="none" w:sz="0" w:space="0" w:color="auto"/>
                    <w:bottom w:val="none" w:sz="0" w:space="0" w:color="auto"/>
                    <w:right w:val="none" w:sz="0" w:space="0" w:color="auto"/>
                  </w:divBdr>
                </w:div>
              </w:divsChild>
            </w:div>
            <w:div w:id="416361848">
              <w:marLeft w:val="0"/>
              <w:marRight w:val="0"/>
              <w:marTop w:val="0"/>
              <w:marBottom w:val="0"/>
              <w:divBdr>
                <w:top w:val="none" w:sz="0" w:space="0" w:color="auto"/>
                <w:left w:val="none" w:sz="0" w:space="0" w:color="auto"/>
                <w:bottom w:val="none" w:sz="0" w:space="0" w:color="auto"/>
                <w:right w:val="none" w:sz="0" w:space="0" w:color="auto"/>
              </w:divBdr>
              <w:divsChild>
                <w:div w:id="1026911313">
                  <w:marLeft w:val="0"/>
                  <w:marRight w:val="0"/>
                  <w:marTop w:val="0"/>
                  <w:marBottom w:val="0"/>
                  <w:divBdr>
                    <w:top w:val="none" w:sz="0" w:space="0" w:color="auto"/>
                    <w:left w:val="none" w:sz="0" w:space="0" w:color="auto"/>
                    <w:bottom w:val="none" w:sz="0" w:space="0" w:color="auto"/>
                    <w:right w:val="none" w:sz="0" w:space="0" w:color="auto"/>
                  </w:divBdr>
                </w:div>
                <w:div w:id="1420756536">
                  <w:marLeft w:val="0"/>
                  <w:marRight w:val="0"/>
                  <w:marTop w:val="0"/>
                  <w:marBottom w:val="0"/>
                  <w:divBdr>
                    <w:top w:val="none" w:sz="0" w:space="0" w:color="auto"/>
                    <w:left w:val="none" w:sz="0" w:space="0" w:color="auto"/>
                    <w:bottom w:val="none" w:sz="0" w:space="0" w:color="auto"/>
                    <w:right w:val="none" w:sz="0" w:space="0" w:color="auto"/>
                  </w:divBdr>
                </w:div>
              </w:divsChild>
            </w:div>
            <w:div w:id="470095567">
              <w:marLeft w:val="0"/>
              <w:marRight w:val="0"/>
              <w:marTop w:val="0"/>
              <w:marBottom w:val="0"/>
              <w:divBdr>
                <w:top w:val="none" w:sz="0" w:space="0" w:color="auto"/>
                <w:left w:val="none" w:sz="0" w:space="0" w:color="auto"/>
                <w:bottom w:val="none" w:sz="0" w:space="0" w:color="auto"/>
                <w:right w:val="none" w:sz="0" w:space="0" w:color="auto"/>
              </w:divBdr>
              <w:divsChild>
                <w:div w:id="569775867">
                  <w:marLeft w:val="0"/>
                  <w:marRight w:val="0"/>
                  <w:marTop w:val="0"/>
                  <w:marBottom w:val="0"/>
                  <w:divBdr>
                    <w:top w:val="none" w:sz="0" w:space="0" w:color="auto"/>
                    <w:left w:val="none" w:sz="0" w:space="0" w:color="auto"/>
                    <w:bottom w:val="none" w:sz="0" w:space="0" w:color="auto"/>
                    <w:right w:val="none" w:sz="0" w:space="0" w:color="auto"/>
                  </w:divBdr>
                </w:div>
              </w:divsChild>
            </w:div>
            <w:div w:id="548954740">
              <w:marLeft w:val="0"/>
              <w:marRight w:val="0"/>
              <w:marTop w:val="0"/>
              <w:marBottom w:val="0"/>
              <w:divBdr>
                <w:top w:val="none" w:sz="0" w:space="0" w:color="auto"/>
                <w:left w:val="none" w:sz="0" w:space="0" w:color="auto"/>
                <w:bottom w:val="none" w:sz="0" w:space="0" w:color="auto"/>
                <w:right w:val="none" w:sz="0" w:space="0" w:color="auto"/>
              </w:divBdr>
              <w:divsChild>
                <w:div w:id="1758357275">
                  <w:marLeft w:val="0"/>
                  <w:marRight w:val="0"/>
                  <w:marTop w:val="0"/>
                  <w:marBottom w:val="0"/>
                  <w:divBdr>
                    <w:top w:val="none" w:sz="0" w:space="0" w:color="auto"/>
                    <w:left w:val="none" w:sz="0" w:space="0" w:color="auto"/>
                    <w:bottom w:val="none" w:sz="0" w:space="0" w:color="auto"/>
                    <w:right w:val="none" w:sz="0" w:space="0" w:color="auto"/>
                  </w:divBdr>
                </w:div>
              </w:divsChild>
            </w:div>
            <w:div w:id="592327168">
              <w:marLeft w:val="0"/>
              <w:marRight w:val="0"/>
              <w:marTop w:val="0"/>
              <w:marBottom w:val="0"/>
              <w:divBdr>
                <w:top w:val="none" w:sz="0" w:space="0" w:color="auto"/>
                <w:left w:val="none" w:sz="0" w:space="0" w:color="auto"/>
                <w:bottom w:val="none" w:sz="0" w:space="0" w:color="auto"/>
                <w:right w:val="none" w:sz="0" w:space="0" w:color="auto"/>
              </w:divBdr>
              <w:divsChild>
                <w:div w:id="1733310352">
                  <w:marLeft w:val="0"/>
                  <w:marRight w:val="0"/>
                  <w:marTop w:val="0"/>
                  <w:marBottom w:val="0"/>
                  <w:divBdr>
                    <w:top w:val="none" w:sz="0" w:space="0" w:color="auto"/>
                    <w:left w:val="none" w:sz="0" w:space="0" w:color="auto"/>
                    <w:bottom w:val="none" w:sz="0" w:space="0" w:color="auto"/>
                    <w:right w:val="none" w:sz="0" w:space="0" w:color="auto"/>
                  </w:divBdr>
                </w:div>
              </w:divsChild>
            </w:div>
            <w:div w:id="674377864">
              <w:marLeft w:val="0"/>
              <w:marRight w:val="0"/>
              <w:marTop w:val="0"/>
              <w:marBottom w:val="0"/>
              <w:divBdr>
                <w:top w:val="none" w:sz="0" w:space="0" w:color="auto"/>
                <w:left w:val="none" w:sz="0" w:space="0" w:color="auto"/>
                <w:bottom w:val="none" w:sz="0" w:space="0" w:color="auto"/>
                <w:right w:val="none" w:sz="0" w:space="0" w:color="auto"/>
              </w:divBdr>
              <w:divsChild>
                <w:div w:id="861743001">
                  <w:marLeft w:val="0"/>
                  <w:marRight w:val="0"/>
                  <w:marTop w:val="0"/>
                  <w:marBottom w:val="0"/>
                  <w:divBdr>
                    <w:top w:val="none" w:sz="0" w:space="0" w:color="auto"/>
                    <w:left w:val="none" w:sz="0" w:space="0" w:color="auto"/>
                    <w:bottom w:val="none" w:sz="0" w:space="0" w:color="auto"/>
                    <w:right w:val="none" w:sz="0" w:space="0" w:color="auto"/>
                  </w:divBdr>
                </w:div>
                <w:div w:id="1187670618">
                  <w:marLeft w:val="0"/>
                  <w:marRight w:val="0"/>
                  <w:marTop w:val="0"/>
                  <w:marBottom w:val="0"/>
                  <w:divBdr>
                    <w:top w:val="none" w:sz="0" w:space="0" w:color="auto"/>
                    <w:left w:val="none" w:sz="0" w:space="0" w:color="auto"/>
                    <w:bottom w:val="none" w:sz="0" w:space="0" w:color="auto"/>
                    <w:right w:val="none" w:sz="0" w:space="0" w:color="auto"/>
                  </w:divBdr>
                </w:div>
              </w:divsChild>
            </w:div>
            <w:div w:id="779106899">
              <w:marLeft w:val="0"/>
              <w:marRight w:val="0"/>
              <w:marTop w:val="0"/>
              <w:marBottom w:val="0"/>
              <w:divBdr>
                <w:top w:val="none" w:sz="0" w:space="0" w:color="auto"/>
                <w:left w:val="none" w:sz="0" w:space="0" w:color="auto"/>
                <w:bottom w:val="none" w:sz="0" w:space="0" w:color="auto"/>
                <w:right w:val="none" w:sz="0" w:space="0" w:color="auto"/>
              </w:divBdr>
              <w:divsChild>
                <w:div w:id="1883008796">
                  <w:marLeft w:val="0"/>
                  <w:marRight w:val="0"/>
                  <w:marTop w:val="0"/>
                  <w:marBottom w:val="0"/>
                  <w:divBdr>
                    <w:top w:val="none" w:sz="0" w:space="0" w:color="auto"/>
                    <w:left w:val="none" w:sz="0" w:space="0" w:color="auto"/>
                    <w:bottom w:val="none" w:sz="0" w:space="0" w:color="auto"/>
                    <w:right w:val="none" w:sz="0" w:space="0" w:color="auto"/>
                  </w:divBdr>
                </w:div>
              </w:divsChild>
            </w:div>
            <w:div w:id="862549974">
              <w:marLeft w:val="0"/>
              <w:marRight w:val="0"/>
              <w:marTop w:val="0"/>
              <w:marBottom w:val="0"/>
              <w:divBdr>
                <w:top w:val="none" w:sz="0" w:space="0" w:color="auto"/>
                <w:left w:val="none" w:sz="0" w:space="0" w:color="auto"/>
                <w:bottom w:val="none" w:sz="0" w:space="0" w:color="auto"/>
                <w:right w:val="none" w:sz="0" w:space="0" w:color="auto"/>
              </w:divBdr>
              <w:divsChild>
                <w:div w:id="1418596645">
                  <w:marLeft w:val="0"/>
                  <w:marRight w:val="0"/>
                  <w:marTop w:val="0"/>
                  <w:marBottom w:val="0"/>
                  <w:divBdr>
                    <w:top w:val="none" w:sz="0" w:space="0" w:color="auto"/>
                    <w:left w:val="none" w:sz="0" w:space="0" w:color="auto"/>
                    <w:bottom w:val="none" w:sz="0" w:space="0" w:color="auto"/>
                    <w:right w:val="none" w:sz="0" w:space="0" w:color="auto"/>
                  </w:divBdr>
                </w:div>
                <w:div w:id="1732734174">
                  <w:marLeft w:val="0"/>
                  <w:marRight w:val="0"/>
                  <w:marTop w:val="0"/>
                  <w:marBottom w:val="0"/>
                  <w:divBdr>
                    <w:top w:val="none" w:sz="0" w:space="0" w:color="auto"/>
                    <w:left w:val="none" w:sz="0" w:space="0" w:color="auto"/>
                    <w:bottom w:val="none" w:sz="0" w:space="0" w:color="auto"/>
                    <w:right w:val="none" w:sz="0" w:space="0" w:color="auto"/>
                  </w:divBdr>
                </w:div>
              </w:divsChild>
            </w:div>
            <w:div w:id="873540767">
              <w:marLeft w:val="0"/>
              <w:marRight w:val="0"/>
              <w:marTop w:val="0"/>
              <w:marBottom w:val="0"/>
              <w:divBdr>
                <w:top w:val="none" w:sz="0" w:space="0" w:color="auto"/>
                <w:left w:val="none" w:sz="0" w:space="0" w:color="auto"/>
                <w:bottom w:val="none" w:sz="0" w:space="0" w:color="auto"/>
                <w:right w:val="none" w:sz="0" w:space="0" w:color="auto"/>
              </w:divBdr>
              <w:divsChild>
                <w:div w:id="949969117">
                  <w:marLeft w:val="0"/>
                  <w:marRight w:val="0"/>
                  <w:marTop w:val="0"/>
                  <w:marBottom w:val="0"/>
                  <w:divBdr>
                    <w:top w:val="none" w:sz="0" w:space="0" w:color="auto"/>
                    <w:left w:val="none" w:sz="0" w:space="0" w:color="auto"/>
                    <w:bottom w:val="none" w:sz="0" w:space="0" w:color="auto"/>
                    <w:right w:val="none" w:sz="0" w:space="0" w:color="auto"/>
                  </w:divBdr>
                </w:div>
                <w:div w:id="1767076717">
                  <w:marLeft w:val="0"/>
                  <w:marRight w:val="0"/>
                  <w:marTop w:val="0"/>
                  <w:marBottom w:val="0"/>
                  <w:divBdr>
                    <w:top w:val="none" w:sz="0" w:space="0" w:color="auto"/>
                    <w:left w:val="none" w:sz="0" w:space="0" w:color="auto"/>
                    <w:bottom w:val="none" w:sz="0" w:space="0" w:color="auto"/>
                    <w:right w:val="none" w:sz="0" w:space="0" w:color="auto"/>
                  </w:divBdr>
                </w:div>
              </w:divsChild>
            </w:div>
            <w:div w:id="922108861">
              <w:marLeft w:val="0"/>
              <w:marRight w:val="0"/>
              <w:marTop w:val="0"/>
              <w:marBottom w:val="0"/>
              <w:divBdr>
                <w:top w:val="none" w:sz="0" w:space="0" w:color="auto"/>
                <w:left w:val="none" w:sz="0" w:space="0" w:color="auto"/>
                <w:bottom w:val="none" w:sz="0" w:space="0" w:color="auto"/>
                <w:right w:val="none" w:sz="0" w:space="0" w:color="auto"/>
              </w:divBdr>
              <w:divsChild>
                <w:div w:id="1637490618">
                  <w:marLeft w:val="0"/>
                  <w:marRight w:val="0"/>
                  <w:marTop w:val="0"/>
                  <w:marBottom w:val="0"/>
                  <w:divBdr>
                    <w:top w:val="none" w:sz="0" w:space="0" w:color="auto"/>
                    <w:left w:val="none" w:sz="0" w:space="0" w:color="auto"/>
                    <w:bottom w:val="none" w:sz="0" w:space="0" w:color="auto"/>
                    <w:right w:val="none" w:sz="0" w:space="0" w:color="auto"/>
                  </w:divBdr>
                </w:div>
              </w:divsChild>
            </w:div>
            <w:div w:id="939415629">
              <w:marLeft w:val="0"/>
              <w:marRight w:val="0"/>
              <w:marTop w:val="0"/>
              <w:marBottom w:val="0"/>
              <w:divBdr>
                <w:top w:val="none" w:sz="0" w:space="0" w:color="auto"/>
                <w:left w:val="none" w:sz="0" w:space="0" w:color="auto"/>
                <w:bottom w:val="none" w:sz="0" w:space="0" w:color="auto"/>
                <w:right w:val="none" w:sz="0" w:space="0" w:color="auto"/>
              </w:divBdr>
              <w:divsChild>
                <w:div w:id="329141708">
                  <w:marLeft w:val="0"/>
                  <w:marRight w:val="0"/>
                  <w:marTop w:val="0"/>
                  <w:marBottom w:val="0"/>
                  <w:divBdr>
                    <w:top w:val="none" w:sz="0" w:space="0" w:color="auto"/>
                    <w:left w:val="none" w:sz="0" w:space="0" w:color="auto"/>
                    <w:bottom w:val="none" w:sz="0" w:space="0" w:color="auto"/>
                    <w:right w:val="none" w:sz="0" w:space="0" w:color="auto"/>
                  </w:divBdr>
                </w:div>
              </w:divsChild>
            </w:div>
            <w:div w:id="961351724">
              <w:marLeft w:val="0"/>
              <w:marRight w:val="0"/>
              <w:marTop w:val="0"/>
              <w:marBottom w:val="0"/>
              <w:divBdr>
                <w:top w:val="none" w:sz="0" w:space="0" w:color="auto"/>
                <w:left w:val="none" w:sz="0" w:space="0" w:color="auto"/>
                <w:bottom w:val="none" w:sz="0" w:space="0" w:color="auto"/>
                <w:right w:val="none" w:sz="0" w:space="0" w:color="auto"/>
              </w:divBdr>
              <w:divsChild>
                <w:div w:id="1389526930">
                  <w:marLeft w:val="0"/>
                  <w:marRight w:val="0"/>
                  <w:marTop w:val="0"/>
                  <w:marBottom w:val="0"/>
                  <w:divBdr>
                    <w:top w:val="none" w:sz="0" w:space="0" w:color="auto"/>
                    <w:left w:val="none" w:sz="0" w:space="0" w:color="auto"/>
                    <w:bottom w:val="none" w:sz="0" w:space="0" w:color="auto"/>
                    <w:right w:val="none" w:sz="0" w:space="0" w:color="auto"/>
                  </w:divBdr>
                </w:div>
              </w:divsChild>
            </w:div>
            <w:div w:id="979194208">
              <w:marLeft w:val="0"/>
              <w:marRight w:val="0"/>
              <w:marTop w:val="0"/>
              <w:marBottom w:val="0"/>
              <w:divBdr>
                <w:top w:val="none" w:sz="0" w:space="0" w:color="auto"/>
                <w:left w:val="none" w:sz="0" w:space="0" w:color="auto"/>
                <w:bottom w:val="none" w:sz="0" w:space="0" w:color="auto"/>
                <w:right w:val="none" w:sz="0" w:space="0" w:color="auto"/>
              </w:divBdr>
              <w:divsChild>
                <w:div w:id="1637490395">
                  <w:marLeft w:val="0"/>
                  <w:marRight w:val="0"/>
                  <w:marTop w:val="0"/>
                  <w:marBottom w:val="0"/>
                  <w:divBdr>
                    <w:top w:val="none" w:sz="0" w:space="0" w:color="auto"/>
                    <w:left w:val="none" w:sz="0" w:space="0" w:color="auto"/>
                    <w:bottom w:val="none" w:sz="0" w:space="0" w:color="auto"/>
                    <w:right w:val="none" w:sz="0" w:space="0" w:color="auto"/>
                  </w:divBdr>
                </w:div>
              </w:divsChild>
            </w:div>
            <w:div w:id="1021903925">
              <w:marLeft w:val="0"/>
              <w:marRight w:val="0"/>
              <w:marTop w:val="0"/>
              <w:marBottom w:val="0"/>
              <w:divBdr>
                <w:top w:val="none" w:sz="0" w:space="0" w:color="auto"/>
                <w:left w:val="none" w:sz="0" w:space="0" w:color="auto"/>
                <w:bottom w:val="none" w:sz="0" w:space="0" w:color="auto"/>
                <w:right w:val="none" w:sz="0" w:space="0" w:color="auto"/>
              </w:divBdr>
              <w:divsChild>
                <w:div w:id="852379788">
                  <w:marLeft w:val="0"/>
                  <w:marRight w:val="0"/>
                  <w:marTop w:val="0"/>
                  <w:marBottom w:val="0"/>
                  <w:divBdr>
                    <w:top w:val="none" w:sz="0" w:space="0" w:color="auto"/>
                    <w:left w:val="none" w:sz="0" w:space="0" w:color="auto"/>
                    <w:bottom w:val="none" w:sz="0" w:space="0" w:color="auto"/>
                    <w:right w:val="none" w:sz="0" w:space="0" w:color="auto"/>
                  </w:divBdr>
                </w:div>
              </w:divsChild>
            </w:div>
            <w:div w:id="1044066353">
              <w:marLeft w:val="0"/>
              <w:marRight w:val="0"/>
              <w:marTop w:val="0"/>
              <w:marBottom w:val="0"/>
              <w:divBdr>
                <w:top w:val="none" w:sz="0" w:space="0" w:color="auto"/>
                <w:left w:val="none" w:sz="0" w:space="0" w:color="auto"/>
                <w:bottom w:val="none" w:sz="0" w:space="0" w:color="auto"/>
                <w:right w:val="none" w:sz="0" w:space="0" w:color="auto"/>
              </w:divBdr>
              <w:divsChild>
                <w:div w:id="644555670">
                  <w:marLeft w:val="0"/>
                  <w:marRight w:val="0"/>
                  <w:marTop w:val="0"/>
                  <w:marBottom w:val="0"/>
                  <w:divBdr>
                    <w:top w:val="none" w:sz="0" w:space="0" w:color="auto"/>
                    <w:left w:val="none" w:sz="0" w:space="0" w:color="auto"/>
                    <w:bottom w:val="none" w:sz="0" w:space="0" w:color="auto"/>
                    <w:right w:val="none" w:sz="0" w:space="0" w:color="auto"/>
                  </w:divBdr>
                </w:div>
                <w:div w:id="2016373875">
                  <w:marLeft w:val="0"/>
                  <w:marRight w:val="0"/>
                  <w:marTop w:val="0"/>
                  <w:marBottom w:val="0"/>
                  <w:divBdr>
                    <w:top w:val="none" w:sz="0" w:space="0" w:color="auto"/>
                    <w:left w:val="none" w:sz="0" w:space="0" w:color="auto"/>
                    <w:bottom w:val="none" w:sz="0" w:space="0" w:color="auto"/>
                    <w:right w:val="none" w:sz="0" w:space="0" w:color="auto"/>
                  </w:divBdr>
                </w:div>
              </w:divsChild>
            </w:div>
            <w:div w:id="1169905024">
              <w:marLeft w:val="0"/>
              <w:marRight w:val="0"/>
              <w:marTop w:val="0"/>
              <w:marBottom w:val="0"/>
              <w:divBdr>
                <w:top w:val="none" w:sz="0" w:space="0" w:color="auto"/>
                <w:left w:val="none" w:sz="0" w:space="0" w:color="auto"/>
                <w:bottom w:val="none" w:sz="0" w:space="0" w:color="auto"/>
                <w:right w:val="none" w:sz="0" w:space="0" w:color="auto"/>
              </w:divBdr>
              <w:divsChild>
                <w:div w:id="2071146621">
                  <w:marLeft w:val="0"/>
                  <w:marRight w:val="0"/>
                  <w:marTop w:val="0"/>
                  <w:marBottom w:val="0"/>
                  <w:divBdr>
                    <w:top w:val="none" w:sz="0" w:space="0" w:color="auto"/>
                    <w:left w:val="none" w:sz="0" w:space="0" w:color="auto"/>
                    <w:bottom w:val="none" w:sz="0" w:space="0" w:color="auto"/>
                    <w:right w:val="none" w:sz="0" w:space="0" w:color="auto"/>
                  </w:divBdr>
                </w:div>
              </w:divsChild>
            </w:div>
            <w:div w:id="1221866389">
              <w:marLeft w:val="0"/>
              <w:marRight w:val="0"/>
              <w:marTop w:val="0"/>
              <w:marBottom w:val="0"/>
              <w:divBdr>
                <w:top w:val="none" w:sz="0" w:space="0" w:color="auto"/>
                <w:left w:val="none" w:sz="0" w:space="0" w:color="auto"/>
                <w:bottom w:val="none" w:sz="0" w:space="0" w:color="auto"/>
                <w:right w:val="none" w:sz="0" w:space="0" w:color="auto"/>
              </w:divBdr>
              <w:divsChild>
                <w:div w:id="710030491">
                  <w:marLeft w:val="0"/>
                  <w:marRight w:val="0"/>
                  <w:marTop w:val="0"/>
                  <w:marBottom w:val="0"/>
                  <w:divBdr>
                    <w:top w:val="none" w:sz="0" w:space="0" w:color="auto"/>
                    <w:left w:val="none" w:sz="0" w:space="0" w:color="auto"/>
                    <w:bottom w:val="none" w:sz="0" w:space="0" w:color="auto"/>
                    <w:right w:val="none" w:sz="0" w:space="0" w:color="auto"/>
                  </w:divBdr>
                </w:div>
              </w:divsChild>
            </w:div>
            <w:div w:id="1264269046">
              <w:marLeft w:val="0"/>
              <w:marRight w:val="0"/>
              <w:marTop w:val="0"/>
              <w:marBottom w:val="0"/>
              <w:divBdr>
                <w:top w:val="none" w:sz="0" w:space="0" w:color="auto"/>
                <w:left w:val="none" w:sz="0" w:space="0" w:color="auto"/>
                <w:bottom w:val="none" w:sz="0" w:space="0" w:color="auto"/>
                <w:right w:val="none" w:sz="0" w:space="0" w:color="auto"/>
              </w:divBdr>
              <w:divsChild>
                <w:div w:id="854225560">
                  <w:marLeft w:val="0"/>
                  <w:marRight w:val="0"/>
                  <w:marTop w:val="0"/>
                  <w:marBottom w:val="0"/>
                  <w:divBdr>
                    <w:top w:val="none" w:sz="0" w:space="0" w:color="auto"/>
                    <w:left w:val="none" w:sz="0" w:space="0" w:color="auto"/>
                    <w:bottom w:val="none" w:sz="0" w:space="0" w:color="auto"/>
                    <w:right w:val="none" w:sz="0" w:space="0" w:color="auto"/>
                  </w:divBdr>
                </w:div>
              </w:divsChild>
            </w:div>
            <w:div w:id="1423838187">
              <w:marLeft w:val="0"/>
              <w:marRight w:val="0"/>
              <w:marTop w:val="0"/>
              <w:marBottom w:val="0"/>
              <w:divBdr>
                <w:top w:val="none" w:sz="0" w:space="0" w:color="auto"/>
                <w:left w:val="none" w:sz="0" w:space="0" w:color="auto"/>
                <w:bottom w:val="none" w:sz="0" w:space="0" w:color="auto"/>
                <w:right w:val="none" w:sz="0" w:space="0" w:color="auto"/>
              </w:divBdr>
              <w:divsChild>
                <w:div w:id="283272655">
                  <w:marLeft w:val="0"/>
                  <w:marRight w:val="0"/>
                  <w:marTop w:val="0"/>
                  <w:marBottom w:val="0"/>
                  <w:divBdr>
                    <w:top w:val="none" w:sz="0" w:space="0" w:color="auto"/>
                    <w:left w:val="none" w:sz="0" w:space="0" w:color="auto"/>
                    <w:bottom w:val="none" w:sz="0" w:space="0" w:color="auto"/>
                    <w:right w:val="none" w:sz="0" w:space="0" w:color="auto"/>
                  </w:divBdr>
                </w:div>
              </w:divsChild>
            </w:div>
            <w:div w:id="1424034754">
              <w:marLeft w:val="0"/>
              <w:marRight w:val="0"/>
              <w:marTop w:val="0"/>
              <w:marBottom w:val="0"/>
              <w:divBdr>
                <w:top w:val="none" w:sz="0" w:space="0" w:color="auto"/>
                <w:left w:val="none" w:sz="0" w:space="0" w:color="auto"/>
                <w:bottom w:val="none" w:sz="0" w:space="0" w:color="auto"/>
                <w:right w:val="none" w:sz="0" w:space="0" w:color="auto"/>
              </w:divBdr>
              <w:divsChild>
                <w:div w:id="1638022611">
                  <w:marLeft w:val="0"/>
                  <w:marRight w:val="0"/>
                  <w:marTop w:val="0"/>
                  <w:marBottom w:val="0"/>
                  <w:divBdr>
                    <w:top w:val="none" w:sz="0" w:space="0" w:color="auto"/>
                    <w:left w:val="none" w:sz="0" w:space="0" w:color="auto"/>
                    <w:bottom w:val="none" w:sz="0" w:space="0" w:color="auto"/>
                    <w:right w:val="none" w:sz="0" w:space="0" w:color="auto"/>
                  </w:divBdr>
                </w:div>
              </w:divsChild>
            </w:div>
            <w:div w:id="1440176190">
              <w:marLeft w:val="0"/>
              <w:marRight w:val="0"/>
              <w:marTop w:val="0"/>
              <w:marBottom w:val="0"/>
              <w:divBdr>
                <w:top w:val="none" w:sz="0" w:space="0" w:color="auto"/>
                <w:left w:val="none" w:sz="0" w:space="0" w:color="auto"/>
                <w:bottom w:val="none" w:sz="0" w:space="0" w:color="auto"/>
                <w:right w:val="none" w:sz="0" w:space="0" w:color="auto"/>
              </w:divBdr>
              <w:divsChild>
                <w:div w:id="2036424279">
                  <w:marLeft w:val="0"/>
                  <w:marRight w:val="0"/>
                  <w:marTop w:val="0"/>
                  <w:marBottom w:val="0"/>
                  <w:divBdr>
                    <w:top w:val="none" w:sz="0" w:space="0" w:color="auto"/>
                    <w:left w:val="none" w:sz="0" w:space="0" w:color="auto"/>
                    <w:bottom w:val="none" w:sz="0" w:space="0" w:color="auto"/>
                    <w:right w:val="none" w:sz="0" w:space="0" w:color="auto"/>
                  </w:divBdr>
                </w:div>
              </w:divsChild>
            </w:div>
            <w:div w:id="1594164731">
              <w:marLeft w:val="0"/>
              <w:marRight w:val="0"/>
              <w:marTop w:val="0"/>
              <w:marBottom w:val="0"/>
              <w:divBdr>
                <w:top w:val="none" w:sz="0" w:space="0" w:color="auto"/>
                <w:left w:val="none" w:sz="0" w:space="0" w:color="auto"/>
                <w:bottom w:val="none" w:sz="0" w:space="0" w:color="auto"/>
                <w:right w:val="none" w:sz="0" w:space="0" w:color="auto"/>
              </w:divBdr>
              <w:divsChild>
                <w:div w:id="154687992">
                  <w:marLeft w:val="0"/>
                  <w:marRight w:val="0"/>
                  <w:marTop w:val="0"/>
                  <w:marBottom w:val="0"/>
                  <w:divBdr>
                    <w:top w:val="none" w:sz="0" w:space="0" w:color="auto"/>
                    <w:left w:val="none" w:sz="0" w:space="0" w:color="auto"/>
                    <w:bottom w:val="none" w:sz="0" w:space="0" w:color="auto"/>
                    <w:right w:val="none" w:sz="0" w:space="0" w:color="auto"/>
                  </w:divBdr>
                </w:div>
                <w:div w:id="851912933">
                  <w:marLeft w:val="0"/>
                  <w:marRight w:val="0"/>
                  <w:marTop w:val="0"/>
                  <w:marBottom w:val="0"/>
                  <w:divBdr>
                    <w:top w:val="none" w:sz="0" w:space="0" w:color="auto"/>
                    <w:left w:val="none" w:sz="0" w:space="0" w:color="auto"/>
                    <w:bottom w:val="none" w:sz="0" w:space="0" w:color="auto"/>
                    <w:right w:val="none" w:sz="0" w:space="0" w:color="auto"/>
                  </w:divBdr>
                </w:div>
                <w:div w:id="899364277">
                  <w:marLeft w:val="0"/>
                  <w:marRight w:val="0"/>
                  <w:marTop w:val="0"/>
                  <w:marBottom w:val="0"/>
                  <w:divBdr>
                    <w:top w:val="none" w:sz="0" w:space="0" w:color="auto"/>
                    <w:left w:val="none" w:sz="0" w:space="0" w:color="auto"/>
                    <w:bottom w:val="none" w:sz="0" w:space="0" w:color="auto"/>
                    <w:right w:val="none" w:sz="0" w:space="0" w:color="auto"/>
                  </w:divBdr>
                </w:div>
                <w:div w:id="2123106828">
                  <w:marLeft w:val="0"/>
                  <w:marRight w:val="0"/>
                  <w:marTop w:val="0"/>
                  <w:marBottom w:val="0"/>
                  <w:divBdr>
                    <w:top w:val="none" w:sz="0" w:space="0" w:color="auto"/>
                    <w:left w:val="none" w:sz="0" w:space="0" w:color="auto"/>
                    <w:bottom w:val="none" w:sz="0" w:space="0" w:color="auto"/>
                    <w:right w:val="none" w:sz="0" w:space="0" w:color="auto"/>
                  </w:divBdr>
                </w:div>
              </w:divsChild>
            </w:div>
            <w:div w:id="1599943768">
              <w:marLeft w:val="0"/>
              <w:marRight w:val="0"/>
              <w:marTop w:val="0"/>
              <w:marBottom w:val="0"/>
              <w:divBdr>
                <w:top w:val="none" w:sz="0" w:space="0" w:color="auto"/>
                <w:left w:val="none" w:sz="0" w:space="0" w:color="auto"/>
                <w:bottom w:val="none" w:sz="0" w:space="0" w:color="auto"/>
                <w:right w:val="none" w:sz="0" w:space="0" w:color="auto"/>
              </w:divBdr>
              <w:divsChild>
                <w:div w:id="1935549952">
                  <w:marLeft w:val="0"/>
                  <w:marRight w:val="0"/>
                  <w:marTop w:val="0"/>
                  <w:marBottom w:val="0"/>
                  <w:divBdr>
                    <w:top w:val="none" w:sz="0" w:space="0" w:color="auto"/>
                    <w:left w:val="none" w:sz="0" w:space="0" w:color="auto"/>
                    <w:bottom w:val="none" w:sz="0" w:space="0" w:color="auto"/>
                    <w:right w:val="none" w:sz="0" w:space="0" w:color="auto"/>
                  </w:divBdr>
                </w:div>
              </w:divsChild>
            </w:div>
            <w:div w:id="1644775523">
              <w:marLeft w:val="0"/>
              <w:marRight w:val="0"/>
              <w:marTop w:val="0"/>
              <w:marBottom w:val="0"/>
              <w:divBdr>
                <w:top w:val="none" w:sz="0" w:space="0" w:color="auto"/>
                <w:left w:val="none" w:sz="0" w:space="0" w:color="auto"/>
                <w:bottom w:val="none" w:sz="0" w:space="0" w:color="auto"/>
                <w:right w:val="none" w:sz="0" w:space="0" w:color="auto"/>
              </w:divBdr>
              <w:divsChild>
                <w:div w:id="1232236885">
                  <w:marLeft w:val="0"/>
                  <w:marRight w:val="0"/>
                  <w:marTop w:val="0"/>
                  <w:marBottom w:val="0"/>
                  <w:divBdr>
                    <w:top w:val="none" w:sz="0" w:space="0" w:color="auto"/>
                    <w:left w:val="none" w:sz="0" w:space="0" w:color="auto"/>
                    <w:bottom w:val="none" w:sz="0" w:space="0" w:color="auto"/>
                    <w:right w:val="none" w:sz="0" w:space="0" w:color="auto"/>
                  </w:divBdr>
                </w:div>
              </w:divsChild>
            </w:div>
            <w:div w:id="1655253601">
              <w:marLeft w:val="0"/>
              <w:marRight w:val="0"/>
              <w:marTop w:val="0"/>
              <w:marBottom w:val="0"/>
              <w:divBdr>
                <w:top w:val="none" w:sz="0" w:space="0" w:color="auto"/>
                <w:left w:val="none" w:sz="0" w:space="0" w:color="auto"/>
                <w:bottom w:val="none" w:sz="0" w:space="0" w:color="auto"/>
                <w:right w:val="none" w:sz="0" w:space="0" w:color="auto"/>
              </w:divBdr>
              <w:divsChild>
                <w:div w:id="489830948">
                  <w:marLeft w:val="0"/>
                  <w:marRight w:val="0"/>
                  <w:marTop w:val="0"/>
                  <w:marBottom w:val="0"/>
                  <w:divBdr>
                    <w:top w:val="none" w:sz="0" w:space="0" w:color="auto"/>
                    <w:left w:val="none" w:sz="0" w:space="0" w:color="auto"/>
                    <w:bottom w:val="none" w:sz="0" w:space="0" w:color="auto"/>
                    <w:right w:val="none" w:sz="0" w:space="0" w:color="auto"/>
                  </w:divBdr>
                </w:div>
                <w:div w:id="2119717009">
                  <w:marLeft w:val="0"/>
                  <w:marRight w:val="0"/>
                  <w:marTop w:val="0"/>
                  <w:marBottom w:val="0"/>
                  <w:divBdr>
                    <w:top w:val="none" w:sz="0" w:space="0" w:color="auto"/>
                    <w:left w:val="none" w:sz="0" w:space="0" w:color="auto"/>
                    <w:bottom w:val="none" w:sz="0" w:space="0" w:color="auto"/>
                    <w:right w:val="none" w:sz="0" w:space="0" w:color="auto"/>
                  </w:divBdr>
                </w:div>
              </w:divsChild>
            </w:div>
            <w:div w:id="1707752455">
              <w:marLeft w:val="0"/>
              <w:marRight w:val="0"/>
              <w:marTop w:val="0"/>
              <w:marBottom w:val="0"/>
              <w:divBdr>
                <w:top w:val="none" w:sz="0" w:space="0" w:color="auto"/>
                <w:left w:val="none" w:sz="0" w:space="0" w:color="auto"/>
                <w:bottom w:val="none" w:sz="0" w:space="0" w:color="auto"/>
                <w:right w:val="none" w:sz="0" w:space="0" w:color="auto"/>
              </w:divBdr>
              <w:divsChild>
                <w:div w:id="1808089529">
                  <w:marLeft w:val="0"/>
                  <w:marRight w:val="0"/>
                  <w:marTop w:val="0"/>
                  <w:marBottom w:val="0"/>
                  <w:divBdr>
                    <w:top w:val="none" w:sz="0" w:space="0" w:color="auto"/>
                    <w:left w:val="none" w:sz="0" w:space="0" w:color="auto"/>
                    <w:bottom w:val="none" w:sz="0" w:space="0" w:color="auto"/>
                    <w:right w:val="none" w:sz="0" w:space="0" w:color="auto"/>
                  </w:divBdr>
                </w:div>
              </w:divsChild>
            </w:div>
            <w:div w:id="1726565364">
              <w:marLeft w:val="0"/>
              <w:marRight w:val="0"/>
              <w:marTop w:val="0"/>
              <w:marBottom w:val="0"/>
              <w:divBdr>
                <w:top w:val="none" w:sz="0" w:space="0" w:color="auto"/>
                <w:left w:val="none" w:sz="0" w:space="0" w:color="auto"/>
                <w:bottom w:val="none" w:sz="0" w:space="0" w:color="auto"/>
                <w:right w:val="none" w:sz="0" w:space="0" w:color="auto"/>
              </w:divBdr>
              <w:divsChild>
                <w:div w:id="554857596">
                  <w:marLeft w:val="0"/>
                  <w:marRight w:val="0"/>
                  <w:marTop w:val="0"/>
                  <w:marBottom w:val="0"/>
                  <w:divBdr>
                    <w:top w:val="none" w:sz="0" w:space="0" w:color="auto"/>
                    <w:left w:val="none" w:sz="0" w:space="0" w:color="auto"/>
                    <w:bottom w:val="none" w:sz="0" w:space="0" w:color="auto"/>
                    <w:right w:val="none" w:sz="0" w:space="0" w:color="auto"/>
                  </w:divBdr>
                </w:div>
              </w:divsChild>
            </w:div>
            <w:div w:id="1841655438">
              <w:marLeft w:val="0"/>
              <w:marRight w:val="0"/>
              <w:marTop w:val="0"/>
              <w:marBottom w:val="0"/>
              <w:divBdr>
                <w:top w:val="none" w:sz="0" w:space="0" w:color="auto"/>
                <w:left w:val="none" w:sz="0" w:space="0" w:color="auto"/>
                <w:bottom w:val="none" w:sz="0" w:space="0" w:color="auto"/>
                <w:right w:val="none" w:sz="0" w:space="0" w:color="auto"/>
              </w:divBdr>
              <w:divsChild>
                <w:div w:id="267584932">
                  <w:marLeft w:val="0"/>
                  <w:marRight w:val="0"/>
                  <w:marTop w:val="0"/>
                  <w:marBottom w:val="0"/>
                  <w:divBdr>
                    <w:top w:val="none" w:sz="0" w:space="0" w:color="auto"/>
                    <w:left w:val="none" w:sz="0" w:space="0" w:color="auto"/>
                    <w:bottom w:val="none" w:sz="0" w:space="0" w:color="auto"/>
                    <w:right w:val="none" w:sz="0" w:space="0" w:color="auto"/>
                  </w:divBdr>
                </w:div>
                <w:div w:id="563293895">
                  <w:marLeft w:val="0"/>
                  <w:marRight w:val="0"/>
                  <w:marTop w:val="0"/>
                  <w:marBottom w:val="0"/>
                  <w:divBdr>
                    <w:top w:val="none" w:sz="0" w:space="0" w:color="auto"/>
                    <w:left w:val="none" w:sz="0" w:space="0" w:color="auto"/>
                    <w:bottom w:val="none" w:sz="0" w:space="0" w:color="auto"/>
                    <w:right w:val="none" w:sz="0" w:space="0" w:color="auto"/>
                  </w:divBdr>
                </w:div>
                <w:div w:id="1753622056">
                  <w:marLeft w:val="0"/>
                  <w:marRight w:val="0"/>
                  <w:marTop w:val="0"/>
                  <w:marBottom w:val="0"/>
                  <w:divBdr>
                    <w:top w:val="none" w:sz="0" w:space="0" w:color="auto"/>
                    <w:left w:val="none" w:sz="0" w:space="0" w:color="auto"/>
                    <w:bottom w:val="none" w:sz="0" w:space="0" w:color="auto"/>
                    <w:right w:val="none" w:sz="0" w:space="0" w:color="auto"/>
                  </w:divBdr>
                </w:div>
              </w:divsChild>
            </w:div>
            <w:div w:id="1886866671">
              <w:marLeft w:val="0"/>
              <w:marRight w:val="0"/>
              <w:marTop w:val="0"/>
              <w:marBottom w:val="0"/>
              <w:divBdr>
                <w:top w:val="none" w:sz="0" w:space="0" w:color="auto"/>
                <w:left w:val="none" w:sz="0" w:space="0" w:color="auto"/>
                <w:bottom w:val="none" w:sz="0" w:space="0" w:color="auto"/>
                <w:right w:val="none" w:sz="0" w:space="0" w:color="auto"/>
              </w:divBdr>
              <w:divsChild>
                <w:div w:id="226771772">
                  <w:marLeft w:val="0"/>
                  <w:marRight w:val="0"/>
                  <w:marTop w:val="0"/>
                  <w:marBottom w:val="0"/>
                  <w:divBdr>
                    <w:top w:val="none" w:sz="0" w:space="0" w:color="auto"/>
                    <w:left w:val="none" w:sz="0" w:space="0" w:color="auto"/>
                    <w:bottom w:val="none" w:sz="0" w:space="0" w:color="auto"/>
                    <w:right w:val="none" w:sz="0" w:space="0" w:color="auto"/>
                  </w:divBdr>
                </w:div>
              </w:divsChild>
            </w:div>
            <w:div w:id="1996688409">
              <w:marLeft w:val="0"/>
              <w:marRight w:val="0"/>
              <w:marTop w:val="0"/>
              <w:marBottom w:val="0"/>
              <w:divBdr>
                <w:top w:val="none" w:sz="0" w:space="0" w:color="auto"/>
                <w:left w:val="none" w:sz="0" w:space="0" w:color="auto"/>
                <w:bottom w:val="none" w:sz="0" w:space="0" w:color="auto"/>
                <w:right w:val="none" w:sz="0" w:space="0" w:color="auto"/>
              </w:divBdr>
              <w:divsChild>
                <w:div w:id="1904833330">
                  <w:marLeft w:val="0"/>
                  <w:marRight w:val="0"/>
                  <w:marTop w:val="0"/>
                  <w:marBottom w:val="0"/>
                  <w:divBdr>
                    <w:top w:val="none" w:sz="0" w:space="0" w:color="auto"/>
                    <w:left w:val="none" w:sz="0" w:space="0" w:color="auto"/>
                    <w:bottom w:val="none" w:sz="0" w:space="0" w:color="auto"/>
                    <w:right w:val="none" w:sz="0" w:space="0" w:color="auto"/>
                  </w:divBdr>
                </w:div>
                <w:div w:id="2141343838">
                  <w:marLeft w:val="0"/>
                  <w:marRight w:val="0"/>
                  <w:marTop w:val="0"/>
                  <w:marBottom w:val="0"/>
                  <w:divBdr>
                    <w:top w:val="none" w:sz="0" w:space="0" w:color="auto"/>
                    <w:left w:val="none" w:sz="0" w:space="0" w:color="auto"/>
                    <w:bottom w:val="none" w:sz="0" w:space="0" w:color="auto"/>
                    <w:right w:val="none" w:sz="0" w:space="0" w:color="auto"/>
                  </w:divBdr>
                </w:div>
              </w:divsChild>
            </w:div>
            <w:div w:id="2024090776">
              <w:marLeft w:val="0"/>
              <w:marRight w:val="0"/>
              <w:marTop w:val="0"/>
              <w:marBottom w:val="0"/>
              <w:divBdr>
                <w:top w:val="none" w:sz="0" w:space="0" w:color="auto"/>
                <w:left w:val="none" w:sz="0" w:space="0" w:color="auto"/>
                <w:bottom w:val="none" w:sz="0" w:space="0" w:color="auto"/>
                <w:right w:val="none" w:sz="0" w:space="0" w:color="auto"/>
              </w:divBdr>
              <w:divsChild>
                <w:div w:id="1731270694">
                  <w:marLeft w:val="0"/>
                  <w:marRight w:val="0"/>
                  <w:marTop w:val="0"/>
                  <w:marBottom w:val="0"/>
                  <w:divBdr>
                    <w:top w:val="none" w:sz="0" w:space="0" w:color="auto"/>
                    <w:left w:val="none" w:sz="0" w:space="0" w:color="auto"/>
                    <w:bottom w:val="none" w:sz="0" w:space="0" w:color="auto"/>
                    <w:right w:val="none" w:sz="0" w:space="0" w:color="auto"/>
                  </w:divBdr>
                </w:div>
              </w:divsChild>
            </w:div>
            <w:div w:id="2065987419">
              <w:marLeft w:val="0"/>
              <w:marRight w:val="0"/>
              <w:marTop w:val="0"/>
              <w:marBottom w:val="0"/>
              <w:divBdr>
                <w:top w:val="none" w:sz="0" w:space="0" w:color="auto"/>
                <w:left w:val="none" w:sz="0" w:space="0" w:color="auto"/>
                <w:bottom w:val="none" w:sz="0" w:space="0" w:color="auto"/>
                <w:right w:val="none" w:sz="0" w:space="0" w:color="auto"/>
              </w:divBdr>
              <w:divsChild>
                <w:div w:id="717780983">
                  <w:marLeft w:val="0"/>
                  <w:marRight w:val="0"/>
                  <w:marTop w:val="0"/>
                  <w:marBottom w:val="0"/>
                  <w:divBdr>
                    <w:top w:val="none" w:sz="0" w:space="0" w:color="auto"/>
                    <w:left w:val="none" w:sz="0" w:space="0" w:color="auto"/>
                    <w:bottom w:val="none" w:sz="0" w:space="0" w:color="auto"/>
                    <w:right w:val="none" w:sz="0" w:space="0" w:color="auto"/>
                  </w:divBdr>
                </w:div>
              </w:divsChild>
            </w:div>
            <w:div w:id="2124373687">
              <w:marLeft w:val="0"/>
              <w:marRight w:val="0"/>
              <w:marTop w:val="0"/>
              <w:marBottom w:val="0"/>
              <w:divBdr>
                <w:top w:val="none" w:sz="0" w:space="0" w:color="auto"/>
                <w:left w:val="none" w:sz="0" w:space="0" w:color="auto"/>
                <w:bottom w:val="none" w:sz="0" w:space="0" w:color="auto"/>
                <w:right w:val="none" w:sz="0" w:space="0" w:color="auto"/>
              </w:divBdr>
              <w:divsChild>
                <w:div w:id="12995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7422">
          <w:marLeft w:val="0"/>
          <w:marRight w:val="0"/>
          <w:marTop w:val="30"/>
          <w:marBottom w:val="30"/>
          <w:divBdr>
            <w:top w:val="none" w:sz="0" w:space="0" w:color="auto"/>
            <w:left w:val="none" w:sz="0" w:space="0" w:color="auto"/>
            <w:bottom w:val="none" w:sz="0" w:space="0" w:color="auto"/>
            <w:right w:val="none" w:sz="0" w:space="0" w:color="auto"/>
          </w:divBdr>
          <w:divsChild>
            <w:div w:id="94253894">
              <w:marLeft w:val="0"/>
              <w:marRight w:val="0"/>
              <w:marTop w:val="0"/>
              <w:marBottom w:val="0"/>
              <w:divBdr>
                <w:top w:val="none" w:sz="0" w:space="0" w:color="auto"/>
                <w:left w:val="none" w:sz="0" w:space="0" w:color="auto"/>
                <w:bottom w:val="none" w:sz="0" w:space="0" w:color="auto"/>
                <w:right w:val="none" w:sz="0" w:space="0" w:color="auto"/>
              </w:divBdr>
              <w:divsChild>
                <w:div w:id="1771389897">
                  <w:marLeft w:val="0"/>
                  <w:marRight w:val="0"/>
                  <w:marTop w:val="0"/>
                  <w:marBottom w:val="0"/>
                  <w:divBdr>
                    <w:top w:val="none" w:sz="0" w:space="0" w:color="auto"/>
                    <w:left w:val="none" w:sz="0" w:space="0" w:color="auto"/>
                    <w:bottom w:val="none" w:sz="0" w:space="0" w:color="auto"/>
                    <w:right w:val="none" w:sz="0" w:space="0" w:color="auto"/>
                  </w:divBdr>
                </w:div>
              </w:divsChild>
            </w:div>
            <w:div w:id="129707637">
              <w:marLeft w:val="0"/>
              <w:marRight w:val="0"/>
              <w:marTop w:val="0"/>
              <w:marBottom w:val="0"/>
              <w:divBdr>
                <w:top w:val="none" w:sz="0" w:space="0" w:color="auto"/>
                <w:left w:val="none" w:sz="0" w:space="0" w:color="auto"/>
                <w:bottom w:val="none" w:sz="0" w:space="0" w:color="auto"/>
                <w:right w:val="none" w:sz="0" w:space="0" w:color="auto"/>
              </w:divBdr>
              <w:divsChild>
                <w:div w:id="121005012">
                  <w:marLeft w:val="0"/>
                  <w:marRight w:val="0"/>
                  <w:marTop w:val="0"/>
                  <w:marBottom w:val="0"/>
                  <w:divBdr>
                    <w:top w:val="none" w:sz="0" w:space="0" w:color="auto"/>
                    <w:left w:val="none" w:sz="0" w:space="0" w:color="auto"/>
                    <w:bottom w:val="none" w:sz="0" w:space="0" w:color="auto"/>
                    <w:right w:val="none" w:sz="0" w:space="0" w:color="auto"/>
                  </w:divBdr>
                </w:div>
                <w:div w:id="706568216">
                  <w:marLeft w:val="0"/>
                  <w:marRight w:val="0"/>
                  <w:marTop w:val="0"/>
                  <w:marBottom w:val="0"/>
                  <w:divBdr>
                    <w:top w:val="none" w:sz="0" w:space="0" w:color="auto"/>
                    <w:left w:val="none" w:sz="0" w:space="0" w:color="auto"/>
                    <w:bottom w:val="none" w:sz="0" w:space="0" w:color="auto"/>
                    <w:right w:val="none" w:sz="0" w:space="0" w:color="auto"/>
                  </w:divBdr>
                </w:div>
                <w:div w:id="1876767754">
                  <w:marLeft w:val="0"/>
                  <w:marRight w:val="0"/>
                  <w:marTop w:val="0"/>
                  <w:marBottom w:val="0"/>
                  <w:divBdr>
                    <w:top w:val="none" w:sz="0" w:space="0" w:color="auto"/>
                    <w:left w:val="none" w:sz="0" w:space="0" w:color="auto"/>
                    <w:bottom w:val="none" w:sz="0" w:space="0" w:color="auto"/>
                    <w:right w:val="none" w:sz="0" w:space="0" w:color="auto"/>
                  </w:divBdr>
                </w:div>
              </w:divsChild>
            </w:div>
            <w:div w:id="216940959">
              <w:marLeft w:val="0"/>
              <w:marRight w:val="0"/>
              <w:marTop w:val="0"/>
              <w:marBottom w:val="0"/>
              <w:divBdr>
                <w:top w:val="none" w:sz="0" w:space="0" w:color="auto"/>
                <w:left w:val="none" w:sz="0" w:space="0" w:color="auto"/>
                <w:bottom w:val="none" w:sz="0" w:space="0" w:color="auto"/>
                <w:right w:val="none" w:sz="0" w:space="0" w:color="auto"/>
              </w:divBdr>
              <w:divsChild>
                <w:div w:id="1068260572">
                  <w:marLeft w:val="0"/>
                  <w:marRight w:val="0"/>
                  <w:marTop w:val="0"/>
                  <w:marBottom w:val="0"/>
                  <w:divBdr>
                    <w:top w:val="none" w:sz="0" w:space="0" w:color="auto"/>
                    <w:left w:val="none" w:sz="0" w:space="0" w:color="auto"/>
                    <w:bottom w:val="none" w:sz="0" w:space="0" w:color="auto"/>
                    <w:right w:val="none" w:sz="0" w:space="0" w:color="auto"/>
                  </w:divBdr>
                </w:div>
              </w:divsChild>
            </w:div>
            <w:div w:id="308172532">
              <w:marLeft w:val="0"/>
              <w:marRight w:val="0"/>
              <w:marTop w:val="0"/>
              <w:marBottom w:val="0"/>
              <w:divBdr>
                <w:top w:val="none" w:sz="0" w:space="0" w:color="auto"/>
                <w:left w:val="none" w:sz="0" w:space="0" w:color="auto"/>
                <w:bottom w:val="none" w:sz="0" w:space="0" w:color="auto"/>
                <w:right w:val="none" w:sz="0" w:space="0" w:color="auto"/>
              </w:divBdr>
              <w:divsChild>
                <w:div w:id="891968414">
                  <w:marLeft w:val="0"/>
                  <w:marRight w:val="0"/>
                  <w:marTop w:val="0"/>
                  <w:marBottom w:val="0"/>
                  <w:divBdr>
                    <w:top w:val="none" w:sz="0" w:space="0" w:color="auto"/>
                    <w:left w:val="none" w:sz="0" w:space="0" w:color="auto"/>
                    <w:bottom w:val="none" w:sz="0" w:space="0" w:color="auto"/>
                    <w:right w:val="none" w:sz="0" w:space="0" w:color="auto"/>
                  </w:divBdr>
                </w:div>
                <w:div w:id="1825468010">
                  <w:marLeft w:val="0"/>
                  <w:marRight w:val="0"/>
                  <w:marTop w:val="0"/>
                  <w:marBottom w:val="0"/>
                  <w:divBdr>
                    <w:top w:val="none" w:sz="0" w:space="0" w:color="auto"/>
                    <w:left w:val="none" w:sz="0" w:space="0" w:color="auto"/>
                    <w:bottom w:val="none" w:sz="0" w:space="0" w:color="auto"/>
                    <w:right w:val="none" w:sz="0" w:space="0" w:color="auto"/>
                  </w:divBdr>
                </w:div>
              </w:divsChild>
            </w:div>
            <w:div w:id="323822270">
              <w:marLeft w:val="0"/>
              <w:marRight w:val="0"/>
              <w:marTop w:val="0"/>
              <w:marBottom w:val="0"/>
              <w:divBdr>
                <w:top w:val="none" w:sz="0" w:space="0" w:color="auto"/>
                <w:left w:val="none" w:sz="0" w:space="0" w:color="auto"/>
                <w:bottom w:val="none" w:sz="0" w:space="0" w:color="auto"/>
                <w:right w:val="none" w:sz="0" w:space="0" w:color="auto"/>
              </w:divBdr>
              <w:divsChild>
                <w:div w:id="1728801440">
                  <w:marLeft w:val="0"/>
                  <w:marRight w:val="0"/>
                  <w:marTop w:val="0"/>
                  <w:marBottom w:val="0"/>
                  <w:divBdr>
                    <w:top w:val="none" w:sz="0" w:space="0" w:color="auto"/>
                    <w:left w:val="none" w:sz="0" w:space="0" w:color="auto"/>
                    <w:bottom w:val="none" w:sz="0" w:space="0" w:color="auto"/>
                    <w:right w:val="none" w:sz="0" w:space="0" w:color="auto"/>
                  </w:divBdr>
                </w:div>
              </w:divsChild>
            </w:div>
            <w:div w:id="353271201">
              <w:marLeft w:val="0"/>
              <w:marRight w:val="0"/>
              <w:marTop w:val="0"/>
              <w:marBottom w:val="0"/>
              <w:divBdr>
                <w:top w:val="none" w:sz="0" w:space="0" w:color="auto"/>
                <w:left w:val="none" w:sz="0" w:space="0" w:color="auto"/>
                <w:bottom w:val="none" w:sz="0" w:space="0" w:color="auto"/>
                <w:right w:val="none" w:sz="0" w:space="0" w:color="auto"/>
              </w:divBdr>
              <w:divsChild>
                <w:div w:id="716243366">
                  <w:marLeft w:val="0"/>
                  <w:marRight w:val="0"/>
                  <w:marTop w:val="0"/>
                  <w:marBottom w:val="0"/>
                  <w:divBdr>
                    <w:top w:val="none" w:sz="0" w:space="0" w:color="auto"/>
                    <w:left w:val="none" w:sz="0" w:space="0" w:color="auto"/>
                    <w:bottom w:val="none" w:sz="0" w:space="0" w:color="auto"/>
                    <w:right w:val="none" w:sz="0" w:space="0" w:color="auto"/>
                  </w:divBdr>
                </w:div>
                <w:div w:id="996222632">
                  <w:marLeft w:val="0"/>
                  <w:marRight w:val="0"/>
                  <w:marTop w:val="0"/>
                  <w:marBottom w:val="0"/>
                  <w:divBdr>
                    <w:top w:val="none" w:sz="0" w:space="0" w:color="auto"/>
                    <w:left w:val="none" w:sz="0" w:space="0" w:color="auto"/>
                    <w:bottom w:val="none" w:sz="0" w:space="0" w:color="auto"/>
                    <w:right w:val="none" w:sz="0" w:space="0" w:color="auto"/>
                  </w:divBdr>
                </w:div>
                <w:div w:id="1684671996">
                  <w:marLeft w:val="0"/>
                  <w:marRight w:val="0"/>
                  <w:marTop w:val="0"/>
                  <w:marBottom w:val="0"/>
                  <w:divBdr>
                    <w:top w:val="none" w:sz="0" w:space="0" w:color="auto"/>
                    <w:left w:val="none" w:sz="0" w:space="0" w:color="auto"/>
                    <w:bottom w:val="none" w:sz="0" w:space="0" w:color="auto"/>
                    <w:right w:val="none" w:sz="0" w:space="0" w:color="auto"/>
                  </w:divBdr>
                </w:div>
              </w:divsChild>
            </w:div>
            <w:div w:id="361901501">
              <w:marLeft w:val="0"/>
              <w:marRight w:val="0"/>
              <w:marTop w:val="0"/>
              <w:marBottom w:val="0"/>
              <w:divBdr>
                <w:top w:val="none" w:sz="0" w:space="0" w:color="auto"/>
                <w:left w:val="none" w:sz="0" w:space="0" w:color="auto"/>
                <w:bottom w:val="none" w:sz="0" w:space="0" w:color="auto"/>
                <w:right w:val="none" w:sz="0" w:space="0" w:color="auto"/>
              </w:divBdr>
              <w:divsChild>
                <w:div w:id="1142582774">
                  <w:marLeft w:val="0"/>
                  <w:marRight w:val="0"/>
                  <w:marTop w:val="0"/>
                  <w:marBottom w:val="0"/>
                  <w:divBdr>
                    <w:top w:val="none" w:sz="0" w:space="0" w:color="auto"/>
                    <w:left w:val="none" w:sz="0" w:space="0" w:color="auto"/>
                    <w:bottom w:val="none" w:sz="0" w:space="0" w:color="auto"/>
                    <w:right w:val="none" w:sz="0" w:space="0" w:color="auto"/>
                  </w:divBdr>
                </w:div>
              </w:divsChild>
            </w:div>
            <w:div w:id="480734689">
              <w:marLeft w:val="0"/>
              <w:marRight w:val="0"/>
              <w:marTop w:val="0"/>
              <w:marBottom w:val="0"/>
              <w:divBdr>
                <w:top w:val="none" w:sz="0" w:space="0" w:color="auto"/>
                <w:left w:val="none" w:sz="0" w:space="0" w:color="auto"/>
                <w:bottom w:val="none" w:sz="0" w:space="0" w:color="auto"/>
                <w:right w:val="none" w:sz="0" w:space="0" w:color="auto"/>
              </w:divBdr>
              <w:divsChild>
                <w:div w:id="525026556">
                  <w:marLeft w:val="0"/>
                  <w:marRight w:val="0"/>
                  <w:marTop w:val="0"/>
                  <w:marBottom w:val="0"/>
                  <w:divBdr>
                    <w:top w:val="none" w:sz="0" w:space="0" w:color="auto"/>
                    <w:left w:val="none" w:sz="0" w:space="0" w:color="auto"/>
                    <w:bottom w:val="none" w:sz="0" w:space="0" w:color="auto"/>
                    <w:right w:val="none" w:sz="0" w:space="0" w:color="auto"/>
                  </w:divBdr>
                </w:div>
              </w:divsChild>
            </w:div>
            <w:div w:id="594946645">
              <w:marLeft w:val="0"/>
              <w:marRight w:val="0"/>
              <w:marTop w:val="0"/>
              <w:marBottom w:val="0"/>
              <w:divBdr>
                <w:top w:val="none" w:sz="0" w:space="0" w:color="auto"/>
                <w:left w:val="none" w:sz="0" w:space="0" w:color="auto"/>
                <w:bottom w:val="none" w:sz="0" w:space="0" w:color="auto"/>
                <w:right w:val="none" w:sz="0" w:space="0" w:color="auto"/>
              </w:divBdr>
              <w:divsChild>
                <w:div w:id="1243679559">
                  <w:marLeft w:val="0"/>
                  <w:marRight w:val="0"/>
                  <w:marTop w:val="0"/>
                  <w:marBottom w:val="0"/>
                  <w:divBdr>
                    <w:top w:val="none" w:sz="0" w:space="0" w:color="auto"/>
                    <w:left w:val="none" w:sz="0" w:space="0" w:color="auto"/>
                    <w:bottom w:val="none" w:sz="0" w:space="0" w:color="auto"/>
                    <w:right w:val="none" w:sz="0" w:space="0" w:color="auto"/>
                  </w:divBdr>
                </w:div>
              </w:divsChild>
            </w:div>
            <w:div w:id="729231232">
              <w:marLeft w:val="0"/>
              <w:marRight w:val="0"/>
              <w:marTop w:val="0"/>
              <w:marBottom w:val="0"/>
              <w:divBdr>
                <w:top w:val="none" w:sz="0" w:space="0" w:color="auto"/>
                <w:left w:val="none" w:sz="0" w:space="0" w:color="auto"/>
                <w:bottom w:val="none" w:sz="0" w:space="0" w:color="auto"/>
                <w:right w:val="none" w:sz="0" w:space="0" w:color="auto"/>
              </w:divBdr>
              <w:divsChild>
                <w:div w:id="1120761625">
                  <w:marLeft w:val="0"/>
                  <w:marRight w:val="0"/>
                  <w:marTop w:val="0"/>
                  <w:marBottom w:val="0"/>
                  <w:divBdr>
                    <w:top w:val="none" w:sz="0" w:space="0" w:color="auto"/>
                    <w:left w:val="none" w:sz="0" w:space="0" w:color="auto"/>
                    <w:bottom w:val="none" w:sz="0" w:space="0" w:color="auto"/>
                    <w:right w:val="none" w:sz="0" w:space="0" w:color="auto"/>
                  </w:divBdr>
                </w:div>
              </w:divsChild>
            </w:div>
            <w:div w:id="785004003">
              <w:marLeft w:val="0"/>
              <w:marRight w:val="0"/>
              <w:marTop w:val="0"/>
              <w:marBottom w:val="0"/>
              <w:divBdr>
                <w:top w:val="none" w:sz="0" w:space="0" w:color="auto"/>
                <w:left w:val="none" w:sz="0" w:space="0" w:color="auto"/>
                <w:bottom w:val="none" w:sz="0" w:space="0" w:color="auto"/>
                <w:right w:val="none" w:sz="0" w:space="0" w:color="auto"/>
              </w:divBdr>
              <w:divsChild>
                <w:div w:id="1734160428">
                  <w:marLeft w:val="0"/>
                  <w:marRight w:val="0"/>
                  <w:marTop w:val="0"/>
                  <w:marBottom w:val="0"/>
                  <w:divBdr>
                    <w:top w:val="none" w:sz="0" w:space="0" w:color="auto"/>
                    <w:left w:val="none" w:sz="0" w:space="0" w:color="auto"/>
                    <w:bottom w:val="none" w:sz="0" w:space="0" w:color="auto"/>
                    <w:right w:val="none" w:sz="0" w:space="0" w:color="auto"/>
                  </w:divBdr>
                </w:div>
              </w:divsChild>
            </w:div>
            <w:div w:id="792601201">
              <w:marLeft w:val="0"/>
              <w:marRight w:val="0"/>
              <w:marTop w:val="0"/>
              <w:marBottom w:val="0"/>
              <w:divBdr>
                <w:top w:val="none" w:sz="0" w:space="0" w:color="auto"/>
                <w:left w:val="none" w:sz="0" w:space="0" w:color="auto"/>
                <w:bottom w:val="none" w:sz="0" w:space="0" w:color="auto"/>
                <w:right w:val="none" w:sz="0" w:space="0" w:color="auto"/>
              </w:divBdr>
              <w:divsChild>
                <w:div w:id="1653216599">
                  <w:marLeft w:val="0"/>
                  <w:marRight w:val="0"/>
                  <w:marTop w:val="0"/>
                  <w:marBottom w:val="0"/>
                  <w:divBdr>
                    <w:top w:val="none" w:sz="0" w:space="0" w:color="auto"/>
                    <w:left w:val="none" w:sz="0" w:space="0" w:color="auto"/>
                    <w:bottom w:val="none" w:sz="0" w:space="0" w:color="auto"/>
                    <w:right w:val="none" w:sz="0" w:space="0" w:color="auto"/>
                  </w:divBdr>
                </w:div>
              </w:divsChild>
            </w:div>
            <w:div w:id="860585836">
              <w:marLeft w:val="0"/>
              <w:marRight w:val="0"/>
              <w:marTop w:val="0"/>
              <w:marBottom w:val="0"/>
              <w:divBdr>
                <w:top w:val="none" w:sz="0" w:space="0" w:color="auto"/>
                <w:left w:val="none" w:sz="0" w:space="0" w:color="auto"/>
                <w:bottom w:val="none" w:sz="0" w:space="0" w:color="auto"/>
                <w:right w:val="none" w:sz="0" w:space="0" w:color="auto"/>
              </w:divBdr>
              <w:divsChild>
                <w:div w:id="538708641">
                  <w:marLeft w:val="0"/>
                  <w:marRight w:val="0"/>
                  <w:marTop w:val="0"/>
                  <w:marBottom w:val="0"/>
                  <w:divBdr>
                    <w:top w:val="none" w:sz="0" w:space="0" w:color="auto"/>
                    <w:left w:val="none" w:sz="0" w:space="0" w:color="auto"/>
                    <w:bottom w:val="none" w:sz="0" w:space="0" w:color="auto"/>
                    <w:right w:val="none" w:sz="0" w:space="0" w:color="auto"/>
                  </w:divBdr>
                </w:div>
                <w:div w:id="1080560365">
                  <w:marLeft w:val="0"/>
                  <w:marRight w:val="0"/>
                  <w:marTop w:val="0"/>
                  <w:marBottom w:val="0"/>
                  <w:divBdr>
                    <w:top w:val="none" w:sz="0" w:space="0" w:color="auto"/>
                    <w:left w:val="none" w:sz="0" w:space="0" w:color="auto"/>
                    <w:bottom w:val="none" w:sz="0" w:space="0" w:color="auto"/>
                    <w:right w:val="none" w:sz="0" w:space="0" w:color="auto"/>
                  </w:divBdr>
                </w:div>
                <w:div w:id="1272083722">
                  <w:marLeft w:val="0"/>
                  <w:marRight w:val="0"/>
                  <w:marTop w:val="0"/>
                  <w:marBottom w:val="0"/>
                  <w:divBdr>
                    <w:top w:val="none" w:sz="0" w:space="0" w:color="auto"/>
                    <w:left w:val="none" w:sz="0" w:space="0" w:color="auto"/>
                    <w:bottom w:val="none" w:sz="0" w:space="0" w:color="auto"/>
                    <w:right w:val="none" w:sz="0" w:space="0" w:color="auto"/>
                  </w:divBdr>
                </w:div>
              </w:divsChild>
            </w:div>
            <w:div w:id="932008530">
              <w:marLeft w:val="0"/>
              <w:marRight w:val="0"/>
              <w:marTop w:val="0"/>
              <w:marBottom w:val="0"/>
              <w:divBdr>
                <w:top w:val="none" w:sz="0" w:space="0" w:color="auto"/>
                <w:left w:val="none" w:sz="0" w:space="0" w:color="auto"/>
                <w:bottom w:val="none" w:sz="0" w:space="0" w:color="auto"/>
                <w:right w:val="none" w:sz="0" w:space="0" w:color="auto"/>
              </w:divBdr>
              <w:divsChild>
                <w:div w:id="1229539678">
                  <w:marLeft w:val="0"/>
                  <w:marRight w:val="0"/>
                  <w:marTop w:val="0"/>
                  <w:marBottom w:val="0"/>
                  <w:divBdr>
                    <w:top w:val="none" w:sz="0" w:space="0" w:color="auto"/>
                    <w:left w:val="none" w:sz="0" w:space="0" w:color="auto"/>
                    <w:bottom w:val="none" w:sz="0" w:space="0" w:color="auto"/>
                    <w:right w:val="none" w:sz="0" w:space="0" w:color="auto"/>
                  </w:divBdr>
                </w:div>
                <w:div w:id="2080203601">
                  <w:marLeft w:val="0"/>
                  <w:marRight w:val="0"/>
                  <w:marTop w:val="0"/>
                  <w:marBottom w:val="0"/>
                  <w:divBdr>
                    <w:top w:val="none" w:sz="0" w:space="0" w:color="auto"/>
                    <w:left w:val="none" w:sz="0" w:space="0" w:color="auto"/>
                    <w:bottom w:val="none" w:sz="0" w:space="0" w:color="auto"/>
                    <w:right w:val="none" w:sz="0" w:space="0" w:color="auto"/>
                  </w:divBdr>
                </w:div>
              </w:divsChild>
            </w:div>
            <w:div w:id="974218485">
              <w:marLeft w:val="0"/>
              <w:marRight w:val="0"/>
              <w:marTop w:val="0"/>
              <w:marBottom w:val="0"/>
              <w:divBdr>
                <w:top w:val="none" w:sz="0" w:space="0" w:color="auto"/>
                <w:left w:val="none" w:sz="0" w:space="0" w:color="auto"/>
                <w:bottom w:val="none" w:sz="0" w:space="0" w:color="auto"/>
                <w:right w:val="none" w:sz="0" w:space="0" w:color="auto"/>
              </w:divBdr>
              <w:divsChild>
                <w:div w:id="139467275">
                  <w:marLeft w:val="0"/>
                  <w:marRight w:val="0"/>
                  <w:marTop w:val="0"/>
                  <w:marBottom w:val="0"/>
                  <w:divBdr>
                    <w:top w:val="none" w:sz="0" w:space="0" w:color="auto"/>
                    <w:left w:val="none" w:sz="0" w:space="0" w:color="auto"/>
                    <w:bottom w:val="none" w:sz="0" w:space="0" w:color="auto"/>
                    <w:right w:val="none" w:sz="0" w:space="0" w:color="auto"/>
                  </w:divBdr>
                </w:div>
              </w:divsChild>
            </w:div>
            <w:div w:id="983464984">
              <w:marLeft w:val="0"/>
              <w:marRight w:val="0"/>
              <w:marTop w:val="0"/>
              <w:marBottom w:val="0"/>
              <w:divBdr>
                <w:top w:val="none" w:sz="0" w:space="0" w:color="auto"/>
                <w:left w:val="none" w:sz="0" w:space="0" w:color="auto"/>
                <w:bottom w:val="none" w:sz="0" w:space="0" w:color="auto"/>
                <w:right w:val="none" w:sz="0" w:space="0" w:color="auto"/>
              </w:divBdr>
              <w:divsChild>
                <w:div w:id="241767235">
                  <w:marLeft w:val="0"/>
                  <w:marRight w:val="0"/>
                  <w:marTop w:val="0"/>
                  <w:marBottom w:val="0"/>
                  <w:divBdr>
                    <w:top w:val="none" w:sz="0" w:space="0" w:color="auto"/>
                    <w:left w:val="none" w:sz="0" w:space="0" w:color="auto"/>
                    <w:bottom w:val="none" w:sz="0" w:space="0" w:color="auto"/>
                    <w:right w:val="none" w:sz="0" w:space="0" w:color="auto"/>
                  </w:divBdr>
                </w:div>
                <w:div w:id="251593072">
                  <w:marLeft w:val="0"/>
                  <w:marRight w:val="0"/>
                  <w:marTop w:val="0"/>
                  <w:marBottom w:val="0"/>
                  <w:divBdr>
                    <w:top w:val="none" w:sz="0" w:space="0" w:color="auto"/>
                    <w:left w:val="none" w:sz="0" w:space="0" w:color="auto"/>
                    <w:bottom w:val="none" w:sz="0" w:space="0" w:color="auto"/>
                    <w:right w:val="none" w:sz="0" w:space="0" w:color="auto"/>
                  </w:divBdr>
                </w:div>
              </w:divsChild>
            </w:div>
            <w:div w:id="1017122542">
              <w:marLeft w:val="0"/>
              <w:marRight w:val="0"/>
              <w:marTop w:val="0"/>
              <w:marBottom w:val="0"/>
              <w:divBdr>
                <w:top w:val="none" w:sz="0" w:space="0" w:color="auto"/>
                <w:left w:val="none" w:sz="0" w:space="0" w:color="auto"/>
                <w:bottom w:val="none" w:sz="0" w:space="0" w:color="auto"/>
                <w:right w:val="none" w:sz="0" w:space="0" w:color="auto"/>
              </w:divBdr>
              <w:divsChild>
                <w:div w:id="662977776">
                  <w:marLeft w:val="0"/>
                  <w:marRight w:val="0"/>
                  <w:marTop w:val="0"/>
                  <w:marBottom w:val="0"/>
                  <w:divBdr>
                    <w:top w:val="none" w:sz="0" w:space="0" w:color="auto"/>
                    <w:left w:val="none" w:sz="0" w:space="0" w:color="auto"/>
                    <w:bottom w:val="none" w:sz="0" w:space="0" w:color="auto"/>
                    <w:right w:val="none" w:sz="0" w:space="0" w:color="auto"/>
                  </w:divBdr>
                </w:div>
                <w:div w:id="1714619414">
                  <w:marLeft w:val="0"/>
                  <w:marRight w:val="0"/>
                  <w:marTop w:val="0"/>
                  <w:marBottom w:val="0"/>
                  <w:divBdr>
                    <w:top w:val="none" w:sz="0" w:space="0" w:color="auto"/>
                    <w:left w:val="none" w:sz="0" w:space="0" w:color="auto"/>
                    <w:bottom w:val="none" w:sz="0" w:space="0" w:color="auto"/>
                    <w:right w:val="none" w:sz="0" w:space="0" w:color="auto"/>
                  </w:divBdr>
                </w:div>
              </w:divsChild>
            </w:div>
            <w:div w:id="1073115862">
              <w:marLeft w:val="0"/>
              <w:marRight w:val="0"/>
              <w:marTop w:val="0"/>
              <w:marBottom w:val="0"/>
              <w:divBdr>
                <w:top w:val="none" w:sz="0" w:space="0" w:color="auto"/>
                <w:left w:val="none" w:sz="0" w:space="0" w:color="auto"/>
                <w:bottom w:val="none" w:sz="0" w:space="0" w:color="auto"/>
                <w:right w:val="none" w:sz="0" w:space="0" w:color="auto"/>
              </w:divBdr>
              <w:divsChild>
                <w:div w:id="1055812300">
                  <w:marLeft w:val="0"/>
                  <w:marRight w:val="0"/>
                  <w:marTop w:val="0"/>
                  <w:marBottom w:val="0"/>
                  <w:divBdr>
                    <w:top w:val="none" w:sz="0" w:space="0" w:color="auto"/>
                    <w:left w:val="none" w:sz="0" w:space="0" w:color="auto"/>
                    <w:bottom w:val="none" w:sz="0" w:space="0" w:color="auto"/>
                    <w:right w:val="none" w:sz="0" w:space="0" w:color="auto"/>
                  </w:divBdr>
                </w:div>
              </w:divsChild>
            </w:div>
            <w:div w:id="1139155333">
              <w:marLeft w:val="0"/>
              <w:marRight w:val="0"/>
              <w:marTop w:val="0"/>
              <w:marBottom w:val="0"/>
              <w:divBdr>
                <w:top w:val="none" w:sz="0" w:space="0" w:color="auto"/>
                <w:left w:val="none" w:sz="0" w:space="0" w:color="auto"/>
                <w:bottom w:val="none" w:sz="0" w:space="0" w:color="auto"/>
                <w:right w:val="none" w:sz="0" w:space="0" w:color="auto"/>
              </w:divBdr>
              <w:divsChild>
                <w:div w:id="457837931">
                  <w:marLeft w:val="0"/>
                  <w:marRight w:val="0"/>
                  <w:marTop w:val="0"/>
                  <w:marBottom w:val="0"/>
                  <w:divBdr>
                    <w:top w:val="none" w:sz="0" w:space="0" w:color="auto"/>
                    <w:left w:val="none" w:sz="0" w:space="0" w:color="auto"/>
                    <w:bottom w:val="none" w:sz="0" w:space="0" w:color="auto"/>
                    <w:right w:val="none" w:sz="0" w:space="0" w:color="auto"/>
                  </w:divBdr>
                </w:div>
              </w:divsChild>
            </w:div>
            <w:div w:id="1177422800">
              <w:marLeft w:val="0"/>
              <w:marRight w:val="0"/>
              <w:marTop w:val="0"/>
              <w:marBottom w:val="0"/>
              <w:divBdr>
                <w:top w:val="none" w:sz="0" w:space="0" w:color="auto"/>
                <w:left w:val="none" w:sz="0" w:space="0" w:color="auto"/>
                <w:bottom w:val="none" w:sz="0" w:space="0" w:color="auto"/>
                <w:right w:val="none" w:sz="0" w:space="0" w:color="auto"/>
              </w:divBdr>
              <w:divsChild>
                <w:div w:id="693456159">
                  <w:marLeft w:val="0"/>
                  <w:marRight w:val="0"/>
                  <w:marTop w:val="0"/>
                  <w:marBottom w:val="0"/>
                  <w:divBdr>
                    <w:top w:val="none" w:sz="0" w:space="0" w:color="auto"/>
                    <w:left w:val="none" w:sz="0" w:space="0" w:color="auto"/>
                    <w:bottom w:val="none" w:sz="0" w:space="0" w:color="auto"/>
                    <w:right w:val="none" w:sz="0" w:space="0" w:color="auto"/>
                  </w:divBdr>
                </w:div>
              </w:divsChild>
            </w:div>
            <w:div w:id="1266501958">
              <w:marLeft w:val="0"/>
              <w:marRight w:val="0"/>
              <w:marTop w:val="0"/>
              <w:marBottom w:val="0"/>
              <w:divBdr>
                <w:top w:val="none" w:sz="0" w:space="0" w:color="auto"/>
                <w:left w:val="none" w:sz="0" w:space="0" w:color="auto"/>
                <w:bottom w:val="none" w:sz="0" w:space="0" w:color="auto"/>
                <w:right w:val="none" w:sz="0" w:space="0" w:color="auto"/>
              </w:divBdr>
              <w:divsChild>
                <w:div w:id="818619777">
                  <w:marLeft w:val="0"/>
                  <w:marRight w:val="0"/>
                  <w:marTop w:val="0"/>
                  <w:marBottom w:val="0"/>
                  <w:divBdr>
                    <w:top w:val="none" w:sz="0" w:space="0" w:color="auto"/>
                    <w:left w:val="none" w:sz="0" w:space="0" w:color="auto"/>
                    <w:bottom w:val="none" w:sz="0" w:space="0" w:color="auto"/>
                    <w:right w:val="none" w:sz="0" w:space="0" w:color="auto"/>
                  </w:divBdr>
                </w:div>
              </w:divsChild>
            </w:div>
            <w:div w:id="1299149421">
              <w:marLeft w:val="0"/>
              <w:marRight w:val="0"/>
              <w:marTop w:val="0"/>
              <w:marBottom w:val="0"/>
              <w:divBdr>
                <w:top w:val="none" w:sz="0" w:space="0" w:color="auto"/>
                <w:left w:val="none" w:sz="0" w:space="0" w:color="auto"/>
                <w:bottom w:val="none" w:sz="0" w:space="0" w:color="auto"/>
                <w:right w:val="none" w:sz="0" w:space="0" w:color="auto"/>
              </w:divBdr>
              <w:divsChild>
                <w:div w:id="338168031">
                  <w:marLeft w:val="0"/>
                  <w:marRight w:val="0"/>
                  <w:marTop w:val="0"/>
                  <w:marBottom w:val="0"/>
                  <w:divBdr>
                    <w:top w:val="none" w:sz="0" w:space="0" w:color="auto"/>
                    <w:left w:val="none" w:sz="0" w:space="0" w:color="auto"/>
                    <w:bottom w:val="none" w:sz="0" w:space="0" w:color="auto"/>
                    <w:right w:val="none" w:sz="0" w:space="0" w:color="auto"/>
                  </w:divBdr>
                </w:div>
                <w:div w:id="1946494727">
                  <w:marLeft w:val="0"/>
                  <w:marRight w:val="0"/>
                  <w:marTop w:val="0"/>
                  <w:marBottom w:val="0"/>
                  <w:divBdr>
                    <w:top w:val="none" w:sz="0" w:space="0" w:color="auto"/>
                    <w:left w:val="none" w:sz="0" w:space="0" w:color="auto"/>
                    <w:bottom w:val="none" w:sz="0" w:space="0" w:color="auto"/>
                    <w:right w:val="none" w:sz="0" w:space="0" w:color="auto"/>
                  </w:divBdr>
                </w:div>
              </w:divsChild>
            </w:div>
            <w:div w:id="1317688445">
              <w:marLeft w:val="0"/>
              <w:marRight w:val="0"/>
              <w:marTop w:val="0"/>
              <w:marBottom w:val="0"/>
              <w:divBdr>
                <w:top w:val="none" w:sz="0" w:space="0" w:color="auto"/>
                <w:left w:val="none" w:sz="0" w:space="0" w:color="auto"/>
                <w:bottom w:val="none" w:sz="0" w:space="0" w:color="auto"/>
                <w:right w:val="none" w:sz="0" w:space="0" w:color="auto"/>
              </w:divBdr>
              <w:divsChild>
                <w:div w:id="730661707">
                  <w:marLeft w:val="0"/>
                  <w:marRight w:val="0"/>
                  <w:marTop w:val="0"/>
                  <w:marBottom w:val="0"/>
                  <w:divBdr>
                    <w:top w:val="none" w:sz="0" w:space="0" w:color="auto"/>
                    <w:left w:val="none" w:sz="0" w:space="0" w:color="auto"/>
                    <w:bottom w:val="none" w:sz="0" w:space="0" w:color="auto"/>
                    <w:right w:val="none" w:sz="0" w:space="0" w:color="auto"/>
                  </w:divBdr>
                </w:div>
              </w:divsChild>
            </w:div>
            <w:div w:id="1588660282">
              <w:marLeft w:val="0"/>
              <w:marRight w:val="0"/>
              <w:marTop w:val="0"/>
              <w:marBottom w:val="0"/>
              <w:divBdr>
                <w:top w:val="none" w:sz="0" w:space="0" w:color="auto"/>
                <w:left w:val="none" w:sz="0" w:space="0" w:color="auto"/>
                <w:bottom w:val="none" w:sz="0" w:space="0" w:color="auto"/>
                <w:right w:val="none" w:sz="0" w:space="0" w:color="auto"/>
              </w:divBdr>
              <w:divsChild>
                <w:div w:id="1034773810">
                  <w:marLeft w:val="0"/>
                  <w:marRight w:val="0"/>
                  <w:marTop w:val="0"/>
                  <w:marBottom w:val="0"/>
                  <w:divBdr>
                    <w:top w:val="none" w:sz="0" w:space="0" w:color="auto"/>
                    <w:left w:val="none" w:sz="0" w:space="0" w:color="auto"/>
                    <w:bottom w:val="none" w:sz="0" w:space="0" w:color="auto"/>
                    <w:right w:val="none" w:sz="0" w:space="0" w:color="auto"/>
                  </w:divBdr>
                </w:div>
              </w:divsChild>
            </w:div>
            <w:div w:id="1588727853">
              <w:marLeft w:val="0"/>
              <w:marRight w:val="0"/>
              <w:marTop w:val="0"/>
              <w:marBottom w:val="0"/>
              <w:divBdr>
                <w:top w:val="none" w:sz="0" w:space="0" w:color="auto"/>
                <w:left w:val="none" w:sz="0" w:space="0" w:color="auto"/>
                <w:bottom w:val="none" w:sz="0" w:space="0" w:color="auto"/>
                <w:right w:val="none" w:sz="0" w:space="0" w:color="auto"/>
              </w:divBdr>
              <w:divsChild>
                <w:div w:id="593973793">
                  <w:marLeft w:val="0"/>
                  <w:marRight w:val="0"/>
                  <w:marTop w:val="0"/>
                  <w:marBottom w:val="0"/>
                  <w:divBdr>
                    <w:top w:val="none" w:sz="0" w:space="0" w:color="auto"/>
                    <w:left w:val="none" w:sz="0" w:space="0" w:color="auto"/>
                    <w:bottom w:val="none" w:sz="0" w:space="0" w:color="auto"/>
                    <w:right w:val="none" w:sz="0" w:space="0" w:color="auto"/>
                  </w:divBdr>
                </w:div>
              </w:divsChild>
            </w:div>
            <w:div w:id="1616207997">
              <w:marLeft w:val="0"/>
              <w:marRight w:val="0"/>
              <w:marTop w:val="0"/>
              <w:marBottom w:val="0"/>
              <w:divBdr>
                <w:top w:val="none" w:sz="0" w:space="0" w:color="auto"/>
                <w:left w:val="none" w:sz="0" w:space="0" w:color="auto"/>
                <w:bottom w:val="none" w:sz="0" w:space="0" w:color="auto"/>
                <w:right w:val="none" w:sz="0" w:space="0" w:color="auto"/>
              </w:divBdr>
              <w:divsChild>
                <w:div w:id="53050392">
                  <w:marLeft w:val="0"/>
                  <w:marRight w:val="0"/>
                  <w:marTop w:val="0"/>
                  <w:marBottom w:val="0"/>
                  <w:divBdr>
                    <w:top w:val="none" w:sz="0" w:space="0" w:color="auto"/>
                    <w:left w:val="none" w:sz="0" w:space="0" w:color="auto"/>
                    <w:bottom w:val="none" w:sz="0" w:space="0" w:color="auto"/>
                    <w:right w:val="none" w:sz="0" w:space="0" w:color="auto"/>
                  </w:divBdr>
                </w:div>
              </w:divsChild>
            </w:div>
            <w:div w:id="1714497806">
              <w:marLeft w:val="0"/>
              <w:marRight w:val="0"/>
              <w:marTop w:val="0"/>
              <w:marBottom w:val="0"/>
              <w:divBdr>
                <w:top w:val="none" w:sz="0" w:space="0" w:color="auto"/>
                <w:left w:val="none" w:sz="0" w:space="0" w:color="auto"/>
                <w:bottom w:val="none" w:sz="0" w:space="0" w:color="auto"/>
                <w:right w:val="none" w:sz="0" w:space="0" w:color="auto"/>
              </w:divBdr>
              <w:divsChild>
                <w:div w:id="1139881190">
                  <w:marLeft w:val="0"/>
                  <w:marRight w:val="0"/>
                  <w:marTop w:val="0"/>
                  <w:marBottom w:val="0"/>
                  <w:divBdr>
                    <w:top w:val="none" w:sz="0" w:space="0" w:color="auto"/>
                    <w:left w:val="none" w:sz="0" w:space="0" w:color="auto"/>
                    <w:bottom w:val="none" w:sz="0" w:space="0" w:color="auto"/>
                    <w:right w:val="none" w:sz="0" w:space="0" w:color="auto"/>
                  </w:divBdr>
                </w:div>
              </w:divsChild>
            </w:div>
            <w:div w:id="1718891833">
              <w:marLeft w:val="0"/>
              <w:marRight w:val="0"/>
              <w:marTop w:val="0"/>
              <w:marBottom w:val="0"/>
              <w:divBdr>
                <w:top w:val="none" w:sz="0" w:space="0" w:color="auto"/>
                <w:left w:val="none" w:sz="0" w:space="0" w:color="auto"/>
                <w:bottom w:val="none" w:sz="0" w:space="0" w:color="auto"/>
                <w:right w:val="none" w:sz="0" w:space="0" w:color="auto"/>
              </w:divBdr>
              <w:divsChild>
                <w:div w:id="862086955">
                  <w:marLeft w:val="0"/>
                  <w:marRight w:val="0"/>
                  <w:marTop w:val="0"/>
                  <w:marBottom w:val="0"/>
                  <w:divBdr>
                    <w:top w:val="none" w:sz="0" w:space="0" w:color="auto"/>
                    <w:left w:val="none" w:sz="0" w:space="0" w:color="auto"/>
                    <w:bottom w:val="none" w:sz="0" w:space="0" w:color="auto"/>
                    <w:right w:val="none" w:sz="0" w:space="0" w:color="auto"/>
                  </w:divBdr>
                </w:div>
                <w:div w:id="2142503675">
                  <w:marLeft w:val="0"/>
                  <w:marRight w:val="0"/>
                  <w:marTop w:val="0"/>
                  <w:marBottom w:val="0"/>
                  <w:divBdr>
                    <w:top w:val="none" w:sz="0" w:space="0" w:color="auto"/>
                    <w:left w:val="none" w:sz="0" w:space="0" w:color="auto"/>
                    <w:bottom w:val="none" w:sz="0" w:space="0" w:color="auto"/>
                    <w:right w:val="none" w:sz="0" w:space="0" w:color="auto"/>
                  </w:divBdr>
                </w:div>
              </w:divsChild>
            </w:div>
            <w:div w:id="1752001511">
              <w:marLeft w:val="0"/>
              <w:marRight w:val="0"/>
              <w:marTop w:val="0"/>
              <w:marBottom w:val="0"/>
              <w:divBdr>
                <w:top w:val="none" w:sz="0" w:space="0" w:color="auto"/>
                <w:left w:val="none" w:sz="0" w:space="0" w:color="auto"/>
                <w:bottom w:val="none" w:sz="0" w:space="0" w:color="auto"/>
                <w:right w:val="none" w:sz="0" w:space="0" w:color="auto"/>
              </w:divBdr>
              <w:divsChild>
                <w:div w:id="213860057">
                  <w:marLeft w:val="0"/>
                  <w:marRight w:val="0"/>
                  <w:marTop w:val="0"/>
                  <w:marBottom w:val="0"/>
                  <w:divBdr>
                    <w:top w:val="none" w:sz="0" w:space="0" w:color="auto"/>
                    <w:left w:val="none" w:sz="0" w:space="0" w:color="auto"/>
                    <w:bottom w:val="none" w:sz="0" w:space="0" w:color="auto"/>
                    <w:right w:val="none" w:sz="0" w:space="0" w:color="auto"/>
                  </w:divBdr>
                </w:div>
                <w:div w:id="670376545">
                  <w:marLeft w:val="0"/>
                  <w:marRight w:val="0"/>
                  <w:marTop w:val="0"/>
                  <w:marBottom w:val="0"/>
                  <w:divBdr>
                    <w:top w:val="none" w:sz="0" w:space="0" w:color="auto"/>
                    <w:left w:val="none" w:sz="0" w:space="0" w:color="auto"/>
                    <w:bottom w:val="none" w:sz="0" w:space="0" w:color="auto"/>
                    <w:right w:val="none" w:sz="0" w:space="0" w:color="auto"/>
                  </w:divBdr>
                </w:div>
              </w:divsChild>
            </w:div>
            <w:div w:id="1771974020">
              <w:marLeft w:val="0"/>
              <w:marRight w:val="0"/>
              <w:marTop w:val="0"/>
              <w:marBottom w:val="0"/>
              <w:divBdr>
                <w:top w:val="none" w:sz="0" w:space="0" w:color="auto"/>
                <w:left w:val="none" w:sz="0" w:space="0" w:color="auto"/>
                <w:bottom w:val="none" w:sz="0" w:space="0" w:color="auto"/>
                <w:right w:val="none" w:sz="0" w:space="0" w:color="auto"/>
              </w:divBdr>
              <w:divsChild>
                <w:div w:id="307638301">
                  <w:marLeft w:val="0"/>
                  <w:marRight w:val="0"/>
                  <w:marTop w:val="0"/>
                  <w:marBottom w:val="0"/>
                  <w:divBdr>
                    <w:top w:val="none" w:sz="0" w:space="0" w:color="auto"/>
                    <w:left w:val="none" w:sz="0" w:space="0" w:color="auto"/>
                    <w:bottom w:val="none" w:sz="0" w:space="0" w:color="auto"/>
                    <w:right w:val="none" w:sz="0" w:space="0" w:color="auto"/>
                  </w:divBdr>
                </w:div>
              </w:divsChild>
            </w:div>
            <w:div w:id="1801922123">
              <w:marLeft w:val="0"/>
              <w:marRight w:val="0"/>
              <w:marTop w:val="0"/>
              <w:marBottom w:val="0"/>
              <w:divBdr>
                <w:top w:val="none" w:sz="0" w:space="0" w:color="auto"/>
                <w:left w:val="none" w:sz="0" w:space="0" w:color="auto"/>
                <w:bottom w:val="none" w:sz="0" w:space="0" w:color="auto"/>
                <w:right w:val="none" w:sz="0" w:space="0" w:color="auto"/>
              </w:divBdr>
              <w:divsChild>
                <w:div w:id="1062363873">
                  <w:marLeft w:val="0"/>
                  <w:marRight w:val="0"/>
                  <w:marTop w:val="0"/>
                  <w:marBottom w:val="0"/>
                  <w:divBdr>
                    <w:top w:val="none" w:sz="0" w:space="0" w:color="auto"/>
                    <w:left w:val="none" w:sz="0" w:space="0" w:color="auto"/>
                    <w:bottom w:val="none" w:sz="0" w:space="0" w:color="auto"/>
                    <w:right w:val="none" w:sz="0" w:space="0" w:color="auto"/>
                  </w:divBdr>
                </w:div>
              </w:divsChild>
            </w:div>
            <w:div w:id="1828745294">
              <w:marLeft w:val="0"/>
              <w:marRight w:val="0"/>
              <w:marTop w:val="0"/>
              <w:marBottom w:val="0"/>
              <w:divBdr>
                <w:top w:val="none" w:sz="0" w:space="0" w:color="auto"/>
                <w:left w:val="none" w:sz="0" w:space="0" w:color="auto"/>
                <w:bottom w:val="none" w:sz="0" w:space="0" w:color="auto"/>
                <w:right w:val="none" w:sz="0" w:space="0" w:color="auto"/>
              </w:divBdr>
              <w:divsChild>
                <w:div w:id="2019500394">
                  <w:marLeft w:val="0"/>
                  <w:marRight w:val="0"/>
                  <w:marTop w:val="0"/>
                  <w:marBottom w:val="0"/>
                  <w:divBdr>
                    <w:top w:val="none" w:sz="0" w:space="0" w:color="auto"/>
                    <w:left w:val="none" w:sz="0" w:space="0" w:color="auto"/>
                    <w:bottom w:val="none" w:sz="0" w:space="0" w:color="auto"/>
                    <w:right w:val="none" w:sz="0" w:space="0" w:color="auto"/>
                  </w:divBdr>
                </w:div>
              </w:divsChild>
            </w:div>
            <w:div w:id="1980457095">
              <w:marLeft w:val="0"/>
              <w:marRight w:val="0"/>
              <w:marTop w:val="0"/>
              <w:marBottom w:val="0"/>
              <w:divBdr>
                <w:top w:val="none" w:sz="0" w:space="0" w:color="auto"/>
                <w:left w:val="none" w:sz="0" w:space="0" w:color="auto"/>
                <w:bottom w:val="none" w:sz="0" w:space="0" w:color="auto"/>
                <w:right w:val="none" w:sz="0" w:space="0" w:color="auto"/>
              </w:divBdr>
              <w:divsChild>
                <w:div w:id="1076437791">
                  <w:marLeft w:val="0"/>
                  <w:marRight w:val="0"/>
                  <w:marTop w:val="0"/>
                  <w:marBottom w:val="0"/>
                  <w:divBdr>
                    <w:top w:val="none" w:sz="0" w:space="0" w:color="auto"/>
                    <w:left w:val="none" w:sz="0" w:space="0" w:color="auto"/>
                    <w:bottom w:val="none" w:sz="0" w:space="0" w:color="auto"/>
                    <w:right w:val="none" w:sz="0" w:space="0" w:color="auto"/>
                  </w:divBdr>
                </w:div>
              </w:divsChild>
            </w:div>
            <w:div w:id="2007514271">
              <w:marLeft w:val="0"/>
              <w:marRight w:val="0"/>
              <w:marTop w:val="0"/>
              <w:marBottom w:val="0"/>
              <w:divBdr>
                <w:top w:val="none" w:sz="0" w:space="0" w:color="auto"/>
                <w:left w:val="none" w:sz="0" w:space="0" w:color="auto"/>
                <w:bottom w:val="none" w:sz="0" w:space="0" w:color="auto"/>
                <w:right w:val="none" w:sz="0" w:space="0" w:color="auto"/>
              </w:divBdr>
              <w:divsChild>
                <w:div w:id="492263917">
                  <w:marLeft w:val="0"/>
                  <w:marRight w:val="0"/>
                  <w:marTop w:val="0"/>
                  <w:marBottom w:val="0"/>
                  <w:divBdr>
                    <w:top w:val="none" w:sz="0" w:space="0" w:color="auto"/>
                    <w:left w:val="none" w:sz="0" w:space="0" w:color="auto"/>
                    <w:bottom w:val="none" w:sz="0" w:space="0" w:color="auto"/>
                    <w:right w:val="none" w:sz="0" w:space="0" w:color="auto"/>
                  </w:divBdr>
                </w:div>
              </w:divsChild>
            </w:div>
            <w:div w:id="2084449495">
              <w:marLeft w:val="0"/>
              <w:marRight w:val="0"/>
              <w:marTop w:val="0"/>
              <w:marBottom w:val="0"/>
              <w:divBdr>
                <w:top w:val="none" w:sz="0" w:space="0" w:color="auto"/>
                <w:left w:val="none" w:sz="0" w:space="0" w:color="auto"/>
                <w:bottom w:val="none" w:sz="0" w:space="0" w:color="auto"/>
                <w:right w:val="none" w:sz="0" w:space="0" w:color="auto"/>
              </w:divBdr>
              <w:divsChild>
                <w:div w:id="1564489081">
                  <w:marLeft w:val="0"/>
                  <w:marRight w:val="0"/>
                  <w:marTop w:val="0"/>
                  <w:marBottom w:val="0"/>
                  <w:divBdr>
                    <w:top w:val="none" w:sz="0" w:space="0" w:color="auto"/>
                    <w:left w:val="none" w:sz="0" w:space="0" w:color="auto"/>
                    <w:bottom w:val="none" w:sz="0" w:space="0" w:color="auto"/>
                    <w:right w:val="none" w:sz="0" w:space="0" w:color="auto"/>
                  </w:divBdr>
                </w:div>
              </w:divsChild>
            </w:div>
            <w:div w:id="2129815320">
              <w:marLeft w:val="0"/>
              <w:marRight w:val="0"/>
              <w:marTop w:val="0"/>
              <w:marBottom w:val="0"/>
              <w:divBdr>
                <w:top w:val="none" w:sz="0" w:space="0" w:color="auto"/>
                <w:left w:val="none" w:sz="0" w:space="0" w:color="auto"/>
                <w:bottom w:val="none" w:sz="0" w:space="0" w:color="auto"/>
                <w:right w:val="none" w:sz="0" w:space="0" w:color="auto"/>
              </w:divBdr>
              <w:divsChild>
                <w:div w:id="3363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67408">
      <w:bodyDiv w:val="1"/>
      <w:marLeft w:val="0"/>
      <w:marRight w:val="0"/>
      <w:marTop w:val="0"/>
      <w:marBottom w:val="0"/>
      <w:divBdr>
        <w:top w:val="none" w:sz="0" w:space="0" w:color="auto"/>
        <w:left w:val="none" w:sz="0" w:space="0" w:color="auto"/>
        <w:bottom w:val="none" w:sz="0" w:space="0" w:color="auto"/>
        <w:right w:val="none" w:sz="0" w:space="0" w:color="auto"/>
      </w:divBdr>
    </w:div>
    <w:div w:id="403138570">
      <w:bodyDiv w:val="1"/>
      <w:marLeft w:val="0"/>
      <w:marRight w:val="0"/>
      <w:marTop w:val="0"/>
      <w:marBottom w:val="0"/>
      <w:divBdr>
        <w:top w:val="none" w:sz="0" w:space="0" w:color="auto"/>
        <w:left w:val="none" w:sz="0" w:space="0" w:color="auto"/>
        <w:bottom w:val="none" w:sz="0" w:space="0" w:color="auto"/>
        <w:right w:val="none" w:sz="0" w:space="0" w:color="auto"/>
      </w:divBdr>
    </w:div>
    <w:div w:id="409935488">
      <w:bodyDiv w:val="1"/>
      <w:marLeft w:val="0"/>
      <w:marRight w:val="0"/>
      <w:marTop w:val="0"/>
      <w:marBottom w:val="0"/>
      <w:divBdr>
        <w:top w:val="none" w:sz="0" w:space="0" w:color="auto"/>
        <w:left w:val="none" w:sz="0" w:space="0" w:color="auto"/>
        <w:bottom w:val="none" w:sz="0" w:space="0" w:color="auto"/>
        <w:right w:val="none" w:sz="0" w:space="0" w:color="auto"/>
      </w:divBdr>
    </w:div>
    <w:div w:id="428087926">
      <w:bodyDiv w:val="1"/>
      <w:marLeft w:val="0"/>
      <w:marRight w:val="0"/>
      <w:marTop w:val="0"/>
      <w:marBottom w:val="0"/>
      <w:divBdr>
        <w:top w:val="none" w:sz="0" w:space="0" w:color="auto"/>
        <w:left w:val="none" w:sz="0" w:space="0" w:color="auto"/>
        <w:bottom w:val="none" w:sz="0" w:space="0" w:color="auto"/>
        <w:right w:val="none" w:sz="0" w:space="0" w:color="auto"/>
      </w:divBdr>
    </w:div>
    <w:div w:id="439572398">
      <w:bodyDiv w:val="1"/>
      <w:marLeft w:val="0"/>
      <w:marRight w:val="0"/>
      <w:marTop w:val="0"/>
      <w:marBottom w:val="0"/>
      <w:divBdr>
        <w:top w:val="none" w:sz="0" w:space="0" w:color="auto"/>
        <w:left w:val="none" w:sz="0" w:space="0" w:color="auto"/>
        <w:bottom w:val="none" w:sz="0" w:space="0" w:color="auto"/>
        <w:right w:val="none" w:sz="0" w:space="0" w:color="auto"/>
      </w:divBdr>
    </w:div>
    <w:div w:id="453717817">
      <w:bodyDiv w:val="1"/>
      <w:marLeft w:val="0"/>
      <w:marRight w:val="0"/>
      <w:marTop w:val="0"/>
      <w:marBottom w:val="0"/>
      <w:divBdr>
        <w:top w:val="none" w:sz="0" w:space="0" w:color="auto"/>
        <w:left w:val="none" w:sz="0" w:space="0" w:color="auto"/>
        <w:bottom w:val="none" w:sz="0" w:space="0" w:color="auto"/>
        <w:right w:val="none" w:sz="0" w:space="0" w:color="auto"/>
      </w:divBdr>
    </w:div>
    <w:div w:id="456990991">
      <w:bodyDiv w:val="1"/>
      <w:marLeft w:val="0"/>
      <w:marRight w:val="0"/>
      <w:marTop w:val="0"/>
      <w:marBottom w:val="0"/>
      <w:divBdr>
        <w:top w:val="none" w:sz="0" w:space="0" w:color="auto"/>
        <w:left w:val="none" w:sz="0" w:space="0" w:color="auto"/>
        <w:bottom w:val="none" w:sz="0" w:space="0" w:color="auto"/>
        <w:right w:val="none" w:sz="0" w:space="0" w:color="auto"/>
      </w:divBdr>
    </w:div>
    <w:div w:id="476608844">
      <w:bodyDiv w:val="1"/>
      <w:marLeft w:val="0"/>
      <w:marRight w:val="0"/>
      <w:marTop w:val="0"/>
      <w:marBottom w:val="0"/>
      <w:divBdr>
        <w:top w:val="none" w:sz="0" w:space="0" w:color="auto"/>
        <w:left w:val="none" w:sz="0" w:space="0" w:color="auto"/>
        <w:bottom w:val="none" w:sz="0" w:space="0" w:color="auto"/>
        <w:right w:val="none" w:sz="0" w:space="0" w:color="auto"/>
      </w:divBdr>
      <w:divsChild>
        <w:div w:id="617687220">
          <w:marLeft w:val="0"/>
          <w:marRight w:val="0"/>
          <w:marTop w:val="0"/>
          <w:marBottom w:val="0"/>
          <w:divBdr>
            <w:top w:val="none" w:sz="0" w:space="0" w:color="auto"/>
            <w:left w:val="none" w:sz="0" w:space="0" w:color="auto"/>
            <w:bottom w:val="none" w:sz="0" w:space="0" w:color="auto"/>
            <w:right w:val="none" w:sz="0" w:space="0" w:color="auto"/>
          </w:divBdr>
          <w:divsChild>
            <w:div w:id="751201859">
              <w:marLeft w:val="0"/>
              <w:marRight w:val="0"/>
              <w:marTop w:val="30"/>
              <w:marBottom w:val="30"/>
              <w:divBdr>
                <w:top w:val="none" w:sz="0" w:space="0" w:color="auto"/>
                <w:left w:val="none" w:sz="0" w:space="0" w:color="auto"/>
                <w:bottom w:val="none" w:sz="0" w:space="0" w:color="auto"/>
                <w:right w:val="none" w:sz="0" w:space="0" w:color="auto"/>
              </w:divBdr>
              <w:divsChild>
                <w:div w:id="4135842">
                  <w:marLeft w:val="0"/>
                  <w:marRight w:val="0"/>
                  <w:marTop w:val="0"/>
                  <w:marBottom w:val="0"/>
                  <w:divBdr>
                    <w:top w:val="none" w:sz="0" w:space="0" w:color="auto"/>
                    <w:left w:val="none" w:sz="0" w:space="0" w:color="auto"/>
                    <w:bottom w:val="none" w:sz="0" w:space="0" w:color="auto"/>
                    <w:right w:val="none" w:sz="0" w:space="0" w:color="auto"/>
                  </w:divBdr>
                  <w:divsChild>
                    <w:div w:id="1949770621">
                      <w:marLeft w:val="0"/>
                      <w:marRight w:val="0"/>
                      <w:marTop w:val="0"/>
                      <w:marBottom w:val="0"/>
                      <w:divBdr>
                        <w:top w:val="none" w:sz="0" w:space="0" w:color="auto"/>
                        <w:left w:val="none" w:sz="0" w:space="0" w:color="auto"/>
                        <w:bottom w:val="none" w:sz="0" w:space="0" w:color="auto"/>
                        <w:right w:val="none" w:sz="0" w:space="0" w:color="auto"/>
                      </w:divBdr>
                    </w:div>
                  </w:divsChild>
                </w:div>
                <w:div w:id="6299138">
                  <w:marLeft w:val="0"/>
                  <w:marRight w:val="0"/>
                  <w:marTop w:val="0"/>
                  <w:marBottom w:val="0"/>
                  <w:divBdr>
                    <w:top w:val="none" w:sz="0" w:space="0" w:color="auto"/>
                    <w:left w:val="none" w:sz="0" w:space="0" w:color="auto"/>
                    <w:bottom w:val="none" w:sz="0" w:space="0" w:color="auto"/>
                    <w:right w:val="none" w:sz="0" w:space="0" w:color="auto"/>
                  </w:divBdr>
                  <w:divsChild>
                    <w:div w:id="1455362706">
                      <w:marLeft w:val="0"/>
                      <w:marRight w:val="0"/>
                      <w:marTop w:val="0"/>
                      <w:marBottom w:val="0"/>
                      <w:divBdr>
                        <w:top w:val="none" w:sz="0" w:space="0" w:color="auto"/>
                        <w:left w:val="none" w:sz="0" w:space="0" w:color="auto"/>
                        <w:bottom w:val="none" w:sz="0" w:space="0" w:color="auto"/>
                        <w:right w:val="none" w:sz="0" w:space="0" w:color="auto"/>
                      </w:divBdr>
                    </w:div>
                  </w:divsChild>
                </w:div>
                <w:div w:id="10298340">
                  <w:marLeft w:val="0"/>
                  <w:marRight w:val="0"/>
                  <w:marTop w:val="0"/>
                  <w:marBottom w:val="0"/>
                  <w:divBdr>
                    <w:top w:val="none" w:sz="0" w:space="0" w:color="auto"/>
                    <w:left w:val="none" w:sz="0" w:space="0" w:color="auto"/>
                    <w:bottom w:val="none" w:sz="0" w:space="0" w:color="auto"/>
                    <w:right w:val="none" w:sz="0" w:space="0" w:color="auto"/>
                  </w:divBdr>
                  <w:divsChild>
                    <w:div w:id="1980379927">
                      <w:marLeft w:val="0"/>
                      <w:marRight w:val="0"/>
                      <w:marTop w:val="0"/>
                      <w:marBottom w:val="0"/>
                      <w:divBdr>
                        <w:top w:val="none" w:sz="0" w:space="0" w:color="auto"/>
                        <w:left w:val="none" w:sz="0" w:space="0" w:color="auto"/>
                        <w:bottom w:val="none" w:sz="0" w:space="0" w:color="auto"/>
                        <w:right w:val="none" w:sz="0" w:space="0" w:color="auto"/>
                      </w:divBdr>
                    </w:div>
                  </w:divsChild>
                </w:div>
                <w:div w:id="11035048">
                  <w:marLeft w:val="0"/>
                  <w:marRight w:val="0"/>
                  <w:marTop w:val="0"/>
                  <w:marBottom w:val="0"/>
                  <w:divBdr>
                    <w:top w:val="none" w:sz="0" w:space="0" w:color="auto"/>
                    <w:left w:val="none" w:sz="0" w:space="0" w:color="auto"/>
                    <w:bottom w:val="none" w:sz="0" w:space="0" w:color="auto"/>
                    <w:right w:val="none" w:sz="0" w:space="0" w:color="auto"/>
                  </w:divBdr>
                  <w:divsChild>
                    <w:div w:id="1210066089">
                      <w:marLeft w:val="0"/>
                      <w:marRight w:val="0"/>
                      <w:marTop w:val="0"/>
                      <w:marBottom w:val="0"/>
                      <w:divBdr>
                        <w:top w:val="none" w:sz="0" w:space="0" w:color="auto"/>
                        <w:left w:val="none" w:sz="0" w:space="0" w:color="auto"/>
                        <w:bottom w:val="none" w:sz="0" w:space="0" w:color="auto"/>
                        <w:right w:val="none" w:sz="0" w:space="0" w:color="auto"/>
                      </w:divBdr>
                    </w:div>
                  </w:divsChild>
                </w:div>
                <w:div w:id="15352117">
                  <w:marLeft w:val="0"/>
                  <w:marRight w:val="0"/>
                  <w:marTop w:val="0"/>
                  <w:marBottom w:val="0"/>
                  <w:divBdr>
                    <w:top w:val="none" w:sz="0" w:space="0" w:color="auto"/>
                    <w:left w:val="none" w:sz="0" w:space="0" w:color="auto"/>
                    <w:bottom w:val="none" w:sz="0" w:space="0" w:color="auto"/>
                    <w:right w:val="none" w:sz="0" w:space="0" w:color="auto"/>
                  </w:divBdr>
                  <w:divsChild>
                    <w:div w:id="2092728275">
                      <w:marLeft w:val="0"/>
                      <w:marRight w:val="0"/>
                      <w:marTop w:val="0"/>
                      <w:marBottom w:val="0"/>
                      <w:divBdr>
                        <w:top w:val="none" w:sz="0" w:space="0" w:color="auto"/>
                        <w:left w:val="none" w:sz="0" w:space="0" w:color="auto"/>
                        <w:bottom w:val="none" w:sz="0" w:space="0" w:color="auto"/>
                        <w:right w:val="none" w:sz="0" w:space="0" w:color="auto"/>
                      </w:divBdr>
                    </w:div>
                  </w:divsChild>
                </w:div>
                <w:div w:id="15663347">
                  <w:marLeft w:val="0"/>
                  <w:marRight w:val="0"/>
                  <w:marTop w:val="0"/>
                  <w:marBottom w:val="0"/>
                  <w:divBdr>
                    <w:top w:val="none" w:sz="0" w:space="0" w:color="auto"/>
                    <w:left w:val="none" w:sz="0" w:space="0" w:color="auto"/>
                    <w:bottom w:val="none" w:sz="0" w:space="0" w:color="auto"/>
                    <w:right w:val="none" w:sz="0" w:space="0" w:color="auto"/>
                  </w:divBdr>
                  <w:divsChild>
                    <w:div w:id="2132244488">
                      <w:marLeft w:val="0"/>
                      <w:marRight w:val="0"/>
                      <w:marTop w:val="0"/>
                      <w:marBottom w:val="0"/>
                      <w:divBdr>
                        <w:top w:val="none" w:sz="0" w:space="0" w:color="auto"/>
                        <w:left w:val="none" w:sz="0" w:space="0" w:color="auto"/>
                        <w:bottom w:val="none" w:sz="0" w:space="0" w:color="auto"/>
                        <w:right w:val="none" w:sz="0" w:space="0" w:color="auto"/>
                      </w:divBdr>
                    </w:div>
                  </w:divsChild>
                </w:div>
                <w:div w:id="19554876">
                  <w:marLeft w:val="0"/>
                  <w:marRight w:val="0"/>
                  <w:marTop w:val="0"/>
                  <w:marBottom w:val="0"/>
                  <w:divBdr>
                    <w:top w:val="none" w:sz="0" w:space="0" w:color="auto"/>
                    <w:left w:val="none" w:sz="0" w:space="0" w:color="auto"/>
                    <w:bottom w:val="none" w:sz="0" w:space="0" w:color="auto"/>
                    <w:right w:val="none" w:sz="0" w:space="0" w:color="auto"/>
                  </w:divBdr>
                  <w:divsChild>
                    <w:div w:id="434129715">
                      <w:marLeft w:val="0"/>
                      <w:marRight w:val="0"/>
                      <w:marTop w:val="0"/>
                      <w:marBottom w:val="0"/>
                      <w:divBdr>
                        <w:top w:val="none" w:sz="0" w:space="0" w:color="auto"/>
                        <w:left w:val="none" w:sz="0" w:space="0" w:color="auto"/>
                        <w:bottom w:val="none" w:sz="0" w:space="0" w:color="auto"/>
                        <w:right w:val="none" w:sz="0" w:space="0" w:color="auto"/>
                      </w:divBdr>
                    </w:div>
                  </w:divsChild>
                </w:div>
                <w:div w:id="24252101">
                  <w:marLeft w:val="0"/>
                  <w:marRight w:val="0"/>
                  <w:marTop w:val="0"/>
                  <w:marBottom w:val="0"/>
                  <w:divBdr>
                    <w:top w:val="none" w:sz="0" w:space="0" w:color="auto"/>
                    <w:left w:val="none" w:sz="0" w:space="0" w:color="auto"/>
                    <w:bottom w:val="none" w:sz="0" w:space="0" w:color="auto"/>
                    <w:right w:val="none" w:sz="0" w:space="0" w:color="auto"/>
                  </w:divBdr>
                  <w:divsChild>
                    <w:div w:id="1154880687">
                      <w:marLeft w:val="0"/>
                      <w:marRight w:val="0"/>
                      <w:marTop w:val="0"/>
                      <w:marBottom w:val="0"/>
                      <w:divBdr>
                        <w:top w:val="none" w:sz="0" w:space="0" w:color="auto"/>
                        <w:left w:val="none" w:sz="0" w:space="0" w:color="auto"/>
                        <w:bottom w:val="none" w:sz="0" w:space="0" w:color="auto"/>
                        <w:right w:val="none" w:sz="0" w:space="0" w:color="auto"/>
                      </w:divBdr>
                    </w:div>
                  </w:divsChild>
                </w:div>
                <w:div w:id="25185491">
                  <w:marLeft w:val="0"/>
                  <w:marRight w:val="0"/>
                  <w:marTop w:val="0"/>
                  <w:marBottom w:val="0"/>
                  <w:divBdr>
                    <w:top w:val="none" w:sz="0" w:space="0" w:color="auto"/>
                    <w:left w:val="none" w:sz="0" w:space="0" w:color="auto"/>
                    <w:bottom w:val="none" w:sz="0" w:space="0" w:color="auto"/>
                    <w:right w:val="none" w:sz="0" w:space="0" w:color="auto"/>
                  </w:divBdr>
                  <w:divsChild>
                    <w:div w:id="1210646938">
                      <w:marLeft w:val="0"/>
                      <w:marRight w:val="0"/>
                      <w:marTop w:val="0"/>
                      <w:marBottom w:val="0"/>
                      <w:divBdr>
                        <w:top w:val="none" w:sz="0" w:space="0" w:color="auto"/>
                        <w:left w:val="none" w:sz="0" w:space="0" w:color="auto"/>
                        <w:bottom w:val="none" w:sz="0" w:space="0" w:color="auto"/>
                        <w:right w:val="none" w:sz="0" w:space="0" w:color="auto"/>
                      </w:divBdr>
                    </w:div>
                  </w:divsChild>
                </w:div>
                <w:div w:id="28458188">
                  <w:marLeft w:val="0"/>
                  <w:marRight w:val="0"/>
                  <w:marTop w:val="0"/>
                  <w:marBottom w:val="0"/>
                  <w:divBdr>
                    <w:top w:val="none" w:sz="0" w:space="0" w:color="auto"/>
                    <w:left w:val="none" w:sz="0" w:space="0" w:color="auto"/>
                    <w:bottom w:val="none" w:sz="0" w:space="0" w:color="auto"/>
                    <w:right w:val="none" w:sz="0" w:space="0" w:color="auto"/>
                  </w:divBdr>
                  <w:divsChild>
                    <w:div w:id="1208639711">
                      <w:marLeft w:val="0"/>
                      <w:marRight w:val="0"/>
                      <w:marTop w:val="0"/>
                      <w:marBottom w:val="0"/>
                      <w:divBdr>
                        <w:top w:val="none" w:sz="0" w:space="0" w:color="auto"/>
                        <w:left w:val="none" w:sz="0" w:space="0" w:color="auto"/>
                        <w:bottom w:val="none" w:sz="0" w:space="0" w:color="auto"/>
                        <w:right w:val="none" w:sz="0" w:space="0" w:color="auto"/>
                      </w:divBdr>
                    </w:div>
                  </w:divsChild>
                </w:div>
                <w:div w:id="44570414">
                  <w:marLeft w:val="0"/>
                  <w:marRight w:val="0"/>
                  <w:marTop w:val="0"/>
                  <w:marBottom w:val="0"/>
                  <w:divBdr>
                    <w:top w:val="none" w:sz="0" w:space="0" w:color="auto"/>
                    <w:left w:val="none" w:sz="0" w:space="0" w:color="auto"/>
                    <w:bottom w:val="none" w:sz="0" w:space="0" w:color="auto"/>
                    <w:right w:val="none" w:sz="0" w:space="0" w:color="auto"/>
                  </w:divBdr>
                  <w:divsChild>
                    <w:div w:id="702679558">
                      <w:marLeft w:val="0"/>
                      <w:marRight w:val="0"/>
                      <w:marTop w:val="0"/>
                      <w:marBottom w:val="0"/>
                      <w:divBdr>
                        <w:top w:val="none" w:sz="0" w:space="0" w:color="auto"/>
                        <w:left w:val="none" w:sz="0" w:space="0" w:color="auto"/>
                        <w:bottom w:val="none" w:sz="0" w:space="0" w:color="auto"/>
                        <w:right w:val="none" w:sz="0" w:space="0" w:color="auto"/>
                      </w:divBdr>
                    </w:div>
                  </w:divsChild>
                </w:div>
                <w:div w:id="45643877">
                  <w:marLeft w:val="0"/>
                  <w:marRight w:val="0"/>
                  <w:marTop w:val="0"/>
                  <w:marBottom w:val="0"/>
                  <w:divBdr>
                    <w:top w:val="none" w:sz="0" w:space="0" w:color="auto"/>
                    <w:left w:val="none" w:sz="0" w:space="0" w:color="auto"/>
                    <w:bottom w:val="none" w:sz="0" w:space="0" w:color="auto"/>
                    <w:right w:val="none" w:sz="0" w:space="0" w:color="auto"/>
                  </w:divBdr>
                  <w:divsChild>
                    <w:div w:id="336348055">
                      <w:marLeft w:val="0"/>
                      <w:marRight w:val="0"/>
                      <w:marTop w:val="0"/>
                      <w:marBottom w:val="0"/>
                      <w:divBdr>
                        <w:top w:val="none" w:sz="0" w:space="0" w:color="auto"/>
                        <w:left w:val="none" w:sz="0" w:space="0" w:color="auto"/>
                        <w:bottom w:val="none" w:sz="0" w:space="0" w:color="auto"/>
                        <w:right w:val="none" w:sz="0" w:space="0" w:color="auto"/>
                      </w:divBdr>
                    </w:div>
                  </w:divsChild>
                </w:div>
                <w:div w:id="60250882">
                  <w:marLeft w:val="0"/>
                  <w:marRight w:val="0"/>
                  <w:marTop w:val="0"/>
                  <w:marBottom w:val="0"/>
                  <w:divBdr>
                    <w:top w:val="none" w:sz="0" w:space="0" w:color="auto"/>
                    <w:left w:val="none" w:sz="0" w:space="0" w:color="auto"/>
                    <w:bottom w:val="none" w:sz="0" w:space="0" w:color="auto"/>
                    <w:right w:val="none" w:sz="0" w:space="0" w:color="auto"/>
                  </w:divBdr>
                  <w:divsChild>
                    <w:div w:id="1745909882">
                      <w:marLeft w:val="0"/>
                      <w:marRight w:val="0"/>
                      <w:marTop w:val="0"/>
                      <w:marBottom w:val="0"/>
                      <w:divBdr>
                        <w:top w:val="none" w:sz="0" w:space="0" w:color="auto"/>
                        <w:left w:val="none" w:sz="0" w:space="0" w:color="auto"/>
                        <w:bottom w:val="none" w:sz="0" w:space="0" w:color="auto"/>
                        <w:right w:val="none" w:sz="0" w:space="0" w:color="auto"/>
                      </w:divBdr>
                    </w:div>
                  </w:divsChild>
                </w:div>
                <w:div w:id="87777636">
                  <w:marLeft w:val="0"/>
                  <w:marRight w:val="0"/>
                  <w:marTop w:val="0"/>
                  <w:marBottom w:val="0"/>
                  <w:divBdr>
                    <w:top w:val="none" w:sz="0" w:space="0" w:color="auto"/>
                    <w:left w:val="none" w:sz="0" w:space="0" w:color="auto"/>
                    <w:bottom w:val="none" w:sz="0" w:space="0" w:color="auto"/>
                    <w:right w:val="none" w:sz="0" w:space="0" w:color="auto"/>
                  </w:divBdr>
                  <w:divsChild>
                    <w:div w:id="1022703363">
                      <w:marLeft w:val="0"/>
                      <w:marRight w:val="0"/>
                      <w:marTop w:val="0"/>
                      <w:marBottom w:val="0"/>
                      <w:divBdr>
                        <w:top w:val="none" w:sz="0" w:space="0" w:color="auto"/>
                        <w:left w:val="none" w:sz="0" w:space="0" w:color="auto"/>
                        <w:bottom w:val="none" w:sz="0" w:space="0" w:color="auto"/>
                        <w:right w:val="none" w:sz="0" w:space="0" w:color="auto"/>
                      </w:divBdr>
                    </w:div>
                  </w:divsChild>
                </w:div>
                <w:div w:id="99644450">
                  <w:marLeft w:val="0"/>
                  <w:marRight w:val="0"/>
                  <w:marTop w:val="0"/>
                  <w:marBottom w:val="0"/>
                  <w:divBdr>
                    <w:top w:val="none" w:sz="0" w:space="0" w:color="auto"/>
                    <w:left w:val="none" w:sz="0" w:space="0" w:color="auto"/>
                    <w:bottom w:val="none" w:sz="0" w:space="0" w:color="auto"/>
                    <w:right w:val="none" w:sz="0" w:space="0" w:color="auto"/>
                  </w:divBdr>
                  <w:divsChild>
                    <w:div w:id="1201362163">
                      <w:marLeft w:val="0"/>
                      <w:marRight w:val="0"/>
                      <w:marTop w:val="0"/>
                      <w:marBottom w:val="0"/>
                      <w:divBdr>
                        <w:top w:val="none" w:sz="0" w:space="0" w:color="auto"/>
                        <w:left w:val="none" w:sz="0" w:space="0" w:color="auto"/>
                        <w:bottom w:val="none" w:sz="0" w:space="0" w:color="auto"/>
                        <w:right w:val="none" w:sz="0" w:space="0" w:color="auto"/>
                      </w:divBdr>
                    </w:div>
                  </w:divsChild>
                </w:div>
                <w:div w:id="152068797">
                  <w:marLeft w:val="0"/>
                  <w:marRight w:val="0"/>
                  <w:marTop w:val="0"/>
                  <w:marBottom w:val="0"/>
                  <w:divBdr>
                    <w:top w:val="none" w:sz="0" w:space="0" w:color="auto"/>
                    <w:left w:val="none" w:sz="0" w:space="0" w:color="auto"/>
                    <w:bottom w:val="none" w:sz="0" w:space="0" w:color="auto"/>
                    <w:right w:val="none" w:sz="0" w:space="0" w:color="auto"/>
                  </w:divBdr>
                  <w:divsChild>
                    <w:div w:id="1804500057">
                      <w:marLeft w:val="0"/>
                      <w:marRight w:val="0"/>
                      <w:marTop w:val="0"/>
                      <w:marBottom w:val="0"/>
                      <w:divBdr>
                        <w:top w:val="none" w:sz="0" w:space="0" w:color="auto"/>
                        <w:left w:val="none" w:sz="0" w:space="0" w:color="auto"/>
                        <w:bottom w:val="none" w:sz="0" w:space="0" w:color="auto"/>
                        <w:right w:val="none" w:sz="0" w:space="0" w:color="auto"/>
                      </w:divBdr>
                    </w:div>
                  </w:divsChild>
                </w:div>
                <w:div w:id="163597606">
                  <w:marLeft w:val="0"/>
                  <w:marRight w:val="0"/>
                  <w:marTop w:val="0"/>
                  <w:marBottom w:val="0"/>
                  <w:divBdr>
                    <w:top w:val="none" w:sz="0" w:space="0" w:color="auto"/>
                    <w:left w:val="none" w:sz="0" w:space="0" w:color="auto"/>
                    <w:bottom w:val="none" w:sz="0" w:space="0" w:color="auto"/>
                    <w:right w:val="none" w:sz="0" w:space="0" w:color="auto"/>
                  </w:divBdr>
                  <w:divsChild>
                    <w:div w:id="744105630">
                      <w:marLeft w:val="0"/>
                      <w:marRight w:val="0"/>
                      <w:marTop w:val="0"/>
                      <w:marBottom w:val="0"/>
                      <w:divBdr>
                        <w:top w:val="none" w:sz="0" w:space="0" w:color="auto"/>
                        <w:left w:val="none" w:sz="0" w:space="0" w:color="auto"/>
                        <w:bottom w:val="none" w:sz="0" w:space="0" w:color="auto"/>
                        <w:right w:val="none" w:sz="0" w:space="0" w:color="auto"/>
                      </w:divBdr>
                    </w:div>
                  </w:divsChild>
                </w:div>
                <w:div w:id="165822978">
                  <w:marLeft w:val="0"/>
                  <w:marRight w:val="0"/>
                  <w:marTop w:val="0"/>
                  <w:marBottom w:val="0"/>
                  <w:divBdr>
                    <w:top w:val="none" w:sz="0" w:space="0" w:color="auto"/>
                    <w:left w:val="none" w:sz="0" w:space="0" w:color="auto"/>
                    <w:bottom w:val="none" w:sz="0" w:space="0" w:color="auto"/>
                    <w:right w:val="none" w:sz="0" w:space="0" w:color="auto"/>
                  </w:divBdr>
                  <w:divsChild>
                    <w:div w:id="1557350198">
                      <w:marLeft w:val="0"/>
                      <w:marRight w:val="0"/>
                      <w:marTop w:val="0"/>
                      <w:marBottom w:val="0"/>
                      <w:divBdr>
                        <w:top w:val="none" w:sz="0" w:space="0" w:color="auto"/>
                        <w:left w:val="none" w:sz="0" w:space="0" w:color="auto"/>
                        <w:bottom w:val="none" w:sz="0" w:space="0" w:color="auto"/>
                        <w:right w:val="none" w:sz="0" w:space="0" w:color="auto"/>
                      </w:divBdr>
                    </w:div>
                  </w:divsChild>
                </w:div>
                <w:div w:id="168446323">
                  <w:marLeft w:val="0"/>
                  <w:marRight w:val="0"/>
                  <w:marTop w:val="0"/>
                  <w:marBottom w:val="0"/>
                  <w:divBdr>
                    <w:top w:val="none" w:sz="0" w:space="0" w:color="auto"/>
                    <w:left w:val="none" w:sz="0" w:space="0" w:color="auto"/>
                    <w:bottom w:val="none" w:sz="0" w:space="0" w:color="auto"/>
                    <w:right w:val="none" w:sz="0" w:space="0" w:color="auto"/>
                  </w:divBdr>
                  <w:divsChild>
                    <w:div w:id="932468912">
                      <w:marLeft w:val="0"/>
                      <w:marRight w:val="0"/>
                      <w:marTop w:val="0"/>
                      <w:marBottom w:val="0"/>
                      <w:divBdr>
                        <w:top w:val="none" w:sz="0" w:space="0" w:color="auto"/>
                        <w:left w:val="none" w:sz="0" w:space="0" w:color="auto"/>
                        <w:bottom w:val="none" w:sz="0" w:space="0" w:color="auto"/>
                        <w:right w:val="none" w:sz="0" w:space="0" w:color="auto"/>
                      </w:divBdr>
                    </w:div>
                  </w:divsChild>
                </w:div>
                <w:div w:id="183832249">
                  <w:marLeft w:val="0"/>
                  <w:marRight w:val="0"/>
                  <w:marTop w:val="0"/>
                  <w:marBottom w:val="0"/>
                  <w:divBdr>
                    <w:top w:val="none" w:sz="0" w:space="0" w:color="auto"/>
                    <w:left w:val="none" w:sz="0" w:space="0" w:color="auto"/>
                    <w:bottom w:val="none" w:sz="0" w:space="0" w:color="auto"/>
                    <w:right w:val="none" w:sz="0" w:space="0" w:color="auto"/>
                  </w:divBdr>
                  <w:divsChild>
                    <w:div w:id="1804344399">
                      <w:marLeft w:val="0"/>
                      <w:marRight w:val="0"/>
                      <w:marTop w:val="0"/>
                      <w:marBottom w:val="0"/>
                      <w:divBdr>
                        <w:top w:val="none" w:sz="0" w:space="0" w:color="auto"/>
                        <w:left w:val="none" w:sz="0" w:space="0" w:color="auto"/>
                        <w:bottom w:val="none" w:sz="0" w:space="0" w:color="auto"/>
                        <w:right w:val="none" w:sz="0" w:space="0" w:color="auto"/>
                      </w:divBdr>
                    </w:div>
                  </w:divsChild>
                </w:div>
                <w:div w:id="204028726">
                  <w:marLeft w:val="0"/>
                  <w:marRight w:val="0"/>
                  <w:marTop w:val="0"/>
                  <w:marBottom w:val="0"/>
                  <w:divBdr>
                    <w:top w:val="none" w:sz="0" w:space="0" w:color="auto"/>
                    <w:left w:val="none" w:sz="0" w:space="0" w:color="auto"/>
                    <w:bottom w:val="none" w:sz="0" w:space="0" w:color="auto"/>
                    <w:right w:val="none" w:sz="0" w:space="0" w:color="auto"/>
                  </w:divBdr>
                  <w:divsChild>
                    <w:div w:id="997347921">
                      <w:marLeft w:val="0"/>
                      <w:marRight w:val="0"/>
                      <w:marTop w:val="0"/>
                      <w:marBottom w:val="0"/>
                      <w:divBdr>
                        <w:top w:val="none" w:sz="0" w:space="0" w:color="auto"/>
                        <w:left w:val="none" w:sz="0" w:space="0" w:color="auto"/>
                        <w:bottom w:val="none" w:sz="0" w:space="0" w:color="auto"/>
                        <w:right w:val="none" w:sz="0" w:space="0" w:color="auto"/>
                      </w:divBdr>
                    </w:div>
                  </w:divsChild>
                </w:div>
                <w:div w:id="204224488">
                  <w:marLeft w:val="0"/>
                  <w:marRight w:val="0"/>
                  <w:marTop w:val="0"/>
                  <w:marBottom w:val="0"/>
                  <w:divBdr>
                    <w:top w:val="none" w:sz="0" w:space="0" w:color="auto"/>
                    <w:left w:val="none" w:sz="0" w:space="0" w:color="auto"/>
                    <w:bottom w:val="none" w:sz="0" w:space="0" w:color="auto"/>
                    <w:right w:val="none" w:sz="0" w:space="0" w:color="auto"/>
                  </w:divBdr>
                  <w:divsChild>
                    <w:div w:id="933830525">
                      <w:marLeft w:val="0"/>
                      <w:marRight w:val="0"/>
                      <w:marTop w:val="0"/>
                      <w:marBottom w:val="0"/>
                      <w:divBdr>
                        <w:top w:val="none" w:sz="0" w:space="0" w:color="auto"/>
                        <w:left w:val="none" w:sz="0" w:space="0" w:color="auto"/>
                        <w:bottom w:val="none" w:sz="0" w:space="0" w:color="auto"/>
                        <w:right w:val="none" w:sz="0" w:space="0" w:color="auto"/>
                      </w:divBdr>
                    </w:div>
                  </w:divsChild>
                </w:div>
                <w:div w:id="209615550">
                  <w:marLeft w:val="0"/>
                  <w:marRight w:val="0"/>
                  <w:marTop w:val="0"/>
                  <w:marBottom w:val="0"/>
                  <w:divBdr>
                    <w:top w:val="none" w:sz="0" w:space="0" w:color="auto"/>
                    <w:left w:val="none" w:sz="0" w:space="0" w:color="auto"/>
                    <w:bottom w:val="none" w:sz="0" w:space="0" w:color="auto"/>
                    <w:right w:val="none" w:sz="0" w:space="0" w:color="auto"/>
                  </w:divBdr>
                  <w:divsChild>
                    <w:div w:id="185993397">
                      <w:marLeft w:val="0"/>
                      <w:marRight w:val="0"/>
                      <w:marTop w:val="0"/>
                      <w:marBottom w:val="0"/>
                      <w:divBdr>
                        <w:top w:val="none" w:sz="0" w:space="0" w:color="auto"/>
                        <w:left w:val="none" w:sz="0" w:space="0" w:color="auto"/>
                        <w:bottom w:val="none" w:sz="0" w:space="0" w:color="auto"/>
                        <w:right w:val="none" w:sz="0" w:space="0" w:color="auto"/>
                      </w:divBdr>
                    </w:div>
                  </w:divsChild>
                </w:div>
                <w:div w:id="214390909">
                  <w:marLeft w:val="0"/>
                  <w:marRight w:val="0"/>
                  <w:marTop w:val="0"/>
                  <w:marBottom w:val="0"/>
                  <w:divBdr>
                    <w:top w:val="none" w:sz="0" w:space="0" w:color="auto"/>
                    <w:left w:val="none" w:sz="0" w:space="0" w:color="auto"/>
                    <w:bottom w:val="none" w:sz="0" w:space="0" w:color="auto"/>
                    <w:right w:val="none" w:sz="0" w:space="0" w:color="auto"/>
                  </w:divBdr>
                  <w:divsChild>
                    <w:div w:id="938490411">
                      <w:marLeft w:val="0"/>
                      <w:marRight w:val="0"/>
                      <w:marTop w:val="0"/>
                      <w:marBottom w:val="0"/>
                      <w:divBdr>
                        <w:top w:val="none" w:sz="0" w:space="0" w:color="auto"/>
                        <w:left w:val="none" w:sz="0" w:space="0" w:color="auto"/>
                        <w:bottom w:val="none" w:sz="0" w:space="0" w:color="auto"/>
                        <w:right w:val="none" w:sz="0" w:space="0" w:color="auto"/>
                      </w:divBdr>
                    </w:div>
                  </w:divsChild>
                </w:div>
                <w:div w:id="220333241">
                  <w:marLeft w:val="0"/>
                  <w:marRight w:val="0"/>
                  <w:marTop w:val="0"/>
                  <w:marBottom w:val="0"/>
                  <w:divBdr>
                    <w:top w:val="none" w:sz="0" w:space="0" w:color="auto"/>
                    <w:left w:val="none" w:sz="0" w:space="0" w:color="auto"/>
                    <w:bottom w:val="none" w:sz="0" w:space="0" w:color="auto"/>
                    <w:right w:val="none" w:sz="0" w:space="0" w:color="auto"/>
                  </w:divBdr>
                  <w:divsChild>
                    <w:div w:id="37974801">
                      <w:marLeft w:val="0"/>
                      <w:marRight w:val="0"/>
                      <w:marTop w:val="0"/>
                      <w:marBottom w:val="0"/>
                      <w:divBdr>
                        <w:top w:val="none" w:sz="0" w:space="0" w:color="auto"/>
                        <w:left w:val="none" w:sz="0" w:space="0" w:color="auto"/>
                        <w:bottom w:val="none" w:sz="0" w:space="0" w:color="auto"/>
                        <w:right w:val="none" w:sz="0" w:space="0" w:color="auto"/>
                      </w:divBdr>
                    </w:div>
                  </w:divsChild>
                </w:div>
                <w:div w:id="225384356">
                  <w:marLeft w:val="0"/>
                  <w:marRight w:val="0"/>
                  <w:marTop w:val="0"/>
                  <w:marBottom w:val="0"/>
                  <w:divBdr>
                    <w:top w:val="none" w:sz="0" w:space="0" w:color="auto"/>
                    <w:left w:val="none" w:sz="0" w:space="0" w:color="auto"/>
                    <w:bottom w:val="none" w:sz="0" w:space="0" w:color="auto"/>
                    <w:right w:val="none" w:sz="0" w:space="0" w:color="auto"/>
                  </w:divBdr>
                  <w:divsChild>
                    <w:div w:id="1422531840">
                      <w:marLeft w:val="0"/>
                      <w:marRight w:val="0"/>
                      <w:marTop w:val="0"/>
                      <w:marBottom w:val="0"/>
                      <w:divBdr>
                        <w:top w:val="none" w:sz="0" w:space="0" w:color="auto"/>
                        <w:left w:val="none" w:sz="0" w:space="0" w:color="auto"/>
                        <w:bottom w:val="none" w:sz="0" w:space="0" w:color="auto"/>
                        <w:right w:val="none" w:sz="0" w:space="0" w:color="auto"/>
                      </w:divBdr>
                    </w:div>
                  </w:divsChild>
                </w:div>
                <w:div w:id="233980230">
                  <w:marLeft w:val="0"/>
                  <w:marRight w:val="0"/>
                  <w:marTop w:val="0"/>
                  <w:marBottom w:val="0"/>
                  <w:divBdr>
                    <w:top w:val="none" w:sz="0" w:space="0" w:color="auto"/>
                    <w:left w:val="none" w:sz="0" w:space="0" w:color="auto"/>
                    <w:bottom w:val="none" w:sz="0" w:space="0" w:color="auto"/>
                    <w:right w:val="none" w:sz="0" w:space="0" w:color="auto"/>
                  </w:divBdr>
                  <w:divsChild>
                    <w:div w:id="1647932758">
                      <w:marLeft w:val="0"/>
                      <w:marRight w:val="0"/>
                      <w:marTop w:val="0"/>
                      <w:marBottom w:val="0"/>
                      <w:divBdr>
                        <w:top w:val="none" w:sz="0" w:space="0" w:color="auto"/>
                        <w:left w:val="none" w:sz="0" w:space="0" w:color="auto"/>
                        <w:bottom w:val="none" w:sz="0" w:space="0" w:color="auto"/>
                        <w:right w:val="none" w:sz="0" w:space="0" w:color="auto"/>
                      </w:divBdr>
                    </w:div>
                  </w:divsChild>
                </w:div>
                <w:div w:id="252594380">
                  <w:marLeft w:val="0"/>
                  <w:marRight w:val="0"/>
                  <w:marTop w:val="0"/>
                  <w:marBottom w:val="0"/>
                  <w:divBdr>
                    <w:top w:val="none" w:sz="0" w:space="0" w:color="auto"/>
                    <w:left w:val="none" w:sz="0" w:space="0" w:color="auto"/>
                    <w:bottom w:val="none" w:sz="0" w:space="0" w:color="auto"/>
                    <w:right w:val="none" w:sz="0" w:space="0" w:color="auto"/>
                  </w:divBdr>
                  <w:divsChild>
                    <w:div w:id="1256136783">
                      <w:marLeft w:val="0"/>
                      <w:marRight w:val="0"/>
                      <w:marTop w:val="0"/>
                      <w:marBottom w:val="0"/>
                      <w:divBdr>
                        <w:top w:val="none" w:sz="0" w:space="0" w:color="auto"/>
                        <w:left w:val="none" w:sz="0" w:space="0" w:color="auto"/>
                        <w:bottom w:val="none" w:sz="0" w:space="0" w:color="auto"/>
                        <w:right w:val="none" w:sz="0" w:space="0" w:color="auto"/>
                      </w:divBdr>
                    </w:div>
                  </w:divsChild>
                </w:div>
                <w:div w:id="257837900">
                  <w:marLeft w:val="0"/>
                  <w:marRight w:val="0"/>
                  <w:marTop w:val="0"/>
                  <w:marBottom w:val="0"/>
                  <w:divBdr>
                    <w:top w:val="none" w:sz="0" w:space="0" w:color="auto"/>
                    <w:left w:val="none" w:sz="0" w:space="0" w:color="auto"/>
                    <w:bottom w:val="none" w:sz="0" w:space="0" w:color="auto"/>
                    <w:right w:val="none" w:sz="0" w:space="0" w:color="auto"/>
                  </w:divBdr>
                  <w:divsChild>
                    <w:div w:id="1156721394">
                      <w:marLeft w:val="0"/>
                      <w:marRight w:val="0"/>
                      <w:marTop w:val="0"/>
                      <w:marBottom w:val="0"/>
                      <w:divBdr>
                        <w:top w:val="none" w:sz="0" w:space="0" w:color="auto"/>
                        <w:left w:val="none" w:sz="0" w:space="0" w:color="auto"/>
                        <w:bottom w:val="none" w:sz="0" w:space="0" w:color="auto"/>
                        <w:right w:val="none" w:sz="0" w:space="0" w:color="auto"/>
                      </w:divBdr>
                    </w:div>
                  </w:divsChild>
                </w:div>
                <w:div w:id="289674131">
                  <w:marLeft w:val="0"/>
                  <w:marRight w:val="0"/>
                  <w:marTop w:val="0"/>
                  <w:marBottom w:val="0"/>
                  <w:divBdr>
                    <w:top w:val="none" w:sz="0" w:space="0" w:color="auto"/>
                    <w:left w:val="none" w:sz="0" w:space="0" w:color="auto"/>
                    <w:bottom w:val="none" w:sz="0" w:space="0" w:color="auto"/>
                    <w:right w:val="none" w:sz="0" w:space="0" w:color="auto"/>
                  </w:divBdr>
                  <w:divsChild>
                    <w:div w:id="6057865">
                      <w:marLeft w:val="0"/>
                      <w:marRight w:val="0"/>
                      <w:marTop w:val="0"/>
                      <w:marBottom w:val="0"/>
                      <w:divBdr>
                        <w:top w:val="none" w:sz="0" w:space="0" w:color="auto"/>
                        <w:left w:val="none" w:sz="0" w:space="0" w:color="auto"/>
                        <w:bottom w:val="none" w:sz="0" w:space="0" w:color="auto"/>
                        <w:right w:val="none" w:sz="0" w:space="0" w:color="auto"/>
                      </w:divBdr>
                    </w:div>
                  </w:divsChild>
                </w:div>
                <w:div w:id="298727672">
                  <w:marLeft w:val="0"/>
                  <w:marRight w:val="0"/>
                  <w:marTop w:val="0"/>
                  <w:marBottom w:val="0"/>
                  <w:divBdr>
                    <w:top w:val="none" w:sz="0" w:space="0" w:color="auto"/>
                    <w:left w:val="none" w:sz="0" w:space="0" w:color="auto"/>
                    <w:bottom w:val="none" w:sz="0" w:space="0" w:color="auto"/>
                    <w:right w:val="none" w:sz="0" w:space="0" w:color="auto"/>
                  </w:divBdr>
                  <w:divsChild>
                    <w:div w:id="2041200668">
                      <w:marLeft w:val="0"/>
                      <w:marRight w:val="0"/>
                      <w:marTop w:val="0"/>
                      <w:marBottom w:val="0"/>
                      <w:divBdr>
                        <w:top w:val="none" w:sz="0" w:space="0" w:color="auto"/>
                        <w:left w:val="none" w:sz="0" w:space="0" w:color="auto"/>
                        <w:bottom w:val="none" w:sz="0" w:space="0" w:color="auto"/>
                        <w:right w:val="none" w:sz="0" w:space="0" w:color="auto"/>
                      </w:divBdr>
                    </w:div>
                  </w:divsChild>
                </w:div>
                <w:div w:id="312490162">
                  <w:marLeft w:val="0"/>
                  <w:marRight w:val="0"/>
                  <w:marTop w:val="0"/>
                  <w:marBottom w:val="0"/>
                  <w:divBdr>
                    <w:top w:val="none" w:sz="0" w:space="0" w:color="auto"/>
                    <w:left w:val="none" w:sz="0" w:space="0" w:color="auto"/>
                    <w:bottom w:val="none" w:sz="0" w:space="0" w:color="auto"/>
                    <w:right w:val="none" w:sz="0" w:space="0" w:color="auto"/>
                  </w:divBdr>
                  <w:divsChild>
                    <w:div w:id="225528507">
                      <w:marLeft w:val="0"/>
                      <w:marRight w:val="0"/>
                      <w:marTop w:val="0"/>
                      <w:marBottom w:val="0"/>
                      <w:divBdr>
                        <w:top w:val="none" w:sz="0" w:space="0" w:color="auto"/>
                        <w:left w:val="none" w:sz="0" w:space="0" w:color="auto"/>
                        <w:bottom w:val="none" w:sz="0" w:space="0" w:color="auto"/>
                        <w:right w:val="none" w:sz="0" w:space="0" w:color="auto"/>
                      </w:divBdr>
                    </w:div>
                  </w:divsChild>
                </w:div>
                <w:div w:id="349572131">
                  <w:marLeft w:val="0"/>
                  <w:marRight w:val="0"/>
                  <w:marTop w:val="0"/>
                  <w:marBottom w:val="0"/>
                  <w:divBdr>
                    <w:top w:val="none" w:sz="0" w:space="0" w:color="auto"/>
                    <w:left w:val="none" w:sz="0" w:space="0" w:color="auto"/>
                    <w:bottom w:val="none" w:sz="0" w:space="0" w:color="auto"/>
                    <w:right w:val="none" w:sz="0" w:space="0" w:color="auto"/>
                  </w:divBdr>
                  <w:divsChild>
                    <w:div w:id="51971293">
                      <w:marLeft w:val="0"/>
                      <w:marRight w:val="0"/>
                      <w:marTop w:val="0"/>
                      <w:marBottom w:val="0"/>
                      <w:divBdr>
                        <w:top w:val="none" w:sz="0" w:space="0" w:color="auto"/>
                        <w:left w:val="none" w:sz="0" w:space="0" w:color="auto"/>
                        <w:bottom w:val="none" w:sz="0" w:space="0" w:color="auto"/>
                        <w:right w:val="none" w:sz="0" w:space="0" w:color="auto"/>
                      </w:divBdr>
                    </w:div>
                  </w:divsChild>
                </w:div>
                <w:div w:id="352924102">
                  <w:marLeft w:val="0"/>
                  <w:marRight w:val="0"/>
                  <w:marTop w:val="0"/>
                  <w:marBottom w:val="0"/>
                  <w:divBdr>
                    <w:top w:val="none" w:sz="0" w:space="0" w:color="auto"/>
                    <w:left w:val="none" w:sz="0" w:space="0" w:color="auto"/>
                    <w:bottom w:val="none" w:sz="0" w:space="0" w:color="auto"/>
                    <w:right w:val="none" w:sz="0" w:space="0" w:color="auto"/>
                  </w:divBdr>
                  <w:divsChild>
                    <w:div w:id="624430001">
                      <w:marLeft w:val="0"/>
                      <w:marRight w:val="0"/>
                      <w:marTop w:val="0"/>
                      <w:marBottom w:val="0"/>
                      <w:divBdr>
                        <w:top w:val="none" w:sz="0" w:space="0" w:color="auto"/>
                        <w:left w:val="none" w:sz="0" w:space="0" w:color="auto"/>
                        <w:bottom w:val="none" w:sz="0" w:space="0" w:color="auto"/>
                        <w:right w:val="none" w:sz="0" w:space="0" w:color="auto"/>
                      </w:divBdr>
                    </w:div>
                  </w:divsChild>
                </w:div>
                <w:div w:id="382950088">
                  <w:marLeft w:val="0"/>
                  <w:marRight w:val="0"/>
                  <w:marTop w:val="0"/>
                  <w:marBottom w:val="0"/>
                  <w:divBdr>
                    <w:top w:val="none" w:sz="0" w:space="0" w:color="auto"/>
                    <w:left w:val="none" w:sz="0" w:space="0" w:color="auto"/>
                    <w:bottom w:val="none" w:sz="0" w:space="0" w:color="auto"/>
                    <w:right w:val="none" w:sz="0" w:space="0" w:color="auto"/>
                  </w:divBdr>
                  <w:divsChild>
                    <w:div w:id="964778348">
                      <w:marLeft w:val="0"/>
                      <w:marRight w:val="0"/>
                      <w:marTop w:val="0"/>
                      <w:marBottom w:val="0"/>
                      <w:divBdr>
                        <w:top w:val="none" w:sz="0" w:space="0" w:color="auto"/>
                        <w:left w:val="none" w:sz="0" w:space="0" w:color="auto"/>
                        <w:bottom w:val="none" w:sz="0" w:space="0" w:color="auto"/>
                        <w:right w:val="none" w:sz="0" w:space="0" w:color="auto"/>
                      </w:divBdr>
                    </w:div>
                  </w:divsChild>
                </w:div>
                <w:div w:id="391780009">
                  <w:marLeft w:val="0"/>
                  <w:marRight w:val="0"/>
                  <w:marTop w:val="0"/>
                  <w:marBottom w:val="0"/>
                  <w:divBdr>
                    <w:top w:val="none" w:sz="0" w:space="0" w:color="auto"/>
                    <w:left w:val="none" w:sz="0" w:space="0" w:color="auto"/>
                    <w:bottom w:val="none" w:sz="0" w:space="0" w:color="auto"/>
                    <w:right w:val="none" w:sz="0" w:space="0" w:color="auto"/>
                  </w:divBdr>
                  <w:divsChild>
                    <w:div w:id="1815753579">
                      <w:marLeft w:val="0"/>
                      <w:marRight w:val="0"/>
                      <w:marTop w:val="0"/>
                      <w:marBottom w:val="0"/>
                      <w:divBdr>
                        <w:top w:val="none" w:sz="0" w:space="0" w:color="auto"/>
                        <w:left w:val="none" w:sz="0" w:space="0" w:color="auto"/>
                        <w:bottom w:val="none" w:sz="0" w:space="0" w:color="auto"/>
                        <w:right w:val="none" w:sz="0" w:space="0" w:color="auto"/>
                      </w:divBdr>
                    </w:div>
                  </w:divsChild>
                </w:div>
                <w:div w:id="399597354">
                  <w:marLeft w:val="0"/>
                  <w:marRight w:val="0"/>
                  <w:marTop w:val="0"/>
                  <w:marBottom w:val="0"/>
                  <w:divBdr>
                    <w:top w:val="none" w:sz="0" w:space="0" w:color="auto"/>
                    <w:left w:val="none" w:sz="0" w:space="0" w:color="auto"/>
                    <w:bottom w:val="none" w:sz="0" w:space="0" w:color="auto"/>
                    <w:right w:val="none" w:sz="0" w:space="0" w:color="auto"/>
                  </w:divBdr>
                  <w:divsChild>
                    <w:div w:id="745999461">
                      <w:marLeft w:val="0"/>
                      <w:marRight w:val="0"/>
                      <w:marTop w:val="0"/>
                      <w:marBottom w:val="0"/>
                      <w:divBdr>
                        <w:top w:val="none" w:sz="0" w:space="0" w:color="auto"/>
                        <w:left w:val="none" w:sz="0" w:space="0" w:color="auto"/>
                        <w:bottom w:val="none" w:sz="0" w:space="0" w:color="auto"/>
                        <w:right w:val="none" w:sz="0" w:space="0" w:color="auto"/>
                      </w:divBdr>
                    </w:div>
                  </w:divsChild>
                </w:div>
                <w:div w:id="399865626">
                  <w:marLeft w:val="0"/>
                  <w:marRight w:val="0"/>
                  <w:marTop w:val="0"/>
                  <w:marBottom w:val="0"/>
                  <w:divBdr>
                    <w:top w:val="none" w:sz="0" w:space="0" w:color="auto"/>
                    <w:left w:val="none" w:sz="0" w:space="0" w:color="auto"/>
                    <w:bottom w:val="none" w:sz="0" w:space="0" w:color="auto"/>
                    <w:right w:val="none" w:sz="0" w:space="0" w:color="auto"/>
                  </w:divBdr>
                  <w:divsChild>
                    <w:div w:id="413549450">
                      <w:marLeft w:val="0"/>
                      <w:marRight w:val="0"/>
                      <w:marTop w:val="0"/>
                      <w:marBottom w:val="0"/>
                      <w:divBdr>
                        <w:top w:val="none" w:sz="0" w:space="0" w:color="auto"/>
                        <w:left w:val="none" w:sz="0" w:space="0" w:color="auto"/>
                        <w:bottom w:val="none" w:sz="0" w:space="0" w:color="auto"/>
                        <w:right w:val="none" w:sz="0" w:space="0" w:color="auto"/>
                      </w:divBdr>
                    </w:div>
                  </w:divsChild>
                </w:div>
                <w:div w:id="409696370">
                  <w:marLeft w:val="0"/>
                  <w:marRight w:val="0"/>
                  <w:marTop w:val="0"/>
                  <w:marBottom w:val="0"/>
                  <w:divBdr>
                    <w:top w:val="none" w:sz="0" w:space="0" w:color="auto"/>
                    <w:left w:val="none" w:sz="0" w:space="0" w:color="auto"/>
                    <w:bottom w:val="none" w:sz="0" w:space="0" w:color="auto"/>
                    <w:right w:val="none" w:sz="0" w:space="0" w:color="auto"/>
                  </w:divBdr>
                  <w:divsChild>
                    <w:div w:id="1417825583">
                      <w:marLeft w:val="0"/>
                      <w:marRight w:val="0"/>
                      <w:marTop w:val="0"/>
                      <w:marBottom w:val="0"/>
                      <w:divBdr>
                        <w:top w:val="none" w:sz="0" w:space="0" w:color="auto"/>
                        <w:left w:val="none" w:sz="0" w:space="0" w:color="auto"/>
                        <w:bottom w:val="none" w:sz="0" w:space="0" w:color="auto"/>
                        <w:right w:val="none" w:sz="0" w:space="0" w:color="auto"/>
                      </w:divBdr>
                    </w:div>
                  </w:divsChild>
                </w:div>
                <w:div w:id="418331088">
                  <w:marLeft w:val="0"/>
                  <w:marRight w:val="0"/>
                  <w:marTop w:val="0"/>
                  <w:marBottom w:val="0"/>
                  <w:divBdr>
                    <w:top w:val="none" w:sz="0" w:space="0" w:color="auto"/>
                    <w:left w:val="none" w:sz="0" w:space="0" w:color="auto"/>
                    <w:bottom w:val="none" w:sz="0" w:space="0" w:color="auto"/>
                    <w:right w:val="none" w:sz="0" w:space="0" w:color="auto"/>
                  </w:divBdr>
                  <w:divsChild>
                    <w:div w:id="1869827478">
                      <w:marLeft w:val="0"/>
                      <w:marRight w:val="0"/>
                      <w:marTop w:val="0"/>
                      <w:marBottom w:val="0"/>
                      <w:divBdr>
                        <w:top w:val="none" w:sz="0" w:space="0" w:color="auto"/>
                        <w:left w:val="none" w:sz="0" w:space="0" w:color="auto"/>
                        <w:bottom w:val="none" w:sz="0" w:space="0" w:color="auto"/>
                        <w:right w:val="none" w:sz="0" w:space="0" w:color="auto"/>
                      </w:divBdr>
                    </w:div>
                  </w:divsChild>
                </w:div>
                <w:div w:id="453333822">
                  <w:marLeft w:val="0"/>
                  <w:marRight w:val="0"/>
                  <w:marTop w:val="0"/>
                  <w:marBottom w:val="0"/>
                  <w:divBdr>
                    <w:top w:val="none" w:sz="0" w:space="0" w:color="auto"/>
                    <w:left w:val="none" w:sz="0" w:space="0" w:color="auto"/>
                    <w:bottom w:val="none" w:sz="0" w:space="0" w:color="auto"/>
                    <w:right w:val="none" w:sz="0" w:space="0" w:color="auto"/>
                  </w:divBdr>
                  <w:divsChild>
                    <w:div w:id="622007515">
                      <w:marLeft w:val="0"/>
                      <w:marRight w:val="0"/>
                      <w:marTop w:val="0"/>
                      <w:marBottom w:val="0"/>
                      <w:divBdr>
                        <w:top w:val="none" w:sz="0" w:space="0" w:color="auto"/>
                        <w:left w:val="none" w:sz="0" w:space="0" w:color="auto"/>
                        <w:bottom w:val="none" w:sz="0" w:space="0" w:color="auto"/>
                        <w:right w:val="none" w:sz="0" w:space="0" w:color="auto"/>
                      </w:divBdr>
                    </w:div>
                  </w:divsChild>
                </w:div>
                <w:div w:id="512577723">
                  <w:marLeft w:val="0"/>
                  <w:marRight w:val="0"/>
                  <w:marTop w:val="0"/>
                  <w:marBottom w:val="0"/>
                  <w:divBdr>
                    <w:top w:val="none" w:sz="0" w:space="0" w:color="auto"/>
                    <w:left w:val="none" w:sz="0" w:space="0" w:color="auto"/>
                    <w:bottom w:val="none" w:sz="0" w:space="0" w:color="auto"/>
                    <w:right w:val="none" w:sz="0" w:space="0" w:color="auto"/>
                  </w:divBdr>
                  <w:divsChild>
                    <w:div w:id="1935823548">
                      <w:marLeft w:val="0"/>
                      <w:marRight w:val="0"/>
                      <w:marTop w:val="0"/>
                      <w:marBottom w:val="0"/>
                      <w:divBdr>
                        <w:top w:val="none" w:sz="0" w:space="0" w:color="auto"/>
                        <w:left w:val="none" w:sz="0" w:space="0" w:color="auto"/>
                        <w:bottom w:val="none" w:sz="0" w:space="0" w:color="auto"/>
                        <w:right w:val="none" w:sz="0" w:space="0" w:color="auto"/>
                      </w:divBdr>
                    </w:div>
                  </w:divsChild>
                </w:div>
                <w:div w:id="543566193">
                  <w:marLeft w:val="0"/>
                  <w:marRight w:val="0"/>
                  <w:marTop w:val="0"/>
                  <w:marBottom w:val="0"/>
                  <w:divBdr>
                    <w:top w:val="none" w:sz="0" w:space="0" w:color="auto"/>
                    <w:left w:val="none" w:sz="0" w:space="0" w:color="auto"/>
                    <w:bottom w:val="none" w:sz="0" w:space="0" w:color="auto"/>
                    <w:right w:val="none" w:sz="0" w:space="0" w:color="auto"/>
                  </w:divBdr>
                  <w:divsChild>
                    <w:div w:id="1769426313">
                      <w:marLeft w:val="0"/>
                      <w:marRight w:val="0"/>
                      <w:marTop w:val="0"/>
                      <w:marBottom w:val="0"/>
                      <w:divBdr>
                        <w:top w:val="none" w:sz="0" w:space="0" w:color="auto"/>
                        <w:left w:val="none" w:sz="0" w:space="0" w:color="auto"/>
                        <w:bottom w:val="none" w:sz="0" w:space="0" w:color="auto"/>
                        <w:right w:val="none" w:sz="0" w:space="0" w:color="auto"/>
                      </w:divBdr>
                    </w:div>
                  </w:divsChild>
                </w:div>
                <w:div w:id="544560201">
                  <w:marLeft w:val="0"/>
                  <w:marRight w:val="0"/>
                  <w:marTop w:val="0"/>
                  <w:marBottom w:val="0"/>
                  <w:divBdr>
                    <w:top w:val="none" w:sz="0" w:space="0" w:color="auto"/>
                    <w:left w:val="none" w:sz="0" w:space="0" w:color="auto"/>
                    <w:bottom w:val="none" w:sz="0" w:space="0" w:color="auto"/>
                    <w:right w:val="none" w:sz="0" w:space="0" w:color="auto"/>
                  </w:divBdr>
                  <w:divsChild>
                    <w:div w:id="1021392117">
                      <w:marLeft w:val="0"/>
                      <w:marRight w:val="0"/>
                      <w:marTop w:val="0"/>
                      <w:marBottom w:val="0"/>
                      <w:divBdr>
                        <w:top w:val="none" w:sz="0" w:space="0" w:color="auto"/>
                        <w:left w:val="none" w:sz="0" w:space="0" w:color="auto"/>
                        <w:bottom w:val="none" w:sz="0" w:space="0" w:color="auto"/>
                        <w:right w:val="none" w:sz="0" w:space="0" w:color="auto"/>
                      </w:divBdr>
                    </w:div>
                  </w:divsChild>
                </w:div>
                <w:div w:id="553540779">
                  <w:marLeft w:val="0"/>
                  <w:marRight w:val="0"/>
                  <w:marTop w:val="0"/>
                  <w:marBottom w:val="0"/>
                  <w:divBdr>
                    <w:top w:val="none" w:sz="0" w:space="0" w:color="auto"/>
                    <w:left w:val="none" w:sz="0" w:space="0" w:color="auto"/>
                    <w:bottom w:val="none" w:sz="0" w:space="0" w:color="auto"/>
                    <w:right w:val="none" w:sz="0" w:space="0" w:color="auto"/>
                  </w:divBdr>
                  <w:divsChild>
                    <w:div w:id="626282235">
                      <w:marLeft w:val="0"/>
                      <w:marRight w:val="0"/>
                      <w:marTop w:val="0"/>
                      <w:marBottom w:val="0"/>
                      <w:divBdr>
                        <w:top w:val="none" w:sz="0" w:space="0" w:color="auto"/>
                        <w:left w:val="none" w:sz="0" w:space="0" w:color="auto"/>
                        <w:bottom w:val="none" w:sz="0" w:space="0" w:color="auto"/>
                        <w:right w:val="none" w:sz="0" w:space="0" w:color="auto"/>
                      </w:divBdr>
                    </w:div>
                  </w:divsChild>
                </w:div>
                <w:div w:id="556284071">
                  <w:marLeft w:val="0"/>
                  <w:marRight w:val="0"/>
                  <w:marTop w:val="0"/>
                  <w:marBottom w:val="0"/>
                  <w:divBdr>
                    <w:top w:val="none" w:sz="0" w:space="0" w:color="auto"/>
                    <w:left w:val="none" w:sz="0" w:space="0" w:color="auto"/>
                    <w:bottom w:val="none" w:sz="0" w:space="0" w:color="auto"/>
                    <w:right w:val="none" w:sz="0" w:space="0" w:color="auto"/>
                  </w:divBdr>
                  <w:divsChild>
                    <w:div w:id="2041396276">
                      <w:marLeft w:val="0"/>
                      <w:marRight w:val="0"/>
                      <w:marTop w:val="0"/>
                      <w:marBottom w:val="0"/>
                      <w:divBdr>
                        <w:top w:val="none" w:sz="0" w:space="0" w:color="auto"/>
                        <w:left w:val="none" w:sz="0" w:space="0" w:color="auto"/>
                        <w:bottom w:val="none" w:sz="0" w:space="0" w:color="auto"/>
                        <w:right w:val="none" w:sz="0" w:space="0" w:color="auto"/>
                      </w:divBdr>
                    </w:div>
                  </w:divsChild>
                </w:div>
                <w:div w:id="563031908">
                  <w:marLeft w:val="0"/>
                  <w:marRight w:val="0"/>
                  <w:marTop w:val="0"/>
                  <w:marBottom w:val="0"/>
                  <w:divBdr>
                    <w:top w:val="none" w:sz="0" w:space="0" w:color="auto"/>
                    <w:left w:val="none" w:sz="0" w:space="0" w:color="auto"/>
                    <w:bottom w:val="none" w:sz="0" w:space="0" w:color="auto"/>
                    <w:right w:val="none" w:sz="0" w:space="0" w:color="auto"/>
                  </w:divBdr>
                  <w:divsChild>
                    <w:div w:id="39911435">
                      <w:marLeft w:val="0"/>
                      <w:marRight w:val="0"/>
                      <w:marTop w:val="0"/>
                      <w:marBottom w:val="0"/>
                      <w:divBdr>
                        <w:top w:val="none" w:sz="0" w:space="0" w:color="auto"/>
                        <w:left w:val="none" w:sz="0" w:space="0" w:color="auto"/>
                        <w:bottom w:val="none" w:sz="0" w:space="0" w:color="auto"/>
                        <w:right w:val="none" w:sz="0" w:space="0" w:color="auto"/>
                      </w:divBdr>
                    </w:div>
                  </w:divsChild>
                </w:div>
                <w:div w:id="583033805">
                  <w:marLeft w:val="0"/>
                  <w:marRight w:val="0"/>
                  <w:marTop w:val="0"/>
                  <w:marBottom w:val="0"/>
                  <w:divBdr>
                    <w:top w:val="none" w:sz="0" w:space="0" w:color="auto"/>
                    <w:left w:val="none" w:sz="0" w:space="0" w:color="auto"/>
                    <w:bottom w:val="none" w:sz="0" w:space="0" w:color="auto"/>
                    <w:right w:val="none" w:sz="0" w:space="0" w:color="auto"/>
                  </w:divBdr>
                  <w:divsChild>
                    <w:div w:id="852231389">
                      <w:marLeft w:val="0"/>
                      <w:marRight w:val="0"/>
                      <w:marTop w:val="0"/>
                      <w:marBottom w:val="0"/>
                      <w:divBdr>
                        <w:top w:val="none" w:sz="0" w:space="0" w:color="auto"/>
                        <w:left w:val="none" w:sz="0" w:space="0" w:color="auto"/>
                        <w:bottom w:val="none" w:sz="0" w:space="0" w:color="auto"/>
                        <w:right w:val="none" w:sz="0" w:space="0" w:color="auto"/>
                      </w:divBdr>
                    </w:div>
                  </w:divsChild>
                </w:div>
                <w:div w:id="583533751">
                  <w:marLeft w:val="0"/>
                  <w:marRight w:val="0"/>
                  <w:marTop w:val="0"/>
                  <w:marBottom w:val="0"/>
                  <w:divBdr>
                    <w:top w:val="none" w:sz="0" w:space="0" w:color="auto"/>
                    <w:left w:val="none" w:sz="0" w:space="0" w:color="auto"/>
                    <w:bottom w:val="none" w:sz="0" w:space="0" w:color="auto"/>
                    <w:right w:val="none" w:sz="0" w:space="0" w:color="auto"/>
                  </w:divBdr>
                  <w:divsChild>
                    <w:div w:id="1638728572">
                      <w:marLeft w:val="0"/>
                      <w:marRight w:val="0"/>
                      <w:marTop w:val="0"/>
                      <w:marBottom w:val="0"/>
                      <w:divBdr>
                        <w:top w:val="none" w:sz="0" w:space="0" w:color="auto"/>
                        <w:left w:val="none" w:sz="0" w:space="0" w:color="auto"/>
                        <w:bottom w:val="none" w:sz="0" w:space="0" w:color="auto"/>
                        <w:right w:val="none" w:sz="0" w:space="0" w:color="auto"/>
                      </w:divBdr>
                    </w:div>
                  </w:divsChild>
                </w:div>
                <w:div w:id="596789790">
                  <w:marLeft w:val="0"/>
                  <w:marRight w:val="0"/>
                  <w:marTop w:val="0"/>
                  <w:marBottom w:val="0"/>
                  <w:divBdr>
                    <w:top w:val="none" w:sz="0" w:space="0" w:color="auto"/>
                    <w:left w:val="none" w:sz="0" w:space="0" w:color="auto"/>
                    <w:bottom w:val="none" w:sz="0" w:space="0" w:color="auto"/>
                    <w:right w:val="none" w:sz="0" w:space="0" w:color="auto"/>
                  </w:divBdr>
                  <w:divsChild>
                    <w:div w:id="550919993">
                      <w:marLeft w:val="0"/>
                      <w:marRight w:val="0"/>
                      <w:marTop w:val="0"/>
                      <w:marBottom w:val="0"/>
                      <w:divBdr>
                        <w:top w:val="none" w:sz="0" w:space="0" w:color="auto"/>
                        <w:left w:val="none" w:sz="0" w:space="0" w:color="auto"/>
                        <w:bottom w:val="none" w:sz="0" w:space="0" w:color="auto"/>
                        <w:right w:val="none" w:sz="0" w:space="0" w:color="auto"/>
                      </w:divBdr>
                    </w:div>
                  </w:divsChild>
                </w:div>
                <w:div w:id="604270832">
                  <w:marLeft w:val="0"/>
                  <w:marRight w:val="0"/>
                  <w:marTop w:val="0"/>
                  <w:marBottom w:val="0"/>
                  <w:divBdr>
                    <w:top w:val="none" w:sz="0" w:space="0" w:color="auto"/>
                    <w:left w:val="none" w:sz="0" w:space="0" w:color="auto"/>
                    <w:bottom w:val="none" w:sz="0" w:space="0" w:color="auto"/>
                    <w:right w:val="none" w:sz="0" w:space="0" w:color="auto"/>
                  </w:divBdr>
                  <w:divsChild>
                    <w:div w:id="1247305699">
                      <w:marLeft w:val="0"/>
                      <w:marRight w:val="0"/>
                      <w:marTop w:val="0"/>
                      <w:marBottom w:val="0"/>
                      <w:divBdr>
                        <w:top w:val="none" w:sz="0" w:space="0" w:color="auto"/>
                        <w:left w:val="none" w:sz="0" w:space="0" w:color="auto"/>
                        <w:bottom w:val="none" w:sz="0" w:space="0" w:color="auto"/>
                        <w:right w:val="none" w:sz="0" w:space="0" w:color="auto"/>
                      </w:divBdr>
                    </w:div>
                  </w:divsChild>
                </w:div>
                <w:div w:id="611598558">
                  <w:marLeft w:val="0"/>
                  <w:marRight w:val="0"/>
                  <w:marTop w:val="0"/>
                  <w:marBottom w:val="0"/>
                  <w:divBdr>
                    <w:top w:val="none" w:sz="0" w:space="0" w:color="auto"/>
                    <w:left w:val="none" w:sz="0" w:space="0" w:color="auto"/>
                    <w:bottom w:val="none" w:sz="0" w:space="0" w:color="auto"/>
                    <w:right w:val="none" w:sz="0" w:space="0" w:color="auto"/>
                  </w:divBdr>
                  <w:divsChild>
                    <w:div w:id="400564564">
                      <w:marLeft w:val="0"/>
                      <w:marRight w:val="0"/>
                      <w:marTop w:val="0"/>
                      <w:marBottom w:val="0"/>
                      <w:divBdr>
                        <w:top w:val="none" w:sz="0" w:space="0" w:color="auto"/>
                        <w:left w:val="none" w:sz="0" w:space="0" w:color="auto"/>
                        <w:bottom w:val="none" w:sz="0" w:space="0" w:color="auto"/>
                        <w:right w:val="none" w:sz="0" w:space="0" w:color="auto"/>
                      </w:divBdr>
                    </w:div>
                  </w:divsChild>
                </w:div>
                <w:div w:id="617031346">
                  <w:marLeft w:val="0"/>
                  <w:marRight w:val="0"/>
                  <w:marTop w:val="0"/>
                  <w:marBottom w:val="0"/>
                  <w:divBdr>
                    <w:top w:val="none" w:sz="0" w:space="0" w:color="auto"/>
                    <w:left w:val="none" w:sz="0" w:space="0" w:color="auto"/>
                    <w:bottom w:val="none" w:sz="0" w:space="0" w:color="auto"/>
                    <w:right w:val="none" w:sz="0" w:space="0" w:color="auto"/>
                  </w:divBdr>
                  <w:divsChild>
                    <w:div w:id="1718358555">
                      <w:marLeft w:val="0"/>
                      <w:marRight w:val="0"/>
                      <w:marTop w:val="0"/>
                      <w:marBottom w:val="0"/>
                      <w:divBdr>
                        <w:top w:val="none" w:sz="0" w:space="0" w:color="auto"/>
                        <w:left w:val="none" w:sz="0" w:space="0" w:color="auto"/>
                        <w:bottom w:val="none" w:sz="0" w:space="0" w:color="auto"/>
                        <w:right w:val="none" w:sz="0" w:space="0" w:color="auto"/>
                      </w:divBdr>
                    </w:div>
                  </w:divsChild>
                </w:div>
                <w:div w:id="699015106">
                  <w:marLeft w:val="0"/>
                  <w:marRight w:val="0"/>
                  <w:marTop w:val="0"/>
                  <w:marBottom w:val="0"/>
                  <w:divBdr>
                    <w:top w:val="none" w:sz="0" w:space="0" w:color="auto"/>
                    <w:left w:val="none" w:sz="0" w:space="0" w:color="auto"/>
                    <w:bottom w:val="none" w:sz="0" w:space="0" w:color="auto"/>
                    <w:right w:val="none" w:sz="0" w:space="0" w:color="auto"/>
                  </w:divBdr>
                  <w:divsChild>
                    <w:div w:id="1574505577">
                      <w:marLeft w:val="0"/>
                      <w:marRight w:val="0"/>
                      <w:marTop w:val="0"/>
                      <w:marBottom w:val="0"/>
                      <w:divBdr>
                        <w:top w:val="none" w:sz="0" w:space="0" w:color="auto"/>
                        <w:left w:val="none" w:sz="0" w:space="0" w:color="auto"/>
                        <w:bottom w:val="none" w:sz="0" w:space="0" w:color="auto"/>
                        <w:right w:val="none" w:sz="0" w:space="0" w:color="auto"/>
                      </w:divBdr>
                    </w:div>
                  </w:divsChild>
                </w:div>
                <w:div w:id="703529477">
                  <w:marLeft w:val="0"/>
                  <w:marRight w:val="0"/>
                  <w:marTop w:val="0"/>
                  <w:marBottom w:val="0"/>
                  <w:divBdr>
                    <w:top w:val="none" w:sz="0" w:space="0" w:color="auto"/>
                    <w:left w:val="none" w:sz="0" w:space="0" w:color="auto"/>
                    <w:bottom w:val="none" w:sz="0" w:space="0" w:color="auto"/>
                    <w:right w:val="none" w:sz="0" w:space="0" w:color="auto"/>
                  </w:divBdr>
                  <w:divsChild>
                    <w:div w:id="639654125">
                      <w:marLeft w:val="0"/>
                      <w:marRight w:val="0"/>
                      <w:marTop w:val="0"/>
                      <w:marBottom w:val="0"/>
                      <w:divBdr>
                        <w:top w:val="none" w:sz="0" w:space="0" w:color="auto"/>
                        <w:left w:val="none" w:sz="0" w:space="0" w:color="auto"/>
                        <w:bottom w:val="none" w:sz="0" w:space="0" w:color="auto"/>
                        <w:right w:val="none" w:sz="0" w:space="0" w:color="auto"/>
                      </w:divBdr>
                    </w:div>
                  </w:divsChild>
                </w:div>
                <w:div w:id="715931862">
                  <w:marLeft w:val="0"/>
                  <w:marRight w:val="0"/>
                  <w:marTop w:val="0"/>
                  <w:marBottom w:val="0"/>
                  <w:divBdr>
                    <w:top w:val="none" w:sz="0" w:space="0" w:color="auto"/>
                    <w:left w:val="none" w:sz="0" w:space="0" w:color="auto"/>
                    <w:bottom w:val="none" w:sz="0" w:space="0" w:color="auto"/>
                    <w:right w:val="none" w:sz="0" w:space="0" w:color="auto"/>
                  </w:divBdr>
                  <w:divsChild>
                    <w:div w:id="1604454165">
                      <w:marLeft w:val="0"/>
                      <w:marRight w:val="0"/>
                      <w:marTop w:val="0"/>
                      <w:marBottom w:val="0"/>
                      <w:divBdr>
                        <w:top w:val="none" w:sz="0" w:space="0" w:color="auto"/>
                        <w:left w:val="none" w:sz="0" w:space="0" w:color="auto"/>
                        <w:bottom w:val="none" w:sz="0" w:space="0" w:color="auto"/>
                        <w:right w:val="none" w:sz="0" w:space="0" w:color="auto"/>
                      </w:divBdr>
                    </w:div>
                  </w:divsChild>
                </w:div>
                <w:div w:id="727729027">
                  <w:marLeft w:val="0"/>
                  <w:marRight w:val="0"/>
                  <w:marTop w:val="0"/>
                  <w:marBottom w:val="0"/>
                  <w:divBdr>
                    <w:top w:val="none" w:sz="0" w:space="0" w:color="auto"/>
                    <w:left w:val="none" w:sz="0" w:space="0" w:color="auto"/>
                    <w:bottom w:val="none" w:sz="0" w:space="0" w:color="auto"/>
                    <w:right w:val="none" w:sz="0" w:space="0" w:color="auto"/>
                  </w:divBdr>
                  <w:divsChild>
                    <w:div w:id="122383332">
                      <w:marLeft w:val="0"/>
                      <w:marRight w:val="0"/>
                      <w:marTop w:val="0"/>
                      <w:marBottom w:val="0"/>
                      <w:divBdr>
                        <w:top w:val="none" w:sz="0" w:space="0" w:color="auto"/>
                        <w:left w:val="none" w:sz="0" w:space="0" w:color="auto"/>
                        <w:bottom w:val="none" w:sz="0" w:space="0" w:color="auto"/>
                        <w:right w:val="none" w:sz="0" w:space="0" w:color="auto"/>
                      </w:divBdr>
                    </w:div>
                  </w:divsChild>
                </w:div>
                <w:div w:id="728772515">
                  <w:marLeft w:val="0"/>
                  <w:marRight w:val="0"/>
                  <w:marTop w:val="0"/>
                  <w:marBottom w:val="0"/>
                  <w:divBdr>
                    <w:top w:val="none" w:sz="0" w:space="0" w:color="auto"/>
                    <w:left w:val="none" w:sz="0" w:space="0" w:color="auto"/>
                    <w:bottom w:val="none" w:sz="0" w:space="0" w:color="auto"/>
                    <w:right w:val="none" w:sz="0" w:space="0" w:color="auto"/>
                  </w:divBdr>
                  <w:divsChild>
                    <w:div w:id="2059893803">
                      <w:marLeft w:val="0"/>
                      <w:marRight w:val="0"/>
                      <w:marTop w:val="0"/>
                      <w:marBottom w:val="0"/>
                      <w:divBdr>
                        <w:top w:val="none" w:sz="0" w:space="0" w:color="auto"/>
                        <w:left w:val="none" w:sz="0" w:space="0" w:color="auto"/>
                        <w:bottom w:val="none" w:sz="0" w:space="0" w:color="auto"/>
                        <w:right w:val="none" w:sz="0" w:space="0" w:color="auto"/>
                      </w:divBdr>
                    </w:div>
                  </w:divsChild>
                </w:div>
                <w:div w:id="748890081">
                  <w:marLeft w:val="0"/>
                  <w:marRight w:val="0"/>
                  <w:marTop w:val="0"/>
                  <w:marBottom w:val="0"/>
                  <w:divBdr>
                    <w:top w:val="none" w:sz="0" w:space="0" w:color="auto"/>
                    <w:left w:val="none" w:sz="0" w:space="0" w:color="auto"/>
                    <w:bottom w:val="none" w:sz="0" w:space="0" w:color="auto"/>
                    <w:right w:val="none" w:sz="0" w:space="0" w:color="auto"/>
                  </w:divBdr>
                  <w:divsChild>
                    <w:div w:id="1213805409">
                      <w:marLeft w:val="0"/>
                      <w:marRight w:val="0"/>
                      <w:marTop w:val="0"/>
                      <w:marBottom w:val="0"/>
                      <w:divBdr>
                        <w:top w:val="none" w:sz="0" w:space="0" w:color="auto"/>
                        <w:left w:val="none" w:sz="0" w:space="0" w:color="auto"/>
                        <w:bottom w:val="none" w:sz="0" w:space="0" w:color="auto"/>
                        <w:right w:val="none" w:sz="0" w:space="0" w:color="auto"/>
                      </w:divBdr>
                    </w:div>
                  </w:divsChild>
                </w:div>
                <w:div w:id="752895609">
                  <w:marLeft w:val="0"/>
                  <w:marRight w:val="0"/>
                  <w:marTop w:val="0"/>
                  <w:marBottom w:val="0"/>
                  <w:divBdr>
                    <w:top w:val="none" w:sz="0" w:space="0" w:color="auto"/>
                    <w:left w:val="none" w:sz="0" w:space="0" w:color="auto"/>
                    <w:bottom w:val="none" w:sz="0" w:space="0" w:color="auto"/>
                    <w:right w:val="none" w:sz="0" w:space="0" w:color="auto"/>
                  </w:divBdr>
                  <w:divsChild>
                    <w:div w:id="247348026">
                      <w:marLeft w:val="0"/>
                      <w:marRight w:val="0"/>
                      <w:marTop w:val="0"/>
                      <w:marBottom w:val="0"/>
                      <w:divBdr>
                        <w:top w:val="none" w:sz="0" w:space="0" w:color="auto"/>
                        <w:left w:val="none" w:sz="0" w:space="0" w:color="auto"/>
                        <w:bottom w:val="none" w:sz="0" w:space="0" w:color="auto"/>
                        <w:right w:val="none" w:sz="0" w:space="0" w:color="auto"/>
                      </w:divBdr>
                    </w:div>
                  </w:divsChild>
                </w:div>
                <w:div w:id="759568523">
                  <w:marLeft w:val="0"/>
                  <w:marRight w:val="0"/>
                  <w:marTop w:val="0"/>
                  <w:marBottom w:val="0"/>
                  <w:divBdr>
                    <w:top w:val="none" w:sz="0" w:space="0" w:color="auto"/>
                    <w:left w:val="none" w:sz="0" w:space="0" w:color="auto"/>
                    <w:bottom w:val="none" w:sz="0" w:space="0" w:color="auto"/>
                    <w:right w:val="none" w:sz="0" w:space="0" w:color="auto"/>
                  </w:divBdr>
                  <w:divsChild>
                    <w:div w:id="1009328158">
                      <w:marLeft w:val="0"/>
                      <w:marRight w:val="0"/>
                      <w:marTop w:val="0"/>
                      <w:marBottom w:val="0"/>
                      <w:divBdr>
                        <w:top w:val="none" w:sz="0" w:space="0" w:color="auto"/>
                        <w:left w:val="none" w:sz="0" w:space="0" w:color="auto"/>
                        <w:bottom w:val="none" w:sz="0" w:space="0" w:color="auto"/>
                        <w:right w:val="none" w:sz="0" w:space="0" w:color="auto"/>
                      </w:divBdr>
                    </w:div>
                  </w:divsChild>
                </w:div>
                <w:div w:id="763576747">
                  <w:marLeft w:val="0"/>
                  <w:marRight w:val="0"/>
                  <w:marTop w:val="0"/>
                  <w:marBottom w:val="0"/>
                  <w:divBdr>
                    <w:top w:val="none" w:sz="0" w:space="0" w:color="auto"/>
                    <w:left w:val="none" w:sz="0" w:space="0" w:color="auto"/>
                    <w:bottom w:val="none" w:sz="0" w:space="0" w:color="auto"/>
                    <w:right w:val="none" w:sz="0" w:space="0" w:color="auto"/>
                  </w:divBdr>
                  <w:divsChild>
                    <w:div w:id="1583372726">
                      <w:marLeft w:val="0"/>
                      <w:marRight w:val="0"/>
                      <w:marTop w:val="0"/>
                      <w:marBottom w:val="0"/>
                      <w:divBdr>
                        <w:top w:val="none" w:sz="0" w:space="0" w:color="auto"/>
                        <w:left w:val="none" w:sz="0" w:space="0" w:color="auto"/>
                        <w:bottom w:val="none" w:sz="0" w:space="0" w:color="auto"/>
                        <w:right w:val="none" w:sz="0" w:space="0" w:color="auto"/>
                      </w:divBdr>
                    </w:div>
                  </w:divsChild>
                </w:div>
                <w:div w:id="776604261">
                  <w:marLeft w:val="0"/>
                  <w:marRight w:val="0"/>
                  <w:marTop w:val="0"/>
                  <w:marBottom w:val="0"/>
                  <w:divBdr>
                    <w:top w:val="none" w:sz="0" w:space="0" w:color="auto"/>
                    <w:left w:val="none" w:sz="0" w:space="0" w:color="auto"/>
                    <w:bottom w:val="none" w:sz="0" w:space="0" w:color="auto"/>
                    <w:right w:val="none" w:sz="0" w:space="0" w:color="auto"/>
                  </w:divBdr>
                  <w:divsChild>
                    <w:div w:id="2045249454">
                      <w:marLeft w:val="0"/>
                      <w:marRight w:val="0"/>
                      <w:marTop w:val="0"/>
                      <w:marBottom w:val="0"/>
                      <w:divBdr>
                        <w:top w:val="none" w:sz="0" w:space="0" w:color="auto"/>
                        <w:left w:val="none" w:sz="0" w:space="0" w:color="auto"/>
                        <w:bottom w:val="none" w:sz="0" w:space="0" w:color="auto"/>
                        <w:right w:val="none" w:sz="0" w:space="0" w:color="auto"/>
                      </w:divBdr>
                    </w:div>
                  </w:divsChild>
                </w:div>
                <w:div w:id="795413366">
                  <w:marLeft w:val="0"/>
                  <w:marRight w:val="0"/>
                  <w:marTop w:val="0"/>
                  <w:marBottom w:val="0"/>
                  <w:divBdr>
                    <w:top w:val="none" w:sz="0" w:space="0" w:color="auto"/>
                    <w:left w:val="none" w:sz="0" w:space="0" w:color="auto"/>
                    <w:bottom w:val="none" w:sz="0" w:space="0" w:color="auto"/>
                    <w:right w:val="none" w:sz="0" w:space="0" w:color="auto"/>
                  </w:divBdr>
                  <w:divsChild>
                    <w:div w:id="2012682833">
                      <w:marLeft w:val="0"/>
                      <w:marRight w:val="0"/>
                      <w:marTop w:val="0"/>
                      <w:marBottom w:val="0"/>
                      <w:divBdr>
                        <w:top w:val="none" w:sz="0" w:space="0" w:color="auto"/>
                        <w:left w:val="none" w:sz="0" w:space="0" w:color="auto"/>
                        <w:bottom w:val="none" w:sz="0" w:space="0" w:color="auto"/>
                        <w:right w:val="none" w:sz="0" w:space="0" w:color="auto"/>
                      </w:divBdr>
                    </w:div>
                  </w:divsChild>
                </w:div>
                <w:div w:id="819226986">
                  <w:marLeft w:val="0"/>
                  <w:marRight w:val="0"/>
                  <w:marTop w:val="0"/>
                  <w:marBottom w:val="0"/>
                  <w:divBdr>
                    <w:top w:val="none" w:sz="0" w:space="0" w:color="auto"/>
                    <w:left w:val="none" w:sz="0" w:space="0" w:color="auto"/>
                    <w:bottom w:val="none" w:sz="0" w:space="0" w:color="auto"/>
                    <w:right w:val="none" w:sz="0" w:space="0" w:color="auto"/>
                  </w:divBdr>
                  <w:divsChild>
                    <w:div w:id="446386026">
                      <w:marLeft w:val="0"/>
                      <w:marRight w:val="0"/>
                      <w:marTop w:val="0"/>
                      <w:marBottom w:val="0"/>
                      <w:divBdr>
                        <w:top w:val="none" w:sz="0" w:space="0" w:color="auto"/>
                        <w:left w:val="none" w:sz="0" w:space="0" w:color="auto"/>
                        <w:bottom w:val="none" w:sz="0" w:space="0" w:color="auto"/>
                        <w:right w:val="none" w:sz="0" w:space="0" w:color="auto"/>
                      </w:divBdr>
                    </w:div>
                  </w:divsChild>
                </w:div>
                <w:div w:id="822039471">
                  <w:marLeft w:val="0"/>
                  <w:marRight w:val="0"/>
                  <w:marTop w:val="0"/>
                  <w:marBottom w:val="0"/>
                  <w:divBdr>
                    <w:top w:val="none" w:sz="0" w:space="0" w:color="auto"/>
                    <w:left w:val="none" w:sz="0" w:space="0" w:color="auto"/>
                    <w:bottom w:val="none" w:sz="0" w:space="0" w:color="auto"/>
                    <w:right w:val="none" w:sz="0" w:space="0" w:color="auto"/>
                  </w:divBdr>
                  <w:divsChild>
                    <w:div w:id="1435980337">
                      <w:marLeft w:val="0"/>
                      <w:marRight w:val="0"/>
                      <w:marTop w:val="0"/>
                      <w:marBottom w:val="0"/>
                      <w:divBdr>
                        <w:top w:val="none" w:sz="0" w:space="0" w:color="auto"/>
                        <w:left w:val="none" w:sz="0" w:space="0" w:color="auto"/>
                        <w:bottom w:val="none" w:sz="0" w:space="0" w:color="auto"/>
                        <w:right w:val="none" w:sz="0" w:space="0" w:color="auto"/>
                      </w:divBdr>
                    </w:div>
                  </w:divsChild>
                </w:div>
                <w:div w:id="844243770">
                  <w:marLeft w:val="0"/>
                  <w:marRight w:val="0"/>
                  <w:marTop w:val="0"/>
                  <w:marBottom w:val="0"/>
                  <w:divBdr>
                    <w:top w:val="none" w:sz="0" w:space="0" w:color="auto"/>
                    <w:left w:val="none" w:sz="0" w:space="0" w:color="auto"/>
                    <w:bottom w:val="none" w:sz="0" w:space="0" w:color="auto"/>
                    <w:right w:val="none" w:sz="0" w:space="0" w:color="auto"/>
                  </w:divBdr>
                  <w:divsChild>
                    <w:div w:id="1995602920">
                      <w:marLeft w:val="0"/>
                      <w:marRight w:val="0"/>
                      <w:marTop w:val="0"/>
                      <w:marBottom w:val="0"/>
                      <w:divBdr>
                        <w:top w:val="none" w:sz="0" w:space="0" w:color="auto"/>
                        <w:left w:val="none" w:sz="0" w:space="0" w:color="auto"/>
                        <w:bottom w:val="none" w:sz="0" w:space="0" w:color="auto"/>
                        <w:right w:val="none" w:sz="0" w:space="0" w:color="auto"/>
                      </w:divBdr>
                    </w:div>
                  </w:divsChild>
                </w:div>
                <w:div w:id="848640104">
                  <w:marLeft w:val="0"/>
                  <w:marRight w:val="0"/>
                  <w:marTop w:val="0"/>
                  <w:marBottom w:val="0"/>
                  <w:divBdr>
                    <w:top w:val="none" w:sz="0" w:space="0" w:color="auto"/>
                    <w:left w:val="none" w:sz="0" w:space="0" w:color="auto"/>
                    <w:bottom w:val="none" w:sz="0" w:space="0" w:color="auto"/>
                    <w:right w:val="none" w:sz="0" w:space="0" w:color="auto"/>
                  </w:divBdr>
                  <w:divsChild>
                    <w:div w:id="881015727">
                      <w:marLeft w:val="0"/>
                      <w:marRight w:val="0"/>
                      <w:marTop w:val="0"/>
                      <w:marBottom w:val="0"/>
                      <w:divBdr>
                        <w:top w:val="none" w:sz="0" w:space="0" w:color="auto"/>
                        <w:left w:val="none" w:sz="0" w:space="0" w:color="auto"/>
                        <w:bottom w:val="none" w:sz="0" w:space="0" w:color="auto"/>
                        <w:right w:val="none" w:sz="0" w:space="0" w:color="auto"/>
                      </w:divBdr>
                    </w:div>
                  </w:divsChild>
                </w:div>
                <w:div w:id="854031631">
                  <w:marLeft w:val="0"/>
                  <w:marRight w:val="0"/>
                  <w:marTop w:val="0"/>
                  <w:marBottom w:val="0"/>
                  <w:divBdr>
                    <w:top w:val="none" w:sz="0" w:space="0" w:color="auto"/>
                    <w:left w:val="none" w:sz="0" w:space="0" w:color="auto"/>
                    <w:bottom w:val="none" w:sz="0" w:space="0" w:color="auto"/>
                    <w:right w:val="none" w:sz="0" w:space="0" w:color="auto"/>
                  </w:divBdr>
                  <w:divsChild>
                    <w:div w:id="1151097593">
                      <w:marLeft w:val="0"/>
                      <w:marRight w:val="0"/>
                      <w:marTop w:val="0"/>
                      <w:marBottom w:val="0"/>
                      <w:divBdr>
                        <w:top w:val="none" w:sz="0" w:space="0" w:color="auto"/>
                        <w:left w:val="none" w:sz="0" w:space="0" w:color="auto"/>
                        <w:bottom w:val="none" w:sz="0" w:space="0" w:color="auto"/>
                        <w:right w:val="none" w:sz="0" w:space="0" w:color="auto"/>
                      </w:divBdr>
                    </w:div>
                  </w:divsChild>
                </w:div>
                <w:div w:id="859322019">
                  <w:marLeft w:val="0"/>
                  <w:marRight w:val="0"/>
                  <w:marTop w:val="0"/>
                  <w:marBottom w:val="0"/>
                  <w:divBdr>
                    <w:top w:val="none" w:sz="0" w:space="0" w:color="auto"/>
                    <w:left w:val="none" w:sz="0" w:space="0" w:color="auto"/>
                    <w:bottom w:val="none" w:sz="0" w:space="0" w:color="auto"/>
                    <w:right w:val="none" w:sz="0" w:space="0" w:color="auto"/>
                  </w:divBdr>
                  <w:divsChild>
                    <w:div w:id="819736294">
                      <w:marLeft w:val="0"/>
                      <w:marRight w:val="0"/>
                      <w:marTop w:val="0"/>
                      <w:marBottom w:val="0"/>
                      <w:divBdr>
                        <w:top w:val="none" w:sz="0" w:space="0" w:color="auto"/>
                        <w:left w:val="none" w:sz="0" w:space="0" w:color="auto"/>
                        <w:bottom w:val="none" w:sz="0" w:space="0" w:color="auto"/>
                        <w:right w:val="none" w:sz="0" w:space="0" w:color="auto"/>
                      </w:divBdr>
                    </w:div>
                  </w:divsChild>
                </w:div>
                <w:div w:id="874002015">
                  <w:marLeft w:val="0"/>
                  <w:marRight w:val="0"/>
                  <w:marTop w:val="0"/>
                  <w:marBottom w:val="0"/>
                  <w:divBdr>
                    <w:top w:val="none" w:sz="0" w:space="0" w:color="auto"/>
                    <w:left w:val="none" w:sz="0" w:space="0" w:color="auto"/>
                    <w:bottom w:val="none" w:sz="0" w:space="0" w:color="auto"/>
                    <w:right w:val="none" w:sz="0" w:space="0" w:color="auto"/>
                  </w:divBdr>
                  <w:divsChild>
                    <w:div w:id="1531142849">
                      <w:marLeft w:val="0"/>
                      <w:marRight w:val="0"/>
                      <w:marTop w:val="0"/>
                      <w:marBottom w:val="0"/>
                      <w:divBdr>
                        <w:top w:val="none" w:sz="0" w:space="0" w:color="auto"/>
                        <w:left w:val="none" w:sz="0" w:space="0" w:color="auto"/>
                        <w:bottom w:val="none" w:sz="0" w:space="0" w:color="auto"/>
                        <w:right w:val="none" w:sz="0" w:space="0" w:color="auto"/>
                      </w:divBdr>
                    </w:div>
                  </w:divsChild>
                </w:div>
                <w:div w:id="879782349">
                  <w:marLeft w:val="0"/>
                  <w:marRight w:val="0"/>
                  <w:marTop w:val="0"/>
                  <w:marBottom w:val="0"/>
                  <w:divBdr>
                    <w:top w:val="none" w:sz="0" w:space="0" w:color="auto"/>
                    <w:left w:val="none" w:sz="0" w:space="0" w:color="auto"/>
                    <w:bottom w:val="none" w:sz="0" w:space="0" w:color="auto"/>
                    <w:right w:val="none" w:sz="0" w:space="0" w:color="auto"/>
                  </w:divBdr>
                  <w:divsChild>
                    <w:div w:id="1641691645">
                      <w:marLeft w:val="0"/>
                      <w:marRight w:val="0"/>
                      <w:marTop w:val="0"/>
                      <w:marBottom w:val="0"/>
                      <w:divBdr>
                        <w:top w:val="none" w:sz="0" w:space="0" w:color="auto"/>
                        <w:left w:val="none" w:sz="0" w:space="0" w:color="auto"/>
                        <w:bottom w:val="none" w:sz="0" w:space="0" w:color="auto"/>
                        <w:right w:val="none" w:sz="0" w:space="0" w:color="auto"/>
                      </w:divBdr>
                    </w:div>
                  </w:divsChild>
                </w:div>
                <w:div w:id="884605590">
                  <w:marLeft w:val="0"/>
                  <w:marRight w:val="0"/>
                  <w:marTop w:val="0"/>
                  <w:marBottom w:val="0"/>
                  <w:divBdr>
                    <w:top w:val="none" w:sz="0" w:space="0" w:color="auto"/>
                    <w:left w:val="none" w:sz="0" w:space="0" w:color="auto"/>
                    <w:bottom w:val="none" w:sz="0" w:space="0" w:color="auto"/>
                    <w:right w:val="none" w:sz="0" w:space="0" w:color="auto"/>
                  </w:divBdr>
                  <w:divsChild>
                    <w:div w:id="831874520">
                      <w:marLeft w:val="0"/>
                      <w:marRight w:val="0"/>
                      <w:marTop w:val="0"/>
                      <w:marBottom w:val="0"/>
                      <w:divBdr>
                        <w:top w:val="none" w:sz="0" w:space="0" w:color="auto"/>
                        <w:left w:val="none" w:sz="0" w:space="0" w:color="auto"/>
                        <w:bottom w:val="none" w:sz="0" w:space="0" w:color="auto"/>
                        <w:right w:val="none" w:sz="0" w:space="0" w:color="auto"/>
                      </w:divBdr>
                    </w:div>
                  </w:divsChild>
                </w:div>
                <w:div w:id="898394744">
                  <w:marLeft w:val="0"/>
                  <w:marRight w:val="0"/>
                  <w:marTop w:val="0"/>
                  <w:marBottom w:val="0"/>
                  <w:divBdr>
                    <w:top w:val="none" w:sz="0" w:space="0" w:color="auto"/>
                    <w:left w:val="none" w:sz="0" w:space="0" w:color="auto"/>
                    <w:bottom w:val="none" w:sz="0" w:space="0" w:color="auto"/>
                    <w:right w:val="none" w:sz="0" w:space="0" w:color="auto"/>
                  </w:divBdr>
                  <w:divsChild>
                    <w:div w:id="22639642">
                      <w:marLeft w:val="0"/>
                      <w:marRight w:val="0"/>
                      <w:marTop w:val="0"/>
                      <w:marBottom w:val="0"/>
                      <w:divBdr>
                        <w:top w:val="none" w:sz="0" w:space="0" w:color="auto"/>
                        <w:left w:val="none" w:sz="0" w:space="0" w:color="auto"/>
                        <w:bottom w:val="none" w:sz="0" w:space="0" w:color="auto"/>
                        <w:right w:val="none" w:sz="0" w:space="0" w:color="auto"/>
                      </w:divBdr>
                    </w:div>
                  </w:divsChild>
                </w:div>
                <w:div w:id="900478468">
                  <w:marLeft w:val="0"/>
                  <w:marRight w:val="0"/>
                  <w:marTop w:val="0"/>
                  <w:marBottom w:val="0"/>
                  <w:divBdr>
                    <w:top w:val="none" w:sz="0" w:space="0" w:color="auto"/>
                    <w:left w:val="none" w:sz="0" w:space="0" w:color="auto"/>
                    <w:bottom w:val="none" w:sz="0" w:space="0" w:color="auto"/>
                    <w:right w:val="none" w:sz="0" w:space="0" w:color="auto"/>
                  </w:divBdr>
                  <w:divsChild>
                    <w:div w:id="1262184884">
                      <w:marLeft w:val="0"/>
                      <w:marRight w:val="0"/>
                      <w:marTop w:val="0"/>
                      <w:marBottom w:val="0"/>
                      <w:divBdr>
                        <w:top w:val="none" w:sz="0" w:space="0" w:color="auto"/>
                        <w:left w:val="none" w:sz="0" w:space="0" w:color="auto"/>
                        <w:bottom w:val="none" w:sz="0" w:space="0" w:color="auto"/>
                        <w:right w:val="none" w:sz="0" w:space="0" w:color="auto"/>
                      </w:divBdr>
                    </w:div>
                  </w:divsChild>
                </w:div>
                <w:div w:id="924609847">
                  <w:marLeft w:val="0"/>
                  <w:marRight w:val="0"/>
                  <w:marTop w:val="0"/>
                  <w:marBottom w:val="0"/>
                  <w:divBdr>
                    <w:top w:val="none" w:sz="0" w:space="0" w:color="auto"/>
                    <w:left w:val="none" w:sz="0" w:space="0" w:color="auto"/>
                    <w:bottom w:val="none" w:sz="0" w:space="0" w:color="auto"/>
                    <w:right w:val="none" w:sz="0" w:space="0" w:color="auto"/>
                  </w:divBdr>
                  <w:divsChild>
                    <w:div w:id="1128859723">
                      <w:marLeft w:val="0"/>
                      <w:marRight w:val="0"/>
                      <w:marTop w:val="0"/>
                      <w:marBottom w:val="0"/>
                      <w:divBdr>
                        <w:top w:val="none" w:sz="0" w:space="0" w:color="auto"/>
                        <w:left w:val="none" w:sz="0" w:space="0" w:color="auto"/>
                        <w:bottom w:val="none" w:sz="0" w:space="0" w:color="auto"/>
                        <w:right w:val="none" w:sz="0" w:space="0" w:color="auto"/>
                      </w:divBdr>
                    </w:div>
                  </w:divsChild>
                </w:div>
                <w:div w:id="935601330">
                  <w:marLeft w:val="0"/>
                  <w:marRight w:val="0"/>
                  <w:marTop w:val="0"/>
                  <w:marBottom w:val="0"/>
                  <w:divBdr>
                    <w:top w:val="none" w:sz="0" w:space="0" w:color="auto"/>
                    <w:left w:val="none" w:sz="0" w:space="0" w:color="auto"/>
                    <w:bottom w:val="none" w:sz="0" w:space="0" w:color="auto"/>
                    <w:right w:val="none" w:sz="0" w:space="0" w:color="auto"/>
                  </w:divBdr>
                  <w:divsChild>
                    <w:div w:id="1806463656">
                      <w:marLeft w:val="0"/>
                      <w:marRight w:val="0"/>
                      <w:marTop w:val="0"/>
                      <w:marBottom w:val="0"/>
                      <w:divBdr>
                        <w:top w:val="none" w:sz="0" w:space="0" w:color="auto"/>
                        <w:left w:val="none" w:sz="0" w:space="0" w:color="auto"/>
                        <w:bottom w:val="none" w:sz="0" w:space="0" w:color="auto"/>
                        <w:right w:val="none" w:sz="0" w:space="0" w:color="auto"/>
                      </w:divBdr>
                    </w:div>
                  </w:divsChild>
                </w:div>
                <w:div w:id="951746182">
                  <w:marLeft w:val="0"/>
                  <w:marRight w:val="0"/>
                  <w:marTop w:val="0"/>
                  <w:marBottom w:val="0"/>
                  <w:divBdr>
                    <w:top w:val="none" w:sz="0" w:space="0" w:color="auto"/>
                    <w:left w:val="none" w:sz="0" w:space="0" w:color="auto"/>
                    <w:bottom w:val="none" w:sz="0" w:space="0" w:color="auto"/>
                    <w:right w:val="none" w:sz="0" w:space="0" w:color="auto"/>
                  </w:divBdr>
                  <w:divsChild>
                    <w:div w:id="1048992309">
                      <w:marLeft w:val="0"/>
                      <w:marRight w:val="0"/>
                      <w:marTop w:val="0"/>
                      <w:marBottom w:val="0"/>
                      <w:divBdr>
                        <w:top w:val="none" w:sz="0" w:space="0" w:color="auto"/>
                        <w:left w:val="none" w:sz="0" w:space="0" w:color="auto"/>
                        <w:bottom w:val="none" w:sz="0" w:space="0" w:color="auto"/>
                        <w:right w:val="none" w:sz="0" w:space="0" w:color="auto"/>
                      </w:divBdr>
                    </w:div>
                  </w:divsChild>
                </w:div>
                <w:div w:id="961493571">
                  <w:marLeft w:val="0"/>
                  <w:marRight w:val="0"/>
                  <w:marTop w:val="0"/>
                  <w:marBottom w:val="0"/>
                  <w:divBdr>
                    <w:top w:val="none" w:sz="0" w:space="0" w:color="auto"/>
                    <w:left w:val="none" w:sz="0" w:space="0" w:color="auto"/>
                    <w:bottom w:val="none" w:sz="0" w:space="0" w:color="auto"/>
                    <w:right w:val="none" w:sz="0" w:space="0" w:color="auto"/>
                  </w:divBdr>
                  <w:divsChild>
                    <w:div w:id="1399666973">
                      <w:marLeft w:val="0"/>
                      <w:marRight w:val="0"/>
                      <w:marTop w:val="0"/>
                      <w:marBottom w:val="0"/>
                      <w:divBdr>
                        <w:top w:val="none" w:sz="0" w:space="0" w:color="auto"/>
                        <w:left w:val="none" w:sz="0" w:space="0" w:color="auto"/>
                        <w:bottom w:val="none" w:sz="0" w:space="0" w:color="auto"/>
                        <w:right w:val="none" w:sz="0" w:space="0" w:color="auto"/>
                      </w:divBdr>
                    </w:div>
                  </w:divsChild>
                </w:div>
                <w:div w:id="969168119">
                  <w:marLeft w:val="0"/>
                  <w:marRight w:val="0"/>
                  <w:marTop w:val="0"/>
                  <w:marBottom w:val="0"/>
                  <w:divBdr>
                    <w:top w:val="none" w:sz="0" w:space="0" w:color="auto"/>
                    <w:left w:val="none" w:sz="0" w:space="0" w:color="auto"/>
                    <w:bottom w:val="none" w:sz="0" w:space="0" w:color="auto"/>
                    <w:right w:val="none" w:sz="0" w:space="0" w:color="auto"/>
                  </w:divBdr>
                  <w:divsChild>
                    <w:div w:id="1957133589">
                      <w:marLeft w:val="0"/>
                      <w:marRight w:val="0"/>
                      <w:marTop w:val="0"/>
                      <w:marBottom w:val="0"/>
                      <w:divBdr>
                        <w:top w:val="none" w:sz="0" w:space="0" w:color="auto"/>
                        <w:left w:val="none" w:sz="0" w:space="0" w:color="auto"/>
                        <w:bottom w:val="none" w:sz="0" w:space="0" w:color="auto"/>
                        <w:right w:val="none" w:sz="0" w:space="0" w:color="auto"/>
                      </w:divBdr>
                    </w:div>
                  </w:divsChild>
                </w:div>
                <w:div w:id="995256241">
                  <w:marLeft w:val="0"/>
                  <w:marRight w:val="0"/>
                  <w:marTop w:val="0"/>
                  <w:marBottom w:val="0"/>
                  <w:divBdr>
                    <w:top w:val="none" w:sz="0" w:space="0" w:color="auto"/>
                    <w:left w:val="none" w:sz="0" w:space="0" w:color="auto"/>
                    <w:bottom w:val="none" w:sz="0" w:space="0" w:color="auto"/>
                    <w:right w:val="none" w:sz="0" w:space="0" w:color="auto"/>
                  </w:divBdr>
                  <w:divsChild>
                    <w:div w:id="1115097540">
                      <w:marLeft w:val="0"/>
                      <w:marRight w:val="0"/>
                      <w:marTop w:val="0"/>
                      <w:marBottom w:val="0"/>
                      <w:divBdr>
                        <w:top w:val="none" w:sz="0" w:space="0" w:color="auto"/>
                        <w:left w:val="none" w:sz="0" w:space="0" w:color="auto"/>
                        <w:bottom w:val="none" w:sz="0" w:space="0" w:color="auto"/>
                        <w:right w:val="none" w:sz="0" w:space="0" w:color="auto"/>
                      </w:divBdr>
                    </w:div>
                  </w:divsChild>
                </w:div>
                <w:div w:id="1004170588">
                  <w:marLeft w:val="0"/>
                  <w:marRight w:val="0"/>
                  <w:marTop w:val="0"/>
                  <w:marBottom w:val="0"/>
                  <w:divBdr>
                    <w:top w:val="none" w:sz="0" w:space="0" w:color="auto"/>
                    <w:left w:val="none" w:sz="0" w:space="0" w:color="auto"/>
                    <w:bottom w:val="none" w:sz="0" w:space="0" w:color="auto"/>
                    <w:right w:val="none" w:sz="0" w:space="0" w:color="auto"/>
                  </w:divBdr>
                  <w:divsChild>
                    <w:div w:id="1666779568">
                      <w:marLeft w:val="0"/>
                      <w:marRight w:val="0"/>
                      <w:marTop w:val="0"/>
                      <w:marBottom w:val="0"/>
                      <w:divBdr>
                        <w:top w:val="none" w:sz="0" w:space="0" w:color="auto"/>
                        <w:left w:val="none" w:sz="0" w:space="0" w:color="auto"/>
                        <w:bottom w:val="none" w:sz="0" w:space="0" w:color="auto"/>
                        <w:right w:val="none" w:sz="0" w:space="0" w:color="auto"/>
                      </w:divBdr>
                    </w:div>
                  </w:divsChild>
                </w:div>
                <w:div w:id="1010370256">
                  <w:marLeft w:val="0"/>
                  <w:marRight w:val="0"/>
                  <w:marTop w:val="0"/>
                  <w:marBottom w:val="0"/>
                  <w:divBdr>
                    <w:top w:val="none" w:sz="0" w:space="0" w:color="auto"/>
                    <w:left w:val="none" w:sz="0" w:space="0" w:color="auto"/>
                    <w:bottom w:val="none" w:sz="0" w:space="0" w:color="auto"/>
                    <w:right w:val="none" w:sz="0" w:space="0" w:color="auto"/>
                  </w:divBdr>
                  <w:divsChild>
                    <w:div w:id="2046368207">
                      <w:marLeft w:val="0"/>
                      <w:marRight w:val="0"/>
                      <w:marTop w:val="0"/>
                      <w:marBottom w:val="0"/>
                      <w:divBdr>
                        <w:top w:val="none" w:sz="0" w:space="0" w:color="auto"/>
                        <w:left w:val="none" w:sz="0" w:space="0" w:color="auto"/>
                        <w:bottom w:val="none" w:sz="0" w:space="0" w:color="auto"/>
                        <w:right w:val="none" w:sz="0" w:space="0" w:color="auto"/>
                      </w:divBdr>
                    </w:div>
                  </w:divsChild>
                </w:div>
                <w:div w:id="1022635441">
                  <w:marLeft w:val="0"/>
                  <w:marRight w:val="0"/>
                  <w:marTop w:val="0"/>
                  <w:marBottom w:val="0"/>
                  <w:divBdr>
                    <w:top w:val="none" w:sz="0" w:space="0" w:color="auto"/>
                    <w:left w:val="none" w:sz="0" w:space="0" w:color="auto"/>
                    <w:bottom w:val="none" w:sz="0" w:space="0" w:color="auto"/>
                    <w:right w:val="none" w:sz="0" w:space="0" w:color="auto"/>
                  </w:divBdr>
                  <w:divsChild>
                    <w:div w:id="300696319">
                      <w:marLeft w:val="0"/>
                      <w:marRight w:val="0"/>
                      <w:marTop w:val="0"/>
                      <w:marBottom w:val="0"/>
                      <w:divBdr>
                        <w:top w:val="none" w:sz="0" w:space="0" w:color="auto"/>
                        <w:left w:val="none" w:sz="0" w:space="0" w:color="auto"/>
                        <w:bottom w:val="none" w:sz="0" w:space="0" w:color="auto"/>
                        <w:right w:val="none" w:sz="0" w:space="0" w:color="auto"/>
                      </w:divBdr>
                    </w:div>
                  </w:divsChild>
                </w:div>
                <w:div w:id="1024408428">
                  <w:marLeft w:val="0"/>
                  <w:marRight w:val="0"/>
                  <w:marTop w:val="0"/>
                  <w:marBottom w:val="0"/>
                  <w:divBdr>
                    <w:top w:val="none" w:sz="0" w:space="0" w:color="auto"/>
                    <w:left w:val="none" w:sz="0" w:space="0" w:color="auto"/>
                    <w:bottom w:val="none" w:sz="0" w:space="0" w:color="auto"/>
                    <w:right w:val="none" w:sz="0" w:space="0" w:color="auto"/>
                  </w:divBdr>
                  <w:divsChild>
                    <w:div w:id="1234118317">
                      <w:marLeft w:val="0"/>
                      <w:marRight w:val="0"/>
                      <w:marTop w:val="0"/>
                      <w:marBottom w:val="0"/>
                      <w:divBdr>
                        <w:top w:val="none" w:sz="0" w:space="0" w:color="auto"/>
                        <w:left w:val="none" w:sz="0" w:space="0" w:color="auto"/>
                        <w:bottom w:val="none" w:sz="0" w:space="0" w:color="auto"/>
                        <w:right w:val="none" w:sz="0" w:space="0" w:color="auto"/>
                      </w:divBdr>
                    </w:div>
                  </w:divsChild>
                </w:div>
                <w:div w:id="1027020199">
                  <w:marLeft w:val="0"/>
                  <w:marRight w:val="0"/>
                  <w:marTop w:val="0"/>
                  <w:marBottom w:val="0"/>
                  <w:divBdr>
                    <w:top w:val="none" w:sz="0" w:space="0" w:color="auto"/>
                    <w:left w:val="none" w:sz="0" w:space="0" w:color="auto"/>
                    <w:bottom w:val="none" w:sz="0" w:space="0" w:color="auto"/>
                    <w:right w:val="none" w:sz="0" w:space="0" w:color="auto"/>
                  </w:divBdr>
                  <w:divsChild>
                    <w:div w:id="687370303">
                      <w:marLeft w:val="0"/>
                      <w:marRight w:val="0"/>
                      <w:marTop w:val="0"/>
                      <w:marBottom w:val="0"/>
                      <w:divBdr>
                        <w:top w:val="none" w:sz="0" w:space="0" w:color="auto"/>
                        <w:left w:val="none" w:sz="0" w:space="0" w:color="auto"/>
                        <w:bottom w:val="none" w:sz="0" w:space="0" w:color="auto"/>
                        <w:right w:val="none" w:sz="0" w:space="0" w:color="auto"/>
                      </w:divBdr>
                    </w:div>
                  </w:divsChild>
                </w:div>
                <w:div w:id="1037587900">
                  <w:marLeft w:val="0"/>
                  <w:marRight w:val="0"/>
                  <w:marTop w:val="0"/>
                  <w:marBottom w:val="0"/>
                  <w:divBdr>
                    <w:top w:val="none" w:sz="0" w:space="0" w:color="auto"/>
                    <w:left w:val="none" w:sz="0" w:space="0" w:color="auto"/>
                    <w:bottom w:val="none" w:sz="0" w:space="0" w:color="auto"/>
                    <w:right w:val="none" w:sz="0" w:space="0" w:color="auto"/>
                  </w:divBdr>
                  <w:divsChild>
                    <w:div w:id="854806465">
                      <w:marLeft w:val="0"/>
                      <w:marRight w:val="0"/>
                      <w:marTop w:val="0"/>
                      <w:marBottom w:val="0"/>
                      <w:divBdr>
                        <w:top w:val="none" w:sz="0" w:space="0" w:color="auto"/>
                        <w:left w:val="none" w:sz="0" w:space="0" w:color="auto"/>
                        <w:bottom w:val="none" w:sz="0" w:space="0" w:color="auto"/>
                        <w:right w:val="none" w:sz="0" w:space="0" w:color="auto"/>
                      </w:divBdr>
                    </w:div>
                  </w:divsChild>
                </w:div>
                <w:div w:id="1038048270">
                  <w:marLeft w:val="0"/>
                  <w:marRight w:val="0"/>
                  <w:marTop w:val="0"/>
                  <w:marBottom w:val="0"/>
                  <w:divBdr>
                    <w:top w:val="none" w:sz="0" w:space="0" w:color="auto"/>
                    <w:left w:val="none" w:sz="0" w:space="0" w:color="auto"/>
                    <w:bottom w:val="none" w:sz="0" w:space="0" w:color="auto"/>
                    <w:right w:val="none" w:sz="0" w:space="0" w:color="auto"/>
                  </w:divBdr>
                  <w:divsChild>
                    <w:div w:id="775291922">
                      <w:marLeft w:val="0"/>
                      <w:marRight w:val="0"/>
                      <w:marTop w:val="0"/>
                      <w:marBottom w:val="0"/>
                      <w:divBdr>
                        <w:top w:val="none" w:sz="0" w:space="0" w:color="auto"/>
                        <w:left w:val="none" w:sz="0" w:space="0" w:color="auto"/>
                        <w:bottom w:val="none" w:sz="0" w:space="0" w:color="auto"/>
                        <w:right w:val="none" w:sz="0" w:space="0" w:color="auto"/>
                      </w:divBdr>
                    </w:div>
                  </w:divsChild>
                </w:div>
                <w:div w:id="1059019604">
                  <w:marLeft w:val="0"/>
                  <w:marRight w:val="0"/>
                  <w:marTop w:val="0"/>
                  <w:marBottom w:val="0"/>
                  <w:divBdr>
                    <w:top w:val="none" w:sz="0" w:space="0" w:color="auto"/>
                    <w:left w:val="none" w:sz="0" w:space="0" w:color="auto"/>
                    <w:bottom w:val="none" w:sz="0" w:space="0" w:color="auto"/>
                    <w:right w:val="none" w:sz="0" w:space="0" w:color="auto"/>
                  </w:divBdr>
                  <w:divsChild>
                    <w:div w:id="536041653">
                      <w:marLeft w:val="0"/>
                      <w:marRight w:val="0"/>
                      <w:marTop w:val="0"/>
                      <w:marBottom w:val="0"/>
                      <w:divBdr>
                        <w:top w:val="none" w:sz="0" w:space="0" w:color="auto"/>
                        <w:left w:val="none" w:sz="0" w:space="0" w:color="auto"/>
                        <w:bottom w:val="none" w:sz="0" w:space="0" w:color="auto"/>
                        <w:right w:val="none" w:sz="0" w:space="0" w:color="auto"/>
                      </w:divBdr>
                    </w:div>
                  </w:divsChild>
                </w:div>
                <w:div w:id="1070881439">
                  <w:marLeft w:val="0"/>
                  <w:marRight w:val="0"/>
                  <w:marTop w:val="0"/>
                  <w:marBottom w:val="0"/>
                  <w:divBdr>
                    <w:top w:val="none" w:sz="0" w:space="0" w:color="auto"/>
                    <w:left w:val="none" w:sz="0" w:space="0" w:color="auto"/>
                    <w:bottom w:val="none" w:sz="0" w:space="0" w:color="auto"/>
                    <w:right w:val="none" w:sz="0" w:space="0" w:color="auto"/>
                  </w:divBdr>
                  <w:divsChild>
                    <w:div w:id="1489784198">
                      <w:marLeft w:val="0"/>
                      <w:marRight w:val="0"/>
                      <w:marTop w:val="0"/>
                      <w:marBottom w:val="0"/>
                      <w:divBdr>
                        <w:top w:val="none" w:sz="0" w:space="0" w:color="auto"/>
                        <w:left w:val="none" w:sz="0" w:space="0" w:color="auto"/>
                        <w:bottom w:val="none" w:sz="0" w:space="0" w:color="auto"/>
                        <w:right w:val="none" w:sz="0" w:space="0" w:color="auto"/>
                      </w:divBdr>
                    </w:div>
                  </w:divsChild>
                </w:div>
                <w:div w:id="1078593960">
                  <w:marLeft w:val="0"/>
                  <w:marRight w:val="0"/>
                  <w:marTop w:val="0"/>
                  <w:marBottom w:val="0"/>
                  <w:divBdr>
                    <w:top w:val="none" w:sz="0" w:space="0" w:color="auto"/>
                    <w:left w:val="none" w:sz="0" w:space="0" w:color="auto"/>
                    <w:bottom w:val="none" w:sz="0" w:space="0" w:color="auto"/>
                    <w:right w:val="none" w:sz="0" w:space="0" w:color="auto"/>
                  </w:divBdr>
                  <w:divsChild>
                    <w:div w:id="1877280136">
                      <w:marLeft w:val="0"/>
                      <w:marRight w:val="0"/>
                      <w:marTop w:val="0"/>
                      <w:marBottom w:val="0"/>
                      <w:divBdr>
                        <w:top w:val="none" w:sz="0" w:space="0" w:color="auto"/>
                        <w:left w:val="none" w:sz="0" w:space="0" w:color="auto"/>
                        <w:bottom w:val="none" w:sz="0" w:space="0" w:color="auto"/>
                        <w:right w:val="none" w:sz="0" w:space="0" w:color="auto"/>
                      </w:divBdr>
                    </w:div>
                  </w:divsChild>
                </w:div>
                <w:div w:id="1106073210">
                  <w:marLeft w:val="0"/>
                  <w:marRight w:val="0"/>
                  <w:marTop w:val="0"/>
                  <w:marBottom w:val="0"/>
                  <w:divBdr>
                    <w:top w:val="none" w:sz="0" w:space="0" w:color="auto"/>
                    <w:left w:val="none" w:sz="0" w:space="0" w:color="auto"/>
                    <w:bottom w:val="none" w:sz="0" w:space="0" w:color="auto"/>
                    <w:right w:val="none" w:sz="0" w:space="0" w:color="auto"/>
                  </w:divBdr>
                  <w:divsChild>
                    <w:div w:id="1697926945">
                      <w:marLeft w:val="0"/>
                      <w:marRight w:val="0"/>
                      <w:marTop w:val="0"/>
                      <w:marBottom w:val="0"/>
                      <w:divBdr>
                        <w:top w:val="none" w:sz="0" w:space="0" w:color="auto"/>
                        <w:left w:val="none" w:sz="0" w:space="0" w:color="auto"/>
                        <w:bottom w:val="none" w:sz="0" w:space="0" w:color="auto"/>
                        <w:right w:val="none" w:sz="0" w:space="0" w:color="auto"/>
                      </w:divBdr>
                    </w:div>
                  </w:divsChild>
                </w:div>
                <w:div w:id="1108814623">
                  <w:marLeft w:val="0"/>
                  <w:marRight w:val="0"/>
                  <w:marTop w:val="0"/>
                  <w:marBottom w:val="0"/>
                  <w:divBdr>
                    <w:top w:val="none" w:sz="0" w:space="0" w:color="auto"/>
                    <w:left w:val="none" w:sz="0" w:space="0" w:color="auto"/>
                    <w:bottom w:val="none" w:sz="0" w:space="0" w:color="auto"/>
                    <w:right w:val="none" w:sz="0" w:space="0" w:color="auto"/>
                  </w:divBdr>
                  <w:divsChild>
                    <w:div w:id="1766725302">
                      <w:marLeft w:val="0"/>
                      <w:marRight w:val="0"/>
                      <w:marTop w:val="0"/>
                      <w:marBottom w:val="0"/>
                      <w:divBdr>
                        <w:top w:val="none" w:sz="0" w:space="0" w:color="auto"/>
                        <w:left w:val="none" w:sz="0" w:space="0" w:color="auto"/>
                        <w:bottom w:val="none" w:sz="0" w:space="0" w:color="auto"/>
                        <w:right w:val="none" w:sz="0" w:space="0" w:color="auto"/>
                      </w:divBdr>
                    </w:div>
                  </w:divsChild>
                </w:div>
                <w:div w:id="1133870171">
                  <w:marLeft w:val="0"/>
                  <w:marRight w:val="0"/>
                  <w:marTop w:val="0"/>
                  <w:marBottom w:val="0"/>
                  <w:divBdr>
                    <w:top w:val="none" w:sz="0" w:space="0" w:color="auto"/>
                    <w:left w:val="none" w:sz="0" w:space="0" w:color="auto"/>
                    <w:bottom w:val="none" w:sz="0" w:space="0" w:color="auto"/>
                    <w:right w:val="none" w:sz="0" w:space="0" w:color="auto"/>
                  </w:divBdr>
                  <w:divsChild>
                    <w:div w:id="1510867536">
                      <w:marLeft w:val="0"/>
                      <w:marRight w:val="0"/>
                      <w:marTop w:val="0"/>
                      <w:marBottom w:val="0"/>
                      <w:divBdr>
                        <w:top w:val="none" w:sz="0" w:space="0" w:color="auto"/>
                        <w:left w:val="none" w:sz="0" w:space="0" w:color="auto"/>
                        <w:bottom w:val="none" w:sz="0" w:space="0" w:color="auto"/>
                        <w:right w:val="none" w:sz="0" w:space="0" w:color="auto"/>
                      </w:divBdr>
                    </w:div>
                  </w:divsChild>
                </w:div>
                <w:div w:id="1146387696">
                  <w:marLeft w:val="0"/>
                  <w:marRight w:val="0"/>
                  <w:marTop w:val="0"/>
                  <w:marBottom w:val="0"/>
                  <w:divBdr>
                    <w:top w:val="none" w:sz="0" w:space="0" w:color="auto"/>
                    <w:left w:val="none" w:sz="0" w:space="0" w:color="auto"/>
                    <w:bottom w:val="none" w:sz="0" w:space="0" w:color="auto"/>
                    <w:right w:val="none" w:sz="0" w:space="0" w:color="auto"/>
                  </w:divBdr>
                  <w:divsChild>
                    <w:div w:id="1406144912">
                      <w:marLeft w:val="0"/>
                      <w:marRight w:val="0"/>
                      <w:marTop w:val="0"/>
                      <w:marBottom w:val="0"/>
                      <w:divBdr>
                        <w:top w:val="none" w:sz="0" w:space="0" w:color="auto"/>
                        <w:left w:val="none" w:sz="0" w:space="0" w:color="auto"/>
                        <w:bottom w:val="none" w:sz="0" w:space="0" w:color="auto"/>
                        <w:right w:val="none" w:sz="0" w:space="0" w:color="auto"/>
                      </w:divBdr>
                    </w:div>
                  </w:divsChild>
                </w:div>
                <w:div w:id="1147164077">
                  <w:marLeft w:val="0"/>
                  <w:marRight w:val="0"/>
                  <w:marTop w:val="0"/>
                  <w:marBottom w:val="0"/>
                  <w:divBdr>
                    <w:top w:val="none" w:sz="0" w:space="0" w:color="auto"/>
                    <w:left w:val="none" w:sz="0" w:space="0" w:color="auto"/>
                    <w:bottom w:val="none" w:sz="0" w:space="0" w:color="auto"/>
                    <w:right w:val="none" w:sz="0" w:space="0" w:color="auto"/>
                  </w:divBdr>
                  <w:divsChild>
                    <w:div w:id="1127022">
                      <w:marLeft w:val="0"/>
                      <w:marRight w:val="0"/>
                      <w:marTop w:val="0"/>
                      <w:marBottom w:val="0"/>
                      <w:divBdr>
                        <w:top w:val="none" w:sz="0" w:space="0" w:color="auto"/>
                        <w:left w:val="none" w:sz="0" w:space="0" w:color="auto"/>
                        <w:bottom w:val="none" w:sz="0" w:space="0" w:color="auto"/>
                        <w:right w:val="none" w:sz="0" w:space="0" w:color="auto"/>
                      </w:divBdr>
                    </w:div>
                  </w:divsChild>
                </w:div>
                <w:div w:id="1148277918">
                  <w:marLeft w:val="0"/>
                  <w:marRight w:val="0"/>
                  <w:marTop w:val="0"/>
                  <w:marBottom w:val="0"/>
                  <w:divBdr>
                    <w:top w:val="none" w:sz="0" w:space="0" w:color="auto"/>
                    <w:left w:val="none" w:sz="0" w:space="0" w:color="auto"/>
                    <w:bottom w:val="none" w:sz="0" w:space="0" w:color="auto"/>
                    <w:right w:val="none" w:sz="0" w:space="0" w:color="auto"/>
                  </w:divBdr>
                  <w:divsChild>
                    <w:div w:id="138035877">
                      <w:marLeft w:val="0"/>
                      <w:marRight w:val="0"/>
                      <w:marTop w:val="0"/>
                      <w:marBottom w:val="0"/>
                      <w:divBdr>
                        <w:top w:val="none" w:sz="0" w:space="0" w:color="auto"/>
                        <w:left w:val="none" w:sz="0" w:space="0" w:color="auto"/>
                        <w:bottom w:val="none" w:sz="0" w:space="0" w:color="auto"/>
                        <w:right w:val="none" w:sz="0" w:space="0" w:color="auto"/>
                      </w:divBdr>
                    </w:div>
                  </w:divsChild>
                </w:div>
                <w:div w:id="1156993654">
                  <w:marLeft w:val="0"/>
                  <w:marRight w:val="0"/>
                  <w:marTop w:val="0"/>
                  <w:marBottom w:val="0"/>
                  <w:divBdr>
                    <w:top w:val="none" w:sz="0" w:space="0" w:color="auto"/>
                    <w:left w:val="none" w:sz="0" w:space="0" w:color="auto"/>
                    <w:bottom w:val="none" w:sz="0" w:space="0" w:color="auto"/>
                    <w:right w:val="none" w:sz="0" w:space="0" w:color="auto"/>
                  </w:divBdr>
                  <w:divsChild>
                    <w:div w:id="11686643">
                      <w:marLeft w:val="0"/>
                      <w:marRight w:val="0"/>
                      <w:marTop w:val="0"/>
                      <w:marBottom w:val="0"/>
                      <w:divBdr>
                        <w:top w:val="none" w:sz="0" w:space="0" w:color="auto"/>
                        <w:left w:val="none" w:sz="0" w:space="0" w:color="auto"/>
                        <w:bottom w:val="none" w:sz="0" w:space="0" w:color="auto"/>
                        <w:right w:val="none" w:sz="0" w:space="0" w:color="auto"/>
                      </w:divBdr>
                    </w:div>
                  </w:divsChild>
                </w:div>
                <w:div w:id="1160582772">
                  <w:marLeft w:val="0"/>
                  <w:marRight w:val="0"/>
                  <w:marTop w:val="0"/>
                  <w:marBottom w:val="0"/>
                  <w:divBdr>
                    <w:top w:val="none" w:sz="0" w:space="0" w:color="auto"/>
                    <w:left w:val="none" w:sz="0" w:space="0" w:color="auto"/>
                    <w:bottom w:val="none" w:sz="0" w:space="0" w:color="auto"/>
                    <w:right w:val="none" w:sz="0" w:space="0" w:color="auto"/>
                  </w:divBdr>
                  <w:divsChild>
                    <w:div w:id="651180168">
                      <w:marLeft w:val="0"/>
                      <w:marRight w:val="0"/>
                      <w:marTop w:val="0"/>
                      <w:marBottom w:val="0"/>
                      <w:divBdr>
                        <w:top w:val="none" w:sz="0" w:space="0" w:color="auto"/>
                        <w:left w:val="none" w:sz="0" w:space="0" w:color="auto"/>
                        <w:bottom w:val="none" w:sz="0" w:space="0" w:color="auto"/>
                        <w:right w:val="none" w:sz="0" w:space="0" w:color="auto"/>
                      </w:divBdr>
                    </w:div>
                  </w:divsChild>
                </w:div>
                <w:div w:id="1165121429">
                  <w:marLeft w:val="0"/>
                  <w:marRight w:val="0"/>
                  <w:marTop w:val="0"/>
                  <w:marBottom w:val="0"/>
                  <w:divBdr>
                    <w:top w:val="none" w:sz="0" w:space="0" w:color="auto"/>
                    <w:left w:val="none" w:sz="0" w:space="0" w:color="auto"/>
                    <w:bottom w:val="none" w:sz="0" w:space="0" w:color="auto"/>
                    <w:right w:val="none" w:sz="0" w:space="0" w:color="auto"/>
                  </w:divBdr>
                  <w:divsChild>
                    <w:div w:id="1730037039">
                      <w:marLeft w:val="0"/>
                      <w:marRight w:val="0"/>
                      <w:marTop w:val="0"/>
                      <w:marBottom w:val="0"/>
                      <w:divBdr>
                        <w:top w:val="none" w:sz="0" w:space="0" w:color="auto"/>
                        <w:left w:val="none" w:sz="0" w:space="0" w:color="auto"/>
                        <w:bottom w:val="none" w:sz="0" w:space="0" w:color="auto"/>
                        <w:right w:val="none" w:sz="0" w:space="0" w:color="auto"/>
                      </w:divBdr>
                    </w:div>
                  </w:divsChild>
                </w:div>
                <w:div w:id="1195267237">
                  <w:marLeft w:val="0"/>
                  <w:marRight w:val="0"/>
                  <w:marTop w:val="0"/>
                  <w:marBottom w:val="0"/>
                  <w:divBdr>
                    <w:top w:val="none" w:sz="0" w:space="0" w:color="auto"/>
                    <w:left w:val="none" w:sz="0" w:space="0" w:color="auto"/>
                    <w:bottom w:val="none" w:sz="0" w:space="0" w:color="auto"/>
                    <w:right w:val="none" w:sz="0" w:space="0" w:color="auto"/>
                  </w:divBdr>
                  <w:divsChild>
                    <w:div w:id="1367173720">
                      <w:marLeft w:val="0"/>
                      <w:marRight w:val="0"/>
                      <w:marTop w:val="0"/>
                      <w:marBottom w:val="0"/>
                      <w:divBdr>
                        <w:top w:val="none" w:sz="0" w:space="0" w:color="auto"/>
                        <w:left w:val="none" w:sz="0" w:space="0" w:color="auto"/>
                        <w:bottom w:val="none" w:sz="0" w:space="0" w:color="auto"/>
                        <w:right w:val="none" w:sz="0" w:space="0" w:color="auto"/>
                      </w:divBdr>
                    </w:div>
                  </w:divsChild>
                </w:div>
                <w:div w:id="1211649208">
                  <w:marLeft w:val="0"/>
                  <w:marRight w:val="0"/>
                  <w:marTop w:val="0"/>
                  <w:marBottom w:val="0"/>
                  <w:divBdr>
                    <w:top w:val="none" w:sz="0" w:space="0" w:color="auto"/>
                    <w:left w:val="none" w:sz="0" w:space="0" w:color="auto"/>
                    <w:bottom w:val="none" w:sz="0" w:space="0" w:color="auto"/>
                    <w:right w:val="none" w:sz="0" w:space="0" w:color="auto"/>
                  </w:divBdr>
                  <w:divsChild>
                    <w:div w:id="1515343055">
                      <w:marLeft w:val="0"/>
                      <w:marRight w:val="0"/>
                      <w:marTop w:val="0"/>
                      <w:marBottom w:val="0"/>
                      <w:divBdr>
                        <w:top w:val="none" w:sz="0" w:space="0" w:color="auto"/>
                        <w:left w:val="none" w:sz="0" w:space="0" w:color="auto"/>
                        <w:bottom w:val="none" w:sz="0" w:space="0" w:color="auto"/>
                        <w:right w:val="none" w:sz="0" w:space="0" w:color="auto"/>
                      </w:divBdr>
                    </w:div>
                  </w:divsChild>
                </w:div>
                <w:div w:id="1228415288">
                  <w:marLeft w:val="0"/>
                  <w:marRight w:val="0"/>
                  <w:marTop w:val="0"/>
                  <w:marBottom w:val="0"/>
                  <w:divBdr>
                    <w:top w:val="none" w:sz="0" w:space="0" w:color="auto"/>
                    <w:left w:val="none" w:sz="0" w:space="0" w:color="auto"/>
                    <w:bottom w:val="none" w:sz="0" w:space="0" w:color="auto"/>
                    <w:right w:val="none" w:sz="0" w:space="0" w:color="auto"/>
                  </w:divBdr>
                  <w:divsChild>
                    <w:div w:id="929239140">
                      <w:marLeft w:val="0"/>
                      <w:marRight w:val="0"/>
                      <w:marTop w:val="0"/>
                      <w:marBottom w:val="0"/>
                      <w:divBdr>
                        <w:top w:val="none" w:sz="0" w:space="0" w:color="auto"/>
                        <w:left w:val="none" w:sz="0" w:space="0" w:color="auto"/>
                        <w:bottom w:val="none" w:sz="0" w:space="0" w:color="auto"/>
                        <w:right w:val="none" w:sz="0" w:space="0" w:color="auto"/>
                      </w:divBdr>
                    </w:div>
                  </w:divsChild>
                </w:div>
                <w:div w:id="1282616634">
                  <w:marLeft w:val="0"/>
                  <w:marRight w:val="0"/>
                  <w:marTop w:val="0"/>
                  <w:marBottom w:val="0"/>
                  <w:divBdr>
                    <w:top w:val="none" w:sz="0" w:space="0" w:color="auto"/>
                    <w:left w:val="none" w:sz="0" w:space="0" w:color="auto"/>
                    <w:bottom w:val="none" w:sz="0" w:space="0" w:color="auto"/>
                    <w:right w:val="none" w:sz="0" w:space="0" w:color="auto"/>
                  </w:divBdr>
                  <w:divsChild>
                    <w:div w:id="1104960003">
                      <w:marLeft w:val="0"/>
                      <w:marRight w:val="0"/>
                      <w:marTop w:val="0"/>
                      <w:marBottom w:val="0"/>
                      <w:divBdr>
                        <w:top w:val="none" w:sz="0" w:space="0" w:color="auto"/>
                        <w:left w:val="none" w:sz="0" w:space="0" w:color="auto"/>
                        <w:bottom w:val="none" w:sz="0" w:space="0" w:color="auto"/>
                        <w:right w:val="none" w:sz="0" w:space="0" w:color="auto"/>
                      </w:divBdr>
                    </w:div>
                  </w:divsChild>
                </w:div>
                <w:div w:id="1296570846">
                  <w:marLeft w:val="0"/>
                  <w:marRight w:val="0"/>
                  <w:marTop w:val="0"/>
                  <w:marBottom w:val="0"/>
                  <w:divBdr>
                    <w:top w:val="none" w:sz="0" w:space="0" w:color="auto"/>
                    <w:left w:val="none" w:sz="0" w:space="0" w:color="auto"/>
                    <w:bottom w:val="none" w:sz="0" w:space="0" w:color="auto"/>
                    <w:right w:val="none" w:sz="0" w:space="0" w:color="auto"/>
                  </w:divBdr>
                  <w:divsChild>
                    <w:div w:id="140277046">
                      <w:marLeft w:val="0"/>
                      <w:marRight w:val="0"/>
                      <w:marTop w:val="0"/>
                      <w:marBottom w:val="0"/>
                      <w:divBdr>
                        <w:top w:val="none" w:sz="0" w:space="0" w:color="auto"/>
                        <w:left w:val="none" w:sz="0" w:space="0" w:color="auto"/>
                        <w:bottom w:val="none" w:sz="0" w:space="0" w:color="auto"/>
                        <w:right w:val="none" w:sz="0" w:space="0" w:color="auto"/>
                      </w:divBdr>
                    </w:div>
                  </w:divsChild>
                </w:div>
                <w:div w:id="1319580384">
                  <w:marLeft w:val="0"/>
                  <w:marRight w:val="0"/>
                  <w:marTop w:val="0"/>
                  <w:marBottom w:val="0"/>
                  <w:divBdr>
                    <w:top w:val="none" w:sz="0" w:space="0" w:color="auto"/>
                    <w:left w:val="none" w:sz="0" w:space="0" w:color="auto"/>
                    <w:bottom w:val="none" w:sz="0" w:space="0" w:color="auto"/>
                    <w:right w:val="none" w:sz="0" w:space="0" w:color="auto"/>
                  </w:divBdr>
                  <w:divsChild>
                    <w:div w:id="1480883364">
                      <w:marLeft w:val="0"/>
                      <w:marRight w:val="0"/>
                      <w:marTop w:val="0"/>
                      <w:marBottom w:val="0"/>
                      <w:divBdr>
                        <w:top w:val="none" w:sz="0" w:space="0" w:color="auto"/>
                        <w:left w:val="none" w:sz="0" w:space="0" w:color="auto"/>
                        <w:bottom w:val="none" w:sz="0" w:space="0" w:color="auto"/>
                        <w:right w:val="none" w:sz="0" w:space="0" w:color="auto"/>
                      </w:divBdr>
                    </w:div>
                  </w:divsChild>
                </w:div>
                <w:div w:id="1354647832">
                  <w:marLeft w:val="0"/>
                  <w:marRight w:val="0"/>
                  <w:marTop w:val="0"/>
                  <w:marBottom w:val="0"/>
                  <w:divBdr>
                    <w:top w:val="none" w:sz="0" w:space="0" w:color="auto"/>
                    <w:left w:val="none" w:sz="0" w:space="0" w:color="auto"/>
                    <w:bottom w:val="none" w:sz="0" w:space="0" w:color="auto"/>
                    <w:right w:val="none" w:sz="0" w:space="0" w:color="auto"/>
                  </w:divBdr>
                  <w:divsChild>
                    <w:div w:id="1186096814">
                      <w:marLeft w:val="0"/>
                      <w:marRight w:val="0"/>
                      <w:marTop w:val="0"/>
                      <w:marBottom w:val="0"/>
                      <w:divBdr>
                        <w:top w:val="none" w:sz="0" w:space="0" w:color="auto"/>
                        <w:left w:val="none" w:sz="0" w:space="0" w:color="auto"/>
                        <w:bottom w:val="none" w:sz="0" w:space="0" w:color="auto"/>
                        <w:right w:val="none" w:sz="0" w:space="0" w:color="auto"/>
                      </w:divBdr>
                    </w:div>
                  </w:divsChild>
                </w:div>
                <w:div w:id="1358848826">
                  <w:marLeft w:val="0"/>
                  <w:marRight w:val="0"/>
                  <w:marTop w:val="0"/>
                  <w:marBottom w:val="0"/>
                  <w:divBdr>
                    <w:top w:val="none" w:sz="0" w:space="0" w:color="auto"/>
                    <w:left w:val="none" w:sz="0" w:space="0" w:color="auto"/>
                    <w:bottom w:val="none" w:sz="0" w:space="0" w:color="auto"/>
                    <w:right w:val="none" w:sz="0" w:space="0" w:color="auto"/>
                  </w:divBdr>
                  <w:divsChild>
                    <w:div w:id="1530069127">
                      <w:marLeft w:val="0"/>
                      <w:marRight w:val="0"/>
                      <w:marTop w:val="0"/>
                      <w:marBottom w:val="0"/>
                      <w:divBdr>
                        <w:top w:val="none" w:sz="0" w:space="0" w:color="auto"/>
                        <w:left w:val="none" w:sz="0" w:space="0" w:color="auto"/>
                        <w:bottom w:val="none" w:sz="0" w:space="0" w:color="auto"/>
                        <w:right w:val="none" w:sz="0" w:space="0" w:color="auto"/>
                      </w:divBdr>
                    </w:div>
                  </w:divsChild>
                </w:div>
                <w:div w:id="1370958216">
                  <w:marLeft w:val="0"/>
                  <w:marRight w:val="0"/>
                  <w:marTop w:val="0"/>
                  <w:marBottom w:val="0"/>
                  <w:divBdr>
                    <w:top w:val="none" w:sz="0" w:space="0" w:color="auto"/>
                    <w:left w:val="none" w:sz="0" w:space="0" w:color="auto"/>
                    <w:bottom w:val="none" w:sz="0" w:space="0" w:color="auto"/>
                    <w:right w:val="none" w:sz="0" w:space="0" w:color="auto"/>
                  </w:divBdr>
                  <w:divsChild>
                    <w:div w:id="983041980">
                      <w:marLeft w:val="0"/>
                      <w:marRight w:val="0"/>
                      <w:marTop w:val="0"/>
                      <w:marBottom w:val="0"/>
                      <w:divBdr>
                        <w:top w:val="none" w:sz="0" w:space="0" w:color="auto"/>
                        <w:left w:val="none" w:sz="0" w:space="0" w:color="auto"/>
                        <w:bottom w:val="none" w:sz="0" w:space="0" w:color="auto"/>
                        <w:right w:val="none" w:sz="0" w:space="0" w:color="auto"/>
                      </w:divBdr>
                    </w:div>
                  </w:divsChild>
                </w:div>
                <w:div w:id="1382362919">
                  <w:marLeft w:val="0"/>
                  <w:marRight w:val="0"/>
                  <w:marTop w:val="0"/>
                  <w:marBottom w:val="0"/>
                  <w:divBdr>
                    <w:top w:val="none" w:sz="0" w:space="0" w:color="auto"/>
                    <w:left w:val="none" w:sz="0" w:space="0" w:color="auto"/>
                    <w:bottom w:val="none" w:sz="0" w:space="0" w:color="auto"/>
                    <w:right w:val="none" w:sz="0" w:space="0" w:color="auto"/>
                  </w:divBdr>
                  <w:divsChild>
                    <w:div w:id="1692685196">
                      <w:marLeft w:val="0"/>
                      <w:marRight w:val="0"/>
                      <w:marTop w:val="0"/>
                      <w:marBottom w:val="0"/>
                      <w:divBdr>
                        <w:top w:val="none" w:sz="0" w:space="0" w:color="auto"/>
                        <w:left w:val="none" w:sz="0" w:space="0" w:color="auto"/>
                        <w:bottom w:val="none" w:sz="0" w:space="0" w:color="auto"/>
                        <w:right w:val="none" w:sz="0" w:space="0" w:color="auto"/>
                      </w:divBdr>
                    </w:div>
                  </w:divsChild>
                </w:div>
                <w:div w:id="1392389674">
                  <w:marLeft w:val="0"/>
                  <w:marRight w:val="0"/>
                  <w:marTop w:val="0"/>
                  <w:marBottom w:val="0"/>
                  <w:divBdr>
                    <w:top w:val="none" w:sz="0" w:space="0" w:color="auto"/>
                    <w:left w:val="none" w:sz="0" w:space="0" w:color="auto"/>
                    <w:bottom w:val="none" w:sz="0" w:space="0" w:color="auto"/>
                    <w:right w:val="none" w:sz="0" w:space="0" w:color="auto"/>
                  </w:divBdr>
                  <w:divsChild>
                    <w:div w:id="1727221024">
                      <w:marLeft w:val="0"/>
                      <w:marRight w:val="0"/>
                      <w:marTop w:val="0"/>
                      <w:marBottom w:val="0"/>
                      <w:divBdr>
                        <w:top w:val="none" w:sz="0" w:space="0" w:color="auto"/>
                        <w:left w:val="none" w:sz="0" w:space="0" w:color="auto"/>
                        <w:bottom w:val="none" w:sz="0" w:space="0" w:color="auto"/>
                        <w:right w:val="none" w:sz="0" w:space="0" w:color="auto"/>
                      </w:divBdr>
                    </w:div>
                  </w:divsChild>
                </w:div>
                <w:div w:id="1419979633">
                  <w:marLeft w:val="0"/>
                  <w:marRight w:val="0"/>
                  <w:marTop w:val="0"/>
                  <w:marBottom w:val="0"/>
                  <w:divBdr>
                    <w:top w:val="none" w:sz="0" w:space="0" w:color="auto"/>
                    <w:left w:val="none" w:sz="0" w:space="0" w:color="auto"/>
                    <w:bottom w:val="none" w:sz="0" w:space="0" w:color="auto"/>
                    <w:right w:val="none" w:sz="0" w:space="0" w:color="auto"/>
                  </w:divBdr>
                  <w:divsChild>
                    <w:div w:id="1147743374">
                      <w:marLeft w:val="0"/>
                      <w:marRight w:val="0"/>
                      <w:marTop w:val="0"/>
                      <w:marBottom w:val="0"/>
                      <w:divBdr>
                        <w:top w:val="none" w:sz="0" w:space="0" w:color="auto"/>
                        <w:left w:val="none" w:sz="0" w:space="0" w:color="auto"/>
                        <w:bottom w:val="none" w:sz="0" w:space="0" w:color="auto"/>
                        <w:right w:val="none" w:sz="0" w:space="0" w:color="auto"/>
                      </w:divBdr>
                    </w:div>
                  </w:divsChild>
                </w:div>
                <w:div w:id="1422995474">
                  <w:marLeft w:val="0"/>
                  <w:marRight w:val="0"/>
                  <w:marTop w:val="0"/>
                  <w:marBottom w:val="0"/>
                  <w:divBdr>
                    <w:top w:val="none" w:sz="0" w:space="0" w:color="auto"/>
                    <w:left w:val="none" w:sz="0" w:space="0" w:color="auto"/>
                    <w:bottom w:val="none" w:sz="0" w:space="0" w:color="auto"/>
                    <w:right w:val="none" w:sz="0" w:space="0" w:color="auto"/>
                  </w:divBdr>
                  <w:divsChild>
                    <w:div w:id="1459300797">
                      <w:marLeft w:val="0"/>
                      <w:marRight w:val="0"/>
                      <w:marTop w:val="0"/>
                      <w:marBottom w:val="0"/>
                      <w:divBdr>
                        <w:top w:val="none" w:sz="0" w:space="0" w:color="auto"/>
                        <w:left w:val="none" w:sz="0" w:space="0" w:color="auto"/>
                        <w:bottom w:val="none" w:sz="0" w:space="0" w:color="auto"/>
                        <w:right w:val="none" w:sz="0" w:space="0" w:color="auto"/>
                      </w:divBdr>
                    </w:div>
                  </w:divsChild>
                </w:div>
                <w:div w:id="1425763606">
                  <w:marLeft w:val="0"/>
                  <w:marRight w:val="0"/>
                  <w:marTop w:val="0"/>
                  <w:marBottom w:val="0"/>
                  <w:divBdr>
                    <w:top w:val="none" w:sz="0" w:space="0" w:color="auto"/>
                    <w:left w:val="none" w:sz="0" w:space="0" w:color="auto"/>
                    <w:bottom w:val="none" w:sz="0" w:space="0" w:color="auto"/>
                    <w:right w:val="none" w:sz="0" w:space="0" w:color="auto"/>
                  </w:divBdr>
                  <w:divsChild>
                    <w:div w:id="1859584573">
                      <w:marLeft w:val="0"/>
                      <w:marRight w:val="0"/>
                      <w:marTop w:val="0"/>
                      <w:marBottom w:val="0"/>
                      <w:divBdr>
                        <w:top w:val="none" w:sz="0" w:space="0" w:color="auto"/>
                        <w:left w:val="none" w:sz="0" w:space="0" w:color="auto"/>
                        <w:bottom w:val="none" w:sz="0" w:space="0" w:color="auto"/>
                        <w:right w:val="none" w:sz="0" w:space="0" w:color="auto"/>
                      </w:divBdr>
                    </w:div>
                  </w:divsChild>
                </w:div>
                <w:div w:id="1440493896">
                  <w:marLeft w:val="0"/>
                  <w:marRight w:val="0"/>
                  <w:marTop w:val="0"/>
                  <w:marBottom w:val="0"/>
                  <w:divBdr>
                    <w:top w:val="none" w:sz="0" w:space="0" w:color="auto"/>
                    <w:left w:val="none" w:sz="0" w:space="0" w:color="auto"/>
                    <w:bottom w:val="none" w:sz="0" w:space="0" w:color="auto"/>
                    <w:right w:val="none" w:sz="0" w:space="0" w:color="auto"/>
                  </w:divBdr>
                  <w:divsChild>
                    <w:div w:id="923806201">
                      <w:marLeft w:val="0"/>
                      <w:marRight w:val="0"/>
                      <w:marTop w:val="0"/>
                      <w:marBottom w:val="0"/>
                      <w:divBdr>
                        <w:top w:val="none" w:sz="0" w:space="0" w:color="auto"/>
                        <w:left w:val="none" w:sz="0" w:space="0" w:color="auto"/>
                        <w:bottom w:val="none" w:sz="0" w:space="0" w:color="auto"/>
                        <w:right w:val="none" w:sz="0" w:space="0" w:color="auto"/>
                      </w:divBdr>
                    </w:div>
                  </w:divsChild>
                </w:div>
                <w:div w:id="1441072820">
                  <w:marLeft w:val="0"/>
                  <w:marRight w:val="0"/>
                  <w:marTop w:val="0"/>
                  <w:marBottom w:val="0"/>
                  <w:divBdr>
                    <w:top w:val="none" w:sz="0" w:space="0" w:color="auto"/>
                    <w:left w:val="none" w:sz="0" w:space="0" w:color="auto"/>
                    <w:bottom w:val="none" w:sz="0" w:space="0" w:color="auto"/>
                    <w:right w:val="none" w:sz="0" w:space="0" w:color="auto"/>
                  </w:divBdr>
                  <w:divsChild>
                    <w:div w:id="1470706677">
                      <w:marLeft w:val="0"/>
                      <w:marRight w:val="0"/>
                      <w:marTop w:val="0"/>
                      <w:marBottom w:val="0"/>
                      <w:divBdr>
                        <w:top w:val="none" w:sz="0" w:space="0" w:color="auto"/>
                        <w:left w:val="none" w:sz="0" w:space="0" w:color="auto"/>
                        <w:bottom w:val="none" w:sz="0" w:space="0" w:color="auto"/>
                        <w:right w:val="none" w:sz="0" w:space="0" w:color="auto"/>
                      </w:divBdr>
                    </w:div>
                  </w:divsChild>
                </w:div>
                <w:div w:id="1465998792">
                  <w:marLeft w:val="0"/>
                  <w:marRight w:val="0"/>
                  <w:marTop w:val="0"/>
                  <w:marBottom w:val="0"/>
                  <w:divBdr>
                    <w:top w:val="none" w:sz="0" w:space="0" w:color="auto"/>
                    <w:left w:val="none" w:sz="0" w:space="0" w:color="auto"/>
                    <w:bottom w:val="none" w:sz="0" w:space="0" w:color="auto"/>
                    <w:right w:val="none" w:sz="0" w:space="0" w:color="auto"/>
                  </w:divBdr>
                  <w:divsChild>
                    <w:div w:id="1567687939">
                      <w:marLeft w:val="0"/>
                      <w:marRight w:val="0"/>
                      <w:marTop w:val="0"/>
                      <w:marBottom w:val="0"/>
                      <w:divBdr>
                        <w:top w:val="none" w:sz="0" w:space="0" w:color="auto"/>
                        <w:left w:val="none" w:sz="0" w:space="0" w:color="auto"/>
                        <w:bottom w:val="none" w:sz="0" w:space="0" w:color="auto"/>
                        <w:right w:val="none" w:sz="0" w:space="0" w:color="auto"/>
                      </w:divBdr>
                    </w:div>
                  </w:divsChild>
                </w:div>
                <w:div w:id="1491869443">
                  <w:marLeft w:val="0"/>
                  <w:marRight w:val="0"/>
                  <w:marTop w:val="0"/>
                  <w:marBottom w:val="0"/>
                  <w:divBdr>
                    <w:top w:val="none" w:sz="0" w:space="0" w:color="auto"/>
                    <w:left w:val="none" w:sz="0" w:space="0" w:color="auto"/>
                    <w:bottom w:val="none" w:sz="0" w:space="0" w:color="auto"/>
                    <w:right w:val="none" w:sz="0" w:space="0" w:color="auto"/>
                  </w:divBdr>
                  <w:divsChild>
                    <w:div w:id="942766137">
                      <w:marLeft w:val="0"/>
                      <w:marRight w:val="0"/>
                      <w:marTop w:val="0"/>
                      <w:marBottom w:val="0"/>
                      <w:divBdr>
                        <w:top w:val="none" w:sz="0" w:space="0" w:color="auto"/>
                        <w:left w:val="none" w:sz="0" w:space="0" w:color="auto"/>
                        <w:bottom w:val="none" w:sz="0" w:space="0" w:color="auto"/>
                        <w:right w:val="none" w:sz="0" w:space="0" w:color="auto"/>
                      </w:divBdr>
                    </w:div>
                  </w:divsChild>
                </w:div>
                <w:div w:id="1508713577">
                  <w:marLeft w:val="0"/>
                  <w:marRight w:val="0"/>
                  <w:marTop w:val="0"/>
                  <w:marBottom w:val="0"/>
                  <w:divBdr>
                    <w:top w:val="none" w:sz="0" w:space="0" w:color="auto"/>
                    <w:left w:val="none" w:sz="0" w:space="0" w:color="auto"/>
                    <w:bottom w:val="none" w:sz="0" w:space="0" w:color="auto"/>
                    <w:right w:val="none" w:sz="0" w:space="0" w:color="auto"/>
                  </w:divBdr>
                  <w:divsChild>
                    <w:div w:id="1481262524">
                      <w:marLeft w:val="0"/>
                      <w:marRight w:val="0"/>
                      <w:marTop w:val="0"/>
                      <w:marBottom w:val="0"/>
                      <w:divBdr>
                        <w:top w:val="none" w:sz="0" w:space="0" w:color="auto"/>
                        <w:left w:val="none" w:sz="0" w:space="0" w:color="auto"/>
                        <w:bottom w:val="none" w:sz="0" w:space="0" w:color="auto"/>
                        <w:right w:val="none" w:sz="0" w:space="0" w:color="auto"/>
                      </w:divBdr>
                    </w:div>
                  </w:divsChild>
                </w:div>
                <w:div w:id="1518689572">
                  <w:marLeft w:val="0"/>
                  <w:marRight w:val="0"/>
                  <w:marTop w:val="0"/>
                  <w:marBottom w:val="0"/>
                  <w:divBdr>
                    <w:top w:val="none" w:sz="0" w:space="0" w:color="auto"/>
                    <w:left w:val="none" w:sz="0" w:space="0" w:color="auto"/>
                    <w:bottom w:val="none" w:sz="0" w:space="0" w:color="auto"/>
                    <w:right w:val="none" w:sz="0" w:space="0" w:color="auto"/>
                  </w:divBdr>
                  <w:divsChild>
                    <w:div w:id="1877963619">
                      <w:marLeft w:val="0"/>
                      <w:marRight w:val="0"/>
                      <w:marTop w:val="0"/>
                      <w:marBottom w:val="0"/>
                      <w:divBdr>
                        <w:top w:val="none" w:sz="0" w:space="0" w:color="auto"/>
                        <w:left w:val="none" w:sz="0" w:space="0" w:color="auto"/>
                        <w:bottom w:val="none" w:sz="0" w:space="0" w:color="auto"/>
                        <w:right w:val="none" w:sz="0" w:space="0" w:color="auto"/>
                      </w:divBdr>
                    </w:div>
                  </w:divsChild>
                </w:div>
                <w:div w:id="1520003661">
                  <w:marLeft w:val="0"/>
                  <w:marRight w:val="0"/>
                  <w:marTop w:val="0"/>
                  <w:marBottom w:val="0"/>
                  <w:divBdr>
                    <w:top w:val="none" w:sz="0" w:space="0" w:color="auto"/>
                    <w:left w:val="none" w:sz="0" w:space="0" w:color="auto"/>
                    <w:bottom w:val="none" w:sz="0" w:space="0" w:color="auto"/>
                    <w:right w:val="none" w:sz="0" w:space="0" w:color="auto"/>
                  </w:divBdr>
                  <w:divsChild>
                    <w:div w:id="1956282159">
                      <w:marLeft w:val="0"/>
                      <w:marRight w:val="0"/>
                      <w:marTop w:val="0"/>
                      <w:marBottom w:val="0"/>
                      <w:divBdr>
                        <w:top w:val="none" w:sz="0" w:space="0" w:color="auto"/>
                        <w:left w:val="none" w:sz="0" w:space="0" w:color="auto"/>
                        <w:bottom w:val="none" w:sz="0" w:space="0" w:color="auto"/>
                        <w:right w:val="none" w:sz="0" w:space="0" w:color="auto"/>
                      </w:divBdr>
                    </w:div>
                  </w:divsChild>
                </w:div>
                <w:div w:id="1534266382">
                  <w:marLeft w:val="0"/>
                  <w:marRight w:val="0"/>
                  <w:marTop w:val="0"/>
                  <w:marBottom w:val="0"/>
                  <w:divBdr>
                    <w:top w:val="none" w:sz="0" w:space="0" w:color="auto"/>
                    <w:left w:val="none" w:sz="0" w:space="0" w:color="auto"/>
                    <w:bottom w:val="none" w:sz="0" w:space="0" w:color="auto"/>
                    <w:right w:val="none" w:sz="0" w:space="0" w:color="auto"/>
                  </w:divBdr>
                  <w:divsChild>
                    <w:div w:id="165360983">
                      <w:marLeft w:val="0"/>
                      <w:marRight w:val="0"/>
                      <w:marTop w:val="0"/>
                      <w:marBottom w:val="0"/>
                      <w:divBdr>
                        <w:top w:val="none" w:sz="0" w:space="0" w:color="auto"/>
                        <w:left w:val="none" w:sz="0" w:space="0" w:color="auto"/>
                        <w:bottom w:val="none" w:sz="0" w:space="0" w:color="auto"/>
                        <w:right w:val="none" w:sz="0" w:space="0" w:color="auto"/>
                      </w:divBdr>
                    </w:div>
                  </w:divsChild>
                </w:div>
                <w:div w:id="1543513102">
                  <w:marLeft w:val="0"/>
                  <w:marRight w:val="0"/>
                  <w:marTop w:val="0"/>
                  <w:marBottom w:val="0"/>
                  <w:divBdr>
                    <w:top w:val="none" w:sz="0" w:space="0" w:color="auto"/>
                    <w:left w:val="none" w:sz="0" w:space="0" w:color="auto"/>
                    <w:bottom w:val="none" w:sz="0" w:space="0" w:color="auto"/>
                    <w:right w:val="none" w:sz="0" w:space="0" w:color="auto"/>
                  </w:divBdr>
                  <w:divsChild>
                    <w:div w:id="295723207">
                      <w:marLeft w:val="0"/>
                      <w:marRight w:val="0"/>
                      <w:marTop w:val="0"/>
                      <w:marBottom w:val="0"/>
                      <w:divBdr>
                        <w:top w:val="none" w:sz="0" w:space="0" w:color="auto"/>
                        <w:left w:val="none" w:sz="0" w:space="0" w:color="auto"/>
                        <w:bottom w:val="none" w:sz="0" w:space="0" w:color="auto"/>
                        <w:right w:val="none" w:sz="0" w:space="0" w:color="auto"/>
                      </w:divBdr>
                    </w:div>
                  </w:divsChild>
                </w:div>
                <w:div w:id="1556162651">
                  <w:marLeft w:val="0"/>
                  <w:marRight w:val="0"/>
                  <w:marTop w:val="0"/>
                  <w:marBottom w:val="0"/>
                  <w:divBdr>
                    <w:top w:val="none" w:sz="0" w:space="0" w:color="auto"/>
                    <w:left w:val="none" w:sz="0" w:space="0" w:color="auto"/>
                    <w:bottom w:val="none" w:sz="0" w:space="0" w:color="auto"/>
                    <w:right w:val="none" w:sz="0" w:space="0" w:color="auto"/>
                  </w:divBdr>
                  <w:divsChild>
                    <w:div w:id="1830094601">
                      <w:marLeft w:val="0"/>
                      <w:marRight w:val="0"/>
                      <w:marTop w:val="0"/>
                      <w:marBottom w:val="0"/>
                      <w:divBdr>
                        <w:top w:val="none" w:sz="0" w:space="0" w:color="auto"/>
                        <w:left w:val="none" w:sz="0" w:space="0" w:color="auto"/>
                        <w:bottom w:val="none" w:sz="0" w:space="0" w:color="auto"/>
                        <w:right w:val="none" w:sz="0" w:space="0" w:color="auto"/>
                      </w:divBdr>
                    </w:div>
                  </w:divsChild>
                </w:div>
                <w:div w:id="1581675688">
                  <w:marLeft w:val="0"/>
                  <w:marRight w:val="0"/>
                  <w:marTop w:val="0"/>
                  <w:marBottom w:val="0"/>
                  <w:divBdr>
                    <w:top w:val="none" w:sz="0" w:space="0" w:color="auto"/>
                    <w:left w:val="none" w:sz="0" w:space="0" w:color="auto"/>
                    <w:bottom w:val="none" w:sz="0" w:space="0" w:color="auto"/>
                    <w:right w:val="none" w:sz="0" w:space="0" w:color="auto"/>
                  </w:divBdr>
                  <w:divsChild>
                    <w:div w:id="476995870">
                      <w:marLeft w:val="0"/>
                      <w:marRight w:val="0"/>
                      <w:marTop w:val="0"/>
                      <w:marBottom w:val="0"/>
                      <w:divBdr>
                        <w:top w:val="none" w:sz="0" w:space="0" w:color="auto"/>
                        <w:left w:val="none" w:sz="0" w:space="0" w:color="auto"/>
                        <w:bottom w:val="none" w:sz="0" w:space="0" w:color="auto"/>
                        <w:right w:val="none" w:sz="0" w:space="0" w:color="auto"/>
                      </w:divBdr>
                    </w:div>
                  </w:divsChild>
                </w:div>
                <w:div w:id="1602683022">
                  <w:marLeft w:val="0"/>
                  <w:marRight w:val="0"/>
                  <w:marTop w:val="0"/>
                  <w:marBottom w:val="0"/>
                  <w:divBdr>
                    <w:top w:val="none" w:sz="0" w:space="0" w:color="auto"/>
                    <w:left w:val="none" w:sz="0" w:space="0" w:color="auto"/>
                    <w:bottom w:val="none" w:sz="0" w:space="0" w:color="auto"/>
                    <w:right w:val="none" w:sz="0" w:space="0" w:color="auto"/>
                  </w:divBdr>
                  <w:divsChild>
                    <w:div w:id="1102922666">
                      <w:marLeft w:val="0"/>
                      <w:marRight w:val="0"/>
                      <w:marTop w:val="0"/>
                      <w:marBottom w:val="0"/>
                      <w:divBdr>
                        <w:top w:val="none" w:sz="0" w:space="0" w:color="auto"/>
                        <w:left w:val="none" w:sz="0" w:space="0" w:color="auto"/>
                        <w:bottom w:val="none" w:sz="0" w:space="0" w:color="auto"/>
                        <w:right w:val="none" w:sz="0" w:space="0" w:color="auto"/>
                      </w:divBdr>
                    </w:div>
                  </w:divsChild>
                </w:div>
                <w:div w:id="1624189351">
                  <w:marLeft w:val="0"/>
                  <w:marRight w:val="0"/>
                  <w:marTop w:val="0"/>
                  <w:marBottom w:val="0"/>
                  <w:divBdr>
                    <w:top w:val="none" w:sz="0" w:space="0" w:color="auto"/>
                    <w:left w:val="none" w:sz="0" w:space="0" w:color="auto"/>
                    <w:bottom w:val="none" w:sz="0" w:space="0" w:color="auto"/>
                    <w:right w:val="none" w:sz="0" w:space="0" w:color="auto"/>
                  </w:divBdr>
                  <w:divsChild>
                    <w:div w:id="1412659151">
                      <w:marLeft w:val="0"/>
                      <w:marRight w:val="0"/>
                      <w:marTop w:val="0"/>
                      <w:marBottom w:val="0"/>
                      <w:divBdr>
                        <w:top w:val="none" w:sz="0" w:space="0" w:color="auto"/>
                        <w:left w:val="none" w:sz="0" w:space="0" w:color="auto"/>
                        <w:bottom w:val="none" w:sz="0" w:space="0" w:color="auto"/>
                        <w:right w:val="none" w:sz="0" w:space="0" w:color="auto"/>
                      </w:divBdr>
                    </w:div>
                  </w:divsChild>
                </w:div>
                <w:div w:id="1651247923">
                  <w:marLeft w:val="0"/>
                  <w:marRight w:val="0"/>
                  <w:marTop w:val="0"/>
                  <w:marBottom w:val="0"/>
                  <w:divBdr>
                    <w:top w:val="none" w:sz="0" w:space="0" w:color="auto"/>
                    <w:left w:val="none" w:sz="0" w:space="0" w:color="auto"/>
                    <w:bottom w:val="none" w:sz="0" w:space="0" w:color="auto"/>
                    <w:right w:val="none" w:sz="0" w:space="0" w:color="auto"/>
                  </w:divBdr>
                  <w:divsChild>
                    <w:div w:id="99954253">
                      <w:marLeft w:val="0"/>
                      <w:marRight w:val="0"/>
                      <w:marTop w:val="0"/>
                      <w:marBottom w:val="0"/>
                      <w:divBdr>
                        <w:top w:val="none" w:sz="0" w:space="0" w:color="auto"/>
                        <w:left w:val="none" w:sz="0" w:space="0" w:color="auto"/>
                        <w:bottom w:val="none" w:sz="0" w:space="0" w:color="auto"/>
                        <w:right w:val="none" w:sz="0" w:space="0" w:color="auto"/>
                      </w:divBdr>
                    </w:div>
                  </w:divsChild>
                </w:div>
                <w:div w:id="1672102472">
                  <w:marLeft w:val="0"/>
                  <w:marRight w:val="0"/>
                  <w:marTop w:val="0"/>
                  <w:marBottom w:val="0"/>
                  <w:divBdr>
                    <w:top w:val="none" w:sz="0" w:space="0" w:color="auto"/>
                    <w:left w:val="none" w:sz="0" w:space="0" w:color="auto"/>
                    <w:bottom w:val="none" w:sz="0" w:space="0" w:color="auto"/>
                    <w:right w:val="none" w:sz="0" w:space="0" w:color="auto"/>
                  </w:divBdr>
                  <w:divsChild>
                    <w:div w:id="606080033">
                      <w:marLeft w:val="0"/>
                      <w:marRight w:val="0"/>
                      <w:marTop w:val="0"/>
                      <w:marBottom w:val="0"/>
                      <w:divBdr>
                        <w:top w:val="none" w:sz="0" w:space="0" w:color="auto"/>
                        <w:left w:val="none" w:sz="0" w:space="0" w:color="auto"/>
                        <w:bottom w:val="none" w:sz="0" w:space="0" w:color="auto"/>
                        <w:right w:val="none" w:sz="0" w:space="0" w:color="auto"/>
                      </w:divBdr>
                    </w:div>
                  </w:divsChild>
                </w:div>
                <w:div w:id="1677417087">
                  <w:marLeft w:val="0"/>
                  <w:marRight w:val="0"/>
                  <w:marTop w:val="0"/>
                  <w:marBottom w:val="0"/>
                  <w:divBdr>
                    <w:top w:val="none" w:sz="0" w:space="0" w:color="auto"/>
                    <w:left w:val="none" w:sz="0" w:space="0" w:color="auto"/>
                    <w:bottom w:val="none" w:sz="0" w:space="0" w:color="auto"/>
                    <w:right w:val="none" w:sz="0" w:space="0" w:color="auto"/>
                  </w:divBdr>
                  <w:divsChild>
                    <w:div w:id="1743404556">
                      <w:marLeft w:val="0"/>
                      <w:marRight w:val="0"/>
                      <w:marTop w:val="0"/>
                      <w:marBottom w:val="0"/>
                      <w:divBdr>
                        <w:top w:val="none" w:sz="0" w:space="0" w:color="auto"/>
                        <w:left w:val="none" w:sz="0" w:space="0" w:color="auto"/>
                        <w:bottom w:val="none" w:sz="0" w:space="0" w:color="auto"/>
                        <w:right w:val="none" w:sz="0" w:space="0" w:color="auto"/>
                      </w:divBdr>
                    </w:div>
                  </w:divsChild>
                </w:div>
                <w:div w:id="1678193861">
                  <w:marLeft w:val="0"/>
                  <w:marRight w:val="0"/>
                  <w:marTop w:val="0"/>
                  <w:marBottom w:val="0"/>
                  <w:divBdr>
                    <w:top w:val="none" w:sz="0" w:space="0" w:color="auto"/>
                    <w:left w:val="none" w:sz="0" w:space="0" w:color="auto"/>
                    <w:bottom w:val="none" w:sz="0" w:space="0" w:color="auto"/>
                    <w:right w:val="none" w:sz="0" w:space="0" w:color="auto"/>
                  </w:divBdr>
                  <w:divsChild>
                    <w:div w:id="1185629248">
                      <w:marLeft w:val="0"/>
                      <w:marRight w:val="0"/>
                      <w:marTop w:val="0"/>
                      <w:marBottom w:val="0"/>
                      <w:divBdr>
                        <w:top w:val="none" w:sz="0" w:space="0" w:color="auto"/>
                        <w:left w:val="none" w:sz="0" w:space="0" w:color="auto"/>
                        <w:bottom w:val="none" w:sz="0" w:space="0" w:color="auto"/>
                        <w:right w:val="none" w:sz="0" w:space="0" w:color="auto"/>
                      </w:divBdr>
                    </w:div>
                  </w:divsChild>
                </w:div>
                <w:div w:id="1684895183">
                  <w:marLeft w:val="0"/>
                  <w:marRight w:val="0"/>
                  <w:marTop w:val="0"/>
                  <w:marBottom w:val="0"/>
                  <w:divBdr>
                    <w:top w:val="none" w:sz="0" w:space="0" w:color="auto"/>
                    <w:left w:val="none" w:sz="0" w:space="0" w:color="auto"/>
                    <w:bottom w:val="none" w:sz="0" w:space="0" w:color="auto"/>
                    <w:right w:val="none" w:sz="0" w:space="0" w:color="auto"/>
                  </w:divBdr>
                  <w:divsChild>
                    <w:div w:id="1439136395">
                      <w:marLeft w:val="0"/>
                      <w:marRight w:val="0"/>
                      <w:marTop w:val="0"/>
                      <w:marBottom w:val="0"/>
                      <w:divBdr>
                        <w:top w:val="none" w:sz="0" w:space="0" w:color="auto"/>
                        <w:left w:val="none" w:sz="0" w:space="0" w:color="auto"/>
                        <w:bottom w:val="none" w:sz="0" w:space="0" w:color="auto"/>
                        <w:right w:val="none" w:sz="0" w:space="0" w:color="auto"/>
                      </w:divBdr>
                    </w:div>
                  </w:divsChild>
                </w:div>
                <w:div w:id="1697000015">
                  <w:marLeft w:val="0"/>
                  <w:marRight w:val="0"/>
                  <w:marTop w:val="0"/>
                  <w:marBottom w:val="0"/>
                  <w:divBdr>
                    <w:top w:val="none" w:sz="0" w:space="0" w:color="auto"/>
                    <w:left w:val="none" w:sz="0" w:space="0" w:color="auto"/>
                    <w:bottom w:val="none" w:sz="0" w:space="0" w:color="auto"/>
                    <w:right w:val="none" w:sz="0" w:space="0" w:color="auto"/>
                  </w:divBdr>
                  <w:divsChild>
                    <w:div w:id="1360004993">
                      <w:marLeft w:val="0"/>
                      <w:marRight w:val="0"/>
                      <w:marTop w:val="0"/>
                      <w:marBottom w:val="0"/>
                      <w:divBdr>
                        <w:top w:val="none" w:sz="0" w:space="0" w:color="auto"/>
                        <w:left w:val="none" w:sz="0" w:space="0" w:color="auto"/>
                        <w:bottom w:val="none" w:sz="0" w:space="0" w:color="auto"/>
                        <w:right w:val="none" w:sz="0" w:space="0" w:color="auto"/>
                      </w:divBdr>
                    </w:div>
                  </w:divsChild>
                </w:div>
                <w:div w:id="1711299419">
                  <w:marLeft w:val="0"/>
                  <w:marRight w:val="0"/>
                  <w:marTop w:val="0"/>
                  <w:marBottom w:val="0"/>
                  <w:divBdr>
                    <w:top w:val="none" w:sz="0" w:space="0" w:color="auto"/>
                    <w:left w:val="none" w:sz="0" w:space="0" w:color="auto"/>
                    <w:bottom w:val="none" w:sz="0" w:space="0" w:color="auto"/>
                    <w:right w:val="none" w:sz="0" w:space="0" w:color="auto"/>
                  </w:divBdr>
                  <w:divsChild>
                    <w:div w:id="62291803">
                      <w:marLeft w:val="0"/>
                      <w:marRight w:val="0"/>
                      <w:marTop w:val="0"/>
                      <w:marBottom w:val="0"/>
                      <w:divBdr>
                        <w:top w:val="none" w:sz="0" w:space="0" w:color="auto"/>
                        <w:left w:val="none" w:sz="0" w:space="0" w:color="auto"/>
                        <w:bottom w:val="none" w:sz="0" w:space="0" w:color="auto"/>
                        <w:right w:val="none" w:sz="0" w:space="0" w:color="auto"/>
                      </w:divBdr>
                    </w:div>
                  </w:divsChild>
                </w:div>
                <w:div w:id="1732461236">
                  <w:marLeft w:val="0"/>
                  <w:marRight w:val="0"/>
                  <w:marTop w:val="0"/>
                  <w:marBottom w:val="0"/>
                  <w:divBdr>
                    <w:top w:val="none" w:sz="0" w:space="0" w:color="auto"/>
                    <w:left w:val="none" w:sz="0" w:space="0" w:color="auto"/>
                    <w:bottom w:val="none" w:sz="0" w:space="0" w:color="auto"/>
                    <w:right w:val="none" w:sz="0" w:space="0" w:color="auto"/>
                  </w:divBdr>
                  <w:divsChild>
                    <w:div w:id="605231862">
                      <w:marLeft w:val="0"/>
                      <w:marRight w:val="0"/>
                      <w:marTop w:val="0"/>
                      <w:marBottom w:val="0"/>
                      <w:divBdr>
                        <w:top w:val="none" w:sz="0" w:space="0" w:color="auto"/>
                        <w:left w:val="none" w:sz="0" w:space="0" w:color="auto"/>
                        <w:bottom w:val="none" w:sz="0" w:space="0" w:color="auto"/>
                        <w:right w:val="none" w:sz="0" w:space="0" w:color="auto"/>
                      </w:divBdr>
                    </w:div>
                  </w:divsChild>
                </w:div>
                <w:div w:id="1750344412">
                  <w:marLeft w:val="0"/>
                  <w:marRight w:val="0"/>
                  <w:marTop w:val="0"/>
                  <w:marBottom w:val="0"/>
                  <w:divBdr>
                    <w:top w:val="none" w:sz="0" w:space="0" w:color="auto"/>
                    <w:left w:val="none" w:sz="0" w:space="0" w:color="auto"/>
                    <w:bottom w:val="none" w:sz="0" w:space="0" w:color="auto"/>
                    <w:right w:val="none" w:sz="0" w:space="0" w:color="auto"/>
                  </w:divBdr>
                  <w:divsChild>
                    <w:div w:id="1549805760">
                      <w:marLeft w:val="0"/>
                      <w:marRight w:val="0"/>
                      <w:marTop w:val="0"/>
                      <w:marBottom w:val="0"/>
                      <w:divBdr>
                        <w:top w:val="none" w:sz="0" w:space="0" w:color="auto"/>
                        <w:left w:val="none" w:sz="0" w:space="0" w:color="auto"/>
                        <w:bottom w:val="none" w:sz="0" w:space="0" w:color="auto"/>
                        <w:right w:val="none" w:sz="0" w:space="0" w:color="auto"/>
                      </w:divBdr>
                    </w:div>
                  </w:divsChild>
                </w:div>
                <w:div w:id="1759867765">
                  <w:marLeft w:val="0"/>
                  <w:marRight w:val="0"/>
                  <w:marTop w:val="0"/>
                  <w:marBottom w:val="0"/>
                  <w:divBdr>
                    <w:top w:val="none" w:sz="0" w:space="0" w:color="auto"/>
                    <w:left w:val="none" w:sz="0" w:space="0" w:color="auto"/>
                    <w:bottom w:val="none" w:sz="0" w:space="0" w:color="auto"/>
                    <w:right w:val="none" w:sz="0" w:space="0" w:color="auto"/>
                  </w:divBdr>
                  <w:divsChild>
                    <w:div w:id="496268722">
                      <w:marLeft w:val="0"/>
                      <w:marRight w:val="0"/>
                      <w:marTop w:val="0"/>
                      <w:marBottom w:val="0"/>
                      <w:divBdr>
                        <w:top w:val="none" w:sz="0" w:space="0" w:color="auto"/>
                        <w:left w:val="none" w:sz="0" w:space="0" w:color="auto"/>
                        <w:bottom w:val="none" w:sz="0" w:space="0" w:color="auto"/>
                        <w:right w:val="none" w:sz="0" w:space="0" w:color="auto"/>
                      </w:divBdr>
                    </w:div>
                  </w:divsChild>
                </w:div>
                <w:div w:id="1803302042">
                  <w:marLeft w:val="0"/>
                  <w:marRight w:val="0"/>
                  <w:marTop w:val="0"/>
                  <w:marBottom w:val="0"/>
                  <w:divBdr>
                    <w:top w:val="none" w:sz="0" w:space="0" w:color="auto"/>
                    <w:left w:val="none" w:sz="0" w:space="0" w:color="auto"/>
                    <w:bottom w:val="none" w:sz="0" w:space="0" w:color="auto"/>
                    <w:right w:val="none" w:sz="0" w:space="0" w:color="auto"/>
                  </w:divBdr>
                  <w:divsChild>
                    <w:div w:id="131942338">
                      <w:marLeft w:val="0"/>
                      <w:marRight w:val="0"/>
                      <w:marTop w:val="0"/>
                      <w:marBottom w:val="0"/>
                      <w:divBdr>
                        <w:top w:val="none" w:sz="0" w:space="0" w:color="auto"/>
                        <w:left w:val="none" w:sz="0" w:space="0" w:color="auto"/>
                        <w:bottom w:val="none" w:sz="0" w:space="0" w:color="auto"/>
                        <w:right w:val="none" w:sz="0" w:space="0" w:color="auto"/>
                      </w:divBdr>
                    </w:div>
                  </w:divsChild>
                </w:div>
                <w:div w:id="1817643961">
                  <w:marLeft w:val="0"/>
                  <w:marRight w:val="0"/>
                  <w:marTop w:val="0"/>
                  <w:marBottom w:val="0"/>
                  <w:divBdr>
                    <w:top w:val="none" w:sz="0" w:space="0" w:color="auto"/>
                    <w:left w:val="none" w:sz="0" w:space="0" w:color="auto"/>
                    <w:bottom w:val="none" w:sz="0" w:space="0" w:color="auto"/>
                    <w:right w:val="none" w:sz="0" w:space="0" w:color="auto"/>
                  </w:divBdr>
                  <w:divsChild>
                    <w:div w:id="894050009">
                      <w:marLeft w:val="0"/>
                      <w:marRight w:val="0"/>
                      <w:marTop w:val="0"/>
                      <w:marBottom w:val="0"/>
                      <w:divBdr>
                        <w:top w:val="none" w:sz="0" w:space="0" w:color="auto"/>
                        <w:left w:val="none" w:sz="0" w:space="0" w:color="auto"/>
                        <w:bottom w:val="none" w:sz="0" w:space="0" w:color="auto"/>
                        <w:right w:val="none" w:sz="0" w:space="0" w:color="auto"/>
                      </w:divBdr>
                    </w:div>
                  </w:divsChild>
                </w:div>
                <w:div w:id="1821068647">
                  <w:marLeft w:val="0"/>
                  <w:marRight w:val="0"/>
                  <w:marTop w:val="0"/>
                  <w:marBottom w:val="0"/>
                  <w:divBdr>
                    <w:top w:val="none" w:sz="0" w:space="0" w:color="auto"/>
                    <w:left w:val="none" w:sz="0" w:space="0" w:color="auto"/>
                    <w:bottom w:val="none" w:sz="0" w:space="0" w:color="auto"/>
                    <w:right w:val="none" w:sz="0" w:space="0" w:color="auto"/>
                  </w:divBdr>
                  <w:divsChild>
                    <w:div w:id="713578185">
                      <w:marLeft w:val="0"/>
                      <w:marRight w:val="0"/>
                      <w:marTop w:val="0"/>
                      <w:marBottom w:val="0"/>
                      <w:divBdr>
                        <w:top w:val="none" w:sz="0" w:space="0" w:color="auto"/>
                        <w:left w:val="none" w:sz="0" w:space="0" w:color="auto"/>
                        <w:bottom w:val="none" w:sz="0" w:space="0" w:color="auto"/>
                        <w:right w:val="none" w:sz="0" w:space="0" w:color="auto"/>
                      </w:divBdr>
                    </w:div>
                  </w:divsChild>
                </w:div>
                <w:div w:id="1825469317">
                  <w:marLeft w:val="0"/>
                  <w:marRight w:val="0"/>
                  <w:marTop w:val="0"/>
                  <w:marBottom w:val="0"/>
                  <w:divBdr>
                    <w:top w:val="none" w:sz="0" w:space="0" w:color="auto"/>
                    <w:left w:val="none" w:sz="0" w:space="0" w:color="auto"/>
                    <w:bottom w:val="none" w:sz="0" w:space="0" w:color="auto"/>
                    <w:right w:val="none" w:sz="0" w:space="0" w:color="auto"/>
                  </w:divBdr>
                  <w:divsChild>
                    <w:div w:id="64762292">
                      <w:marLeft w:val="0"/>
                      <w:marRight w:val="0"/>
                      <w:marTop w:val="0"/>
                      <w:marBottom w:val="0"/>
                      <w:divBdr>
                        <w:top w:val="none" w:sz="0" w:space="0" w:color="auto"/>
                        <w:left w:val="none" w:sz="0" w:space="0" w:color="auto"/>
                        <w:bottom w:val="none" w:sz="0" w:space="0" w:color="auto"/>
                        <w:right w:val="none" w:sz="0" w:space="0" w:color="auto"/>
                      </w:divBdr>
                    </w:div>
                  </w:divsChild>
                </w:div>
                <w:div w:id="1825856263">
                  <w:marLeft w:val="0"/>
                  <w:marRight w:val="0"/>
                  <w:marTop w:val="0"/>
                  <w:marBottom w:val="0"/>
                  <w:divBdr>
                    <w:top w:val="none" w:sz="0" w:space="0" w:color="auto"/>
                    <w:left w:val="none" w:sz="0" w:space="0" w:color="auto"/>
                    <w:bottom w:val="none" w:sz="0" w:space="0" w:color="auto"/>
                    <w:right w:val="none" w:sz="0" w:space="0" w:color="auto"/>
                  </w:divBdr>
                  <w:divsChild>
                    <w:div w:id="80682135">
                      <w:marLeft w:val="0"/>
                      <w:marRight w:val="0"/>
                      <w:marTop w:val="0"/>
                      <w:marBottom w:val="0"/>
                      <w:divBdr>
                        <w:top w:val="none" w:sz="0" w:space="0" w:color="auto"/>
                        <w:left w:val="none" w:sz="0" w:space="0" w:color="auto"/>
                        <w:bottom w:val="none" w:sz="0" w:space="0" w:color="auto"/>
                        <w:right w:val="none" w:sz="0" w:space="0" w:color="auto"/>
                      </w:divBdr>
                    </w:div>
                  </w:divsChild>
                </w:div>
                <w:div w:id="1829665142">
                  <w:marLeft w:val="0"/>
                  <w:marRight w:val="0"/>
                  <w:marTop w:val="0"/>
                  <w:marBottom w:val="0"/>
                  <w:divBdr>
                    <w:top w:val="none" w:sz="0" w:space="0" w:color="auto"/>
                    <w:left w:val="none" w:sz="0" w:space="0" w:color="auto"/>
                    <w:bottom w:val="none" w:sz="0" w:space="0" w:color="auto"/>
                    <w:right w:val="none" w:sz="0" w:space="0" w:color="auto"/>
                  </w:divBdr>
                  <w:divsChild>
                    <w:div w:id="1266689299">
                      <w:marLeft w:val="0"/>
                      <w:marRight w:val="0"/>
                      <w:marTop w:val="0"/>
                      <w:marBottom w:val="0"/>
                      <w:divBdr>
                        <w:top w:val="none" w:sz="0" w:space="0" w:color="auto"/>
                        <w:left w:val="none" w:sz="0" w:space="0" w:color="auto"/>
                        <w:bottom w:val="none" w:sz="0" w:space="0" w:color="auto"/>
                        <w:right w:val="none" w:sz="0" w:space="0" w:color="auto"/>
                      </w:divBdr>
                    </w:div>
                  </w:divsChild>
                </w:div>
                <w:div w:id="1847941682">
                  <w:marLeft w:val="0"/>
                  <w:marRight w:val="0"/>
                  <w:marTop w:val="0"/>
                  <w:marBottom w:val="0"/>
                  <w:divBdr>
                    <w:top w:val="none" w:sz="0" w:space="0" w:color="auto"/>
                    <w:left w:val="none" w:sz="0" w:space="0" w:color="auto"/>
                    <w:bottom w:val="none" w:sz="0" w:space="0" w:color="auto"/>
                    <w:right w:val="none" w:sz="0" w:space="0" w:color="auto"/>
                  </w:divBdr>
                  <w:divsChild>
                    <w:div w:id="2092505026">
                      <w:marLeft w:val="0"/>
                      <w:marRight w:val="0"/>
                      <w:marTop w:val="0"/>
                      <w:marBottom w:val="0"/>
                      <w:divBdr>
                        <w:top w:val="none" w:sz="0" w:space="0" w:color="auto"/>
                        <w:left w:val="none" w:sz="0" w:space="0" w:color="auto"/>
                        <w:bottom w:val="none" w:sz="0" w:space="0" w:color="auto"/>
                        <w:right w:val="none" w:sz="0" w:space="0" w:color="auto"/>
                      </w:divBdr>
                    </w:div>
                  </w:divsChild>
                </w:div>
                <w:div w:id="1870213607">
                  <w:marLeft w:val="0"/>
                  <w:marRight w:val="0"/>
                  <w:marTop w:val="0"/>
                  <w:marBottom w:val="0"/>
                  <w:divBdr>
                    <w:top w:val="none" w:sz="0" w:space="0" w:color="auto"/>
                    <w:left w:val="none" w:sz="0" w:space="0" w:color="auto"/>
                    <w:bottom w:val="none" w:sz="0" w:space="0" w:color="auto"/>
                    <w:right w:val="none" w:sz="0" w:space="0" w:color="auto"/>
                  </w:divBdr>
                  <w:divsChild>
                    <w:div w:id="845091337">
                      <w:marLeft w:val="0"/>
                      <w:marRight w:val="0"/>
                      <w:marTop w:val="0"/>
                      <w:marBottom w:val="0"/>
                      <w:divBdr>
                        <w:top w:val="none" w:sz="0" w:space="0" w:color="auto"/>
                        <w:left w:val="none" w:sz="0" w:space="0" w:color="auto"/>
                        <w:bottom w:val="none" w:sz="0" w:space="0" w:color="auto"/>
                        <w:right w:val="none" w:sz="0" w:space="0" w:color="auto"/>
                      </w:divBdr>
                    </w:div>
                  </w:divsChild>
                </w:div>
                <w:div w:id="1870797207">
                  <w:marLeft w:val="0"/>
                  <w:marRight w:val="0"/>
                  <w:marTop w:val="0"/>
                  <w:marBottom w:val="0"/>
                  <w:divBdr>
                    <w:top w:val="none" w:sz="0" w:space="0" w:color="auto"/>
                    <w:left w:val="none" w:sz="0" w:space="0" w:color="auto"/>
                    <w:bottom w:val="none" w:sz="0" w:space="0" w:color="auto"/>
                    <w:right w:val="none" w:sz="0" w:space="0" w:color="auto"/>
                  </w:divBdr>
                  <w:divsChild>
                    <w:div w:id="403525867">
                      <w:marLeft w:val="0"/>
                      <w:marRight w:val="0"/>
                      <w:marTop w:val="0"/>
                      <w:marBottom w:val="0"/>
                      <w:divBdr>
                        <w:top w:val="none" w:sz="0" w:space="0" w:color="auto"/>
                        <w:left w:val="none" w:sz="0" w:space="0" w:color="auto"/>
                        <w:bottom w:val="none" w:sz="0" w:space="0" w:color="auto"/>
                        <w:right w:val="none" w:sz="0" w:space="0" w:color="auto"/>
                      </w:divBdr>
                    </w:div>
                  </w:divsChild>
                </w:div>
                <w:div w:id="1876193600">
                  <w:marLeft w:val="0"/>
                  <w:marRight w:val="0"/>
                  <w:marTop w:val="0"/>
                  <w:marBottom w:val="0"/>
                  <w:divBdr>
                    <w:top w:val="none" w:sz="0" w:space="0" w:color="auto"/>
                    <w:left w:val="none" w:sz="0" w:space="0" w:color="auto"/>
                    <w:bottom w:val="none" w:sz="0" w:space="0" w:color="auto"/>
                    <w:right w:val="none" w:sz="0" w:space="0" w:color="auto"/>
                  </w:divBdr>
                  <w:divsChild>
                    <w:div w:id="1370178004">
                      <w:marLeft w:val="0"/>
                      <w:marRight w:val="0"/>
                      <w:marTop w:val="0"/>
                      <w:marBottom w:val="0"/>
                      <w:divBdr>
                        <w:top w:val="none" w:sz="0" w:space="0" w:color="auto"/>
                        <w:left w:val="none" w:sz="0" w:space="0" w:color="auto"/>
                        <w:bottom w:val="none" w:sz="0" w:space="0" w:color="auto"/>
                        <w:right w:val="none" w:sz="0" w:space="0" w:color="auto"/>
                      </w:divBdr>
                    </w:div>
                  </w:divsChild>
                </w:div>
                <w:div w:id="1896234738">
                  <w:marLeft w:val="0"/>
                  <w:marRight w:val="0"/>
                  <w:marTop w:val="0"/>
                  <w:marBottom w:val="0"/>
                  <w:divBdr>
                    <w:top w:val="none" w:sz="0" w:space="0" w:color="auto"/>
                    <w:left w:val="none" w:sz="0" w:space="0" w:color="auto"/>
                    <w:bottom w:val="none" w:sz="0" w:space="0" w:color="auto"/>
                    <w:right w:val="none" w:sz="0" w:space="0" w:color="auto"/>
                  </w:divBdr>
                  <w:divsChild>
                    <w:div w:id="1410233852">
                      <w:marLeft w:val="0"/>
                      <w:marRight w:val="0"/>
                      <w:marTop w:val="0"/>
                      <w:marBottom w:val="0"/>
                      <w:divBdr>
                        <w:top w:val="none" w:sz="0" w:space="0" w:color="auto"/>
                        <w:left w:val="none" w:sz="0" w:space="0" w:color="auto"/>
                        <w:bottom w:val="none" w:sz="0" w:space="0" w:color="auto"/>
                        <w:right w:val="none" w:sz="0" w:space="0" w:color="auto"/>
                      </w:divBdr>
                    </w:div>
                  </w:divsChild>
                </w:div>
                <w:div w:id="1906337122">
                  <w:marLeft w:val="0"/>
                  <w:marRight w:val="0"/>
                  <w:marTop w:val="0"/>
                  <w:marBottom w:val="0"/>
                  <w:divBdr>
                    <w:top w:val="none" w:sz="0" w:space="0" w:color="auto"/>
                    <w:left w:val="none" w:sz="0" w:space="0" w:color="auto"/>
                    <w:bottom w:val="none" w:sz="0" w:space="0" w:color="auto"/>
                    <w:right w:val="none" w:sz="0" w:space="0" w:color="auto"/>
                  </w:divBdr>
                  <w:divsChild>
                    <w:div w:id="575364652">
                      <w:marLeft w:val="0"/>
                      <w:marRight w:val="0"/>
                      <w:marTop w:val="0"/>
                      <w:marBottom w:val="0"/>
                      <w:divBdr>
                        <w:top w:val="none" w:sz="0" w:space="0" w:color="auto"/>
                        <w:left w:val="none" w:sz="0" w:space="0" w:color="auto"/>
                        <w:bottom w:val="none" w:sz="0" w:space="0" w:color="auto"/>
                        <w:right w:val="none" w:sz="0" w:space="0" w:color="auto"/>
                      </w:divBdr>
                    </w:div>
                  </w:divsChild>
                </w:div>
                <w:div w:id="1917982574">
                  <w:marLeft w:val="0"/>
                  <w:marRight w:val="0"/>
                  <w:marTop w:val="0"/>
                  <w:marBottom w:val="0"/>
                  <w:divBdr>
                    <w:top w:val="none" w:sz="0" w:space="0" w:color="auto"/>
                    <w:left w:val="none" w:sz="0" w:space="0" w:color="auto"/>
                    <w:bottom w:val="none" w:sz="0" w:space="0" w:color="auto"/>
                    <w:right w:val="none" w:sz="0" w:space="0" w:color="auto"/>
                  </w:divBdr>
                  <w:divsChild>
                    <w:div w:id="189270603">
                      <w:marLeft w:val="0"/>
                      <w:marRight w:val="0"/>
                      <w:marTop w:val="0"/>
                      <w:marBottom w:val="0"/>
                      <w:divBdr>
                        <w:top w:val="none" w:sz="0" w:space="0" w:color="auto"/>
                        <w:left w:val="none" w:sz="0" w:space="0" w:color="auto"/>
                        <w:bottom w:val="none" w:sz="0" w:space="0" w:color="auto"/>
                        <w:right w:val="none" w:sz="0" w:space="0" w:color="auto"/>
                      </w:divBdr>
                    </w:div>
                  </w:divsChild>
                </w:div>
                <w:div w:id="1934824289">
                  <w:marLeft w:val="0"/>
                  <w:marRight w:val="0"/>
                  <w:marTop w:val="0"/>
                  <w:marBottom w:val="0"/>
                  <w:divBdr>
                    <w:top w:val="none" w:sz="0" w:space="0" w:color="auto"/>
                    <w:left w:val="none" w:sz="0" w:space="0" w:color="auto"/>
                    <w:bottom w:val="none" w:sz="0" w:space="0" w:color="auto"/>
                    <w:right w:val="none" w:sz="0" w:space="0" w:color="auto"/>
                  </w:divBdr>
                  <w:divsChild>
                    <w:div w:id="1182622733">
                      <w:marLeft w:val="0"/>
                      <w:marRight w:val="0"/>
                      <w:marTop w:val="0"/>
                      <w:marBottom w:val="0"/>
                      <w:divBdr>
                        <w:top w:val="none" w:sz="0" w:space="0" w:color="auto"/>
                        <w:left w:val="none" w:sz="0" w:space="0" w:color="auto"/>
                        <w:bottom w:val="none" w:sz="0" w:space="0" w:color="auto"/>
                        <w:right w:val="none" w:sz="0" w:space="0" w:color="auto"/>
                      </w:divBdr>
                    </w:div>
                  </w:divsChild>
                </w:div>
                <w:div w:id="1948998549">
                  <w:marLeft w:val="0"/>
                  <w:marRight w:val="0"/>
                  <w:marTop w:val="0"/>
                  <w:marBottom w:val="0"/>
                  <w:divBdr>
                    <w:top w:val="none" w:sz="0" w:space="0" w:color="auto"/>
                    <w:left w:val="none" w:sz="0" w:space="0" w:color="auto"/>
                    <w:bottom w:val="none" w:sz="0" w:space="0" w:color="auto"/>
                    <w:right w:val="none" w:sz="0" w:space="0" w:color="auto"/>
                  </w:divBdr>
                  <w:divsChild>
                    <w:div w:id="1451431530">
                      <w:marLeft w:val="0"/>
                      <w:marRight w:val="0"/>
                      <w:marTop w:val="0"/>
                      <w:marBottom w:val="0"/>
                      <w:divBdr>
                        <w:top w:val="none" w:sz="0" w:space="0" w:color="auto"/>
                        <w:left w:val="none" w:sz="0" w:space="0" w:color="auto"/>
                        <w:bottom w:val="none" w:sz="0" w:space="0" w:color="auto"/>
                        <w:right w:val="none" w:sz="0" w:space="0" w:color="auto"/>
                      </w:divBdr>
                    </w:div>
                  </w:divsChild>
                </w:div>
                <w:div w:id="1985964712">
                  <w:marLeft w:val="0"/>
                  <w:marRight w:val="0"/>
                  <w:marTop w:val="0"/>
                  <w:marBottom w:val="0"/>
                  <w:divBdr>
                    <w:top w:val="none" w:sz="0" w:space="0" w:color="auto"/>
                    <w:left w:val="none" w:sz="0" w:space="0" w:color="auto"/>
                    <w:bottom w:val="none" w:sz="0" w:space="0" w:color="auto"/>
                    <w:right w:val="none" w:sz="0" w:space="0" w:color="auto"/>
                  </w:divBdr>
                  <w:divsChild>
                    <w:div w:id="244581079">
                      <w:marLeft w:val="0"/>
                      <w:marRight w:val="0"/>
                      <w:marTop w:val="0"/>
                      <w:marBottom w:val="0"/>
                      <w:divBdr>
                        <w:top w:val="none" w:sz="0" w:space="0" w:color="auto"/>
                        <w:left w:val="none" w:sz="0" w:space="0" w:color="auto"/>
                        <w:bottom w:val="none" w:sz="0" w:space="0" w:color="auto"/>
                        <w:right w:val="none" w:sz="0" w:space="0" w:color="auto"/>
                      </w:divBdr>
                    </w:div>
                  </w:divsChild>
                </w:div>
                <w:div w:id="2022858013">
                  <w:marLeft w:val="0"/>
                  <w:marRight w:val="0"/>
                  <w:marTop w:val="0"/>
                  <w:marBottom w:val="0"/>
                  <w:divBdr>
                    <w:top w:val="none" w:sz="0" w:space="0" w:color="auto"/>
                    <w:left w:val="none" w:sz="0" w:space="0" w:color="auto"/>
                    <w:bottom w:val="none" w:sz="0" w:space="0" w:color="auto"/>
                    <w:right w:val="none" w:sz="0" w:space="0" w:color="auto"/>
                  </w:divBdr>
                  <w:divsChild>
                    <w:div w:id="2084793011">
                      <w:marLeft w:val="0"/>
                      <w:marRight w:val="0"/>
                      <w:marTop w:val="0"/>
                      <w:marBottom w:val="0"/>
                      <w:divBdr>
                        <w:top w:val="none" w:sz="0" w:space="0" w:color="auto"/>
                        <w:left w:val="none" w:sz="0" w:space="0" w:color="auto"/>
                        <w:bottom w:val="none" w:sz="0" w:space="0" w:color="auto"/>
                        <w:right w:val="none" w:sz="0" w:space="0" w:color="auto"/>
                      </w:divBdr>
                    </w:div>
                  </w:divsChild>
                </w:div>
                <w:div w:id="2046901538">
                  <w:marLeft w:val="0"/>
                  <w:marRight w:val="0"/>
                  <w:marTop w:val="0"/>
                  <w:marBottom w:val="0"/>
                  <w:divBdr>
                    <w:top w:val="none" w:sz="0" w:space="0" w:color="auto"/>
                    <w:left w:val="none" w:sz="0" w:space="0" w:color="auto"/>
                    <w:bottom w:val="none" w:sz="0" w:space="0" w:color="auto"/>
                    <w:right w:val="none" w:sz="0" w:space="0" w:color="auto"/>
                  </w:divBdr>
                  <w:divsChild>
                    <w:div w:id="768768989">
                      <w:marLeft w:val="0"/>
                      <w:marRight w:val="0"/>
                      <w:marTop w:val="0"/>
                      <w:marBottom w:val="0"/>
                      <w:divBdr>
                        <w:top w:val="none" w:sz="0" w:space="0" w:color="auto"/>
                        <w:left w:val="none" w:sz="0" w:space="0" w:color="auto"/>
                        <w:bottom w:val="none" w:sz="0" w:space="0" w:color="auto"/>
                        <w:right w:val="none" w:sz="0" w:space="0" w:color="auto"/>
                      </w:divBdr>
                    </w:div>
                  </w:divsChild>
                </w:div>
                <w:div w:id="2053730173">
                  <w:marLeft w:val="0"/>
                  <w:marRight w:val="0"/>
                  <w:marTop w:val="0"/>
                  <w:marBottom w:val="0"/>
                  <w:divBdr>
                    <w:top w:val="none" w:sz="0" w:space="0" w:color="auto"/>
                    <w:left w:val="none" w:sz="0" w:space="0" w:color="auto"/>
                    <w:bottom w:val="none" w:sz="0" w:space="0" w:color="auto"/>
                    <w:right w:val="none" w:sz="0" w:space="0" w:color="auto"/>
                  </w:divBdr>
                  <w:divsChild>
                    <w:div w:id="1147939980">
                      <w:marLeft w:val="0"/>
                      <w:marRight w:val="0"/>
                      <w:marTop w:val="0"/>
                      <w:marBottom w:val="0"/>
                      <w:divBdr>
                        <w:top w:val="none" w:sz="0" w:space="0" w:color="auto"/>
                        <w:left w:val="none" w:sz="0" w:space="0" w:color="auto"/>
                        <w:bottom w:val="none" w:sz="0" w:space="0" w:color="auto"/>
                        <w:right w:val="none" w:sz="0" w:space="0" w:color="auto"/>
                      </w:divBdr>
                    </w:div>
                  </w:divsChild>
                </w:div>
                <w:div w:id="2079354963">
                  <w:marLeft w:val="0"/>
                  <w:marRight w:val="0"/>
                  <w:marTop w:val="0"/>
                  <w:marBottom w:val="0"/>
                  <w:divBdr>
                    <w:top w:val="none" w:sz="0" w:space="0" w:color="auto"/>
                    <w:left w:val="none" w:sz="0" w:space="0" w:color="auto"/>
                    <w:bottom w:val="none" w:sz="0" w:space="0" w:color="auto"/>
                    <w:right w:val="none" w:sz="0" w:space="0" w:color="auto"/>
                  </w:divBdr>
                  <w:divsChild>
                    <w:div w:id="117384411">
                      <w:marLeft w:val="0"/>
                      <w:marRight w:val="0"/>
                      <w:marTop w:val="0"/>
                      <w:marBottom w:val="0"/>
                      <w:divBdr>
                        <w:top w:val="none" w:sz="0" w:space="0" w:color="auto"/>
                        <w:left w:val="none" w:sz="0" w:space="0" w:color="auto"/>
                        <w:bottom w:val="none" w:sz="0" w:space="0" w:color="auto"/>
                        <w:right w:val="none" w:sz="0" w:space="0" w:color="auto"/>
                      </w:divBdr>
                    </w:div>
                  </w:divsChild>
                </w:div>
                <w:div w:id="2107530118">
                  <w:marLeft w:val="0"/>
                  <w:marRight w:val="0"/>
                  <w:marTop w:val="0"/>
                  <w:marBottom w:val="0"/>
                  <w:divBdr>
                    <w:top w:val="none" w:sz="0" w:space="0" w:color="auto"/>
                    <w:left w:val="none" w:sz="0" w:space="0" w:color="auto"/>
                    <w:bottom w:val="none" w:sz="0" w:space="0" w:color="auto"/>
                    <w:right w:val="none" w:sz="0" w:space="0" w:color="auto"/>
                  </w:divBdr>
                  <w:divsChild>
                    <w:div w:id="54864762">
                      <w:marLeft w:val="0"/>
                      <w:marRight w:val="0"/>
                      <w:marTop w:val="0"/>
                      <w:marBottom w:val="0"/>
                      <w:divBdr>
                        <w:top w:val="none" w:sz="0" w:space="0" w:color="auto"/>
                        <w:left w:val="none" w:sz="0" w:space="0" w:color="auto"/>
                        <w:bottom w:val="none" w:sz="0" w:space="0" w:color="auto"/>
                        <w:right w:val="none" w:sz="0" w:space="0" w:color="auto"/>
                      </w:divBdr>
                    </w:div>
                  </w:divsChild>
                </w:div>
                <w:div w:id="2132966898">
                  <w:marLeft w:val="0"/>
                  <w:marRight w:val="0"/>
                  <w:marTop w:val="0"/>
                  <w:marBottom w:val="0"/>
                  <w:divBdr>
                    <w:top w:val="none" w:sz="0" w:space="0" w:color="auto"/>
                    <w:left w:val="none" w:sz="0" w:space="0" w:color="auto"/>
                    <w:bottom w:val="none" w:sz="0" w:space="0" w:color="auto"/>
                    <w:right w:val="none" w:sz="0" w:space="0" w:color="auto"/>
                  </w:divBdr>
                  <w:divsChild>
                    <w:div w:id="1440563168">
                      <w:marLeft w:val="0"/>
                      <w:marRight w:val="0"/>
                      <w:marTop w:val="0"/>
                      <w:marBottom w:val="0"/>
                      <w:divBdr>
                        <w:top w:val="none" w:sz="0" w:space="0" w:color="auto"/>
                        <w:left w:val="none" w:sz="0" w:space="0" w:color="auto"/>
                        <w:bottom w:val="none" w:sz="0" w:space="0" w:color="auto"/>
                        <w:right w:val="none" w:sz="0" w:space="0" w:color="auto"/>
                      </w:divBdr>
                    </w:div>
                  </w:divsChild>
                </w:div>
                <w:div w:id="2136285849">
                  <w:marLeft w:val="0"/>
                  <w:marRight w:val="0"/>
                  <w:marTop w:val="0"/>
                  <w:marBottom w:val="0"/>
                  <w:divBdr>
                    <w:top w:val="none" w:sz="0" w:space="0" w:color="auto"/>
                    <w:left w:val="none" w:sz="0" w:space="0" w:color="auto"/>
                    <w:bottom w:val="none" w:sz="0" w:space="0" w:color="auto"/>
                    <w:right w:val="none" w:sz="0" w:space="0" w:color="auto"/>
                  </w:divBdr>
                  <w:divsChild>
                    <w:div w:id="626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6929">
          <w:marLeft w:val="0"/>
          <w:marRight w:val="0"/>
          <w:marTop w:val="0"/>
          <w:marBottom w:val="0"/>
          <w:divBdr>
            <w:top w:val="none" w:sz="0" w:space="0" w:color="auto"/>
            <w:left w:val="none" w:sz="0" w:space="0" w:color="auto"/>
            <w:bottom w:val="none" w:sz="0" w:space="0" w:color="auto"/>
            <w:right w:val="none" w:sz="0" w:space="0" w:color="auto"/>
          </w:divBdr>
        </w:div>
      </w:divsChild>
    </w:div>
    <w:div w:id="497816202">
      <w:bodyDiv w:val="1"/>
      <w:marLeft w:val="0"/>
      <w:marRight w:val="0"/>
      <w:marTop w:val="0"/>
      <w:marBottom w:val="0"/>
      <w:divBdr>
        <w:top w:val="none" w:sz="0" w:space="0" w:color="auto"/>
        <w:left w:val="none" w:sz="0" w:space="0" w:color="auto"/>
        <w:bottom w:val="none" w:sz="0" w:space="0" w:color="auto"/>
        <w:right w:val="none" w:sz="0" w:space="0" w:color="auto"/>
      </w:divBdr>
    </w:div>
    <w:div w:id="525948789">
      <w:bodyDiv w:val="1"/>
      <w:marLeft w:val="0"/>
      <w:marRight w:val="0"/>
      <w:marTop w:val="0"/>
      <w:marBottom w:val="0"/>
      <w:divBdr>
        <w:top w:val="none" w:sz="0" w:space="0" w:color="auto"/>
        <w:left w:val="none" w:sz="0" w:space="0" w:color="auto"/>
        <w:bottom w:val="none" w:sz="0" w:space="0" w:color="auto"/>
        <w:right w:val="none" w:sz="0" w:space="0" w:color="auto"/>
      </w:divBdr>
    </w:div>
    <w:div w:id="528759517">
      <w:bodyDiv w:val="1"/>
      <w:marLeft w:val="0"/>
      <w:marRight w:val="0"/>
      <w:marTop w:val="0"/>
      <w:marBottom w:val="0"/>
      <w:divBdr>
        <w:top w:val="none" w:sz="0" w:space="0" w:color="auto"/>
        <w:left w:val="none" w:sz="0" w:space="0" w:color="auto"/>
        <w:bottom w:val="none" w:sz="0" w:space="0" w:color="auto"/>
        <w:right w:val="none" w:sz="0" w:space="0" w:color="auto"/>
      </w:divBdr>
    </w:div>
    <w:div w:id="532426680">
      <w:bodyDiv w:val="1"/>
      <w:marLeft w:val="0"/>
      <w:marRight w:val="0"/>
      <w:marTop w:val="0"/>
      <w:marBottom w:val="0"/>
      <w:divBdr>
        <w:top w:val="none" w:sz="0" w:space="0" w:color="auto"/>
        <w:left w:val="none" w:sz="0" w:space="0" w:color="auto"/>
        <w:bottom w:val="none" w:sz="0" w:space="0" w:color="auto"/>
        <w:right w:val="none" w:sz="0" w:space="0" w:color="auto"/>
      </w:divBdr>
    </w:div>
    <w:div w:id="536160996">
      <w:bodyDiv w:val="1"/>
      <w:marLeft w:val="0"/>
      <w:marRight w:val="0"/>
      <w:marTop w:val="0"/>
      <w:marBottom w:val="0"/>
      <w:divBdr>
        <w:top w:val="none" w:sz="0" w:space="0" w:color="auto"/>
        <w:left w:val="none" w:sz="0" w:space="0" w:color="auto"/>
        <w:bottom w:val="none" w:sz="0" w:space="0" w:color="auto"/>
        <w:right w:val="none" w:sz="0" w:space="0" w:color="auto"/>
      </w:divBdr>
    </w:div>
    <w:div w:id="542909207">
      <w:bodyDiv w:val="1"/>
      <w:marLeft w:val="0"/>
      <w:marRight w:val="0"/>
      <w:marTop w:val="0"/>
      <w:marBottom w:val="0"/>
      <w:divBdr>
        <w:top w:val="none" w:sz="0" w:space="0" w:color="auto"/>
        <w:left w:val="none" w:sz="0" w:space="0" w:color="auto"/>
        <w:bottom w:val="none" w:sz="0" w:space="0" w:color="auto"/>
        <w:right w:val="none" w:sz="0" w:space="0" w:color="auto"/>
      </w:divBdr>
    </w:div>
    <w:div w:id="554321488">
      <w:bodyDiv w:val="1"/>
      <w:marLeft w:val="0"/>
      <w:marRight w:val="0"/>
      <w:marTop w:val="0"/>
      <w:marBottom w:val="0"/>
      <w:divBdr>
        <w:top w:val="none" w:sz="0" w:space="0" w:color="auto"/>
        <w:left w:val="none" w:sz="0" w:space="0" w:color="auto"/>
        <w:bottom w:val="none" w:sz="0" w:space="0" w:color="auto"/>
        <w:right w:val="none" w:sz="0" w:space="0" w:color="auto"/>
      </w:divBdr>
    </w:div>
    <w:div w:id="560560412">
      <w:bodyDiv w:val="1"/>
      <w:marLeft w:val="0"/>
      <w:marRight w:val="0"/>
      <w:marTop w:val="0"/>
      <w:marBottom w:val="0"/>
      <w:divBdr>
        <w:top w:val="none" w:sz="0" w:space="0" w:color="auto"/>
        <w:left w:val="none" w:sz="0" w:space="0" w:color="auto"/>
        <w:bottom w:val="none" w:sz="0" w:space="0" w:color="auto"/>
        <w:right w:val="none" w:sz="0" w:space="0" w:color="auto"/>
      </w:divBdr>
    </w:div>
    <w:div w:id="561018370">
      <w:bodyDiv w:val="1"/>
      <w:marLeft w:val="0"/>
      <w:marRight w:val="0"/>
      <w:marTop w:val="0"/>
      <w:marBottom w:val="0"/>
      <w:divBdr>
        <w:top w:val="none" w:sz="0" w:space="0" w:color="auto"/>
        <w:left w:val="none" w:sz="0" w:space="0" w:color="auto"/>
        <w:bottom w:val="none" w:sz="0" w:space="0" w:color="auto"/>
        <w:right w:val="none" w:sz="0" w:space="0" w:color="auto"/>
      </w:divBdr>
    </w:div>
    <w:div w:id="567346233">
      <w:bodyDiv w:val="1"/>
      <w:marLeft w:val="0"/>
      <w:marRight w:val="0"/>
      <w:marTop w:val="0"/>
      <w:marBottom w:val="0"/>
      <w:divBdr>
        <w:top w:val="none" w:sz="0" w:space="0" w:color="auto"/>
        <w:left w:val="none" w:sz="0" w:space="0" w:color="auto"/>
        <w:bottom w:val="none" w:sz="0" w:space="0" w:color="auto"/>
        <w:right w:val="none" w:sz="0" w:space="0" w:color="auto"/>
      </w:divBdr>
    </w:div>
    <w:div w:id="573243612">
      <w:bodyDiv w:val="1"/>
      <w:marLeft w:val="0"/>
      <w:marRight w:val="0"/>
      <w:marTop w:val="0"/>
      <w:marBottom w:val="0"/>
      <w:divBdr>
        <w:top w:val="none" w:sz="0" w:space="0" w:color="auto"/>
        <w:left w:val="none" w:sz="0" w:space="0" w:color="auto"/>
        <w:bottom w:val="none" w:sz="0" w:space="0" w:color="auto"/>
        <w:right w:val="none" w:sz="0" w:space="0" w:color="auto"/>
      </w:divBdr>
    </w:div>
    <w:div w:id="586693663">
      <w:bodyDiv w:val="1"/>
      <w:marLeft w:val="0"/>
      <w:marRight w:val="0"/>
      <w:marTop w:val="0"/>
      <w:marBottom w:val="0"/>
      <w:divBdr>
        <w:top w:val="none" w:sz="0" w:space="0" w:color="auto"/>
        <w:left w:val="none" w:sz="0" w:space="0" w:color="auto"/>
        <w:bottom w:val="none" w:sz="0" w:space="0" w:color="auto"/>
        <w:right w:val="none" w:sz="0" w:space="0" w:color="auto"/>
      </w:divBdr>
    </w:div>
    <w:div w:id="589781509">
      <w:bodyDiv w:val="1"/>
      <w:marLeft w:val="0"/>
      <w:marRight w:val="0"/>
      <w:marTop w:val="0"/>
      <w:marBottom w:val="0"/>
      <w:divBdr>
        <w:top w:val="none" w:sz="0" w:space="0" w:color="auto"/>
        <w:left w:val="none" w:sz="0" w:space="0" w:color="auto"/>
        <w:bottom w:val="none" w:sz="0" w:space="0" w:color="auto"/>
        <w:right w:val="none" w:sz="0" w:space="0" w:color="auto"/>
      </w:divBdr>
    </w:div>
    <w:div w:id="602491738">
      <w:bodyDiv w:val="1"/>
      <w:marLeft w:val="0"/>
      <w:marRight w:val="0"/>
      <w:marTop w:val="0"/>
      <w:marBottom w:val="0"/>
      <w:divBdr>
        <w:top w:val="none" w:sz="0" w:space="0" w:color="auto"/>
        <w:left w:val="none" w:sz="0" w:space="0" w:color="auto"/>
        <w:bottom w:val="none" w:sz="0" w:space="0" w:color="auto"/>
        <w:right w:val="none" w:sz="0" w:space="0" w:color="auto"/>
      </w:divBdr>
    </w:div>
    <w:div w:id="609974522">
      <w:bodyDiv w:val="1"/>
      <w:marLeft w:val="0"/>
      <w:marRight w:val="0"/>
      <w:marTop w:val="0"/>
      <w:marBottom w:val="0"/>
      <w:divBdr>
        <w:top w:val="none" w:sz="0" w:space="0" w:color="auto"/>
        <w:left w:val="none" w:sz="0" w:space="0" w:color="auto"/>
        <w:bottom w:val="none" w:sz="0" w:space="0" w:color="auto"/>
        <w:right w:val="none" w:sz="0" w:space="0" w:color="auto"/>
      </w:divBdr>
    </w:div>
    <w:div w:id="621501646">
      <w:bodyDiv w:val="1"/>
      <w:marLeft w:val="0"/>
      <w:marRight w:val="0"/>
      <w:marTop w:val="0"/>
      <w:marBottom w:val="0"/>
      <w:divBdr>
        <w:top w:val="none" w:sz="0" w:space="0" w:color="auto"/>
        <w:left w:val="none" w:sz="0" w:space="0" w:color="auto"/>
        <w:bottom w:val="none" w:sz="0" w:space="0" w:color="auto"/>
        <w:right w:val="none" w:sz="0" w:space="0" w:color="auto"/>
      </w:divBdr>
    </w:div>
    <w:div w:id="638074224">
      <w:bodyDiv w:val="1"/>
      <w:marLeft w:val="0"/>
      <w:marRight w:val="0"/>
      <w:marTop w:val="0"/>
      <w:marBottom w:val="0"/>
      <w:divBdr>
        <w:top w:val="none" w:sz="0" w:space="0" w:color="auto"/>
        <w:left w:val="none" w:sz="0" w:space="0" w:color="auto"/>
        <w:bottom w:val="none" w:sz="0" w:space="0" w:color="auto"/>
        <w:right w:val="none" w:sz="0" w:space="0" w:color="auto"/>
      </w:divBdr>
    </w:div>
    <w:div w:id="642542301">
      <w:bodyDiv w:val="1"/>
      <w:marLeft w:val="0"/>
      <w:marRight w:val="0"/>
      <w:marTop w:val="0"/>
      <w:marBottom w:val="0"/>
      <w:divBdr>
        <w:top w:val="none" w:sz="0" w:space="0" w:color="auto"/>
        <w:left w:val="none" w:sz="0" w:space="0" w:color="auto"/>
        <w:bottom w:val="none" w:sz="0" w:space="0" w:color="auto"/>
        <w:right w:val="none" w:sz="0" w:space="0" w:color="auto"/>
      </w:divBdr>
    </w:div>
    <w:div w:id="651955556">
      <w:bodyDiv w:val="1"/>
      <w:marLeft w:val="0"/>
      <w:marRight w:val="0"/>
      <w:marTop w:val="0"/>
      <w:marBottom w:val="0"/>
      <w:divBdr>
        <w:top w:val="none" w:sz="0" w:space="0" w:color="auto"/>
        <w:left w:val="none" w:sz="0" w:space="0" w:color="auto"/>
        <w:bottom w:val="none" w:sz="0" w:space="0" w:color="auto"/>
        <w:right w:val="none" w:sz="0" w:space="0" w:color="auto"/>
      </w:divBdr>
    </w:div>
    <w:div w:id="652098123">
      <w:bodyDiv w:val="1"/>
      <w:marLeft w:val="0"/>
      <w:marRight w:val="0"/>
      <w:marTop w:val="0"/>
      <w:marBottom w:val="0"/>
      <w:divBdr>
        <w:top w:val="none" w:sz="0" w:space="0" w:color="auto"/>
        <w:left w:val="none" w:sz="0" w:space="0" w:color="auto"/>
        <w:bottom w:val="none" w:sz="0" w:space="0" w:color="auto"/>
        <w:right w:val="none" w:sz="0" w:space="0" w:color="auto"/>
      </w:divBdr>
    </w:div>
    <w:div w:id="689570757">
      <w:bodyDiv w:val="1"/>
      <w:marLeft w:val="0"/>
      <w:marRight w:val="0"/>
      <w:marTop w:val="0"/>
      <w:marBottom w:val="0"/>
      <w:divBdr>
        <w:top w:val="none" w:sz="0" w:space="0" w:color="auto"/>
        <w:left w:val="none" w:sz="0" w:space="0" w:color="auto"/>
        <w:bottom w:val="none" w:sz="0" w:space="0" w:color="auto"/>
        <w:right w:val="none" w:sz="0" w:space="0" w:color="auto"/>
      </w:divBdr>
    </w:div>
    <w:div w:id="690299980">
      <w:bodyDiv w:val="1"/>
      <w:marLeft w:val="0"/>
      <w:marRight w:val="0"/>
      <w:marTop w:val="0"/>
      <w:marBottom w:val="0"/>
      <w:divBdr>
        <w:top w:val="none" w:sz="0" w:space="0" w:color="auto"/>
        <w:left w:val="none" w:sz="0" w:space="0" w:color="auto"/>
        <w:bottom w:val="none" w:sz="0" w:space="0" w:color="auto"/>
        <w:right w:val="none" w:sz="0" w:space="0" w:color="auto"/>
      </w:divBdr>
      <w:divsChild>
        <w:div w:id="1349135728">
          <w:marLeft w:val="1440"/>
          <w:marRight w:val="0"/>
          <w:marTop w:val="96"/>
          <w:marBottom w:val="0"/>
          <w:divBdr>
            <w:top w:val="none" w:sz="0" w:space="0" w:color="auto"/>
            <w:left w:val="none" w:sz="0" w:space="0" w:color="auto"/>
            <w:bottom w:val="none" w:sz="0" w:space="0" w:color="auto"/>
            <w:right w:val="none" w:sz="0" w:space="0" w:color="auto"/>
          </w:divBdr>
        </w:div>
      </w:divsChild>
    </w:div>
    <w:div w:id="694158216">
      <w:bodyDiv w:val="1"/>
      <w:marLeft w:val="0"/>
      <w:marRight w:val="0"/>
      <w:marTop w:val="0"/>
      <w:marBottom w:val="0"/>
      <w:divBdr>
        <w:top w:val="none" w:sz="0" w:space="0" w:color="auto"/>
        <w:left w:val="none" w:sz="0" w:space="0" w:color="auto"/>
        <w:bottom w:val="none" w:sz="0" w:space="0" w:color="auto"/>
        <w:right w:val="none" w:sz="0" w:space="0" w:color="auto"/>
      </w:divBdr>
    </w:div>
    <w:div w:id="727991693">
      <w:bodyDiv w:val="1"/>
      <w:marLeft w:val="0"/>
      <w:marRight w:val="0"/>
      <w:marTop w:val="0"/>
      <w:marBottom w:val="0"/>
      <w:divBdr>
        <w:top w:val="none" w:sz="0" w:space="0" w:color="auto"/>
        <w:left w:val="none" w:sz="0" w:space="0" w:color="auto"/>
        <w:bottom w:val="none" w:sz="0" w:space="0" w:color="auto"/>
        <w:right w:val="none" w:sz="0" w:space="0" w:color="auto"/>
      </w:divBdr>
    </w:div>
    <w:div w:id="735587678">
      <w:bodyDiv w:val="1"/>
      <w:marLeft w:val="0"/>
      <w:marRight w:val="0"/>
      <w:marTop w:val="0"/>
      <w:marBottom w:val="0"/>
      <w:divBdr>
        <w:top w:val="none" w:sz="0" w:space="0" w:color="auto"/>
        <w:left w:val="none" w:sz="0" w:space="0" w:color="auto"/>
        <w:bottom w:val="none" w:sz="0" w:space="0" w:color="auto"/>
        <w:right w:val="none" w:sz="0" w:space="0" w:color="auto"/>
      </w:divBdr>
    </w:div>
    <w:div w:id="737634930">
      <w:bodyDiv w:val="1"/>
      <w:marLeft w:val="0"/>
      <w:marRight w:val="0"/>
      <w:marTop w:val="0"/>
      <w:marBottom w:val="0"/>
      <w:divBdr>
        <w:top w:val="none" w:sz="0" w:space="0" w:color="auto"/>
        <w:left w:val="none" w:sz="0" w:space="0" w:color="auto"/>
        <w:bottom w:val="none" w:sz="0" w:space="0" w:color="auto"/>
        <w:right w:val="none" w:sz="0" w:space="0" w:color="auto"/>
      </w:divBdr>
    </w:div>
    <w:div w:id="746803740">
      <w:bodyDiv w:val="1"/>
      <w:marLeft w:val="0"/>
      <w:marRight w:val="0"/>
      <w:marTop w:val="0"/>
      <w:marBottom w:val="0"/>
      <w:divBdr>
        <w:top w:val="none" w:sz="0" w:space="0" w:color="auto"/>
        <w:left w:val="none" w:sz="0" w:space="0" w:color="auto"/>
        <w:bottom w:val="none" w:sz="0" w:space="0" w:color="auto"/>
        <w:right w:val="none" w:sz="0" w:space="0" w:color="auto"/>
      </w:divBdr>
    </w:div>
    <w:div w:id="756439377">
      <w:bodyDiv w:val="1"/>
      <w:marLeft w:val="0"/>
      <w:marRight w:val="0"/>
      <w:marTop w:val="0"/>
      <w:marBottom w:val="0"/>
      <w:divBdr>
        <w:top w:val="none" w:sz="0" w:space="0" w:color="auto"/>
        <w:left w:val="none" w:sz="0" w:space="0" w:color="auto"/>
        <w:bottom w:val="none" w:sz="0" w:space="0" w:color="auto"/>
        <w:right w:val="none" w:sz="0" w:space="0" w:color="auto"/>
      </w:divBdr>
    </w:div>
    <w:div w:id="761027150">
      <w:bodyDiv w:val="1"/>
      <w:marLeft w:val="0"/>
      <w:marRight w:val="0"/>
      <w:marTop w:val="0"/>
      <w:marBottom w:val="0"/>
      <w:divBdr>
        <w:top w:val="none" w:sz="0" w:space="0" w:color="auto"/>
        <w:left w:val="none" w:sz="0" w:space="0" w:color="auto"/>
        <w:bottom w:val="none" w:sz="0" w:space="0" w:color="auto"/>
        <w:right w:val="none" w:sz="0" w:space="0" w:color="auto"/>
      </w:divBdr>
    </w:div>
    <w:div w:id="761031833">
      <w:bodyDiv w:val="1"/>
      <w:marLeft w:val="0"/>
      <w:marRight w:val="0"/>
      <w:marTop w:val="0"/>
      <w:marBottom w:val="0"/>
      <w:divBdr>
        <w:top w:val="none" w:sz="0" w:space="0" w:color="auto"/>
        <w:left w:val="none" w:sz="0" w:space="0" w:color="auto"/>
        <w:bottom w:val="none" w:sz="0" w:space="0" w:color="auto"/>
        <w:right w:val="none" w:sz="0" w:space="0" w:color="auto"/>
      </w:divBdr>
    </w:div>
    <w:div w:id="766653697">
      <w:bodyDiv w:val="1"/>
      <w:marLeft w:val="0"/>
      <w:marRight w:val="0"/>
      <w:marTop w:val="0"/>
      <w:marBottom w:val="0"/>
      <w:divBdr>
        <w:top w:val="none" w:sz="0" w:space="0" w:color="auto"/>
        <w:left w:val="none" w:sz="0" w:space="0" w:color="auto"/>
        <w:bottom w:val="none" w:sz="0" w:space="0" w:color="auto"/>
        <w:right w:val="none" w:sz="0" w:space="0" w:color="auto"/>
      </w:divBdr>
    </w:div>
    <w:div w:id="784419815">
      <w:bodyDiv w:val="1"/>
      <w:marLeft w:val="0"/>
      <w:marRight w:val="0"/>
      <w:marTop w:val="0"/>
      <w:marBottom w:val="0"/>
      <w:divBdr>
        <w:top w:val="none" w:sz="0" w:space="0" w:color="auto"/>
        <w:left w:val="none" w:sz="0" w:space="0" w:color="auto"/>
        <w:bottom w:val="none" w:sz="0" w:space="0" w:color="auto"/>
        <w:right w:val="none" w:sz="0" w:space="0" w:color="auto"/>
      </w:divBdr>
    </w:div>
    <w:div w:id="791942545">
      <w:bodyDiv w:val="1"/>
      <w:marLeft w:val="0"/>
      <w:marRight w:val="0"/>
      <w:marTop w:val="0"/>
      <w:marBottom w:val="0"/>
      <w:divBdr>
        <w:top w:val="none" w:sz="0" w:space="0" w:color="auto"/>
        <w:left w:val="none" w:sz="0" w:space="0" w:color="auto"/>
        <w:bottom w:val="none" w:sz="0" w:space="0" w:color="auto"/>
        <w:right w:val="none" w:sz="0" w:space="0" w:color="auto"/>
      </w:divBdr>
    </w:div>
    <w:div w:id="798575762">
      <w:bodyDiv w:val="1"/>
      <w:marLeft w:val="0"/>
      <w:marRight w:val="0"/>
      <w:marTop w:val="0"/>
      <w:marBottom w:val="0"/>
      <w:divBdr>
        <w:top w:val="none" w:sz="0" w:space="0" w:color="auto"/>
        <w:left w:val="none" w:sz="0" w:space="0" w:color="auto"/>
        <w:bottom w:val="none" w:sz="0" w:space="0" w:color="auto"/>
        <w:right w:val="none" w:sz="0" w:space="0" w:color="auto"/>
      </w:divBdr>
    </w:div>
    <w:div w:id="801313373">
      <w:bodyDiv w:val="1"/>
      <w:marLeft w:val="0"/>
      <w:marRight w:val="0"/>
      <w:marTop w:val="0"/>
      <w:marBottom w:val="0"/>
      <w:divBdr>
        <w:top w:val="none" w:sz="0" w:space="0" w:color="auto"/>
        <w:left w:val="none" w:sz="0" w:space="0" w:color="auto"/>
        <w:bottom w:val="none" w:sz="0" w:space="0" w:color="auto"/>
        <w:right w:val="none" w:sz="0" w:space="0" w:color="auto"/>
      </w:divBdr>
    </w:div>
    <w:div w:id="808397165">
      <w:bodyDiv w:val="1"/>
      <w:marLeft w:val="0"/>
      <w:marRight w:val="0"/>
      <w:marTop w:val="0"/>
      <w:marBottom w:val="0"/>
      <w:divBdr>
        <w:top w:val="none" w:sz="0" w:space="0" w:color="auto"/>
        <w:left w:val="none" w:sz="0" w:space="0" w:color="auto"/>
        <w:bottom w:val="none" w:sz="0" w:space="0" w:color="auto"/>
        <w:right w:val="none" w:sz="0" w:space="0" w:color="auto"/>
      </w:divBdr>
    </w:div>
    <w:div w:id="812528000">
      <w:bodyDiv w:val="1"/>
      <w:marLeft w:val="0"/>
      <w:marRight w:val="0"/>
      <w:marTop w:val="0"/>
      <w:marBottom w:val="0"/>
      <w:divBdr>
        <w:top w:val="none" w:sz="0" w:space="0" w:color="auto"/>
        <w:left w:val="none" w:sz="0" w:space="0" w:color="auto"/>
        <w:bottom w:val="none" w:sz="0" w:space="0" w:color="auto"/>
        <w:right w:val="none" w:sz="0" w:space="0" w:color="auto"/>
      </w:divBdr>
    </w:div>
    <w:div w:id="820077030">
      <w:bodyDiv w:val="1"/>
      <w:marLeft w:val="0"/>
      <w:marRight w:val="0"/>
      <w:marTop w:val="0"/>
      <w:marBottom w:val="0"/>
      <w:divBdr>
        <w:top w:val="none" w:sz="0" w:space="0" w:color="auto"/>
        <w:left w:val="none" w:sz="0" w:space="0" w:color="auto"/>
        <w:bottom w:val="none" w:sz="0" w:space="0" w:color="auto"/>
        <w:right w:val="none" w:sz="0" w:space="0" w:color="auto"/>
      </w:divBdr>
    </w:div>
    <w:div w:id="846678200">
      <w:bodyDiv w:val="1"/>
      <w:marLeft w:val="0"/>
      <w:marRight w:val="0"/>
      <w:marTop w:val="0"/>
      <w:marBottom w:val="0"/>
      <w:divBdr>
        <w:top w:val="none" w:sz="0" w:space="0" w:color="auto"/>
        <w:left w:val="none" w:sz="0" w:space="0" w:color="auto"/>
        <w:bottom w:val="none" w:sz="0" w:space="0" w:color="auto"/>
        <w:right w:val="none" w:sz="0" w:space="0" w:color="auto"/>
      </w:divBdr>
    </w:div>
    <w:div w:id="849485620">
      <w:bodyDiv w:val="1"/>
      <w:marLeft w:val="0"/>
      <w:marRight w:val="0"/>
      <w:marTop w:val="0"/>
      <w:marBottom w:val="0"/>
      <w:divBdr>
        <w:top w:val="none" w:sz="0" w:space="0" w:color="auto"/>
        <w:left w:val="none" w:sz="0" w:space="0" w:color="auto"/>
        <w:bottom w:val="none" w:sz="0" w:space="0" w:color="auto"/>
        <w:right w:val="none" w:sz="0" w:space="0" w:color="auto"/>
      </w:divBdr>
    </w:div>
    <w:div w:id="850799766">
      <w:bodyDiv w:val="1"/>
      <w:marLeft w:val="0"/>
      <w:marRight w:val="0"/>
      <w:marTop w:val="0"/>
      <w:marBottom w:val="0"/>
      <w:divBdr>
        <w:top w:val="none" w:sz="0" w:space="0" w:color="auto"/>
        <w:left w:val="none" w:sz="0" w:space="0" w:color="auto"/>
        <w:bottom w:val="none" w:sz="0" w:space="0" w:color="auto"/>
        <w:right w:val="none" w:sz="0" w:space="0" w:color="auto"/>
      </w:divBdr>
    </w:div>
    <w:div w:id="877283595">
      <w:bodyDiv w:val="1"/>
      <w:marLeft w:val="0"/>
      <w:marRight w:val="0"/>
      <w:marTop w:val="0"/>
      <w:marBottom w:val="0"/>
      <w:divBdr>
        <w:top w:val="none" w:sz="0" w:space="0" w:color="auto"/>
        <w:left w:val="none" w:sz="0" w:space="0" w:color="auto"/>
        <w:bottom w:val="none" w:sz="0" w:space="0" w:color="auto"/>
        <w:right w:val="none" w:sz="0" w:space="0" w:color="auto"/>
      </w:divBdr>
    </w:div>
    <w:div w:id="879394116">
      <w:bodyDiv w:val="1"/>
      <w:marLeft w:val="0"/>
      <w:marRight w:val="0"/>
      <w:marTop w:val="0"/>
      <w:marBottom w:val="0"/>
      <w:divBdr>
        <w:top w:val="none" w:sz="0" w:space="0" w:color="auto"/>
        <w:left w:val="none" w:sz="0" w:space="0" w:color="auto"/>
        <w:bottom w:val="none" w:sz="0" w:space="0" w:color="auto"/>
        <w:right w:val="none" w:sz="0" w:space="0" w:color="auto"/>
      </w:divBdr>
    </w:div>
    <w:div w:id="886183249">
      <w:bodyDiv w:val="1"/>
      <w:marLeft w:val="0"/>
      <w:marRight w:val="0"/>
      <w:marTop w:val="0"/>
      <w:marBottom w:val="0"/>
      <w:divBdr>
        <w:top w:val="none" w:sz="0" w:space="0" w:color="auto"/>
        <w:left w:val="none" w:sz="0" w:space="0" w:color="auto"/>
        <w:bottom w:val="none" w:sz="0" w:space="0" w:color="auto"/>
        <w:right w:val="none" w:sz="0" w:space="0" w:color="auto"/>
      </w:divBdr>
    </w:div>
    <w:div w:id="898783228">
      <w:bodyDiv w:val="1"/>
      <w:marLeft w:val="0"/>
      <w:marRight w:val="0"/>
      <w:marTop w:val="0"/>
      <w:marBottom w:val="0"/>
      <w:divBdr>
        <w:top w:val="none" w:sz="0" w:space="0" w:color="auto"/>
        <w:left w:val="none" w:sz="0" w:space="0" w:color="auto"/>
        <w:bottom w:val="none" w:sz="0" w:space="0" w:color="auto"/>
        <w:right w:val="none" w:sz="0" w:space="0" w:color="auto"/>
      </w:divBdr>
    </w:div>
    <w:div w:id="899555655">
      <w:bodyDiv w:val="1"/>
      <w:marLeft w:val="0"/>
      <w:marRight w:val="0"/>
      <w:marTop w:val="0"/>
      <w:marBottom w:val="0"/>
      <w:divBdr>
        <w:top w:val="none" w:sz="0" w:space="0" w:color="auto"/>
        <w:left w:val="none" w:sz="0" w:space="0" w:color="auto"/>
        <w:bottom w:val="none" w:sz="0" w:space="0" w:color="auto"/>
        <w:right w:val="none" w:sz="0" w:space="0" w:color="auto"/>
      </w:divBdr>
    </w:div>
    <w:div w:id="926501336">
      <w:bodyDiv w:val="1"/>
      <w:marLeft w:val="0"/>
      <w:marRight w:val="0"/>
      <w:marTop w:val="0"/>
      <w:marBottom w:val="0"/>
      <w:divBdr>
        <w:top w:val="none" w:sz="0" w:space="0" w:color="auto"/>
        <w:left w:val="none" w:sz="0" w:space="0" w:color="auto"/>
        <w:bottom w:val="none" w:sz="0" w:space="0" w:color="auto"/>
        <w:right w:val="none" w:sz="0" w:space="0" w:color="auto"/>
      </w:divBdr>
    </w:div>
    <w:div w:id="930695928">
      <w:bodyDiv w:val="1"/>
      <w:marLeft w:val="0"/>
      <w:marRight w:val="0"/>
      <w:marTop w:val="0"/>
      <w:marBottom w:val="0"/>
      <w:divBdr>
        <w:top w:val="none" w:sz="0" w:space="0" w:color="auto"/>
        <w:left w:val="none" w:sz="0" w:space="0" w:color="auto"/>
        <w:bottom w:val="none" w:sz="0" w:space="0" w:color="auto"/>
        <w:right w:val="none" w:sz="0" w:space="0" w:color="auto"/>
      </w:divBdr>
    </w:div>
    <w:div w:id="945189676">
      <w:bodyDiv w:val="1"/>
      <w:marLeft w:val="0"/>
      <w:marRight w:val="0"/>
      <w:marTop w:val="0"/>
      <w:marBottom w:val="0"/>
      <w:divBdr>
        <w:top w:val="none" w:sz="0" w:space="0" w:color="auto"/>
        <w:left w:val="none" w:sz="0" w:space="0" w:color="auto"/>
        <w:bottom w:val="none" w:sz="0" w:space="0" w:color="auto"/>
        <w:right w:val="none" w:sz="0" w:space="0" w:color="auto"/>
      </w:divBdr>
    </w:div>
    <w:div w:id="948043974">
      <w:bodyDiv w:val="1"/>
      <w:marLeft w:val="0"/>
      <w:marRight w:val="0"/>
      <w:marTop w:val="0"/>
      <w:marBottom w:val="0"/>
      <w:divBdr>
        <w:top w:val="none" w:sz="0" w:space="0" w:color="auto"/>
        <w:left w:val="none" w:sz="0" w:space="0" w:color="auto"/>
        <w:bottom w:val="none" w:sz="0" w:space="0" w:color="auto"/>
        <w:right w:val="none" w:sz="0" w:space="0" w:color="auto"/>
      </w:divBdr>
    </w:div>
    <w:div w:id="948044756">
      <w:bodyDiv w:val="1"/>
      <w:marLeft w:val="0"/>
      <w:marRight w:val="0"/>
      <w:marTop w:val="0"/>
      <w:marBottom w:val="0"/>
      <w:divBdr>
        <w:top w:val="none" w:sz="0" w:space="0" w:color="auto"/>
        <w:left w:val="none" w:sz="0" w:space="0" w:color="auto"/>
        <w:bottom w:val="none" w:sz="0" w:space="0" w:color="auto"/>
        <w:right w:val="none" w:sz="0" w:space="0" w:color="auto"/>
      </w:divBdr>
    </w:div>
    <w:div w:id="954095194">
      <w:bodyDiv w:val="1"/>
      <w:marLeft w:val="0"/>
      <w:marRight w:val="0"/>
      <w:marTop w:val="0"/>
      <w:marBottom w:val="0"/>
      <w:divBdr>
        <w:top w:val="none" w:sz="0" w:space="0" w:color="auto"/>
        <w:left w:val="none" w:sz="0" w:space="0" w:color="auto"/>
        <w:bottom w:val="none" w:sz="0" w:space="0" w:color="auto"/>
        <w:right w:val="none" w:sz="0" w:space="0" w:color="auto"/>
      </w:divBdr>
    </w:div>
    <w:div w:id="972104598">
      <w:bodyDiv w:val="1"/>
      <w:marLeft w:val="0"/>
      <w:marRight w:val="0"/>
      <w:marTop w:val="0"/>
      <w:marBottom w:val="0"/>
      <w:divBdr>
        <w:top w:val="none" w:sz="0" w:space="0" w:color="auto"/>
        <w:left w:val="none" w:sz="0" w:space="0" w:color="auto"/>
        <w:bottom w:val="none" w:sz="0" w:space="0" w:color="auto"/>
        <w:right w:val="none" w:sz="0" w:space="0" w:color="auto"/>
      </w:divBdr>
    </w:div>
    <w:div w:id="974480641">
      <w:bodyDiv w:val="1"/>
      <w:marLeft w:val="0"/>
      <w:marRight w:val="0"/>
      <w:marTop w:val="0"/>
      <w:marBottom w:val="0"/>
      <w:divBdr>
        <w:top w:val="none" w:sz="0" w:space="0" w:color="auto"/>
        <w:left w:val="none" w:sz="0" w:space="0" w:color="auto"/>
        <w:bottom w:val="none" w:sz="0" w:space="0" w:color="auto"/>
        <w:right w:val="none" w:sz="0" w:space="0" w:color="auto"/>
      </w:divBdr>
    </w:div>
    <w:div w:id="980038243">
      <w:bodyDiv w:val="1"/>
      <w:marLeft w:val="0"/>
      <w:marRight w:val="0"/>
      <w:marTop w:val="0"/>
      <w:marBottom w:val="0"/>
      <w:divBdr>
        <w:top w:val="none" w:sz="0" w:space="0" w:color="auto"/>
        <w:left w:val="none" w:sz="0" w:space="0" w:color="auto"/>
        <w:bottom w:val="none" w:sz="0" w:space="0" w:color="auto"/>
        <w:right w:val="none" w:sz="0" w:space="0" w:color="auto"/>
      </w:divBdr>
    </w:div>
    <w:div w:id="980309541">
      <w:bodyDiv w:val="1"/>
      <w:marLeft w:val="0"/>
      <w:marRight w:val="0"/>
      <w:marTop w:val="0"/>
      <w:marBottom w:val="0"/>
      <w:divBdr>
        <w:top w:val="none" w:sz="0" w:space="0" w:color="auto"/>
        <w:left w:val="none" w:sz="0" w:space="0" w:color="auto"/>
        <w:bottom w:val="none" w:sz="0" w:space="0" w:color="auto"/>
        <w:right w:val="none" w:sz="0" w:space="0" w:color="auto"/>
      </w:divBdr>
    </w:div>
    <w:div w:id="989676903">
      <w:bodyDiv w:val="1"/>
      <w:marLeft w:val="0"/>
      <w:marRight w:val="0"/>
      <w:marTop w:val="0"/>
      <w:marBottom w:val="0"/>
      <w:divBdr>
        <w:top w:val="none" w:sz="0" w:space="0" w:color="auto"/>
        <w:left w:val="none" w:sz="0" w:space="0" w:color="auto"/>
        <w:bottom w:val="none" w:sz="0" w:space="0" w:color="auto"/>
        <w:right w:val="none" w:sz="0" w:space="0" w:color="auto"/>
      </w:divBdr>
      <w:divsChild>
        <w:div w:id="958100596">
          <w:marLeft w:val="1440"/>
          <w:marRight w:val="0"/>
          <w:marTop w:val="96"/>
          <w:marBottom w:val="0"/>
          <w:divBdr>
            <w:top w:val="none" w:sz="0" w:space="0" w:color="auto"/>
            <w:left w:val="none" w:sz="0" w:space="0" w:color="auto"/>
            <w:bottom w:val="none" w:sz="0" w:space="0" w:color="auto"/>
            <w:right w:val="none" w:sz="0" w:space="0" w:color="auto"/>
          </w:divBdr>
        </w:div>
      </w:divsChild>
    </w:div>
    <w:div w:id="997617271">
      <w:bodyDiv w:val="1"/>
      <w:marLeft w:val="0"/>
      <w:marRight w:val="0"/>
      <w:marTop w:val="0"/>
      <w:marBottom w:val="0"/>
      <w:divBdr>
        <w:top w:val="none" w:sz="0" w:space="0" w:color="auto"/>
        <w:left w:val="none" w:sz="0" w:space="0" w:color="auto"/>
        <w:bottom w:val="none" w:sz="0" w:space="0" w:color="auto"/>
        <w:right w:val="none" w:sz="0" w:space="0" w:color="auto"/>
      </w:divBdr>
    </w:div>
    <w:div w:id="999115300">
      <w:bodyDiv w:val="1"/>
      <w:marLeft w:val="0"/>
      <w:marRight w:val="0"/>
      <w:marTop w:val="0"/>
      <w:marBottom w:val="0"/>
      <w:divBdr>
        <w:top w:val="none" w:sz="0" w:space="0" w:color="auto"/>
        <w:left w:val="none" w:sz="0" w:space="0" w:color="auto"/>
        <w:bottom w:val="none" w:sz="0" w:space="0" w:color="auto"/>
        <w:right w:val="none" w:sz="0" w:space="0" w:color="auto"/>
      </w:divBdr>
    </w:div>
    <w:div w:id="1001006970">
      <w:bodyDiv w:val="1"/>
      <w:marLeft w:val="0"/>
      <w:marRight w:val="0"/>
      <w:marTop w:val="0"/>
      <w:marBottom w:val="0"/>
      <w:divBdr>
        <w:top w:val="none" w:sz="0" w:space="0" w:color="auto"/>
        <w:left w:val="none" w:sz="0" w:space="0" w:color="auto"/>
        <w:bottom w:val="none" w:sz="0" w:space="0" w:color="auto"/>
        <w:right w:val="none" w:sz="0" w:space="0" w:color="auto"/>
      </w:divBdr>
      <w:divsChild>
        <w:div w:id="421950491">
          <w:marLeft w:val="0"/>
          <w:marRight w:val="0"/>
          <w:marTop w:val="0"/>
          <w:marBottom w:val="0"/>
          <w:divBdr>
            <w:top w:val="none" w:sz="0" w:space="0" w:color="auto"/>
            <w:left w:val="none" w:sz="0" w:space="0" w:color="auto"/>
            <w:bottom w:val="none" w:sz="0" w:space="0" w:color="auto"/>
            <w:right w:val="none" w:sz="0" w:space="0" w:color="auto"/>
          </w:divBdr>
        </w:div>
        <w:div w:id="506021808">
          <w:marLeft w:val="0"/>
          <w:marRight w:val="0"/>
          <w:marTop w:val="0"/>
          <w:marBottom w:val="0"/>
          <w:divBdr>
            <w:top w:val="none" w:sz="0" w:space="0" w:color="auto"/>
            <w:left w:val="none" w:sz="0" w:space="0" w:color="auto"/>
            <w:bottom w:val="none" w:sz="0" w:space="0" w:color="auto"/>
            <w:right w:val="none" w:sz="0" w:space="0" w:color="auto"/>
          </w:divBdr>
        </w:div>
        <w:div w:id="526530031">
          <w:marLeft w:val="0"/>
          <w:marRight w:val="0"/>
          <w:marTop w:val="0"/>
          <w:marBottom w:val="0"/>
          <w:divBdr>
            <w:top w:val="none" w:sz="0" w:space="0" w:color="auto"/>
            <w:left w:val="none" w:sz="0" w:space="0" w:color="auto"/>
            <w:bottom w:val="none" w:sz="0" w:space="0" w:color="auto"/>
            <w:right w:val="none" w:sz="0" w:space="0" w:color="auto"/>
          </w:divBdr>
        </w:div>
        <w:div w:id="669913587">
          <w:marLeft w:val="0"/>
          <w:marRight w:val="0"/>
          <w:marTop w:val="0"/>
          <w:marBottom w:val="0"/>
          <w:divBdr>
            <w:top w:val="none" w:sz="0" w:space="0" w:color="auto"/>
            <w:left w:val="none" w:sz="0" w:space="0" w:color="auto"/>
            <w:bottom w:val="none" w:sz="0" w:space="0" w:color="auto"/>
            <w:right w:val="none" w:sz="0" w:space="0" w:color="auto"/>
          </w:divBdr>
        </w:div>
        <w:div w:id="698117815">
          <w:marLeft w:val="0"/>
          <w:marRight w:val="0"/>
          <w:marTop w:val="0"/>
          <w:marBottom w:val="0"/>
          <w:divBdr>
            <w:top w:val="none" w:sz="0" w:space="0" w:color="auto"/>
            <w:left w:val="none" w:sz="0" w:space="0" w:color="auto"/>
            <w:bottom w:val="none" w:sz="0" w:space="0" w:color="auto"/>
            <w:right w:val="none" w:sz="0" w:space="0" w:color="auto"/>
          </w:divBdr>
        </w:div>
        <w:div w:id="1534266577">
          <w:marLeft w:val="0"/>
          <w:marRight w:val="0"/>
          <w:marTop w:val="0"/>
          <w:marBottom w:val="0"/>
          <w:divBdr>
            <w:top w:val="none" w:sz="0" w:space="0" w:color="auto"/>
            <w:left w:val="none" w:sz="0" w:space="0" w:color="auto"/>
            <w:bottom w:val="none" w:sz="0" w:space="0" w:color="auto"/>
            <w:right w:val="none" w:sz="0" w:space="0" w:color="auto"/>
          </w:divBdr>
        </w:div>
      </w:divsChild>
    </w:div>
    <w:div w:id="1004014666">
      <w:bodyDiv w:val="1"/>
      <w:marLeft w:val="0"/>
      <w:marRight w:val="0"/>
      <w:marTop w:val="0"/>
      <w:marBottom w:val="0"/>
      <w:divBdr>
        <w:top w:val="none" w:sz="0" w:space="0" w:color="auto"/>
        <w:left w:val="none" w:sz="0" w:space="0" w:color="auto"/>
        <w:bottom w:val="none" w:sz="0" w:space="0" w:color="auto"/>
        <w:right w:val="none" w:sz="0" w:space="0" w:color="auto"/>
      </w:divBdr>
    </w:div>
    <w:div w:id="1007095126">
      <w:bodyDiv w:val="1"/>
      <w:marLeft w:val="0"/>
      <w:marRight w:val="0"/>
      <w:marTop w:val="0"/>
      <w:marBottom w:val="0"/>
      <w:divBdr>
        <w:top w:val="none" w:sz="0" w:space="0" w:color="auto"/>
        <w:left w:val="none" w:sz="0" w:space="0" w:color="auto"/>
        <w:bottom w:val="none" w:sz="0" w:space="0" w:color="auto"/>
        <w:right w:val="none" w:sz="0" w:space="0" w:color="auto"/>
      </w:divBdr>
    </w:div>
    <w:div w:id="1013724972">
      <w:bodyDiv w:val="1"/>
      <w:marLeft w:val="0"/>
      <w:marRight w:val="0"/>
      <w:marTop w:val="0"/>
      <w:marBottom w:val="0"/>
      <w:divBdr>
        <w:top w:val="none" w:sz="0" w:space="0" w:color="auto"/>
        <w:left w:val="none" w:sz="0" w:space="0" w:color="auto"/>
        <w:bottom w:val="none" w:sz="0" w:space="0" w:color="auto"/>
        <w:right w:val="none" w:sz="0" w:space="0" w:color="auto"/>
      </w:divBdr>
    </w:div>
    <w:div w:id="1033850256">
      <w:bodyDiv w:val="1"/>
      <w:marLeft w:val="0"/>
      <w:marRight w:val="0"/>
      <w:marTop w:val="0"/>
      <w:marBottom w:val="0"/>
      <w:divBdr>
        <w:top w:val="none" w:sz="0" w:space="0" w:color="auto"/>
        <w:left w:val="none" w:sz="0" w:space="0" w:color="auto"/>
        <w:bottom w:val="none" w:sz="0" w:space="0" w:color="auto"/>
        <w:right w:val="none" w:sz="0" w:space="0" w:color="auto"/>
      </w:divBdr>
      <w:divsChild>
        <w:div w:id="91972985">
          <w:marLeft w:val="0"/>
          <w:marRight w:val="0"/>
          <w:marTop w:val="0"/>
          <w:marBottom w:val="0"/>
          <w:divBdr>
            <w:top w:val="none" w:sz="0" w:space="0" w:color="auto"/>
            <w:left w:val="none" w:sz="0" w:space="0" w:color="auto"/>
            <w:bottom w:val="none" w:sz="0" w:space="0" w:color="auto"/>
            <w:right w:val="none" w:sz="0" w:space="0" w:color="auto"/>
          </w:divBdr>
        </w:div>
        <w:div w:id="115877314">
          <w:marLeft w:val="0"/>
          <w:marRight w:val="0"/>
          <w:marTop w:val="0"/>
          <w:marBottom w:val="0"/>
          <w:divBdr>
            <w:top w:val="none" w:sz="0" w:space="0" w:color="auto"/>
            <w:left w:val="none" w:sz="0" w:space="0" w:color="auto"/>
            <w:bottom w:val="none" w:sz="0" w:space="0" w:color="auto"/>
            <w:right w:val="none" w:sz="0" w:space="0" w:color="auto"/>
          </w:divBdr>
          <w:divsChild>
            <w:div w:id="605231332">
              <w:marLeft w:val="0"/>
              <w:marRight w:val="0"/>
              <w:marTop w:val="0"/>
              <w:marBottom w:val="0"/>
              <w:divBdr>
                <w:top w:val="none" w:sz="0" w:space="0" w:color="auto"/>
                <w:left w:val="none" w:sz="0" w:space="0" w:color="auto"/>
                <w:bottom w:val="none" w:sz="0" w:space="0" w:color="auto"/>
                <w:right w:val="none" w:sz="0" w:space="0" w:color="auto"/>
              </w:divBdr>
            </w:div>
            <w:div w:id="1169247899">
              <w:marLeft w:val="0"/>
              <w:marRight w:val="0"/>
              <w:marTop w:val="0"/>
              <w:marBottom w:val="0"/>
              <w:divBdr>
                <w:top w:val="none" w:sz="0" w:space="0" w:color="auto"/>
                <w:left w:val="none" w:sz="0" w:space="0" w:color="auto"/>
                <w:bottom w:val="none" w:sz="0" w:space="0" w:color="auto"/>
                <w:right w:val="none" w:sz="0" w:space="0" w:color="auto"/>
              </w:divBdr>
            </w:div>
            <w:div w:id="1770587423">
              <w:marLeft w:val="0"/>
              <w:marRight w:val="0"/>
              <w:marTop w:val="0"/>
              <w:marBottom w:val="0"/>
              <w:divBdr>
                <w:top w:val="none" w:sz="0" w:space="0" w:color="auto"/>
                <w:left w:val="none" w:sz="0" w:space="0" w:color="auto"/>
                <w:bottom w:val="none" w:sz="0" w:space="0" w:color="auto"/>
                <w:right w:val="none" w:sz="0" w:space="0" w:color="auto"/>
              </w:divBdr>
            </w:div>
            <w:div w:id="1801261387">
              <w:marLeft w:val="0"/>
              <w:marRight w:val="0"/>
              <w:marTop w:val="0"/>
              <w:marBottom w:val="0"/>
              <w:divBdr>
                <w:top w:val="none" w:sz="0" w:space="0" w:color="auto"/>
                <w:left w:val="none" w:sz="0" w:space="0" w:color="auto"/>
                <w:bottom w:val="none" w:sz="0" w:space="0" w:color="auto"/>
                <w:right w:val="none" w:sz="0" w:space="0" w:color="auto"/>
              </w:divBdr>
            </w:div>
            <w:div w:id="1928923058">
              <w:marLeft w:val="0"/>
              <w:marRight w:val="0"/>
              <w:marTop w:val="0"/>
              <w:marBottom w:val="0"/>
              <w:divBdr>
                <w:top w:val="none" w:sz="0" w:space="0" w:color="auto"/>
                <w:left w:val="none" w:sz="0" w:space="0" w:color="auto"/>
                <w:bottom w:val="none" w:sz="0" w:space="0" w:color="auto"/>
                <w:right w:val="none" w:sz="0" w:space="0" w:color="auto"/>
              </w:divBdr>
            </w:div>
          </w:divsChild>
        </w:div>
        <w:div w:id="174271162">
          <w:marLeft w:val="0"/>
          <w:marRight w:val="0"/>
          <w:marTop w:val="0"/>
          <w:marBottom w:val="0"/>
          <w:divBdr>
            <w:top w:val="none" w:sz="0" w:space="0" w:color="auto"/>
            <w:left w:val="none" w:sz="0" w:space="0" w:color="auto"/>
            <w:bottom w:val="none" w:sz="0" w:space="0" w:color="auto"/>
            <w:right w:val="none" w:sz="0" w:space="0" w:color="auto"/>
          </w:divBdr>
        </w:div>
        <w:div w:id="183633843">
          <w:marLeft w:val="0"/>
          <w:marRight w:val="0"/>
          <w:marTop w:val="0"/>
          <w:marBottom w:val="0"/>
          <w:divBdr>
            <w:top w:val="none" w:sz="0" w:space="0" w:color="auto"/>
            <w:left w:val="none" w:sz="0" w:space="0" w:color="auto"/>
            <w:bottom w:val="none" w:sz="0" w:space="0" w:color="auto"/>
            <w:right w:val="none" w:sz="0" w:space="0" w:color="auto"/>
          </w:divBdr>
        </w:div>
        <w:div w:id="196161120">
          <w:marLeft w:val="0"/>
          <w:marRight w:val="0"/>
          <w:marTop w:val="0"/>
          <w:marBottom w:val="0"/>
          <w:divBdr>
            <w:top w:val="none" w:sz="0" w:space="0" w:color="auto"/>
            <w:left w:val="none" w:sz="0" w:space="0" w:color="auto"/>
            <w:bottom w:val="none" w:sz="0" w:space="0" w:color="auto"/>
            <w:right w:val="none" w:sz="0" w:space="0" w:color="auto"/>
          </w:divBdr>
        </w:div>
        <w:div w:id="212468997">
          <w:marLeft w:val="0"/>
          <w:marRight w:val="0"/>
          <w:marTop w:val="0"/>
          <w:marBottom w:val="0"/>
          <w:divBdr>
            <w:top w:val="none" w:sz="0" w:space="0" w:color="auto"/>
            <w:left w:val="none" w:sz="0" w:space="0" w:color="auto"/>
            <w:bottom w:val="none" w:sz="0" w:space="0" w:color="auto"/>
            <w:right w:val="none" w:sz="0" w:space="0" w:color="auto"/>
          </w:divBdr>
        </w:div>
        <w:div w:id="240718423">
          <w:marLeft w:val="0"/>
          <w:marRight w:val="0"/>
          <w:marTop w:val="0"/>
          <w:marBottom w:val="0"/>
          <w:divBdr>
            <w:top w:val="none" w:sz="0" w:space="0" w:color="auto"/>
            <w:left w:val="none" w:sz="0" w:space="0" w:color="auto"/>
            <w:bottom w:val="none" w:sz="0" w:space="0" w:color="auto"/>
            <w:right w:val="none" w:sz="0" w:space="0" w:color="auto"/>
          </w:divBdr>
        </w:div>
        <w:div w:id="280840727">
          <w:marLeft w:val="0"/>
          <w:marRight w:val="0"/>
          <w:marTop w:val="0"/>
          <w:marBottom w:val="0"/>
          <w:divBdr>
            <w:top w:val="none" w:sz="0" w:space="0" w:color="auto"/>
            <w:left w:val="none" w:sz="0" w:space="0" w:color="auto"/>
            <w:bottom w:val="none" w:sz="0" w:space="0" w:color="auto"/>
            <w:right w:val="none" w:sz="0" w:space="0" w:color="auto"/>
          </w:divBdr>
        </w:div>
        <w:div w:id="285814675">
          <w:marLeft w:val="0"/>
          <w:marRight w:val="0"/>
          <w:marTop w:val="0"/>
          <w:marBottom w:val="0"/>
          <w:divBdr>
            <w:top w:val="none" w:sz="0" w:space="0" w:color="auto"/>
            <w:left w:val="none" w:sz="0" w:space="0" w:color="auto"/>
            <w:bottom w:val="none" w:sz="0" w:space="0" w:color="auto"/>
            <w:right w:val="none" w:sz="0" w:space="0" w:color="auto"/>
          </w:divBdr>
        </w:div>
        <w:div w:id="397635212">
          <w:marLeft w:val="0"/>
          <w:marRight w:val="0"/>
          <w:marTop w:val="0"/>
          <w:marBottom w:val="0"/>
          <w:divBdr>
            <w:top w:val="none" w:sz="0" w:space="0" w:color="auto"/>
            <w:left w:val="none" w:sz="0" w:space="0" w:color="auto"/>
            <w:bottom w:val="none" w:sz="0" w:space="0" w:color="auto"/>
            <w:right w:val="none" w:sz="0" w:space="0" w:color="auto"/>
          </w:divBdr>
          <w:divsChild>
            <w:div w:id="387919696">
              <w:marLeft w:val="0"/>
              <w:marRight w:val="0"/>
              <w:marTop w:val="0"/>
              <w:marBottom w:val="0"/>
              <w:divBdr>
                <w:top w:val="none" w:sz="0" w:space="0" w:color="auto"/>
                <w:left w:val="none" w:sz="0" w:space="0" w:color="auto"/>
                <w:bottom w:val="none" w:sz="0" w:space="0" w:color="auto"/>
                <w:right w:val="none" w:sz="0" w:space="0" w:color="auto"/>
              </w:divBdr>
            </w:div>
            <w:div w:id="612328568">
              <w:marLeft w:val="0"/>
              <w:marRight w:val="0"/>
              <w:marTop w:val="0"/>
              <w:marBottom w:val="0"/>
              <w:divBdr>
                <w:top w:val="none" w:sz="0" w:space="0" w:color="auto"/>
                <w:left w:val="none" w:sz="0" w:space="0" w:color="auto"/>
                <w:bottom w:val="none" w:sz="0" w:space="0" w:color="auto"/>
                <w:right w:val="none" w:sz="0" w:space="0" w:color="auto"/>
              </w:divBdr>
            </w:div>
            <w:div w:id="1665626754">
              <w:marLeft w:val="0"/>
              <w:marRight w:val="0"/>
              <w:marTop w:val="0"/>
              <w:marBottom w:val="0"/>
              <w:divBdr>
                <w:top w:val="none" w:sz="0" w:space="0" w:color="auto"/>
                <w:left w:val="none" w:sz="0" w:space="0" w:color="auto"/>
                <w:bottom w:val="none" w:sz="0" w:space="0" w:color="auto"/>
                <w:right w:val="none" w:sz="0" w:space="0" w:color="auto"/>
              </w:divBdr>
            </w:div>
            <w:div w:id="1997686069">
              <w:marLeft w:val="0"/>
              <w:marRight w:val="0"/>
              <w:marTop w:val="0"/>
              <w:marBottom w:val="0"/>
              <w:divBdr>
                <w:top w:val="none" w:sz="0" w:space="0" w:color="auto"/>
                <w:left w:val="none" w:sz="0" w:space="0" w:color="auto"/>
                <w:bottom w:val="none" w:sz="0" w:space="0" w:color="auto"/>
                <w:right w:val="none" w:sz="0" w:space="0" w:color="auto"/>
              </w:divBdr>
            </w:div>
            <w:div w:id="2053458879">
              <w:marLeft w:val="0"/>
              <w:marRight w:val="0"/>
              <w:marTop w:val="0"/>
              <w:marBottom w:val="0"/>
              <w:divBdr>
                <w:top w:val="none" w:sz="0" w:space="0" w:color="auto"/>
                <w:left w:val="none" w:sz="0" w:space="0" w:color="auto"/>
                <w:bottom w:val="none" w:sz="0" w:space="0" w:color="auto"/>
                <w:right w:val="none" w:sz="0" w:space="0" w:color="auto"/>
              </w:divBdr>
            </w:div>
          </w:divsChild>
        </w:div>
        <w:div w:id="450318065">
          <w:marLeft w:val="0"/>
          <w:marRight w:val="0"/>
          <w:marTop w:val="0"/>
          <w:marBottom w:val="0"/>
          <w:divBdr>
            <w:top w:val="none" w:sz="0" w:space="0" w:color="auto"/>
            <w:left w:val="none" w:sz="0" w:space="0" w:color="auto"/>
            <w:bottom w:val="none" w:sz="0" w:space="0" w:color="auto"/>
            <w:right w:val="none" w:sz="0" w:space="0" w:color="auto"/>
          </w:divBdr>
        </w:div>
        <w:div w:id="462426613">
          <w:marLeft w:val="0"/>
          <w:marRight w:val="0"/>
          <w:marTop w:val="0"/>
          <w:marBottom w:val="0"/>
          <w:divBdr>
            <w:top w:val="none" w:sz="0" w:space="0" w:color="auto"/>
            <w:left w:val="none" w:sz="0" w:space="0" w:color="auto"/>
            <w:bottom w:val="none" w:sz="0" w:space="0" w:color="auto"/>
            <w:right w:val="none" w:sz="0" w:space="0" w:color="auto"/>
          </w:divBdr>
        </w:div>
        <w:div w:id="463012996">
          <w:marLeft w:val="0"/>
          <w:marRight w:val="0"/>
          <w:marTop w:val="0"/>
          <w:marBottom w:val="0"/>
          <w:divBdr>
            <w:top w:val="none" w:sz="0" w:space="0" w:color="auto"/>
            <w:left w:val="none" w:sz="0" w:space="0" w:color="auto"/>
            <w:bottom w:val="none" w:sz="0" w:space="0" w:color="auto"/>
            <w:right w:val="none" w:sz="0" w:space="0" w:color="auto"/>
          </w:divBdr>
        </w:div>
        <w:div w:id="520364986">
          <w:marLeft w:val="0"/>
          <w:marRight w:val="0"/>
          <w:marTop w:val="0"/>
          <w:marBottom w:val="0"/>
          <w:divBdr>
            <w:top w:val="none" w:sz="0" w:space="0" w:color="auto"/>
            <w:left w:val="none" w:sz="0" w:space="0" w:color="auto"/>
            <w:bottom w:val="none" w:sz="0" w:space="0" w:color="auto"/>
            <w:right w:val="none" w:sz="0" w:space="0" w:color="auto"/>
          </w:divBdr>
        </w:div>
        <w:div w:id="585918637">
          <w:marLeft w:val="0"/>
          <w:marRight w:val="0"/>
          <w:marTop w:val="0"/>
          <w:marBottom w:val="0"/>
          <w:divBdr>
            <w:top w:val="none" w:sz="0" w:space="0" w:color="auto"/>
            <w:left w:val="none" w:sz="0" w:space="0" w:color="auto"/>
            <w:bottom w:val="none" w:sz="0" w:space="0" w:color="auto"/>
            <w:right w:val="none" w:sz="0" w:space="0" w:color="auto"/>
          </w:divBdr>
          <w:divsChild>
            <w:div w:id="778646289">
              <w:marLeft w:val="0"/>
              <w:marRight w:val="0"/>
              <w:marTop w:val="0"/>
              <w:marBottom w:val="0"/>
              <w:divBdr>
                <w:top w:val="none" w:sz="0" w:space="0" w:color="auto"/>
                <w:left w:val="none" w:sz="0" w:space="0" w:color="auto"/>
                <w:bottom w:val="none" w:sz="0" w:space="0" w:color="auto"/>
                <w:right w:val="none" w:sz="0" w:space="0" w:color="auto"/>
              </w:divBdr>
            </w:div>
            <w:div w:id="951865837">
              <w:marLeft w:val="0"/>
              <w:marRight w:val="0"/>
              <w:marTop w:val="0"/>
              <w:marBottom w:val="0"/>
              <w:divBdr>
                <w:top w:val="none" w:sz="0" w:space="0" w:color="auto"/>
                <w:left w:val="none" w:sz="0" w:space="0" w:color="auto"/>
                <w:bottom w:val="none" w:sz="0" w:space="0" w:color="auto"/>
                <w:right w:val="none" w:sz="0" w:space="0" w:color="auto"/>
              </w:divBdr>
            </w:div>
            <w:div w:id="2029064645">
              <w:marLeft w:val="0"/>
              <w:marRight w:val="0"/>
              <w:marTop w:val="0"/>
              <w:marBottom w:val="0"/>
              <w:divBdr>
                <w:top w:val="none" w:sz="0" w:space="0" w:color="auto"/>
                <w:left w:val="none" w:sz="0" w:space="0" w:color="auto"/>
                <w:bottom w:val="none" w:sz="0" w:space="0" w:color="auto"/>
                <w:right w:val="none" w:sz="0" w:space="0" w:color="auto"/>
              </w:divBdr>
            </w:div>
          </w:divsChild>
        </w:div>
        <w:div w:id="683745715">
          <w:marLeft w:val="0"/>
          <w:marRight w:val="0"/>
          <w:marTop w:val="0"/>
          <w:marBottom w:val="0"/>
          <w:divBdr>
            <w:top w:val="none" w:sz="0" w:space="0" w:color="auto"/>
            <w:left w:val="none" w:sz="0" w:space="0" w:color="auto"/>
            <w:bottom w:val="none" w:sz="0" w:space="0" w:color="auto"/>
            <w:right w:val="none" w:sz="0" w:space="0" w:color="auto"/>
          </w:divBdr>
        </w:div>
        <w:div w:id="741827760">
          <w:marLeft w:val="0"/>
          <w:marRight w:val="0"/>
          <w:marTop w:val="0"/>
          <w:marBottom w:val="0"/>
          <w:divBdr>
            <w:top w:val="none" w:sz="0" w:space="0" w:color="auto"/>
            <w:left w:val="none" w:sz="0" w:space="0" w:color="auto"/>
            <w:bottom w:val="none" w:sz="0" w:space="0" w:color="auto"/>
            <w:right w:val="none" w:sz="0" w:space="0" w:color="auto"/>
          </w:divBdr>
        </w:div>
        <w:div w:id="792556664">
          <w:marLeft w:val="0"/>
          <w:marRight w:val="0"/>
          <w:marTop w:val="0"/>
          <w:marBottom w:val="0"/>
          <w:divBdr>
            <w:top w:val="none" w:sz="0" w:space="0" w:color="auto"/>
            <w:left w:val="none" w:sz="0" w:space="0" w:color="auto"/>
            <w:bottom w:val="none" w:sz="0" w:space="0" w:color="auto"/>
            <w:right w:val="none" w:sz="0" w:space="0" w:color="auto"/>
          </w:divBdr>
        </w:div>
        <w:div w:id="822701823">
          <w:marLeft w:val="0"/>
          <w:marRight w:val="0"/>
          <w:marTop w:val="0"/>
          <w:marBottom w:val="0"/>
          <w:divBdr>
            <w:top w:val="none" w:sz="0" w:space="0" w:color="auto"/>
            <w:left w:val="none" w:sz="0" w:space="0" w:color="auto"/>
            <w:bottom w:val="none" w:sz="0" w:space="0" w:color="auto"/>
            <w:right w:val="none" w:sz="0" w:space="0" w:color="auto"/>
          </w:divBdr>
          <w:divsChild>
            <w:div w:id="155267600">
              <w:marLeft w:val="0"/>
              <w:marRight w:val="0"/>
              <w:marTop w:val="0"/>
              <w:marBottom w:val="0"/>
              <w:divBdr>
                <w:top w:val="none" w:sz="0" w:space="0" w:color="auto"/>
                <w:left w:val="none" w:sz="0" w:space="0" w:color="auto"/>
                <w:bottom w:val="none" w:sz="0" w:space="0" w:color="auto"/>
                <w:right w:val="none" w:sz="0" w:space="0" w:color="auto"/>
              </w:divBdr>
            </w:div>
            <w:div w:id="791824233">
              <w:marLeft w:val="0"/>
              <w:marRight w:val="0"/>
              <w:marTop w:val="0"/>
              <w:marBottom w:val="0"/>
              <w:divBdr>
                <w:top w:val="none" w:sz="0" w:space="0" w:color="auto"/>
                <w:left w:val="none" w:sz="0" w:space="0" w:color="auto"/>
                <w:bottom w:val="none" w:sz="0" w:space="0" w:color="auto"/>
                <w:right w:val="none" w:sz="0" w:space="0" w:color="auto"/>
              </w:divBdr>
            </w:div>
            <w:div w:id="867452004">
              <w:marLeft w:val="0"/>
              <w:marRight w:val="0"/>
              <w:marTop w:val="0"/>
              <w:marBottom w:val="0"/>
              <w:divBdr>
                <w:top w:val="none" w:sz="0" w:space="0" w:color="auto"/>
                <w:left w:val="none" w:sz="0" w:space="0" w:color="auto"/>
                <w:bottom w:val="none" w:sz="0" w:space="0" w:color="auto"/>
                <w:right w:val="none" w:sz="0" w:space="0" w:color="auto"/>
              </w:divBdr>
            </w:div>
            <w:div w:id="1565869370">
              <w:marLeft w:val="0"/>
              <w:marRight w:val="0"/>
              <w:marTop w:val="0"/>
              <w:marBottom w:val="0"/>
              <w:divBdr>
                <w:top w:val="none" w:sz="0" w:space="0" w:color="auto"/>
                <w:left w:val="none" w:sz="0" w:space="0" w:color="auto"/>
                <w:bottom w:val="none" w:sz="0" w:space="0" w:color="auto"/>
                <w:right w:val="none" w:sz="0" w:space="0" w:color="auto"/>
              </w:divBdr>
            </w:div>
            <w:div w:id="2119519135">
              <w:marLeft w:val="0"/>
              <w:marRight w:val="0"/>
              <w:marTop w:val="0"/>
              <w:marBottom w:val="0"/>
              <w:divBdr>
                <w:top w:val="none" w:sz="0" w:space="0" w:color="auto"/>
                <w:left w:val="none" w:sz="0" w:space="0" w:color="auto"/>
                <w:bottom w:val="none" w:sz="0" w:space="0" w:color="auto"/>
                <w:right w:val="none" w:sz="0" w:space="0" w:color="auto"/>
              </w:divBdr>
            </w:div>
          </w:divsChild>
        </w:div>
        <w:div w:id="869799056">
          <w:marLeft w:val="0"/>
          <w:marRight w:val="0"/>
          <w:marTop w:val="0"/>
          <w:marBottom w:val="0"/>
          <w:divBdr>
            <w:top w:val="none" w:sz="0" w:space="0" w:color="auto"/>
            <w:left w:val="none" w:sz="0" w:space="0" w:color="auto"/>
            <w:bottom w:val="none" w:sz="0" w:space="0" w:color="auto"/>
            <w:right w:val="none" w:sz="0" w:space="0" w:color="auto"/>
          </w:divBdr>
          <w:divsChild>
            <w:div w:id="137184606">
              <w:marLeft w:val="0"/>
              <w:marRight w:val="0"/>
              <w:marTop w:val="0"/>
              <w:marBottom w:val="0"/>
              <w:divBdr>
                <w:top w:val="none" w:sz="0" w:space="0" w:color="auto"/>
                <w:left w:val="none" w:sz="0" w:space="0" w:color="auto"/>
                <w:bottom w:val="none" w:sz="0" w:space="0" w:color="auto"/>
                <w:right w:val="none" w:sz="0" w:space="0" w:color="auto"/>
              </w:divBdr>
            </w:div>
            <w:div w:id="272245328">
              <w:marLeft w:val="0"/>
              <w:marRight w:val="0"/>
              <w:marTop w:val="0"/>
              <w:marBottom w:val="0"/>
              <w:divBdr>
                <w:top w:val="none" w:sz="0" w:space="0" w:color="auto"/>
                <w:left w:val="none" w:sz="0" w:space="0" w:color="auto"/>
                <w:bottom w:val="none" w:sz="0" w:space="0" w:color="auto"/>
                <w:right w:val="none" w:sz="0" w:space="0" w:color="auto"/>
              </w:divBdr>
            </w:div>
            <w:div w:id="1223977942">
              <w:marLeft w:val="0"/>
              <w:marRight w:val="0"/>
              <w:marTop w:val="0"/>
              <w:marBottom w:val="0"/>
              <w:divBdr>
                <w:top w:val="none" w:sz="0" w:space="0" w:color="auto"/>
                <w:left w:val="none" w:sz="0" w:space="0" w:color="auto"/>
                <w:bottom w:val="none" w:sz="0" w:space="0" w:color="auto"/>
                <w:right w:val="none" w:sz="0" w:space="0" w:color="auto"/>
              </w:divBdr>
            </w:div>
            <w:div w:id="1644118996">
              <w:marLeft w:val="0"/>
              <w:marRight w:val="0"/>
              <w:marTop w:val="0"/>
              <w:marBottom w:val="0"/>
              <w:divBdr>
                <w:top w:val="none" w:sz="0" w:space="0" w:color="auto"/>
                <w:left w:val="none" w:sz="0" w:space="0" w:color="auto"/>
                <w:bottom w:val="none" w:sz="0" w:space="0" w:color="auto"/>
                <w:right w:val="none" w:sz="0" w:space="0" w:color="auto"/>
              </w:divBdr>
            </w:div>
            <w:div w:id="2109736490">
              <w:marLeft w:val="0"/>
              <w:marRight w:val="0"/>
              <w:marTop w:val="0"/>
              <w:marBottom w:val="0"/>
              <w:divBdr>
                <w:top w:val="none" w:sz="0" w:space="0" w:color="auto"/>
                <w:left w:val="none" w:sz="0" w:space="0" w:color="auto"/>
                <w:bottom w:val="none" w:sz="0" w:space="0" w:color="auto"/>
                <w:right w:val="none" w:sz="0" w:space="0" w:color="auto"/>
              </w:divBdr>
            </w:div>
          </w:divsChild>
        </w:div>
        <w:div w:id="888692135">
          <w:marLeft w:val="0"/>
          <w:marRight w:val="0"/>
          <w:marTop w:val="0"/>
          <w:marBottom w:val="0"/>
          <w:divBdr>
            <w:top w:val="none" w:sz="0" w:space="0" w:color="auto"/>
            <w:left w:val="none" w:sz="0" w:space="0" w:color="auto"/>
            <w:bottom w:val="none" w:sz="0" w:space="0" w:color="auto"/>
            <w:right w:val="none" w:sz="0" w:space="0" w:color="auto"/>
          </w:divBdr>
        </w:div>
        <w:div w:id="901327608">
          <w:marLeft w:val="0"/>
          <w:marRight w:val="0"/>
          <w:marTop w:val="0"/>
          <w:marBottom w:val="0"/>
          <w:divBdr>
            <w:top w:val="none" w:sz="0" w:space="0" w:color="auto"/>
            <w:left w:val="none" w:sz="0" w:space="0" w:color="auto"/>
            <w:bottom w:val="none" w:sz="0" w:space="0" w:color="auto"/>
            <w:right w:val="none" w:sz="0" w:space="0" w:color="auto"/>
          </w:divBdr>
        </w:div>
        <w:div w:id="916667962">
          <w:marLeft w:val="0"/>
          <w:marRight w:val="0"/>
          <w:marTop w:val="0"/>
          <w:marBottom w:val="0"/>
          <w:divBdr>
            <w:top w:val="none" w:sz="0" w:space="0" w:color="auto"/>
            <w:left w:val="none" w:sz="0" w:space="0" w:color="auto"/>
            <w:bottom w:val="none" w:sz="0" w:space="0" w:color="auto"/>
            <w:right w:val="none" w:sz="0" w:space="0" w:color="auto"/>
          </w:divBdr>
          <w:divsChild>
            <w:div w:id="576398845">
              <w:marLeft w:val="0"/>
              <w:marRight w:val="0"/>
              <w:marTop w:val="0"/>
              <w:marBottom w:val="0"/>
              <w:divBdr>
                <w:top w:val="none" w:sz="0" w:space="0" w:color="auto"/>
                <w:left w:val="none" w:sz="0" w:space="0" w:color="auto"/>
                <w:bottom w:val="none" w:sz="0" w:space="0" w:color="auto"/>
                <w:right w:val="none" w:sz="0" w:space="0" w:color="auto"/>
              </w:divBdr>
            </w:div>
            <w:div w:id="900365113">
              <w:marLeft w:val="0"/>
              <w:marRight w:val="0"/>
              <w:marTop w:val="0"/>
              <w:marBottom w:val="0"/>
              <w:divBdr>
                <w:top w:val="none" w:sz="0" w:space="0" w:color="auto"/>
                <w:left w:val="none" w:sz="0" w:space="0" w:color="auto"/>
                <w:bottom w:val="none" w:sz="0" w:space="0" w:color="auto"/>
                <w:right w:val="none" w:sz="0" w:space="0" w:color="auto"/>
              </w:divBdr>
            </w:div>
            <w:div w:id="1926066939">
              <w:marLeft w:val="0"/>
              <w:marRight w:val="0"/>
              <w:marTop w:val="0"/>
              <w:marBottom w:val="0"/>
              <w:divBdr>
                <w:top w:val="none" w:sz="0" w:space="0" w:color="auto"/>
                <w:left w:val="none" w:sz="0" w:space="0" w:color="auto"/>
                <w:bottom w:val="none" w:sz="0" w:space="0" w:color="auto"/>
                <w:right w:val="none" w:sz="0" w:space="0" w:color="auto"/>
              </w:divBdr>
            </w:div>
            <w:div w:id="1968001877">
              <w:marLeft w:val="0"/>
              <w:marRight w:val="0"/>
              <w:marTop w:val="0"/>
              <w:marBottom w:val="0"/>
              <w:divBdr>
                <w:top w:val="none" w:sz="0" w:space="0" w:color="auto"/>
                <w:left w:val="none" w:sz="0" w:space="0" w:color="auto"/>
                <w:bottom w:val="none" w:sz="0" w:space="0" w:color="auto"/>
                <w:right w:val="none" w:sz="0" w:space="0" w:color="auto"/>
              </w:divBdr>
            </w:div>
            <w:div w:id="2060324406">
              <w:marLeft w:val="0"/>
              <w:marRight w:val="0"/>
              <w:marTop w:val="0"/>
              <w:marBottom w:val="0"/>
              <w:divBdr>
                <w:top w:val="none" w:sz="0" w:space="0" w:color="auto"/>
                <w:left w:val="none" w:sz="0" w:space="0" w:color="auto"/>
                <w:bottom w:val="none" w:sz="0" w:space="0" w:color="auto"/>
                <w:right w:val="none" w:sz="0" w:space="0" w:color="auto"/>
              </w:divBdr>
            </w:div>
          </w:divsChild>
        </w:div>
        <w:div w:id="948511599">
          <w:marLeft w:val="0"/>
          <w:marRight w:val="0"/>
          <w:marTop w:val="0"/>
          <w:marBottom w:val="0"/>
          <w:divBdr>
            <w:top w:val="none" w:sz="0" w:space="0" w:color="auto"/>
            <w:left w:val="none" w:sz="0" w:space="0" w:color="auto"/>
            <w:bottom w:val="none" w:sz="0" w:space="0" w:color="auto"/>
            <w:right w:val="none" w:sz="0" w:space="0" w:color="auto"/>
          </w:divBdr>
        </w:div>
        <w:div w:id="969089425">
          <w:marLeft w:val="0"/>
          <w:marRight w:val="0"/>
          <w:marTop w:val="0"/>
          <w:marBottom w:val="0"/>
          <w:divBdr>
            <w:top w:val="none" w:sz="0" w:space="0" w:color="auto"/>
            <w:left w:val="none" w:sz="0" w:space="0" w:color="auto"/>
            <w:bottom w:val="none" w:sz="0" w:space="0" w:color="auto"/>
            <w:right w:val="none" w:sz="0" w:space="0" w:color="auto"/>
          </w:divBdr>
          <w:divsChild>
            <w:div w:id="164639672">
              <w:marLeft w:val="0"/>
              <w:marRight w:val="0"/>
              <w:marTop w:val="0"/>
              <w:marBottom w:val="0"/>
              <w:divBdr>
                <w:top w:val="none" w:sz="0" w:space="0" w:color="auto"/>
                <w:left w:val="none" w:sz="0" w:space="0" w:color="auto"/>
                <w:bottom w:val="none" w:sz="0" w:space="0" w:color="auto"/>
                <w:right w:val="none" w:sz="0" w:space="0" w:color="auto"/>
              </w:divBdr>
            </w:div>
            <w:div w:id="270282137">
              <w:marLeft w:val="0"/>
              <w:marRight w:val="0"/>
              <w:marTop w:val="0"/>
              <w:marBottom w:val="0"/>
              <w:divBdr>
                <w:top w:val="none" w:sz="0" w:space="0" w:color="auto"/>
                <w:left w:val="none" w:sz="0" w:space="0" w:color="auto"/>
                <w:bottom w:val="none" w:sz="0" w:space="0" w:color="auto"/>
                <w:right w:val="none" w:sz="0" w:space="0" w:color="auto"/>
              </w:divBdr>
            </w:div>
            <w:div w:id="1359741763">
              <w:marLeft w:val="0"/>
              <w:marRight w:val="0"/>
              <w:marTop w:val="0"/>
              <w:marBottom w:val="0"/>
              <w:divBdr>
                <w:top w:val="none" w:sz="0" w:space="0" w:color="auto"/>
                <w:left w:val="none" w:sz="0" w:space="0" w:color="auto"/>
                <w:bottom w:val="none" w:sz="0" w:space="0" w:color="auto"/>
                <w:right w:val="none" w:sz="0" w:space="0" w:color="auto"/>
              </w:divBdr>
            </w:div>
            <w:div w:id="1513256052">
              <w:marLeft w:val="0"/>
              <w:marRight w:val="0"/>
              <w:marTop w:val="0"/>
              <w:marBottom w:val="0"/>
              <w:divBdr>
                <w:top w:val="none" w:sz="0" w:space="0" w:color="auto"/>
                <w:left w:val="none" w:sz="0" w:space="0" w:color="auto"/>
                <w:bottom w:val="none" w:sz="0" w:space="0" w:color="auto"/>
                <w:right w:val="none" w:sz="0" w:space="0" w:color="auto"/>
              </w:divBdr>
            </w:div>
            <w:div w:id="1903297772">
              <w:marLeft w:val="0"/>
              <w:marRight w:val="0"/>
              <w:marTop w:val="0"/>
              <w:marBottom w:val="0"/>
              <w:divBdr>
                <w:top w:val="none" w:sz="0" w:space="0" w:color="auto"/>
                <w:left w:val="none" w:sz="0" w:space="0" w:color="auto"/>
                <w:bottom w:val="none" w:sz="0" w:space="0" w:color="auto"/>
                <w:right w:val="none" w:sz="0" w:space="0" w:color="auto"/>
              </w:divBdr>
            </w:div>
          </w:divsChild>
        </w:div>
        <w:div w:id="983774082">
          <w:marLeft w:val="0"/>
          <w:marRight w:val="0"/>
          <w:marTop w:val="0"/>
          <w:marBottom w:val="0"/>
          <w:divBdr>
            <w:top w:val="none" w:sz="0" w:space="0" w:color="auto"/>
            <w:left w:val="none" w:sz="0" w:space="0" w:color="auto"/>
            <w:bottom w:val="none" w:sz="0" w:space="0" w:color="auto"/>
            <w:right w:val="none" w:sz="0" w:space="0" w:color="auto"/>
          </w:divBdr>
        </w:div>
        <w:div w:id="995575937">
          <w:marLeft w:val="0"/>
          <w:marRight w:val="0"/>
          <w:marTop w:val="0"/>
          <w:marBottom w:val="0"/>
          <w:divBdr>
            <w:top w:val="none" w:sz="0" w:space="0" w:color="auto"/>
            <w:left w:val="none" w:sz="0" w:space="0" w:color="auto"/>
            <w:bottom w:val="none" w:sz="0" w:space="0" w:color="auto"/>
            <w:right w:val="none" w:sz="0" w:space="0" w:color="auto"/>
          </w:divBdr>
          <w:divsChild>
            <w:div w:id="1065907490">
              <w:marLeft w:val="-75"/>
              <w:marRight w:val="0"/>
              <w:marTop w:val="30"/>
              <w:marBottom w:val="30"/>
              <w:divBdr>
                <w:top w:val="none" w:sz="0" w:space="0" w:color="auto"/>
                <w:left w:val="none" w:sz="0" w:space="0" w:color="auto"/>
                <w:bottom w:val="none" w:sz="0" w:space="0" w:color="auto"/>
                <w:right w:val="none" w:sz="0" w:space="0" w:color="auto"/>
              </w:divBdr>
              <w:divsChild>
                <w:div w:id="253364496">
                  <w:marLeft w:val="0"/>
                  <w:marRight w:val="0"/>
                  <w:marTop w:val="0"/>
                  <w:marBottom w:val="0"/>
                  <w:divBdr>
                    <w:top w:val="none" w:sz="0" w:space="0" w:color="auto"/>
                    <w:left w:val="none" w:sz="0" w:space="0" w:color="auto"/>
                    <w:bottom w:val="none" w:sz="0" w:space="0" w:color="auto"/>
                    <w:right w:val="none" w:sz="0" w:space="0" w:color="auto"/>
                  </w:divBdr>
                  <w:divsChild>
                    <w:div w:id="117144341">
                      <w:marLeft w:val="0"/>
                      <w:marRight w:val="0"/>
                      <w:marTop w:val="0"/>
                      <w:marBottom w:val="0"/>
                      <w:divBdr>
                        <w:top w:val="none" w:sz="0" w:space="0" w:color="auto"/>
                        <w:left w:val="none" w:sz="0" w:space="0" w:color="auto"/>
                        <w:bottom w:val="none" w:sz="0" w:space="0" w:color="auto"/>
                        <w:right w:val="none" w:sz="0" w:space="0" w:color="auto"/>
                      </w:divBdr>
                    </w:div>
                  </w:divsChild>
                </w:div>
                <w:div w:id="331756815">
                  <w:marLeft w:val="0"/>
                  <w:marRight w:val="0"/>
                  <w:marTop w:val="0"/>
                  <w:marBottom w:val="0"/>
                  <w:divBdr>
                    <w:top w:val="none" w:sz="0" w:space="0" w:color="auto"/>
                    <w:left w:val="none" w:sz="0" w:space="0" w:color="auto"/>
                    <w:bottom w:val="none" w:sz="0" w:space="0" w:color="auto"/>
                    <w:right w:val="none" w:sz="0" w:space="0" w:color="auto"/>
                  </w:divBdr>
                  <w:divsChild>
                    <w:div w:id="1272977527">
                      <w:marLeft w:val="0"/>
                      <w:marRight w:val="0"/>
                      <w:marTop w:val="0"/>
                      <w:marBottom w:val="0"/>
                      <w:divBdr>
                        <w:top w:val="none" w:sz="0" w:space="0" w:color="auto"/>
                        <w:left w:val="none" w:sz="0" w:space="0" w:color="auto"/>
                        <w:bottom w:val="none" w:sz="0" w:space="0" w:color="auto"/>
                        <w:right w:val="none" w:sz="0" w:space="0" w:color="auto"/>
                      </w:divBdr>
                    </w:div>
                  </w:divsChild>
                </w:div>
                <w:div w:id="449326724">
                  <w:marLeft w:val="0"/>
                  <w:marRight w:val="0"/>
                  <w:marTop w:val="0"/>
                  <w:marBottom w:val="0"/>
                  <w:divBdr>
                    <w:top w:val="none" w:sz="0" w:space="0" w:color="auto"/>
                    <w:left w:val="none" w:sz="0" w:space="0" w:color="auto"/>
                    <w:bottom w:val="none" w:sz="0" w:space="0" w:color="auto"/>
                    <w:right w:val="none" w:sz="0" w:space="0" w:color="auto"/>
                  </w:divBdr>
                  <w:divsChild>
                    <w:div w:id="927930834">
                      <w:marLeft w:val="0"/>
                      <w:marRight w:val="0"/>
                      <w:marTop w:val="0"/>
                      <w:marBottom w:val="0"/>
                      <w:divBdr>
                        <w:top w:val="none" w:sz="0" w:space="0" w:color="auto"/>
                        <w:left w:val="none" w:sz="0" w:space="0" w:color="auto"/>
                        <w:bottom w:val="none" w:sz="0" w:space="0" w:color="auto"/>
                        <w:right w:val="none" w:sz="0" w:space="0" w:color="auto"/>
                      </w:divBdr>
                    </w:div>
                  </w:divsChild>
                </w:div>
                <w:div w:id="468590625">
                  <w:marLeft w:val="0"/>
                  <w:marRight w:val="0"/>
                  <w:marTop w:val="0"/>
                  <w:marBottom w:val="0"/>
                  <w:divBdr>
                    <w:top w:val="none" w:sz="0" w:space="0" w:color="auto"/>
                    <w:left w:val="none" w:sz="0" w:space="0" w:color="auto"/>
                    <w:bottom w:val="none" w:sz="0" w:space="0" w:color="auto"/>
                    <w:right w:val="none" w:sz="0" w:space="0" w:color="auto"/>
                  </w:divBdr>
                  <w:divsChild>
                    <w:div w:id="634990176">
                      <w:marLeft w:val="0"/>
                      <w:marRight w:val="0"/>
                      <w:marTop w:val="0"/>
                      <w:marBottom w:val="0"/>
                      <w:divBdr>
                        <w:top w:val="none" w:sz="0" w:space="0" w:color="auto"/>
                        <w:left w:val="none" w:sz="0" w:space="0" w:color="auto"/>
                        <w:bottom w:val="none" w:sz="0" w:space="0" w:color="auto"/>
                        <w:right w:val="none" w:sz="0" w:space="0" w:color="auto"/>
                      </w:divBdr>
                    </w:div>
                  </w:divsChild>
                </w:div>
                <w:div w:id="569970705">
                  <w:marLeft w:val="0"/>
                  <w:marRight w:val="0"/>
                  <w:marTop w:val="0"/>
                  <w:marBottom w:val="0"/>
                  <w:divBdr>
                    <w:top w:val="none" w:sz="0" w:space="0" w:color="auto"/>
                    <w:left w:val="none" w:sz="0" w:space="0" w:color="auto"/>
                    <w:bottom w:val="none" w:sz="0" w:space="0" w:color="auto"/>
                    <w:right w:val="none" w:sz="0" w:space="0" w:color="auto"/>
                  </w:divBdr>
                  <w:divsChild>
                    <w:div w:id="678040178">
                      <w:marLeft w:val="0"/>
                      <w:marRight w:val="0"/>
                      <w:marTop w:val="0"/>
                      <w:marBottom w:val="0"/>
                      <w:divBdr>
                        <w:top w:val="none" w:sz="0" w:space="0" w:color="auto"/>
                        <w:left w:val="none" w:sz="0" w:space="0" w:color="auto"/>
                        <w:bottom w:val="none" w:sz="0" w:space="0" w:color="auto"/>
                        <w:right w:val="none" w:sz="0" w:space="0" w:color="auto"/>
                      </w:divBdr>
                    </w:div>
                  </w:divsChild>
                </w:div>
                <w:div w:id="648824813">
                  <w:marLeft w:val="0"/>
                  <w:marRight w:val="0"/>
                  <w:marTop w:val="0"/>
                  <w:marBottom w:val="0"/>
                  <w:divBdr>
                    <w:top w:val="none" w:sz="0" w:space="0" w:color="auto"/>
                    <w:left w:val="none" w:sz="0" w:space="0" w:color="auto"/>
                    <w:bottom w:val="none" w:sz="0" w:space="0" w:color="auto"/>
                    <w:right w:val="none" w:sz="0" w:space="0" w:color="auto"/>
                  </w:divBdr>
                  <w:divsChild>
                    <w:div w:id="916745001">
                      <w:marLeft w:val="0"/>
                      <w:marRight w:val="0"/>
                      <w:marTop w:val="0"/>
                      <w:marBottom w:val="0"/>
                      <w:divBdr>
                        <w:top w:val="none" w:sz="0" w:space="0" w:color="auto"/>
                        <w:left w:val="none" w:sz="0" w:space="0" w:color="auto"/>
                        <w:bottom w:val="none" w:sz="0" w:space="0" w:color="auto"/>
                        <w:right w:val="none" w:sz="0" w:space="0" w:color="auto"/>
                      </w:divBdr>
                    </w:div>
                  </w:divsChild>
                </w:div>
                <w:div w:id="757559067">
                  <w:marLeft w:val="0"/>
                  <w:marRight w:val="0"/>
                  <w:marTop w:val="0"/>
                  <w:marBottom w:val="0"/>
                  <w:divBdr>
                    <w:top w:val="none" w:sz="0" w:space="0" w:color="auto"/>
                    <w:left w:val="none" w:sz="0" w:space="0" w:color="auto"/>
                    <w:bottom w:val="none" w:sz="0" w:space="0" w:color="auto"/>
                    <w:right w:val="none" w:sz="0" w:space="0" w:color="auto"/>
                  </w:divBdr>
                  <w:divsChild>
                    <w:div w:id="858012183">
                      <w:marLeft w:val="0"/>
                      <w:marRight w:val="0"/>
                      <w:marTop w:val="0"/>
                      <w:marBottom w:val="0"/>
                      <w:divBdr>
                        <w:top w:val="none" w:sz="0" w:space="0" w:color="auto"/>
                        <w:left w:val="none" w:sz="0" w:space="0" w:color="auto"/>
                        <w:bottom w:val="none" w:sz="0" w:space="0" w:color="auto"/>
                        <w:right w:val="none" w:sz="0" w:space="0" w:color="auto"/>
                      </w:divBdr>
                    </w:div>
                  </w:divsChild>
                </w:div>
                <w:div w:id="862397166">
                  <w:marLeft w:val="0"/>
                  <w:marRight w:val="0"/>
                  <w:marTop w:val="0"/>
                  <w:marBottom w:val="0"/>
                  <w:divBdr>
                    <w:top w:val="none" w:sz="0" w:space="0" w:color="auto"/>
                    <w:left w:val="none" w:sz="0" w:space="0" w:color="auto"/>
                    <w:bottom w:val="none" w:sz="0" w:space="0" w:color="auto"/>
                    <w:right w:val="none" w:sz="0" w:space="0" w:color="auto"/>
                  </w:divBdr>
                  <w:divsChild>
                    <w:div w:id="1995256787">
                      <w:marLeft w:val="0"/>
                      <w:marRight w:val="0"/>
                      <w:marTop w:val="0"/>
                      <w:marBottom w:val="0"/>
                      <w:divBdr>
                        <w:top w:val="none" w:sz="0" w:space="0" w:color="auto"/>
                        <w:left w:val="none" w:sz="0" w:space="0" w:color="auto"/>
                        <w:bottom w:val="none" w:sz="0" w:space="0" w:color="auto"/>
                        <w:right w:val="none" w:sz="0" w:space="0" w:color="auto"/>
                      </w:divBdr>
                    </w:div>
                  </w:divsChild>
                </w:div>
                <w:div w:id="1081491364">
                  <w:marLeft w:val="0"/>
                  <w:marRight w:val="0"/>
                  <w:marTop w:val="0"/>
                  <w:marBottom w:val="0"/>
                  <w:divBdr>
                    <w:top w:val="none" w:sz="0" w:space="0" w:color="auto"/>
                    <w:left w:val="none" w:sz="0" w:space="0" w:color="auto"/>
                    <w:bottom w:val="none" w:sz="0" w:space="0" w:color="auto"/>
                    <w:right w:val="none" w:sz="0" w:space="0" w:color="auto"/>
                  </w:divBdr>
                  <w:divsChild>
                    <w:div w:id="1698311143">
                      <w:marLeft w:val="0"/>
                      <w:marRight w:val="0"/>
                      <w:marTop w:val="0"/>
                      <w:marBottom w:val="0"/>
                      <w:divBdr>
                        <w:top w:val="none" w:sz="0" w:space="0" w:color="auto"/>
                        <w:left w:val="none" w:sz="0" w:space="0" w:color="auto"/>
                        <w:bottom w:val="none" w:sz="0" w:space="0" w:color="auto"/>
                        <w:right w:val="none" w:sz="0" w:space="0" w:color="auto"/>
                      </w:divBdr>
                    </w:div>
                  </w:divsChild>
                </w:div>
                <w:div w:id="1152405853">
                  <w:marLeft w:val="0"/>
                  <w:marRight w:val="0"/>
                  <w:marTop w:val="0"/>
                  <w:marBottom w:val="0"/>
                  <w:divBdr>
                    <w:top w:val="none" w:sz="0" w:space="0" w:color="auto"/>
                    <w:left w:val="none" w:sz="0" w:space="0" w:color="auto"/>
                    <w:bottom w:val="none" w:sz="0" w:space="0" w:color="auto"/>
                    <w:right w:val="none" w:sz="0" w:space="0" w:color="auto"/>
                  </w:divBdr>
                  <w:divsChild>
                    <w:div w:id="784538287">
                      <w:marLeft w:val="0"/>
                      <w:marRight w:val="0"/>
                      <w:marTop w:val="0"/>
                      <w:marBottom w:val="0"/>
                      <w:divBdr>
                        <w:top w:val="none" w:sz="0" w:space="0" w:color="auto"/>
                        <w:left w:val="none" w:sz="0" w:space="0" w:color="auto"/>
                        <w:bottom w:val="none" w:sz="0" w:space="0" w:color="auto"/>
                        <w:right w:val="none" w:sz="0" w:space="0" w:color="auto"/>
                      </w:divBdr>
                    </w:div>
                  </w:divsChild>
                </w:div>
                <w:div w:id="1177696962">
                  <w:marLeft w:val="0"/>
                  <w:marRight w:val="0"/>
                  <w:marTop w:val="0"/>
                  <w:marBottom w:val="0"/>
                  <w:divBdr>
                    <w:top w:val="none" w:sz="0" w:space="0" w:color="auto"/>
                    <w:left w:val="none" w:sz="0" w:space="0" w:color="auto"/>
                    <w:bottom w:val="none" w:sz="0" w:space="0" w:color="auto"/>
                    <w:right w:val="none" w:sz="0" w:space="0" w:color="auto"/>
                  </w:divBdr>
                  <w:divsChild>
                    <w:div w:id="1202933584">
                      <w:marLeft w:val="0"/>
                      <w:marRight w:val="0"/>
                      <w:marTop w:val="0"/>
                      <w:marBottom w:val="0"/>
                      <w:divBdr>
                        <w:top w:val="none" w:sz="0" w:space="0" w:color="auto"/>
                        <w:left w:val="none" w:sz="0" w:space="0" w:color="auto"/>
                        <w:bottom w:val="none" w:sz="0" w:space="0" w:color="auto"/>
                        <w:right w:val="none" w:sz="0" w:space="0" w:color="auto"/>
                      </w:divBdr>
                    </w:div>
                  </w:divsChild>
                </w:div>
                <w:div w:id="1197500281">
                  <w:marLeft w:val="0"/>
                  <w:marRight w:val="0"/>
                  <w:marTop w:val="0"/>
                  <w:marBottom w:val="0"/>
                  <w:divBdr>
                    <w:top w:val="none" w:sz="0" w:space="0" w:color="auto"/>
                    <w:left w:val="none" w:sz="0" w:space="0" w:color="auto"/>
                    <w:bottom w:val="none" w:sz="0" w:space="0" w:color="auto"/>
                    <w:right w:val="none" w:sz="0" w:space="0" w:color="auto"/>
                  </w:divBdr>
                  <w:divsChild>
                    <w:div w:id="1565094235">
                      <w:marLeft w:val="0"/>
                      <w:marRight w:val="0"/>
                      <w:marTop w:val="0"/>
                      <w:marBottom w:val="0"/>
                      <w:divBdr>
                        <w:top w:val="none" w:sz="0" w:space="0" w:color="auto"/>
                        <w:left w:val="none" w:sz="0" w:space="0" w:color="auto"/>
                        <w:bottom w:val="none" w:sz="0" w:space="0" w:color="auto"/>
                        <w:right w:val="none" w:sz="0" w:space="0" w:color="auto"/>
                      </w:divBdr>
                    </w:div>
                  </w:divsChild>
                </w:div>
                <w:div w:id="1202479688">
                  <w:marLeft w:val="0"/>
                  <w:marRight w:val="0"/>
                  <w:marTop w:val="0"/>
                  <w:marBottom w:val="0"/>
                  <w:divBdr>
                    <w:top w:val="none" w:sz="0" w:space="0" w:color="auto"/>
                    <w:left w:val="none" w:sz="0" w:space="0" w:color="auto"/>
                    <w:bottom w:val="none" w:sz="0" w:space="0" w:color="auto"/>
                    <w:right w:val="none" w:sz="0" w:space="0" w:color="auto"/>
                  </w:divBdr>
                  <w:divsChild>
                    <w:div w:id="64498840">
                      <w:marLeft w:val="0"/>
                      <w:marRight w:val="0"/>
                      <w:marTop w:val="0"/>
                      <w:marBottom w:val="0"/>
                      <w:divBdr>
                        <w:top w:val="none" w:sz="0" w:space="0" w:color="auto"/>
                        <w:left w:val="none" w:sz="0" w:space="0" w:color="auto"/>
                        <w:bottom w:val="none" w:sz="0" w:space="0" w:color="auto"/>
                        <w:right w:val="none" w:sz="0" w:space="0" w:color="auto"/>
                      </w:divBdr>
                    </w:div>
                  </w:divsChild>
                </w:div>
                <w:div w:id="1264798443">
                  <w:marLeft w:val="0"/>
                  <w:marRight w:val="0"/>
                  <w:marTop w:val="0"/>
                  <w:marBottom w:val="0"/>
                  <w:divBdr>
                    <w:top w:val="none" w:sz="0" w:space="0" w:color="auto"/>
                    <w:left w:val="none" w:sz="0" w:space="0" w:color="auto"/>
                    <w:bottom w:val="none" w:sz="0" w:space="0" w:color="auto"/>
                    <w:right w:val="none" w:sz="0" w:space="0" w:color="auto"/>
                  </w:divBdr>
                  <w:divsChild>
                    <w:div w:id="366954002">
                      <w:marLeft w:val="0"/>
                      <w:marRight w:val="0"/>
                      <w:marTop w:val="0"/>
                      <w:marBottom w:val="0"/>
                      <w:divBdr>
                        <w:top w:val="none" w:sz="0" w:space="0" w:color="auto"/>
                        <w:left w:val="none" w:sz="0" w:space="0" w:color="auto"/>
                        <w:bottom w:val="none" w:sz="0" w:space="0" w:color="auto"/>
                        <w:right w:val="none" w:sz="0" w:space="0" w:color="auto"/>
                      </w:divBdr>
                    </w:div>
                  </w:divsChild>
                </w:div>
                <w:div w:id="1412652507">
                  <w:marLeft w:val="0"/>
                  <w:marRight w:val="0"/>
                  <w:marTop w:val="0"/>
                  <w:marBottom w:val="0"/>
                  <w:divBdr>
                    <w:top w:val="none" w:sz="0" w:space="0" w:color="auto"/>
                    <w:left w:val="none" w:sz="0" w:space="0" w:color="auto"/>
                    <w:bottom w:val="none" w:sz="0" w:space="0" w:color="auto"/>
                    <w:right w:val="none" w:sz="0" w:space="0" w:color="auto"/>
                  </w:divBdr>
                  <w:divsChild>
                    <w:div w:id="1641687732">
                      <w:marLeft w:val="0"/>
                      <w:marRight w:val="0"/>
                      <w:marTop w:val="0"/>
                      <w:marBottom w:val="0"/>
                      <w:divBdr>
                        <w:top w:val="none" w:sz="0" w:space="0" w:color="auto"/>
                        <w:left w:val="none" w:sz="0" w:space="0" w:color="auto"/>
                        <w:bottom w:val="none" w:sz="0" w:space="0" w:color="auto"/>
                        <w:right w:val="none" w:sz="0" w:space="0" w:color="auto"/>
                      </w:divBdr>
                    </w:div>
                  </w:divsChild>
                </w:div>
                <w:div w:id="1445928225">
                  <w:marLeft w:val="0"/>
                  <w:marRight w:val="0"/>
                  <w:marTop w:val="0"/>
                  <w:marBottom w:val="0"/>
                  <w:divBdr>
                    <w:top w:val="none" w:sz="0" w:space="0" w:color="auto"/>
                    <w:left w:val="none" w:sz="0" w:space="0" w:color="auto"/>
                    <w:bottom w:val="none" w:sz="0" w:space="0" w:color="auto"/>
                    <w:right w:val="none" w:sz="0" w:space="0" w:color="auto"/>
                  </w:divBdr>
                  <w:divsChild>
                    <w:div w:id="2032954585">
                      <w:marLeft w:val="0"/>
                      <w:marRight w:val="0"/>
                      <w:marTop w:val="0"/>
                      <w:marBottom w:val="0"/>
                      <w:divBdr>
                        <w:top w:val="none" w:sz="0" w:space="0" w:color="auto"/>
                        <w:left w:val="none" w:sz="0" w:space="0" w:color="auto"/>
                        <w:bottom w:val="none" w:sz="0" w:space="0" w:color="auto"/>
                        <w:right w:val="none" w:sz="0" w:space="0" w:color="auto"/>
                      </w:divBdr>
                    </w:div>
                  </w:divsChild>
                </w:div>
                <w:div w:id="1469010544">
                  <w:marLeft w:val="0"/>
                  <w:marRight w:val="0"/>
                  <w:marTop w:val="0"/>
                  <w:marBottom w:val="0"/>
                  <w:divBdr>
                    <w:top w:val="none" w:sz="0" w:space="0" w:color="auto"/>
                    <w:left w:val="none" w:sz="0" w:space="0" w:color="auto"/>
                    <w:bottom w:val="none" w:sz="0" w:space="0" w:color="auto"/>
                    <w:right w:val="none" w:sz="0" w:space="0" w:color="auto"/>
                  </w:divBdr>
                  <w:divsChild>
                    <w:div w:id="104813529">
                      <w:marLeft w:val="0"/>
                      <w:marRight w:val="0"/>
                      <w:marTop w:val="0"/>
                      <w:marBottom w:val="0"/>
                      <w:divBdr>
                        <w:top w:val="none" w:sz="0" w:space="0" w:color="auto"/>
                        <w:left w:val="none" w:sz="0" w:space="0" w:color="auto"/>
                        <w:bottom w:val="none" w:sz="0" w:space="0" w:color="auto"/>
                        <w:right w:val="none" w:sz="0" w:space="0" w:color="auto"/>
                      </w:divBdr>
                    </w:div>
                  </w:divsChild>
                </w:div>
                <w:div w:id="1502309346">
                  <w:marLeft w:val="0"/>
                  <w:marRight w:val="0"/>
                  <w:marTop w:val="0"/>
                  <w:marBottom w:val="0"/>
                  <w:divBdr>
                    <w:top w:val="none" w:sz="0" w:space="0" w:color="auto"/>
                    <w:left w:val="none" w:sz="0" w:space="0" w:color="auto"/>
                    <w:bottom w:val="none" w:sz="0" w:space="0" w:color="auto"/>
                    <w:right w:val="none" w:sz="0" w:space="0" w:color="auto"/>
                  </w:divBdr>
                  <w:divsChild>
                    <w:div w:id="2134979950">
                      <w:marLeft w:val="0"/>
                      <w:marRight w:val="0"/>
                      <w:marTop w:val="0"/>
                      <w:marBottom w:val="0"/>
                      <w:divBdr>
                        <w:top w:val="none" w:sz="0" w:space="0" w:color="auto"/>
                        <w:left w:val="none" w:sz="0" w:space="0" w:color="auto"/>
                        <w:bottom w:val="none" w:sz="0" w:space="0" w:color="auto"/>
                        <w:right w:val="none" w:sz="0" w:space="0" w:color="auto"/>
                      </w:divBdr>
                    </w:div>
                  </w:divsChild>
                </w:div>
                <w:div w:id="1590041250">
                  <w:marLeft w:val="0"/>
                  <w:marRight w:val="0"/>
                  <w:marTop w:val="0"/>
                  <w:marBottom w:val="0"/>
                  <w:divBdr>
                    <w:top w:val="none" w:sz="0" w:space="0" w:color="auto"/>
                    <w:left w:val="none" w:sz="0" w:space="0" w:color="auto"/>
                    <w:bottom w:val="none" w:sz="0" w:space="0" w:color="auto"/>
                    <w:right w:val="none" w:sz="0" w:space="0" w:color="auto"/>
                  </w:divBdr>
                  <w:divsChild>
                    <w:div w:id="550113000">
                      <w:marLeft w:val="0"/>
                      <w:marRight w:val="0"/>
                      <w:marTop w:val="0"/>
                      <w:marBottom w:val="0"/>
                      <w:divBdr>
                        <w:top w:val="none" w:sz="0" w:space="0" w:color="auto"/>
                        <w:left w:val="none" w:sz="0" w:space="0" w:color="auto"/>
                        <w:bottom w:val="none" w:sz="0" w:space="0" w:color="auto"/>
                        <w:right w:val="none" w:sz="0" w:space="0" w:color="auto"/>
                      </w:divBdr>
                    </w:div>
                  </w:divsChild>
                </w:div>
                <w:div w:id="1735203569">
                  <w:marLeft w:val="0"/>
                  <w:marRight w:val="0"/>
                  <w:marTop w:val="0"/>
                  <w:marBottom w:val="0"/>
                  <w:divBdr>
                    <w:top w:val="none" w:sz="0" w:space="0" w:color="auto"/>
                    <w:left w:val="none" w:sz="0" w:space="0" w:color="auto"/>
                    <w:bottom w:val="none" w:sz="0" w:space="0" w:color="auto"/>
                    <w:right w:val="none" w:sz="0" w:space="0" w:color="auto"/>
                  </w:divBdr>
                  <w:divsChild>
                    <w:div w:id="552428030">
                      <w:marLeft w:val="0"/>
                      <w:marRight w:val="0"/>
                      <w:marTop w:val="0"/>
                      <w:marBottom w:val="0"/>
                      <w:divBdr>
                        <w:top w:val="none" w:sz="0" w:space="0" w:color="auto"/>
                        <w:left w:val="none" w:sz="0" w:space="0" w:color="auto"/>
                        <w:bottom w:val="none" w:sz="0" w:space="0" w:color="auto"/>
                        <w:right w:val="none" w:sz="0" w:space="0" w:color="auto"/>
                      </w:divBdr>
                    </w:div>
                  </w:divsChild>
                </w:div>
                <w:div w:id="2067099332">
                  <w:marLeft w:val="0"/>
                  <w:marRight w:val="0"/>
                  <w:marTop w:val="0"/>
                  <w:marBottom w:val="0"/>
                  <w:divBdr>
                    <w:top w:val="none" w:sz="0" w:space="0" w:color="auto"/>
                    <w:left w:val="none" w:sz="0" w:space="0" w:color="auto"/>
                    <w:bottom w:val="none" w:sz="0" w:space="0" w:color="auto"/>
                    <w:right w:val="none" w:sz="0" w:space="0" w:color="auto"/>
                  </w:divBdr>
                  <w:divsChild>
                    <w:div w:id="137259679">
                      <w:marLeft w:val="0"/>
                      <w:marRight w:val="0"/>
                      <w:marTop w:val="0"/>
                      <w:marBottom w:val="0"/>
                      <w:divBdr>
                        <w:top w:val="none" w:sz="0" w:space="0" w:color="auto"/>
                        <w:left w:val="none" w:sz="0" w:space="0" w:color="auto"/>
                        <w:bottom w:val="none" w:sz="0" w:space="0" w:color="auto"/>
                        <w:right w:val="none" w:sz="0" w:space="0" w:color="auto"/>
                      </w:divBdr>
                    </w:div>
                  </w:divsChild>
                </w:div>
                <w:div w:id="2117863972">
                  <w:marLeft w:val="0"/>
                  <w:marRight w:val="0"/>
                  <w:marTop w:val="0"/>
                  <w:marBottom w:val="0"/>
                  <w:divBdr>
                    <w:top w:val="none" w:sz="0" w:space="0" w:color="auto"/>
                    <w:left w:val="none" w:sz="0" w:space="0" w:color="auto"/>
                    <w:bottom w:val="none" w:sz="0" w:space="0" w:color="auto"/>
                    <w:right w:val="none" w:sz="0" w:space="0" w:color="auto"/>
                  </w:divBdr>
                  <w:divsChild>
                    <w:div w:id="164261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3306">
          <w:marLeft w:val="0"/>
          <w:marRight w:val="0"/>
          <w:marTop w:val="0"/>
          <w:marBottom w:val="0"/>
          <w:divBdr>
            <w:top w:val="none" w:sz="0" w:space="0" w:color="auto"/>
            <w:left w:val="none" w:sz="0" w:space="0" w:color="auto"/>
            <w:bottom w:val="none" w:sz="0" w:space="0" w:color="auto"/>
            <w:right w:val="none" w:sz="0" w:space="0" w:color="auto"/>
          </w:divBdr>
        </w:div>
        <w:div w:id="1039548670">
          <w:marLeft w:val="0"/>
          <w:marRight w:val="0"/>
          <w:marTop w:val="0"/>
          <w:marBottom w:val="0"/>
          <w:divBdr>
            <w:top w:val="none" w:sz="0" w:space="0" w:color="auto"/>
            <w:left w:val="none" w:sz="0" w:space="0" w:color="auto"/>
            <w:bottom w:val="none" w:sz="0" w:space="0" w:color="auto"/>
            <w:right w:val="none" w:sz="0" w:space="0" w:color="auto"/>
          </w:divBdr>
        </w:div>
        <w:div w:id="1128165409">
          <w:marLeft w:val="0"/>
          <w:marRight w:val="0"/>
          <w:marTop w:val="0"/>
          <w:marBottom w:val="0"/>
          <w:divBdr>
            <w:top w:val="none" w:sz="0" w:space="0" w:color="auto"/>
            <w:left w:val="none" w:sz="0" w:space="0" w:color="auto"/>
            <w:bottom w:val="none" w:sz="0" w:space="0" w:color="auto"/>
            <w:right w:val="none" w:sz="0" w:space="0" w:color="auto"/>
          </w:divBdr>
          <w:divsChild>
            <w:div w:id="472481089">
              <w:marLeft w:val="0"/>
              <w:marRight w:val="0"/>
              <w:marTop w:val="0"/>
              <w:marBottom w:val="0"/>
              <w:divBdr>
                <w:top w:val="none" w:sz="0" w:space="0" w:color="auto"/>
                <w:left w:val="none" w:sz="0" w:space="0" w:color="auto"/>
                <w:bottom w:val="none" w:sz="0" w:space="0" w:color="auto"/>
                <w:right w:val="none" w:sz="0" w:space="0" w:color="auto"/>
              </w:divBdr>
            </w:div>
            <w:div w:id="581642093">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 w:id="1848134881">
              <w:marLeft w:val="0"/>
              <w:marRight w:val="0"/>
              <w:marTop w:val="0"/>
              <w:marBottom w:val="0"/>
              <w:divBdr>
                <w:top w:val="none" w:sz="0" w:space="0" w:color="auto"/>
                <w:left w:val="none" w:sz="0" w:space="0" w:color="auto"/>
                <w:bottom w:val="none" w:sz="0" w:space="0" w:color="auto"/>
                <w:right w:val="none" w:sz="0" w:space="0" w:color="auto"/>
              </w:divBdr>
            </w:div>
            <w:div w:id="1869947737">
              <w:marLeft w:val="0"/>
              <w:marRight w:val="0"/>
              <w:marTop w:val="0"/>
              <w:marBottom w:val="0"/>
              <w:divBdr>
                <w:top w:val="none" w:sz="0" w:space="0" w:color="auto"/>
                <w:left w:val="none" w:sz="0" w:space="0" w:color="auto"/>
                <w:bottom w:val="none" w:sz="0" w:space="0" w:color="auto"/>
                <w:right w:val="none" w:sz="0" w:space="0" w:color="auto"/>
              </w:divBdr>
            </w:div>
          </w:divsChild>
        </w:div>
        <w:div w:id="1132016982">
          <w:marLeft w:val="0"/>
          <w:marRight w:val="0"/>
          <w:marTop w:val="0"/>
          <w:marBottom w:val="0"/>
          <w:divBdr>
            <w:top w:val="none" w:sz="0" w:space="0" w:color="auto"/>
            <w:left w:val="none" w:sz="0" w:space="0" w:color="auto"/>
            <w:bottom w:val="none" w:sz="0" w:space="0" w:color="auto"/>
            <w:right w:val="none" w:sz="0" w:space="0" w:color="auto"/>
          </w:divBdr>
        </w:div>
        <w:div w:id="1168784970">
          <w:marLeft w:val="0"/>
          <w:marRight w:val="0"/>
          <w:marTop w:val="0"/>
          <w:marBottom w:val="0"/>
          <w:divBdr>
            <w:top w:val="none" w:sz="0" w:space="0" w:color="auto"/>
            <w:left w:val="none" w:sz="0" w:space="0" w:color="auto"/>
            <w:bottom w:val="none" w:sz="0" w:space="0" w:color="auto"/>
            <w:right w:val="none" w:sz="0" w:space="0" w:color="auto"/>
          </w:divBdr>
        </w:div>
        <w:div w:id="1203446683">
          <w:marLeft w:val="0"/>
          <w:marRight w:val="0"/>
          <w:marTop w:val="0"/>
          <w:marBottom w:val="0"/>
          <w:divBdr>
            <w:top w:val="none" w:sz="0" w:space="0" w:color="auto"/>
            <w:left w:val="none" w:sz="0" w:space="0" w:color="auto"/>
            <w:bottom w:val="none" w:sz="0" w:space="0" w:color="auto"/>
            <w:right w:val="none" w:sz="0" w:space="0" w:color="auto"/>
          </w:divBdr>
        </w:div>
        <w:div w:id="1211267461">
          <w:marLeft w:val="0"/>
          <w:marRight w:val="0"/>
          <w:marTop w:val="0"/>
          <w:marBottom w:val="0"/>
          <w:divBdr>
            <w:top w:val="none" w:sz="0" w:space="0" w:color="auto"/>
            <w:left w:val="none" w:sz="0" w:space="0" w:color="auto"/>
            <w:bottom w:val="none" w:sz="0" w:space="0" w:color="auto"/>
            <w:right w:val="none" w:sz="0" w:space="0" w:color="auto"/>
          </w:divBdr>
        </w:div>
        <w:div w:id="1317538732">
          <w:marLeft w:val="0"/>
          <w:marRight w:val="0"/>
          <w:marTop w:val="0"/>
          <w:marBottom w:val="0"/>
          <w:divBdr>
            <w:top w:val="none" w:sz="0" w:space="0" w:color="auto"/>
            <w:left w:val="none" w:sz="0" w:space="0" w:color="auto"/>
            <w:bottom w:val="none" w:sz="0" w:space="0" w:color="auto"/>
            <w:right w:val="none" w:sz="0" w:space="0" w:color="auto"/>
          </w:divBdr>
          <w:divsChild>
            <w:div w:id="591088644">
              <w:marLeft w:val="0"/>
              <w:marRight w:val="0"/>
              <w:marTop w:val="0"/>
              <w:marBottom w:val="0"/>
              <w:divBdr>
                <w:top w:val="none" w:sz="0" w:space="0" w:color="auto"/>
                <w:left w:val="none" w:sz="0" w:space="0" w:color="auto"/>
                <w:bottom w:val="none" w:sz="0" w:space="0" w:color="auto"/>
                <w:right w:val="none" w:sz="0" w:space="0" w:color="auto"/>
              </w:divBdr>
            </w:div>
            <w:div w:id="651177591">
              <w:marLeft w:val="0"/>
              <w:marRight w:val="0"/>
              <w:marTop w:val="0"/>
              <w:marBottom w:val="0"/>
              <w:divBdr>
                <w:top w:val="none" w:sz="0" w:space="0" w:color="auto"/>
                <w:left w:val="none" w:sz="0" w:space="0" w:color="auto"/>
                <w:bottom w:val="none" w:sz="0" w:space="0" w:color="auto"/>
                <w:right w:val="none" w:sz="0" w:space="0" w:color="auto"/>
              </w:divBdr>
            </w:div>
            <w:div w:id="914776023">
              <w:marLeft w:val="0"/>
              <w:marRight w:val="0"/>
              <w:marTop w:val="0"/>
              <w:marBottom w:val="0"/>
              <w:divBdr>
                <w:top w:val="none" w:sz="0" w:space="0" w:color="auto"/>
                <w:left w:val="none" w:sz="0" w:space="0" w:color="auto"/>
                <w:bottom w:val="none" w:sz="0" w:space="0" w:color="auto"/>
                <w:right w:val="none" w:sz="0" w:space="0" w:color="auto"/>
              </w:divBdr>
            </w:div>
            <w:div w:id="1019351172">
              <w:marLeft w:val="0"/>
              <w:marRight w:val="0"/>
              <w:marTop w:val="0"/>
              <w:marBottom w:val="0"/>
              <w:divBdr>
                <w:top w:val="none" w:sz="0" w:space="0" w:color="auto"/>
                <w:left w:val="none" w:sz="0" w:space="0" w:color="auto"/>
                <w:bottom w:val="none" w:sz="0" w:space="0" w:color="auto"/>
                <w:right w:val="none" w:sz="0" w:space="0" w:color="auto"/>
              </w:divBdr>
            </w:div>
            <w:div w:id="1579557095">
              <w:marLeft w:val="0"/>
              <w:marRight w:val="0"/>
              <w:marTop w:val="0"/>
              <w:marBottom w:val="0"/>
              <w:divBdr>
                <w:top w:val="none" w:sz="0" w:space="0" w:color="auto"/>
                <w:left w:val="none" w:sz="0" w:space="0" w:color="auto"/>
                <w:bottom w:val="none" w:sz="0" w:space="0" w:color="auto"/>
                <w:right w:val="none" w:sz="0" w:space="0" w:color="auto"/>
              </w:divBdr>
            </w:div>
          </w:divsChild>
        </w:div>
        <w:div w:id="1318994051">
          <w:marLeft w:val="0"/>
          <w:marRight w:val="0"/>
          <w:marTop w:val="0"/>
          <w:marBottom w:val="0"/>
          <w:divBdr>
            <w:top w:val="none" w:sz="0" w:space="0" w:color="auto"/>
            <w:left w:val="none" w:sz="0" w:space="0" w:color="auto"/>
            <w:bottom w:val="none" w:sz="0" w:space="0" w:color="auto"/>
            <w:right w:val="none" w:sz="0" w:space="0" w:color="auto"/>
          </w:divBdr>
        </w:div>
        <w:div w:id="1328172570">
          <w:marLeft w:val="0"/>
          <w:marRight w:val="0"/>
          <w:marTop w:val="0"/>
          <w:marBottom w:val="0"/>
          <w:divBdr>
            <w:top w:val="none" w:sz="0" w:space="0" w:color="auto"/>
            <w:left w:val="none" w:sz="0" w:space="0" w:color="auto"/>
            <w:bottom w:val="none" w:sz="0" w:space="0" w:color="auto"/>
            <w:right w:val="none" w:sz="0" w:space="0" w:color="auto"/>
          </w:divBdr>
        </w:div>
        <w:div w:id="1350907376">
          <w:marLeft w:val="0"/>
          <w:marRight w:val="0"/>
          <w:marTop w:val="0"/>
          <w:marBottom w:val="0"/>
          <w:divBdr>
            <w:top w:val="none" w:sz="0" w:space="0" w:color="auto"/>
            <w:left w:val="none" w:sz="0" w:space="0" w:color="auto"/>
            <w:bottom w:val="none" w:sz="0" w:space="0" w:color="auto"/>
            <w:right w:val="none" w:sz="0" w:space="0" w:color="auto"/>
          </w:divBdr>
          <w:divsChild>
            <w:div w:id="219905035">
              <w:marLeft w:val="0"/>
              <w:marRight w:val="0"/>
              <w:marTop w:val="0"/>
              <w:marBottom w:val="0"/>
              <w:divBdr>
                <w:top w:val="none" w:sz="0" w:space="0" w:color="auto"/>
                <w:left w:val="none" w:sz="0" w:space="0" w:color="auto"/>
                <w:bottom w:val="none" w:sz="0" w:space="0" w:color="auto"/>
                <w:right w:val="none" w:sz="0" w:space="0" w:color="auto"/>
              </w:divBdr>
            </w:div>
            <w:div w:id="530807203">
              <w:marLeft w:val="0"/>
              <w:marRight w:val="0"/>
              <w:marTop w:val="0"/>
              <w:marBottom w:val="0"/>
              <w:divBdr>
                <w:top w:val="none" w:sz="0" w:space="0" w:color="auto"/>
                <w:left w:val="none" w:sz="0" w:space="0" w:color="auto"/>
                <w:bottom w:val="none" w:sz="0" w:space="0" w:color="auto"/>
                <w:right w:val="none" w:sz="0" w:space="0" w:color="auto"/>
              </w:divBdr>
            </w:div>
            <w:div w:id="1732846021">
              <w:marLeft w:val="0"/>
              <w:marRight w:val="0"/>
              <w:marTop w:val="0"/>
              <w:marBottom w:val="0"/>
              <w:divBdr>
                <w:top w:val="none" w:sz="0" w:space="0" w:color="auto"/>
                <w:left w:val="none" w:sz="0" w:space="0" w:color="auto"/>
                <w:bottom w:val="none" w:sz="0" w:space="0" w:color="auto"/>
                <w:right w:val="none" w:sz="0" w:space="0" w:color="auto"/>
              </w:divBdr>
            </w:div>
            <w:div w:id="1855344684">
              <w:marLeft w:val="0"/>
              <w:marRight w:val="0"/>
              <w:marTop w:val="0"/>
              <w:marBottom w:val="0"/>
              <w:divBdr>
                <w:top w:val="none" w:sz="0" w:space="0" w:color="auto"/>
                <w:left w:val="none" w:sz="0" w:space="0" w:color="auto"/>
                <w:bottom w:val="none" w:sz="0" w:space="0" w:color="auto"/>
                <w:right w:val="none" w:sz="0" w:space="0" w:color="auto"/>
              </w:divBdr>
            </w:div>
            <w:div w:id="2140612271">
              <w:marLeft w:val="0"/>
              <w:marRight w:val="0"/>
              <w:marTop w:val="0"/>
              <w:marBottom w:val="0"/>
              <w:divBdr>
                <w:top w:val="none" w:sz="0" w:space="0" w:color="auto"/>
                <w:left w:val="none" w:sz="0" w:space="0" w:color="auto"/>
                <w:bottom w:val="none" w:sz="0" w:space="0" w:color="auto"/>
                <w:right w:val="none" w:sz="0" w:space="0" w:color="auto"/>
              </w:divBdr>
            </w:div>
          </w:divsChild>
        </w:div>
        <w:div w:id="1364599928">
          <w:marLeft w:val="0"/>
          <w:marRight w:val="0"/>
          <w:marTop w:val="0"/>
          <w:marBottom w:val="0"/>
          <w:divBdr>
            <w:top w:val="none" w:sz="0" w:space="0" w:color="auto"/>
            <w:left w:val="none" w:sz="0" w:space="0" w:color="auto"/>
            <w:bottom w:val="none" w:sz="0" w:space="0" w:color="auto"/>
            <w:right w:val="none" w:sz="0" w:space="0" w:color="auto"/>
          </w:divBdr>
        </w:div>
        <w:div w:id="1380667676">
          <w:marLeft w:val="0"/>
          <w:marRight w:val="0"/>
          <w:marTop w:val="0"/>
          <w:marBottom w:val="0"/>
          <w:divBdr>
            <w:top w:val="none" w:sz="0" w:space="0" w:color="auto"/>
            <w:left w:val="none" w:sz="0" w:space="0" w:color="auto"/>
            <w:bottom w:val="none" w:sz="0" w:space="0" w:color="auto"/>
            <w:right w:val="none" w:sz="0" w:space="0" w:color="auto"/>
          </w:divBdr>
        </w:div>
        <w:div w:id="1497762709">
          <w:marLeft w:val="0"/>
          <w:marRight w:val="0"/>
          <w:marTop w:val="0"/>
          <w:marBottom w:val="0"/>
          <w:divBdr>
            <w:top w:val="none" w:sz="0" w:space="0" w:color="auto"/>
            <w:left w:val="none" w:sz="0" w:space="0" w:color="auto"/>
            <w:bottom w:val="none" w:sz="0" w:space="0" w:color="auto"/>
            <w:right w:val="none" w:sz="0" w:space="0" w:color="auto"/>
          </w:divBdr>
        </w:div>
        <w:div w:id="1503469119">
          <w:marLeft w:val="0"/>
          <w:marRight w:val="0"/>
          <w:marTop w:val="0"/>
          <w:marBottom w:val="0"/>
          <w:divBdr>
            <w:top w:val="none" w:sz="0" w:space="0" w:color="auto"/>
            <w:left w:val="none" w:sz="0" w:space="0" w:color="auto"/>
            <w:bottom w:val="none" w:sz="0" w:space="0" w:color="auto"/>
            <w:right w:val="none" w:sz="0" w:space="0" w:color="auto"/>
          </w:divBdr>
        </w:div>
        <w:div w:id="1525094829">
          <w:marLeft w:val="0"/>
          <w:marRight w:val="0"/>
          <w:marTop w:val="0"/>
          <w:marBottom w:val="0"/>
          <w:divBdr>
            <w:top w:val="none" w:sz="0" w:space="0" w:color="auto"/>
            <w:left w:val="none" w:sz="0" w:space="0" w:color="auto"/>
            <w:bottom w:val="none" w:sz="0" w:space="0" w:color="auto"/>
            <w:right w:val="none" w:sz="0" w:space="0" w:color="auto"/>
          </w:divBdr>
          <w:divsChild>
            <w:div w:id="640623856">
              <w:marLeft w:val="0"/>
              <w:marRight w:val="0"/>
              <w:marTop w:val="0"/>
              <w:marBottom w:val="0"/>
              <w:divBdr>
                <w:top w:val="none" w:sz="0" w:space="0" w:color="auto"/>
                <w:left w:val="none" w:sz="0" w:space="0" w:color="auto"/>
                <w:bottom w:val="none" w:sz="0" w:space="0" w:color="auto"/>
                <w:right w:val="none" w:sz="0" w:space="0" w:color="auto"/>
              </w:divBdr>
            </w:div>
            <w:div w:id="843473484">
              <w:marLeft w:val="0"/>
              <w:marRight w:val="0"/>
              <w:marTop w:val="0"/>
              <w:marBottom w:val="0"/>
              <w:divBdr>
                <w:top w:val="none" w:sz="0" w:space="0" w:color="auto"/>
                <w:left w:val="none" w:sz="0" w:space="0" w:color="auto"/>
                <w:bottom w:val="none" w:sz="0" w:space="0" w:color="auto"/>
                <w:right w:val="none" w:sz="0" w:space="0" w:color="auto"/>
              </w:divBdr>
            </w:div>
            <w:div w:id="961420456">
              <w:marLeft w:val="0"/>
              <w:marRight w:val="0"/>
              <w:marTop w:val="0"/>
              <w:marBottom w:val="0"/>
              <w:divBdr>
                <w:top w:val="none" w:sz="0" w:space="0" w:color="auto"/>
                <w:left w:val="none" w:sz="0" w:space="0" w:color="auto"/>
                <w:bottom w:val="none" w:sz="0" w:space="0" w:color="auto"/>
                <w:right w:val="none" w:sz="0" w:space="0" w:color="auto"/>
              </w:divBdr>
            </w:div>
            <w:div w:id="1531069925">
              <w:marLeft w:val="0"/>
              <w:marRight w:val="0"/>
              <w:marTop w:val="0"/>
              <w:marBottom w:val="0"/>
              <w:divBdr>
                <w:top w:val="none" w:sz="0" w:space="0" w:color="auto"/>
                <w:left w:val="none" w:sz="0" w:space="0" w:color="auto"/>
                <w:bottom w:val="none" w:sz="0" w:space="0" w:color="auto"/>
                <w:right w:val="none" w:sz="0" w:space="0" w:color="auto"/>
              </w:divBdr>
            </w:div>
            <w:div w:id="2117631813">
              <w:marLeft w:val="0"/>
              <w:marRight w:val="0"/>
              <w:marTop w:val="0"/>
              <w:marBottom w:val="0"/>
              <w:divBdr>
                <w:top w:val="none" w:sz="0" w:space="0" w:color="auto"/>
                <w:left w:val="none" w:sz="0" w:space="0" w:color="auto"/>
                <w:bottom w:val="none" w:sz="0" w:space="0" w:color="auto"/>
                <w:right w:val="none" w:sz="0" w:space="0" w:color="auto"/>
              </w:divBdr>
            </w:div>
          </w:divsChild>
        </w:div>
        <w:div w:id="1573730951">
          <w:marLeft w:val="0"/>
          <w:marRight w:val="0"/>
          <w:marTop w:val="0"/>
          <w:marBottom w:val="0"/>
          <w:divBdr>
            <w:top w:val="none" w:sz="0" w:space="0" w:color="auto"/>
            <w:left w:val="none" w:sz="0" w:space="0" w:color="auto"/>
            <w:bottom w:val="none" w:sz="0" w:space="0" w:color="auto"/>
            <w:right w:val="none" w:sz="0" w:space="0" w:color="auto"/>
          </w:divBdr>
        </w:div>
        <w:div w:id="1582523194">
          <w:marLeft w:val="0"/>
          <w:marRight w:val="0"/>
          <w:marTop w:val="0"/>
          <w:marBottom w:val="0"/>
          <w:divBdr>
            <w:top w:val="none" w:sz="0" w:space="0" w:color="auto"/>
            <w:left w:val="none" w:sz="0" w:space="0" w:color="auto"/>
            <w:bottom w:val="none" w:sz="0" w:space="0" w:color="auto"/>
            <w:right w:val="none" w:sz="0" w:space="0" w:color="auto"/>
          </w:divBdr>
          <w:divsChild>
            <w:div w:id="627662882">
              <w:marLeft w:val="0"/>
              <w:marRight w:val="0"/>
              <w:marTop w:val="0"/>
              <w:marBottom w:val="0"/>
              <w:divBdr>
                <w:top w:val="none" w:sz="0" w:space="0" w:color="auto"/>
                <w:left w:val="none" w:sz="0" w:space="0" w:color="auto"/>
                <w:bottom w:val="none" w:sz="0" w:space="0" w:color="auto"/>
                <w:right w:val="none" w:sz="0" w:space="0" w:color="auto"/>
              </w:divBdr>
            </w:div>
            <w:div w:id="746460173">
              <w:marLeft w:val="0"/>
              <w:marRight w:val="0"/>
              <w:marTop w:val="0"/>
              <w:marBottom w:val="0"/>
              <w:divBdr>
                <w:top w:val="none" w:sz="0" w:space="0" w:color="auto"/>
                <w:left w:val="none" w:sz="0" w:space="0" w:color="auto"/>
                <w:bottom w:val="none" w:sz="0" w:space="0" w:color="auto"/>
                <w:right w:val="none" w:sz="0" w:space="0" w:color="auto"/>
              </w:divBdr>
            </w:div>
            <w:div w:id="1095173079">
              <w:marLeft w:val="0"/>
              <w:marRight w:val="0"/>
              <w:marTop w:val="0"/>
              <w:marBottom w:val="0"/>
              <w:divBdr>
                <w:top w:val="none" w:sz="0" w:space="0" w:color="auto"/>
                <w:left w:val="none" w:sz="0" w:space="0" w:color="auto"/>
                <w:bottom w:val="none" w:sz="0" w:space="0" w:color="auto"/>
                <w:right w:val="none" w:sz="0" w:space="0" w:color="auto"/>
              </w:divBdr>
            </w:div>
            <w:div w:id="1803183301">
              <w:marLeft w:val="0"/>
              <w:marRight w:val="0"/>
              <w:marTop w:val="0"/>
              <w:marBottom w:val="0"/>
              <w:divBdr>
                <w:top w:val="none" w:sz="0" w:space="0" w:color="auto"/>
                <w:left w:val="none" w:sz="0" w:space="0" w:color="auto"/>
                <w:bottom w:val="none" w:sz="0" w:space="0" w:color="auto"/>
                <w:right w:val="none" w:sz="0" w:space="0" w:color="auto"/>
              </w:divBdr>
            </w:div>
            <w:div w:id="2012948200">
              <w:marLeft w:val="0"/>
              <w:marRight w:val="0"/>
              <w:marTop w:val="0"/>
              <w:marBottom w:val="0"/>
              <w:divBdr>
                <w:top w:val="none" w:sz="0" w:space="0" w:color="auto"/>
                <w:left w:val="none" w:sz="0" w:space="0" w:color="auto"/>
                <w:bottom w:val="none" w:sz="0" w:space="0" w:color="auto"/>
                <w:right w:val="none" w:sz="0" w:space="0" w:color="auto"/>
              </w:divBdr>
            </w:div>
          </w:divsChild>
        </w:div>
        <w:div w:id="1616404269">
          <w:marLeft w:val="0"/>
          <w:marRight w:val="0"/>
          <w:marTop w:val="0"/>
          <w:marBottom w:val="0"/>
          <w:divBdr>
            <w:top w:val="none" w:sz="0" w:space="0" w:color="auto"/>
            <w:left w:val="none" w:sz="0" w:space="0" w:color="auto"/>
            <w:bottom w:val="none" w:sz="0" w:space="0" w:color="auto"/>
            <w:right w:val="none" w:sz="0" w:space="0" w:color="auto"/>
          </w:divBdr>
        </w:div>
        <w:div w:id="1714958352">
          <w:marLeft w:val="0"/>
          <w:marRight w:val="0"/>
          <w:marTop w:val="0"/>
          <w:marBottom w:val="0"/>
          <w:divBdr>
            <w:top w:val="none" w:sz="0" w:space="0" w:color="auto"/>
            <w:left w:val="none" w:sz="0" w:space="0" w:color="auto"/>
            <w:bottom w:val="none" w:sz="0" w:space="0" w:color="auto"/>
            <w:right w:val="none" w:sz="0" w:space="0" w:color="auto"/>
          </w:divBdr>
          <w:divsChild>
            <w:div w:id="251088637">
              <w:marLeft w:val="0"/>
              <w:marRight w:val="0"/>
              <w:marTop w:val="0"/>
              <w:marBottom w:val="0"/>
              <w:divBdr>
                <w:top w:val="none" w:sz="0" w:space="0" w:color="auto"/>
                <w:left w:val="none" w:sz="0" w:space="0" w:color="auto"/>
                <w:bottom w:val="none" w:sz="0" w:space="0" w:color="auto"/>
                <w:right w:val="none" w:sz="0" w:space="0" w:color="auto"/>
              </w:divBdr>
            </w:div>
          </w:divsChild>
        </w:div>
        <w:div w:id="1717005863">
          <w:marLeft w:val="0"/>
          <w:marRight w:val="0"/>
          <w:marTop w:val="0"/>
          <w:marBottom w:val="0"/>
          <w:divBdr>
            <w:top w:val="none" w:sz="0" w:space="0" w:color="auto"/>
            <w:left w:val="none" w:sz="0" w:space="0" w:color="auto"/>
            <w:bottom w:val="none" w:sz="0" w:space="0" w:color="auto"/>
            <w:right w:val="none" w:sz="0" w:space="0" w:color="auto"/>
          </w:divBdr>
        </w:div>
        <w:div w:id="1724211600">
          <w:marLeft w:val="0"/>
          <w:marRight w:val="0"/>
          <w:marTop w:val="0"/>
          <w:marBottom w:val="0"/>
          <w:divBdr>
            <w:top w:val="none" w:sz="0" w:space="0" w:color="auto"/>
            <w:left w:val="none" w:sz="0" w:space="0" w:color="auto"/>
            <w:bottom w:val="none" w:sz="0" w:space="0" w:color="auto"/>
            <w:right w:val="none" w:sz="0" w:space="0" w:color="auto"/>
          </w:divBdr>
        </w:div>
        <w:div w:id="1771242229">
          <w:marLeft w:val="0"/>
          <w:marRight w:val="0"/>
          <w:marTop w:val="0"/>
          <w:marBottom w:val="0"/>
          <w:divBdr>
            <w:top w:val="none" w:sz="0" w:space="0" w:color="auto"/>
            <w:left w:val="none" w:sz="0" w:space="0" w:color="auto"/>
            <w:bottom w:val="none" w:sz="0" w:space="0" w:color="auto"/>
            <w:right w:val="none" w:sz="0" w:space="0" w:color="auto"/>
          </w:divBdr>
        </w:div>
        <w:div w:id="1825244414">
          <w:marLeft w:val="0"/>
          <w:marRight w:val="0"/>
          <w:marTop w:val="0"/>
          <w:marBottom w:val="0"/>
          <w:divBdr>
            <w:top w:val="none" w:sz="0" w:space="0" w:color="auto"/>
            <w:left w:val="none" w:sz="0" w:space="0" w:color="auto"/>
            <w:bottom w:val="none" w:sz="0" w:space="0" w:color="auto"/>
            <w:right w:val="none" w:sz="0" w:space="0" w:color="auto"/>
          </w:divBdr>
        </w:div>
        <w:div w:id="1848135984">
          <w:marLeft w:val="0"/>
          <w:marRight w:val="0"/>
          <w:marTop w:val="0"/>
          <w:marBottom w:val="0"/>
          <w:divBdr>
            <w:top w:val="none" w:sz="0" w:space="0" w:color="auto"/>
            <w:left w:val="none" w:sz="0" w:space="0" w:color="auto"/>
            <w:bottom w:val="none" w:sz="0" w:space="0" w:color="auto"/>
            <w:right w:val="none" w:sz="0" w:space="0" w:color="auto"/>
          </w:divBdr>
        </w:div>
        <w:div w:id="1888636452">
          <w:marLeft w:val="0"/>
          <w:marRight w:val="0"/>
          <w:marTop w:val="0"/>
          <w:marBottom w:val="0"/>
          <w:divBdr>
            <w:top w:val="none" w:sz="0" w:space="0" w:color="auto"/>
            <w:left w:val="none" w:sz="0" w:space="0" w:color="auto"/>
            <w:bottom w:val="none" w:sz="0" w:space="0" w:color="auto"/>
            <w:right w:val="none" w:sz="0" w:space="0" w:color="auto"/>
          </w:divBdr>
        </w:div>
        <w:div w:id="1915820831">
          <w:marLeft w:val="0"/>
          <w:marRight w:val="0"/>
          <w:marTop w:val="0"/>
          <w:marBottom w:val="0"/>
          <w:divBdr>
            <w:top w:val="none" w:sz="0" w:space="0" w:color="auto"/>
            <w:left w:val="none" w:sz="0" w:space="0" w:color="auto"/>
            <w:bottom w:val="none" w:sz="0" w:space="0" w:color="auto"/>
            <w:right w:val="none" w:sz="0" w:space="0" w:color="auto"/>
          </w:divBdr>
        </w:div>
        <w:div w:id="1933320939">
          <w:marLeft w:val="0"/>
          <w:marRight w:val="0"/>
          <w:marTop w:val="0"/>
          <w:marBottom w:val="0"/>
          <w:divBdr>
            <w:top w:val="none" w:sz="0" w:space="0" w:color="auto"/>
            <w:left w:val="none" w:sz="0" w:space="0" w:color="auto"/>
            <w:bottom w:val="none" w:sz="0" w:space="0" w:color="auto"/>
            <w:right w:val="none" w:sz="0" w:space="0" w:color="auto"/>
          </w:divBdr>
          <w:divsChild>
            <w:div w:id="687760666">
              <w:marLeft w:val="0"/>
              <w:marRight w:val="0"/>
              <w:marTop w:val="0"/>
              <w:marBottom w:val="0"/>
              <w:divBdr>
                <w:top w:val="none" w:sz="0" w:space="0" w:color="auto"/>
                <w:left w:val="none" w:sz="0" w:space="0" w:color="auto"/>
                <w:bottom w:val="none" w:sz="0" w:space="0" w:color="auto"/>
                <w:right w:val="none" w:sz="0" w:space="0" w:color="auto"/>
              </w:divBdr>
            </w:div>
            <w:div w:id="885994355">
              <w:marLeft w:val="0"/>
              <w:marRight w:val="0"/>
              <w:marTop w:val="0"/>
              <w:marBottom w:val="0"/>
              <w:divBdr>
                <w:top w:val="none" w:sz="0" w:space="0" w:color="auto"/>
                <w:left w:val="none" w:sz="0" w:space="0" w:color="auto"/>
                <w:bottom w:val="none" w:sz="0" w:space="0" w:color="auto"/>
                <w:right w:val="none" w:sz="0" w:space="0" w:color="auto"/>
              </w:divBdr>
            </w:div>
            <w:div w:id="1873107203">
              <w:marLeft w:val="0"/>
              <w:marRight w:val="0"/>
              <w:marTop w:val="0"/>
              <w:marBottom w:val="0"/>
              <w:divBdr>
                <w:top w:val="none" w:sz="0" w:space="0" w:color="auto"/>
                <w:left w:val="none" w:sz="0" w:space="0" w:color="auto"/>
                <w:bottom w:val="none" w:sz="0" w:space="0" w:color="auto"/>
                <w:right w:val="none" w:sz="0" w:space="0" w:color="auto"/>
              </w:divBdr>
            </w:div>
          </w:divsChild>
        </w:div>
        <w:div w:id="1942713644">
          <w:marLeft w:val="0"/>
          <w:marRight w:val="0"/>
          <w:marTop w:val="0"/>
          <w:marBottom w:val="0"/>
          <w:divBdr>
            <w:top w:val="none" w:sz="0" w:space="0" w:color="auto"/>
            <w:left w:val="none" w:sz="0" w:space="0" w:color="auto"/>
            <w:bottom w:val="none" w:sz="0" w:space="0" w:color="auto"/>
            <w:right w:val="none" w:sz="0" w:space="0" w:color="auto"/>
          </w:divBdr>
        </w:div>
        <w:div w:id="1945720630">
          <w:marLeft w:val="0"/>
          <w:marRight w:val="0"/>
          <w:marTop w:val="0"/>
          <w:marBottom w:val="0"/>
          <w:divBdr>
            <w:top w:val="none" w:sz="0" w:space="0" w:color="auto"/>
            <w:left w:val="none" w:sz="0" w:space="0" w:color="auto"/>
            <w:bottom w:val="none" w:sz="0" w:space="0" w:color="auto"/>
            <w:right w:val="none" w:sz="0" w:space="0" w:color="auto"/>
          </w:divBdr>
          <w:divsChild>
            <w:div w:id="80369207">
              <w:marLeft w:val="0"/>
              <w:marRight w:val="0"/>
              <w:marTop w:val="0"/>
              <w:marBottom w:val="0"/>
              <w:divBdr>
                <w:top w:val="none" w:sz="0" w:space="0" w:color="auto"/>
                <w:left w:val="none" w:sz="0" w:space="0" w:color="auto"/>
                <w:bottom w:val="none" w:sz="0" w:space="0" w:color="auto"/>
                <w:right w:val="none" w:sz="0" w:space="0" w:color="auto"/>
              </w:divBdr>
            </w:div>
            <w:div w:id="337930278">
              <w:marLeft w:val="0"/>
              <w:marRight w:val="0"/>
              <w:marTop w:val="0"/>
              <w:marBottom w:val="0"/>
              <w:divBdr>
                <w:top w:val="none" w:sz="0" w:space="0" w:color="auto"/>
                <w:left w:val="none" w:sz="0" w:space="0" w:color="auto"/>
                <w:bottom w:val="none" w:sz="0" w:space="0" w:color="auto"/>
                <w:right w:val="none" w:sz="0" w:space="0" w:color="auto"/>
              </w:divBdr>
            </w:div>
            <w:div w:id="416681047">
              <w:marLeft w:val="0"/>
              <w:marRight w:val="0"/>
              <w:marTop w:val="0"/>
              <w:marBottom w:val="0"/>
              <w:divBdr>
                <w:top w:val="none" w:sz="0" w:space="0" w:color="auto"/>
                <w:left w:val="none" w:sz="0" w:space="0" w:color="auto"/>
                <w:bottom w:val="none" w:sz="0" w:space="0" w:color="auto"/>
                <w:right w:val="none" w:sz="0" w:space="0" w:color="auto"/>
              </w:divBdr>
            </w:div>
            <w:div w:id="584067949">
              <w:marLeft w:val="0"/>
              <w:marRight w:val="0"/>
              <w:marTop w:val="0"/>
              <w:marBottom w:val="0"/>
              <w:divBdr>
                <w:top w:val="none" w:sz="0" w:space="0" w:color="auto"/>
                <w:left w:val="none" w:sz="0" w:space="0" w:color="auto"/>
                <w:bottom w:val="none" w:sz="0" w:space="0" w:color="auto"/>
                <w:right w:val="none" w:sz="0" w:space="0" w:color="auto"/>
              </w:divBdr>
            </w:div>
          </w:divsChild>
        </w:div>
        <w:div w:id="2025473048">
          <w:marLeft w:val="0"/>
          <w:marRight w:val="0"/>
          <w:marTop w:val="0"/>
          <w:marBottom w:val="0"/>
          <w:divBdr>
            <w:top w:val="none" w:sz="0" w:space="0" w:color="auto"/>
            <w:left w:val="none" w:sz="0" w:space="0" w:color="auto"/>
            <w:bottom w:val="none" w:sz="0" w:space="0" w:color="auto"/>
            <w:right w:val="none" w:sz="0" w:space="0" w:color="auto"/>
          </w:divBdr>
        </w:div>
        <w:div w:id="2030908086">
          <w:marLeft w:val="0"/>
          <w:marRight w:val="0"/>
          <w:marTop w:val="0"/>
          <w:marBottom w:val="0"/>
          <w:divBdr>
            <w:top w:val="none" w:sz="0" w:space="0" w:color="auto"/>
            <w:left w:val="none" w:sz="0" w:space="0" w:color="auto"/>
            <w:bottom w:val="none" w:sz="0" w:space="0" w:color="auto"/>
            <w:right w:val="none" w:sz="0" w:space="0" w:color="auto"/>
          </w:divBdr>
        </w:div>
        <w:div w:id="2048217914">
          <w:marLeft w:val="0"/>
          <w:marRight w:val="0"/>
          <w:marTop w:val="0"/>
          <w:marBottom w:val="0"/>
          <w:divBdr>
            <w:top w:val="none" w:sz="0" w:space="0" w:color="auto"/>
            <w:left w:val="none" w:sz="0" w:space="0" w:color="auto"/>
            <w:bottom w:val="none" w:sz="0" w:space="0" w:color="auto"/>
            <w:right w:val="none" w:sz="0" w:space="0" w:color="auto"/>
          </w:divBdr>
        </w:div>
        <w:div w:id="2057125205">
          <w:marLeft w:val="0"/>
          <w:marRight w:val="0"/>
          <w:marTop w:val="0"/>
          <w:marBottom w:val="0"/>
          <w:divBdr>
            <w:top w:val="none" w:sz="0" w:space="0" w:color="auto"/>
            <w:left w:val="none" w:sz="0" w:space="0" w:color="auto"/>
            <w:bottom w:val="none" w:sz="0" w:space="0" w:color="auto"/>
            <w:right w:val="none" w:sz="0" w:space="0" w:color="auto"/>
          </w:divBdr>
        </w:div>
        <w:div w:id="2090809686">
          <w:marLeft w:val="0"/>
          <w:marRight w:val="0"/>
          <w:marTop w:val="0"/>
          <w:marBottom w:val="0"/>
          <w:divBdr>
            <w:top w:val="none" w:sz="0" w:space="0" w:color="auto"/>
            <w:left w:val="none" w:sz="0" w:space="0" w:color="auto"/>
            <w:bottom w:val="none" w:sz="0" w:space="0" w:color="auto"/>
            <w:right w:val="none" w:sz="0" w:space="0" w:color="auto"/>
          </w:divBdr>
          <w:divsChild>
            <w:div w:id="1574655178">
              <w:marLeft w:val="-75"/>
              <w:marRight w:val="0"/>
              <w:marTop w:val="30"/>
              <w:marBottom w:val="30"/>
              <w:divBdr>
                <w:top w:val="none" w:sz="0" w:space="0" w:color="auto"/>
                <w:left w:val="none" w:sz="0" w:space="0" w:color="auto"/>
                <w:bottom w:val="none" w:sz="0" w:space="0" w:color="auto"/>
                <w:right w:val="none" w:sz="0" w:space="0" w:color="auto"/>
              </w:divBdr>
              <w:divsChild>
                <w:div w:id="16464574">
                  <w:marLeft w:val="0"/>
                  <w:marRight w:val="0"/>
                  <w:marTop w:val="0"/>
                  <w:marBottom w:val="0"/>
                  <w:divBdr>
                    <w:top w:val="none" w:sz="0" w:space="0" w:color="auto"/>
                    <w:left w:val="none" w:sz="0" w:space="0" w:color="auto"/>
                    <w:bottom w:val="none" w:sz="0" w:space="0" w:color="auto"/>
                    <w:right w:val="none" w:sz="0" w:space="0" w:color="auto"/>
                  </w:divBdr>
                  <w:divsChild>
                    <w:div w:id="20981229">
                      <w:marLeft w:val="0"/>
                      <w:marRight w:val="0"/>
                      <w:marTop w:val="0"/>
                      <w:marBottom w:val="0"/>
                      <w:divBdr>
                        <w:top w:val="none" w:sz="0" w:space="0" w:color="auto"/>
                        <w:left w:val="none" w:sz="0" w:space="0" w:color="auto"/>
                        <w:bottom w:val="none" w:sz="0" w:space="0" w:color="auto"/>
                        <w:right w:val="none" w:sz="0" w:space="0" w:color="auto"/>
                      </w:divBdr>
                    </w:div>
                    <w:div w:id="103352730">
                      <w:marLeft w:val="0"/>
                      <w:marRight w:val="0"/>
                      <w:marTop w:val="0"/>
                      <w:marBottom w:val="0"/>
                      <w:divBdr>
                        <w:top w:val="none" w:sz="0" w:space="0" w:color="auto"/>
                        <w:left w:val="none" w:sz="0" w:space="0" w:color="auto"/>
                        <w:bottom w:val="none" w:sz="0" w:space="0" w:color="auto"/>
                        <w:right w:val="none" w:sz="0" w:space="0" w:color="auto"/>
                      </w:divBdr>
                    </w:div>
                    <w:div w:id="421292796">
                      <w:marLeft w:val="0"/>
                      <w:marRight w:val="0"/>
                      <w:marTop w:val="0"/>
                      <w:marBottom w:val="0"/>
                      <w:divBdr>
                        <w:top w:val="none" w:sz="0" w:space="0" w:color="auto"/>
                        <w:left w:val="none" w:sz="0" w:space="0" w:color="auto"/>
                        <w:bottom w:val="none" w:sz="0" w:space="0" w:color="auto"/>
                        <w:right w:val="none" w:sz="0" w:space="0" w:color="auto"/>
                      </w:divBdr>
                    </w:div>
                    <w:div w:id="433402053">
                      <w:marLeft w:val="0"/>
                      <w:marRight w:val="0"/>
                      <w:marTop w:val="0"/>
                      <w:marBottom w:val="0"/>
                      <w:divBdr>
                        <w:top w:val="none" w:sz="0" w:space="0" w:color="auto"/>
                        <w:left w:val="none" w:sz="0" w:space="0" w:color="auto"/>
                        <w:bottom w:val="none" w:sz="0" w:space="0" w:color="auto"/>
                        <w:right w:val="none" w:sz="0" w:space="0" w:color="auto"/>
                      </w:divBdr>
                    </w:div>
                    <w:div w:id="475341387">
                      <w:marLeft w:val="0"/>
                      <w:marRight w:val="0"/>
                      <w:marTop w:val="0"/>
                      <w:marBottom w:val="0"/>
                      <w:divBdr>
                        <w:top w:val="none" w:sz="0" w:space="0" w:color="auto"/>
                        <w:left w:val="none" w:sz="0" w:space="0" w:color="auto"/>
                        <w:bottom w:val="none" w:sz="0" w:space="0" w:color="auto"/>
                        <w:right w:val="none" w:sz="0" w:space="0" w:color="auto"/>
                      </w:divBdr>
                    </w:div>
                    <w:div w:id="558322956">
                      <w:marLeft w:val="0"/>
                      <w:marRight w:val="0"/>
                      <w:marTop w:val="0"/>
                      <w:marBottom w:val="0"/>
                      <w:divBdr>
                        <w:top w:val="none" w:sz="0" w:space="0" w:color="auto"/>
                        <w:left w:val="none" w:sz="0" w:space="0" w:color="auto"/>
                        <w:bottom w:val="none" w:sz="0" w:space="0" w:color="auto"/>
                        <w:right w:val="none" w:sz="0" w:space="0" w:color="auto"/>
                      </w:divBdr>
                    </w:div>
                    <w:div w:id="585382041">
                      <w:marLeft w:val="0"/>
                      <w:marRight w:val="0"/>
                      <w:marTop w:val="0"/>
                      <w:marBottom w:val="0"/>
                      <w:divBdr>
                        <w:top w:val="none" w:sz="0" w:space="0" w:color="auto"/>
                        <w:left w:val="none" w:sz="0" w:space="0" w:color="auto"/>
                        <w:bottom w:val="none" w:sz="0" w:space="0" w:color="auto"/>
                        <w:right w:val="none" w:sz="0" w:space="0" w:color="auto"/>
                      </w:divBdr>
                    </w:div>
                    <w:div w:id="599871740">
                      <w:marLeft w:val="0"/>
                      <w:marRight w:val="0"/>
                      <w:marTop w:val="0"/>
                      <w:marBottom w:val="0"/>
                      <w:divBdr>
                        <w:top w:val="none" w:sz="0" w:space="0" w:color="auto"/>
                        <w:left w:val="none" w:sz="0" w:space="0" w:color="auto"/>
                        <w:bottom w:val="none" w:sz="0" w:space="0" w:color="auto"/>
                        <w:right w:val="none" w:sz="0" w:space="0" w:color="auto"/>
                      </w:divBdr>
                    </w:div>
                    <w:div w:id="1189828831">
                      <w:marLeft w:val="0"/>
                      <w:marRight w:val="0"/>
                      <w:marTop w:val="0"/>
                      <w:marBottom w:val="0"/>
                      <w:divBdr>
                        <w:top w:val="none" w:sz="0" w:space="0" w:color="auto"/>
                        <w:left w:val="none" w:sz="0" w:space="0" w:color="auto"/>
                        <w:bottom w:val="none" w:sz="0" w:space="0" w:color="auto"/>
                        <w:right w:val="none" w:sz="0" w:space="0" w:color="auto"/>
                      </w:divBdr>
                    </w:div>
                    <w:div w:id="1223101166">
                      <w:marLeft w:val="0"/>
                      <w:marRight w:val="0"/>
                      <w:marTop w:val="0"/>
                      <w:marBottom w:val="0"/>
                      <w:divBdr>
                        <w:top w:val="none" w:sz="0" w:space="0" w:color="auto"/>
                        <w:left w:val="none" w:sz="0" w:space="0" w:color="auto"/>
                        <w:bottom w:val="none" w:sz="0" w:space="0" w:color="auto"/>
                        <w:right w:val="none" w:sz="0" w:space="0" w:color="auto"/>
                      </w:divBdr>
                    </w:div>
                    <w:div w:id="1310094595">
                      <w:marLeft w:val="0"/>
                      <w:marRight w:val="0"/>
                      <w:marTop w:val="0"/>
                      <w:marBottom w:val="0"/>
                      <w:divBdr>
                        <w:top w:val="none" w:sz="0" w:space="0" w:color="auto"/>
                        <w:left w:val="none" w:sz="0" w:space="0" w:color="auto"/>
                        <w:bottom w:val="none" w:sz="0" w:space="0" w:color="auto"/>
                        <w:right w:val="none" w:sz="0" w:space="0" w:color="auto"/>
                      </w:divBdr>
                    </w:div>
                    <w:div w:id="1452479939">
                      <w:marLeft w:val="0"/>
                      <w:marRight w:val="0"/>
                      <w:marTop w:val="0"/>
                      <w:marBottom w:val="0"/>
                      <w:divBdr>
                        <w:top w:val="none" w:sz="0" w:space="0" w:color="auto"/>
                        <w:left w:val="none" w:sz="0" w:space="0" w:color="auto"/>
                        <w:bottom w:val="none" w:sz="0" w:space="0" w:color="auto"/>
                        <w:right w:val="none" w:sz="0" w:space="0" w:color="auto"/>
                      </w:divBdr>
                    </w:div>
                    <w:div w:id="1541241161">
                      <w:marLeft w:val="0"/>
                      <w:marRight w:val="0"/>
                      <w:marTop w:val="0"/>
                      <w:marBottom w:val="0"/>
                      <w:divBdr>
                        <w:top w:val="none" w:sz="0" w:space="0" w:color="auto"/>
                        <w:left w:val="none" w:sz="0" w:space="0" w:color="auto"/>
                        <w:bottom w:val="none" w:sz="0" w:space="0" w:color="auto"/>
                        <w:right w:val="none" w:sz="0" w:space="0" w:color="auto"/>
                      </w:divBdr>
                    </w:div>
                    <w:div w:id="1547642305">
                      <w:marLeft w:val="0"/>
                      <w:marRight w:val="0"/>
                      <w:marTop w:val="0"/>
                      <w:marBottom w:val="0"/>
                      <w:divBdr>
                        <w:top w:val="none" w:sz="0" w:space="0" w:color="auto"/>
                        <w:left w:val="none" w:sz="0" w:space="0" w:color="auto"/>
                        <w:bottom w:val="none" w:sz="0" w:space="0" w:color="auto"/>
                        <w:right w:val="none" w:sz="0" w:space="0" w:color="auto"/>
                      </w:divBdr>
                    </w:div>
                    <w:div w:id="1567644761">
                      <w:marLeft w:val="0"/>
                      <w:marRight w:val="0"/>
                      <w:marTop w:val="0"/>
                      <w:marBottom w:val="0"/>
                      <w:divBdr>
                        <w:top w:val="none" w:sz="0" w:space="0" w:color="auto"/>
                        <w:left w:val="none" w:sz="0" w:space="0" w:color="auto"/>
                        <w:bottom w:val="none" w:sz="0" w:space="0" w:color="auto"/>
                        <w:right w:val="none" w:sz="0" w:space="0" w:color="auto"/>
                      </w:divBdr>
                    </w:div>
                    <w:div w:id="1577083157">
                      <w:marLeft w:val="0"/>
                      <w:marRight w:val="0"/>
                      <w:marTop w:val="0"/>
                      <w:marBottom w:val="0"/>
                      <w:divBdr>
                        <w:top w:val="none" w:sz="0" w:space="0" w:color="auto"/>
                        <w:left w:val="none" w:sz="0" w:space="0" w:color="auto"/>
                        <w:bottom w:val="none" w:sz="0" w:space="0" w:color="auto"/>
                        <w:right w:val="none" w:sz="0" w:space="0" w:color="auto"/>
                      </w:divBdr>
                    </w:div>
                    <w:div w:id="1589844594">
                      <w:marLeft w:val="0"/>
                      <w:marRight w:val="0"/>
                      <w:marTop w:val="0"/>
                      <w:marBottom w:val="0"/>
                      <w:divBdr>
                        <w:top w:val="none" w:sz="0" w:space="0" w:color="auto"/>
                        <w:left w:val="none" w:sz="0" w:space="0" w:color="auto"/>
                        <w:bottom w:val="none" w:sz="0" w:space="0" w:color="auto"/>
                        <w:right w:val="none" w:sz="0" w:space="0" w:color="auto"/>
                      </w:divBdr>
                    </w:div>
                    <w:div w:id="1662613425">
                      <w:marLeft w:val="0"/>
                      <w:marRight w:val="0"/>
                      <w:marTop w:val="0"/>
                      <w:marBottom w:val="0"/>
                      <w:divBdr>
                        <w:top w:val="none" w:sz="0" w:space="0" w:color="auto"/>
                        <w:left w:val="none" w:sz="0" w:space="0" w:color="auto"/>
                        <w:bottom w:val="none" w:sz="0" w:space="0" w:color="auto"/>
                        <w:right w:val="none" w:sz="0" w:space="0" w:color="auto"/>
                      </w:divBdr>
                    </w:div>
                    <w:div w:id="1736317823">
                      <w:marLeft w:val="0"/>
                      <w:marRight w:val="0"/>
                      <w:marTop w:val="0"/>
                      <w:marBottom w:val="0"/>
                      <w:divBdr>
                        <w:top w:val="none" w:sz="0" w:space="0" w:color="auto"/>
                        <w:left w:val="none" w:sz="0" w:space="0" w:color="auto"/>
                        <w:bottom w:val="none" w:sz="0" w:space="0" w:color="auto"/>
                        <w:right w:val="none" w:sz="0" w:space="0" w:color="auto"/>
                      </w:divBdr>
                    </w:div>
                    <w:div w:id="1812214265">
                      <w:marLeft w:val="0"/>
                      <w:marRight w:val="0"/>
                      <w:marTop w:val="0"/>
                      <w:marBottom w:val="0"/>
                      <w:divBdr>
                        <w:top w:val="none" w:sz="0" w:space="0" w:color="auto"/>
                        <w:left w:val="none" w:sz="0" w:space="0" w:color="auto"/>
                        <w:bottom w:val="none" w:sz="0" w:space="0" w:color="auto"/>
                        <w:right w:val="none" w:sz="0" w:space="0" w:color="auto"/>
                      </w:divBdr>
                    </w:div>
                    <w:div w:id="1876043930">
                      <w:marLeft w:val="0"/>
                      <w:marRight w:val="0"/>
                      <w:marTop w:val="0"/>
                      <w:marBottom w:val="0"/>
                      <w:divBdr>
                        <w:top w:val="none" w:sz="0" w:space="0" w:color="auto"/>
                        <w:left w:val="none" w:sz="0" w:space="0" w:color="auto"/>
                        <w:bottom w:val="none" w:sz="0" w:space="0" w:color="auto"/>
                        <w:right w:val="none" w:sz="0" w:space="0" w:color="auto"/>
                      </w:divBdr>
                    </w:div>
                    <w:div w:id="1975209705">
                      <w:marLeft w:val="0"/>
                      <w:marRight w:val="0"/>
                      <w:marTop w:val="0"/>
                      <w:marBottom w:val="0"/>
                      <w:divBdr>
                        <w:top w:val="none" w:sz="0" w:space="0" w:color="auto"/>
                        <w:left w:val="none" w:sz="0" w:space="0" w:color="auto"/>
                        <w:bottom w:val="none" w:sz="0" w:space="0" w:color="auto"/>
                        <w:right w:val="none" w:sz="0" w:space="0" w:color="auto"/>
                      </w:divBdr>
                    </w:div>
                    <w:div w:id="2053340321">
                      <w:marLeft w:val="0"/>
                      <w:marRight w:val="0"/>
                      <w:marTop w:val="0"/>
                      <w:marBottom w:val="0"/>
                      <w:divBdr>
                        <w:top w:val="none" w:sz="0" w:space="0" w:color="auto"/>
                        <w:left w:val="none" w:sz="0" w:space="0" w:color="auto"/>
                        <w:bottom w:val="none" w:sz="0" w:space="0" w:color="auto"/>
                        <w:right w:val="none" w:sz="0" w:space="0" w:color="auto"/>
                      </w:divBdr>
                    </w:div>
                    <w:div w:id="2075659868">
                      <w:marLeft w:val="0"/>
                      <w:marRight w:val="0"/>
                      <w:marTop w:val="0"/>
                      <w:marBottom w:val="0"/>
                      <w:divBdr>
                        <w:top w:val="none" w:sz="0" w:space="0" w:color="auto"/>
                        <w:left w:val="none" w:sz="0" w:space="0" w:color="auto"/>
                        <w:bottom w:val="none" w:sz="0" w:space="0" w:color="auto"/>
                        <w:right w:val="none" w:sz="0" w:space="0" w:color="auto"/>
                      </w:divBdr>
                    </w:div>
                    <w:div w:id="2087605759">
                      <w:marLeft w:val="0"/>
                      <w:marRight w:val="0"/>
                      <w:marTop w:val="0"/>
                      <w:marBottom w:val="0"/>
                      <w:divBdr>
                        <w:top w:val="none" w:sz="0" w:space="0" w:color="auto"/>
                        <w:left w:val="none" w:sz="0" w:space="0" w:color="auto"/>
                        <w:bottom w:val="none" w:sz="0" w:space="0" w:color="auto"/>
                        <w:right w:val="none" w:sz="0" w:space="0" w:color="auto"/>
                      </w:divBdr>
                    </w:div>
                    <w:div w:id="2089617765">
                      <w:marLeft w:val="0"/>
                      <w:marRight w:val="0"/>
                      <w:marTop w:val="0"/>
                      <w:marBottom w:val="0"/>
                      <w:divBdr>
                        <w:top w:val="none" w:sz="0" w:space="0" w:color="auto"/>
                        <w:left w:val="none" w:sz="0" w:space="0" w:color="auto"/>
                        <w:bottom w:val="none" w:sz="0" w:space="0" w:color="auto"/>
                        <w:right w:val="none" w:sz="0" w:space="0" w:color="auto"/>
                      </w:divBdr>
                    </w:div>
                  </w:divsChild>
                </w:div>
                <w:div w:id="471796913">
                  <w:marLeft w:val="0"/>
                  <w:marRight w:val="0"/>
                  <w:marTop w:val="0"/>
                  <w:marBottom w:val="0"/>
                  <w:divBdr>
                    <w:top w:val="none" w:sz="0" w:space="0" w:color="auto"/>
                    <w:left w:val="none" w:sz="0" w:space="0" w:color="auto"/>
                    <w:bottom w:val="none" w:sz="0" w:space="0" w:color="auto"/>
                    <w:right w:val="none" w:sz="0" w:space="0" w:color="auto"/>
                  </w:divBdr>
                  <w:divsChild>
                    <w:div w:id="1655984001">
                      <w:marLeft w:val="0"/>
                      <w:marRight w:val="0"/>
                      <w:marTop w:val="0"/>
                      <w:marBottom w:val="0"/>
                      <w:divBdr>
                        <w:top w:val="none" w:sz="0" w:space="0" w:color="auto"/>
                        <w:left w:val="none" w:sz="0" w:space="0" w:color="auto"/>
                        <w:bottom w:val="none" w:sz="0" w:space="0" w:color="auto"/>
                        <w:right w:val="none" w:sz="0" w:space="0" w:color="auto"/>
                      </w:divBdr>
                    </w:div>
                  </w:divsChild>
                </w:div>
                <w:div w:id="1125926682">
                  <w:marLeft w:val="0"/>
                  <w:marRight w:val="0"/>
                  <w:marTop w:val="0"/>
                  <w:marBottom w:val="0"/>
                  <w:divBdr>
                    <w:top w:val="none" w:sz="0" w:space="0" w:color="auto"/>
                    <w:left w:val="none" w:sz="0" w:space="0" w:color="auto"/>
                    <w:bottom w:val="none" w:sz="0" w:space="0" w:color="auto"/>
                    <w:right w:val="none" w:sz="0" w:space="0" w:color="auto"/>
                  </w:divBdr>
                  <w:divsChild>
                    <w:div w:id="629626147">
                      <w:marLeft w:val="0"/>
                      <w:marRight w:val="0"/>
                      <w:marTop w:val="0"/>
                      <w:marBottom w:val="0"/>
                      <w:divBdr>
                        <w:top w:val="none" w:sz="0" w:space="0" w:color="auto"/>
                        <w:left w:val="none" w:sz="0" w:space="0" w:color="auto"/>
                        <w:bottom w:val="none" w:sz="0" w:space="0" w:color="auto"/>
                        <w:right w:val="none" w:sz="0" w:space="0" w:color="auto"/>
                      </w:divBdr>
                    </w:div>
                  </w:divsChild>
                </w:div>
                <w:div w:id="1299535138">
                  <w:marLeft w:val="0"/>
                  <w:marRight w:val="0"/>
                  <w:marTop w:val="0"/>
                  <w:marBottom w:val="0"/>
                  <w:divBdr>
                    <w:top w:val="none" w:sz="0" w:space="0" w:color="auto"/>
                    <w:left w:val="none" w:sz="0" w:space="0" w:color="auto"/>
                    <w:bottom w:val="none" w:sz="0" w:space="0" w:color="auto"/>
                    <w:right w:val="none" w:sz="0" w:space="0" w:color="auto"/>
                  </w:divBdr>
                  <w:divsChild>
                    <w:div w:id="779027078">
                      <w:marLeft w:val="0"/>
                      <w:marRight w:val="0"/>
                      <w:marTop w:val="0"/>
                      <w:marBottom w:val="0"/>
                      <w:divBdr>
                        <w:top w:val="none" w:sz="0" w:space="0" w:color="auto"/>
                        <w:left w:val="none" w:sz="0" w:space="0" w:color="auto"/>
                        <w:bottom w:val="none" w:sz="0" w:space="0" w:color="auto"/>
                        <w:right w:val="none" w:sz="0" w:space="0" w:color="auto"/>
                      </w:divBdr>
                    </w:div>
                    <w:div w:id="946229629">
                      <w:marLeft w:val="0"/>
                      <w:marRight w:val="0"/>
                      <w:marTop w:val="0"/>
                      <w:marBottom w:val="0"/>
                      <w:divBdr>
                        <w:top w:val="none" w:sz="0" w:space="0" w:color="auto"/>
                        <w:left w:val="none" w:sz="0" w:space="0" w:color="auto"/>
                        <w:bottom w:val="none" w:sz="0" w:space="0" w:color="auto"/>
                        <w:right w:val="none" w:sz="0" w:space="0" w:color="auto"/>
                      </w:divBdr>
                    </w:div>
                    <w:div w:id="1458836819">
                      <w:marLeft w:val="0"/>
                      <w:marRight w:val="0"/>
                      <w:marTop w:val="0"/>
                      <w:marBottom w:val="0"/>
                      <w:divBdr>
                        <w:top w:val="none" w:sz="0" w:space="0" w:color="auto"/>
                        <w:left w:val="none" w:sz="0" w:space="0" w:color="auto"/>
                        <w:bottom w:val="none" w:sz="0" w:space="0" w:color="auto"/>
                        <w:right w:val="none" w:sz="0" w:space="0" w:color="auto"/>
                      </w:divBdr>
                    </w:div>
                    <w:div w:id="1624535590">
                      <w:marLeft w:val="0"/>
                      <w:marRight w:val="0"/>
                      <w:marTop w:val="0"/>
                      <w:marBottom w:val="0"/>
                      <w:divBdr>
                        <w:top w:val="none" w:sz="0" w:space="0" w:color="auto"/>
                        <w:left w:val="none" w:sz="0" w:space="0" w:color="auto"/>
                        <w:bottom w:val="none" w:sz="0" w:space="0" w:color="auto"/>
                        <w:right w:val="none" w:sz="0" w:space="0" w:color="auto"/>
                      </w:divBdr>
                    </w:div>
                    <w:div w:id="1766149368">
                      <w:marLeft w:val="0"/>
                      <w:marRight w:val="0"/>
                      <w:marTop w:val="0"/>
                      <w:marBottom w:val="0"/>
                      <w:divBdr>
                        <w:top w:val="none" w:sz="0" w:space="0" w:color="auto"/>
                        <w:left w:val="none" w:sz="0" w:space="0" w:color="auto"/>
                        <w:bottom w:val="none" w:sz="0" w:space="0" w:color="auto"/>
                        <w:right w:val="none" w:sz="0" w:space="0" w:color="auto"/>
                      </w:divBdr>
                    </w:div>
                    <w:div w:id="21268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3728">
          <w:marLeft w:val="0"/>
          <w:marRight w:val="0"/>
          <w:marTop w:val="0"/>
          <w:marBottom w:val="0"/>
          <w:divBdr>
            <w:top w:val="none" w:sz="0" w:space="0" w:color="auto"/>
            <w:left w:val="none" w:sz="0" w:space="0" w:color="auto"/>
            <w:bottom w:val="none" w:sz="0" w:space="0" w:color="auto"/>
            <w:right w:val="none" w:sz="0" w:space="0" w:color="auto"/>
          </w:divBdr>
        </w:div>
        <w:div w:id="2118911012">
          <w:marLeft w:val="0"/>
          <w:marRight w:val="0"/>
          <w:marTop w:val="0"/>
          <w:marBottom w:val="0"/>
          <w:divBdr>
            <w:top w:val="none" w:sz="0" w:space="0" w:color="auto"/>
            <w:left w:val="none" w:sz="0" w:space="0" w:color="auto"/>
            <w:bottom w:val="none" w:sz="0" w:space="0" w:color="auto"/>
            <w:right w:val="none" w:sz="0" w:space="0" w:color="auto"/>
          </w:divBdr>
        </w:div>
      </w:divsChild>
    </w:div>
    <w:div w:id="1072434315">
      <w:bodyDiv w:val="1"/>
      <w:marLeft w:val="0"/>
      <w:marRight w:val="0"/>
      <w:marTop w:val="0"/>
      <w:marBottom w:val="0"/>
      <w:divBdr>
        <w:top w:val="none" w:sz="0" w:space="0" w:color="auto"/>
        <w:left w:val="none" w:sz="0" w:space="0" w:color="auto"/>
        <w:bottom w:val="none" w:sz="0" w:space="0" w:color="auto"/>
        <w:right w:val="none" w:sz="0" w:space="0" w:color="auto"/>
      </w:divBdr>
    </w:div>
    <w:div w:id="1078820211">
      <w:bodyDiv w:val="1"/>
      <w:marLeft w:val="0"/>
      <w:marRight w:val="0"/>
      <w:marTop w:val="0"/>
      <w:marBottom w:val="0"/>
      <w:divBdr>
        <w:top w:val="none" w:sz="0" w:space="0" w:color="auto"/>
        <w:left w:val="none" w:sz="0" w:space="0" w:color="auto"/>
        <w:bottom w:val="none" w:sz="0" w:space="0" w:color="auto"/>
        <w:right w:val="none" w:sz="0" w:space="0" w:color="auto"/>
      </w:divBdr>
    </w:div>
    <w:div w:id="1080639014">
      <w:bodyDiv w:val="1"/>
      <w:marLeft w:val="0"/>
      <w:marRight w:val="0"/>
      <w:marTop w:val="0"/>
      <w:marBottom w:val="0"/>
      <w:divBdr>
        <w:top w:val="none" w:sz="0" w:space="0" w:color="auto"/>
        <w:left w:val="none" w:sz="0" w:space="0" w:color="auto"/>
        <w:bottom w:val="none" w:sz="0" w:space="0" w:color="auto"/>
        <w:right w:val="none" w:sz="0" w:space="0" w:color="auto"/>
      </w:divBdr>
    </w:div>
    <w:div w:id="1083726254">
      <w:bodyDiv w:val="1"/>
      <w:marLeft w:val="0"/>
      <w:marRight w:val="0"/>
      <w:marTop w:val="0"/>
      <w:marBottom w:val="0"/>
      <w:divBdr>
        <w:top w:val="none" w:sz="0" w:space="0" w:color="auto"/>
        <w:left w:val="none" w:sz="0" w:space="0" w:color="auto"/>
        <w:bottom w:val="none" w:sz="0" w:space="0" w:color="auto"/>
        <w:right w:val="none" w:sz="0" w:space="0" w:color="auto"/>
      </w:divBdr>
    </w:div>
    <w:div w:id="1127695761">
      <w:bodyDiv w:val="1"/>
      <w:marLeft w:val="0"/>
      <w:marRight w:val="0"/>
      <w:marTop w:val="0"/>
      <w:marBottom w:val="0"/>
      <w:divBdr>
        <w:top w:val="none" w:sz="0" w:space="0" w:color="auto"/>
        <w:left w:val="none" w:sz="0" w:space="0" w:color="auto"/>
        <w:bottom w:val="none" w:sz="0" w:space="0" w:color="auto"/>
        <w:right w:val="none" w:sz="0" w:space="0" w:color="auto"/>
      </w:divBdr>
    </w:div>
    <w:div w:id="1133252841">
      <w:bodyDiv w:val="1"/>
      <w:marLeft w:val="0"/>
      <w:marRight w:val="0"/>
      <w:marTop w:val="0"/>
      <w:marBottom w:val="0"/>
      <w:divBdr>
        <w:top w:val="none" w:sz="0" w:space="0" w:color="auto"/>
        <w:left w:val="none" w:sz="0" w:space="0" w:color="auto"/>
        <w:bottom w:val="none" w:sz="0" w:space="0" w:color="auto"/>
        <w:right w:val="none" w:sz="0" w:space="0" w:color="auto"/>
      </w:divBdr>
    </w:div>
    <w:div w:id="1138111312">
      <w:bodyDiv w:val="1"/>
      <w:marLeft w:val="0"/>
      <w:marRight w:val="0"/>
      <w:marTop w:val="0"/>
      <w:marBottom w:val="0"/>
      <w:divBdr>
        <w:top w:val="none" w:sz="0" w:space="0" w:color="auto"/>
        <w:left w:val="none" w:sz="0" w:space="0" w:color="auto"/>
        <w:bottom w:val="none" w:sz="0" w:space="0" w:color="auto"/>
        <w:right w:val="none" w:sz="0" w:space="0" w:color="auto"/>
      </w:divBdr>
    </w:div>
    <w:div w:id="1152016197">
      <w:bodyDiv w:val="1"/>
      <w:marLeft w:val="0"/>
      <w:marRight w:val="0"/>
      <w:marTop w:val="0"/>
      <w:marBottom w:val="0"/>
      <w:divBdr>
        <w:top w:val="none" w:sz="0" w:space="0" w:color="auto"/>
        <w:left w:val="none" w:sz="0" w:space="0" w:color="auto"/>
        <w:bottom w:val="none" w:sz="0" w:space="0" w:color="auto"/>
        <w:right w:val="none" w:sz="0" w:space="0" w:color="auto"/>
      </w:divBdr>
    </w:div>
    <w:div w:id="1153833618">
      <w:bodyDiv w:val="1"/>
      <w:marLeft w:val="0"/>
      <w:marRight w:val="0"/>
      <w:marTop w:val="0"/>
      <w:marBottom w:val="0"/>
      <w:divBdr>
        <w:top w:val="none" w:sz="0" w:space="0" w:color="auto"/>
        <w:left w:val="none" w:sz="0" w:space="0" w:color="auto"/>
        <w:bottom w:val="none" w:sz="0" w:space="0" w:color="auto"/>
        <w:right w:val="none" w:sz="0" w:space="0" w:color="auto"/>
      </w:divBdr>
      <w:divsChild>
        <w:div w:id="96600713">
          <w:marLeft w:val="0"/>
          <w:marRight w:val="0"/>
          <w:marTop w:val="0"/>
          <w:marBottom w:val="0"/>
          <w:divBdr>
            <w:top w:val="none" w:sz="0" w:space="0" w:color="auto"/>
            <w:left w:val="none" w:sz="0" w:space="0" w:color="auto"/>
            <w:bottom w:val="none" w:sz="0" w:space="0" w:color="auto"/>
            <w:right w:val="none" w:sz="0" w:space="0" w:color="auto"/>
          </w:divBdr>
        </w:div>
      </w:divsChild>
    </w:div>
    <w:div w:id="1185948345">
      <w:bodyDiv w:val="1"/>
      <w:marLeft w:val="0"/>
      <w:marRight w:val="0"/>
      <w:marTop w:val="0"/>
      <w:marBottom w:val="0"/>
      <w:divBdr>
        <w:top w:val="none" w:sz="0" w:space="0" w:color="auto"/>
        <w:left w:val="none" w:sz="0" w:space="0" w:color="auto"/>
        <w:bottom w:val="none" w:sz="0" w:space="0" w:color="auto"/>
        <w:right w:val="none" w:sz="0" w:space="0" w:color="auto"/>
      </w:divBdr>
    </w:div>
    <w:div w:id="1211570393">
      <w:bodyDiv w:val="1"/>
      <w:marLeft w:val="0"/>
      <w:marRight w:val="0"/>
      <w:marTop w:val="0"/>
      <w:marBottom w:val="0"/>
      <w:divBdr>
        <w:top w:val="none" w:sz="0" w:space="0" w:color="auto"/>
        <w:left w:val="none" w:sz="0" w:space="0" w:color="auto"/>
        <w:bottom w:val="none" w:sz="0" w:space="0" w:color="auto"/>
        <w:right w:val="none" w:sz="0" w:space="0" w:color="auto"/>
      </w:divBdr>
    </w:div>
    <w:div w:id="1217471823">
      <w:bodyDiv w:val="1"/>
      <w:marLeft w:val="0"/>
      <w:marRight w:val="0"/>
      <w:marTop w:val="0"/>
      <w:marBottom w:val="0"/>
      <w:divBdr>
        <w:top w:val="none" w:sz="0" w:space="0" w:color="auto"/>
        <w:left w:val="none" w:sz="0" w:space="0" w:color="auto"/>
        <w:bottom w:val="none" w:sz="0" w:space="0" w:color="auto"/>
        <w:right w:val="none" w:sz="0" w:space="0" w:color="auto"/>
      </w:divBdr>
    </w:div>
    <w:div w:id="1255438414">
      <w:bodyDiv w:val="1"/>
      <w:marLeft w:val="0"/>
      <w:marRight w:val="0"/>
      <w:marTop w:val="0"/>
      <w:marBottom w:val="0"/>
      <w:divBdr>
        <w:top w:val="none" w:sz="0" w:space="0" w:color="auto"/>
        <w:left w:val="none" w:sz="0" w:space="0" w:color="auto"/>
        <w:bottom w:val="none" w:sz="0" w:space="0" w:color="auto"/>
        <w:right w:val="none" w:sz="0" w:space="0" w:color="auto"/>
      </w:divBdr>
    </w:div>
    <w:div w:id="1256788430">
      <w:bodyDiv w:val="1"/>
      <w:marLeft w:val="0"/>
      <w:marRight w:val="0"/>
      <w:marTop w:val="0"/>
      <w:marBottom w:val="0"/>
      <w:divBdr>
        <w:top w:val="none" w:sz="0" w:space="0" w:color="auto"/>
        <w:left w:val="none" w:sz="0" w:space="0" w:color="auto"/>
        <w:bottom w:val="none" w:sz="0" w:space="0" w:color="auto"/>
        <w:right w:val="none" w:sz="0" w:space="0" w:color="auto"/>
      </w:divBdr>
    </w:div>
    <w:div w:id="1272855709">
      <w:bodyDiv w:val="1"/>
      <w:marLeft w:val="0"/>
      <w:marRight w:val="0"/>
      <w:marTop w:val="0"/>
      <w:marBottom w:val="0"/>
      <w:divBdr>
        <w:top w:val="none" w:sz="0" w:space="0" w:color="auto"/>
        <w:left w:val="none" w:sz="0" w:space="0" w:color="auto"/>
        <w:bottom w:val="none" w:sz="0" w:space="0" w:color="auto"/>
        <w:right w:val="none" w:sz="0" w:space="0" w:color="auto"/>
      </w:divBdr>
    </w:div>
    <w:div w:id="1280990564">
      <w:bodyDiv w:val="1"/>
      <w:marLeft w:val="0"/>
      <w:marRight w:val="0"/>
      <w:marTop w:val="0"/>
      <w:marBottom w:val="0"/>
      <w:divBdr>
        <w:top w:val="none" w:sz="0" w:space="0" w:color="auto"/>
        <w:left w:val="none" w:sz="0" w:space="0" w:color="auto"/>
        <w:bottom w:val="none" w:sz="0" w:space="0" w:color="auto"/>
        <w:right w:val="none" w:sz="0" w:space="0" w:color="auto"/>
      </w:divBdr>
    </w:div>
    <w:div w:id="1283338475">
      <w:bodyDiv w:val="1"/>
      <w:marLeft w:val="0"/>
      <w:marRight w:val="0"/>
      <w:marTop w:val="0"/>
      <w:marBottom w:val="0"/>
      <w:divBdr>
        <w:top w:val="none" w:sz="0" w:space="0" w:color="auto"/>
        <w:left w:val="none" w:sz="0" w:space="0" w:color="auto"/>
        <w:bottom w:val="none" w:sz="0" w:space="0" w:color="auto"/>
        <w:right w:val="none" w:sz="0" w:space="0" w:color="auto"/>
      </w:divBdr>
    </w:div>
    <w:div w:id="1305543091">
      <w:bodyDiv w:val="1"/>
      <w:marLeft w:val="0"/>
      <w:marRight w:val="0"/>
      <w:marTop w:val="0"/>
      <w:marBottom w:val="0"/>
      <w:divBdr>
        <w:top w:val="none" w:sz="0" w:space="0" w:color="auto"/>
        <w:left w:val="none" w:sz="0" w:space="0" w:color="auto"/>
        <w:bottom w:val="none" w:sz="0" w:space="0" w:color="auto"/>
        <w:right w:val="none" w:sz="0" w:space="0" w:color="auto"/>
      </w:divBdr>
    </w:div>
    <w:div w:id="1310211051">
      <w:bodyDiv w:val="1"/>
      <w:marLeft w:val="0"/>
      <w:marRight w:val="0"/>
      <w:marTop w:val="0"/>
      <w:marBottom w:val="0"/>
      <w:divBdr>
        <w:top w:val="none" w:sz="0" w:space="0" w:color="auto"/>
        <w:left w:val="none" w:sz="0" w:space="0" w:color="auto"/>
        <w:bottom w:val="none" w:sz="0" w:space="0" w:color="auto"/>
        <w:right w:val="none" w:sz="0" w:space="0" w:color="auto"/>
      </w:divBdr>
    </w:div>
    <w:div w:id="1320888827">
      <w:bodyDiv w:val="1"/>
      <w:marLeft w:val="0"/>
      <w:marRight w:val="0"/>
      <w:marTop w:val="0"/>
      <w:marBottom w:val="0"/>
      <w:divBdr>
        <w:top w:val="none" w:sz="0" w:space="0" w:color="auto"/>
        <w:left w:val="none" w:sz="0" w:space="0" w:color="auto"/>
        <w:bottom w:val="none" w:sz="0" w:space="0" w:color="auto"/>
        <w:right w:val="none" w:sz="0" w:space="0" w:color="auto"/>
      </w:divBdr>
    </w:div>
    <w:div w:id="1333604795">
      <w:bodyDiv w:val="1"/>
      <w:marLeft w:val="0"/>
      <w:marRight w:val="0"/>
      <w:marTop w:val="0"/>
      <w:marBottom w:val="0"/>
      <w:divBdr>
        <w:top w:val="none" w:sz="0" w:space="0" w:color="auto"/>
        <w:left w:val="none" w:sz="0" w:space="0" w:color="auto"/>
        <w:bottom w:val="none" w:sz="0" w:space="0" w:color="auto"/>
        <w:right w:val="none" w:sz="0" w:space="0" w:color="auto"/>
      </w:divBdr>
    </w:div>
    <w:div w:id="1343894287">
      <w:bodyDiv w:val="1"/>
      <w:marLeft w:val="0"/>
      <w:marRight w:val="0"/>
      <w:marTop w:val="0"/>
      <w:marBottom w:val="0"/>
      <w:divBdr>
        <w:top w:val="none" w:sz="0" w:space="0" w:color="auto"/>
        <w:left w:val="none" w:sz="0" w:space="0" w:color="auto"/>
        <w:bottom w:val="none" w:sz="0" w:space="0" w:color="auto"/>
        <w:right w:val="none" w:sz="0" w:space="0" w:color="auto"/>
      </w:divBdr>
    </w:div>
    <w:div w:id="1347707013">
      <w:bodyDiv w:val="1"/>
      <w:marLeft w:val="0"/>
      <w:marRight w:val="0"/>
      <w:marTop w:val="0"/>
      <w:marBottom w:val="0"/>
      <w:divBdr>
        <w:top w:val="none" w:sz="0" w:space="0" w:color="auto"/>
        <w:left w:val="none" w:sz="0" w:space="0" w:color="auto"/>
        <w:bottom w:val="none" w:sz="0" w:space="0" w:color="auto"/>
        <w:right w:val="none" w:sz="0" w:space="0" w:color="auto"/>
      </w:divBdr>
    </w:div>
    <w:div w:id="1360547390">
      <w:bodyDiv w:val="1"/>
      <w:marLeft w:val="0"/>
      <w:marRight w:val="0"/>
      <w:marTop w:val="0"/>
      <w:marBottom w:val="0"/>
      <w:divBdr>
        <w:top w:val="none" w:sz="0" w:space="0" w:color="auto"/>
        <w:left w:val="none" w:sz="0" w:space="0" w:color="auto"/>
        <w:bottom w:val="none" w:sz="0" w:space="0" w:color="auto"/>
        <w:right w:val="none" w:sz="0" w:space="0" w:color="auto"/>
      </w:divBdr>
    </w:div>
    <w:div w:id="1369838208">
      <w:bodyDiv w:val="1"/>
      <w:marLeft w:val="0"/>
      <w:marRight w:val="0"/>
      <w:marTop w:val="0"/>
      <w:marBottom w:val="0"/>
      <w:divBdr>
        <w:top w:val="none" w:sz="0" w:space="0" w:color="auto"/>
        <w:left w:val="none" w:sz="0" w:space="0" w:color="auto"/>
        <w:bottom w:val="none" w:sz="0" w:space="0" w:color="auto"/>
        <w:right w:val="none" w:sz="0" w:space="0" w:color="auto"/>
      </w:divBdr>
    </w:div>
    <w:div w:id="1381857333">
      <w:bodyDiv w:val="1"/>
      <w:marLeft w:val="0"/>
      <w:marRight w:val="0"/>
      <w:marTop w:val="0"/>
      <w:marBottom w:val="0"/>
      <w:divBdr>
        <w:top w:val="none" w:sz="0" w:space="0" w:color="auto"/>
        <w:left w:val="none" w:sz="0" w:space="0" w:color="auto"/>
        <w:bottom w:val="none" w:sz="0" w:space="0" w:color="auto"/>
        <w:right w:val="none" w:sz="0" w:space="0" w:color="auto"/>
      </w:divBdr>
    </w:div>
    <w:div w:id="1390374972">
      <w:bodyDiv w:val="1"/>
      <w:marLeft w:val="0"/>
      <w:marRight w:val="0"/>
      <w:marTop w:val="0"/>
      <w:marBottom w:val="0"/>
      <w:divBdr>
        <w:top w:val="none" w:sz="0" w:space="0" w:color="auto"/>
        <w:left w:val="none" w:sz="0" w:space="0" w:color="auto"/>
        <w:bottom w:val="none" w:sz="0" w:space="0" w:color="auto"/>
        <w:right w:val="none" w:sz="0" w:space="0" w:color="auto"/>
      </w:divBdr>
    </w:div>
    <w:div w:id="1406758521">
      <w:bodyDiv w:val="1"/>
      <w:marLeft w:val="0"/>
      <w:marRight w:val="0"/>
      <w:marTop w:val="0"/>
      <w:marBottom w:val="0"/>
      <w:divBdr>
        <w:top w:val="none" w:sz="0" w:space="0" w:color="auto"/>
        <w:left w:val="none" w:sz="0" w:space="0" w:color="auto"/>
        <w:bottom w:val="none" w:sz="0" w:space="0" w:color="auto"/>
        <w:right w:val="none" w:sz="0" w:space="0" w:color="auto"/>
      </w:divBdr>
    </w:div>
    <w:div w:id="1421565970">
      <w:bodyDiv w:val="1"/>
      <w:marLeft w:val="0"/>
      <w:marRight w:val="0"/>
      <w:marTop w:val="0"/>
      <w:marBottom w:val="0"/>
      <w:divBdr>
        <w:top w:val="none" w:sz="0" w:space="0" w:color="auto"/>
        <w:left w:val="none" w:sz="0" w:space="0" w:color="auto"/>
        <w:bottom w:val="none" w:sz="0" w:space="0" w:color="auto"/>
        <w:right w:val="none" w:sz="0" w:space="0" w:color="auto"/>
      </w:divBdr>
    </w:div>
    <w:div w:id="1422526740">
      <w:bodyDiv w:val="1"/>
      <w:marLeft w:val="0"/>
      <w:marRight w:val="0"/>
      <w:marTop w:val="0"/>
      <w:marBottom w:val="0"/>
      <w:divBdr>
        <w:top w:val="none" w:sz="0" w:space="0" w:color="auto"/>
        <w:left w:val="none" w:sz="0" w:space="0" w:color="auto"/>
        <w:bottom w:val="none" w:sz="0" w:space="0" w:color="auto"/>
        <w:right w:val="none" w:sz="0" w:space="0" w:color="auto"/>
      </w:divBdr>
    </w:div>
    <w:div w:id="1423066492">
      <w:bodyDiv w:val="1"/>
      <w:marLeft w:val="0"/>
      <w:marRight w:val="0"/>
      <w:marTop w:val="0"/>
      <w:marBottom w:val="0"/>
      <w:divBdr>
        <w:top w:val="none" w:sz="0" w:space="0" w:color="auto"/>
        <w:left w:val="none" w:sz="0" w:space="0" w:color="auto"/>
        <w:bottom w:val="none" w:sz="0" w:space="0" w:color="auto"/>
        <w:right w:val="none" w:sz="0" w:space="0" w:color="auto"/>
      </w:divBdr>
    </w:div>
    <w:div w:id="1431656931">
      <w:bodyDiv w:val="1"/>
      <w:marLeft w:val="0"/>
      <w:marRight w:val="0"/>
      <w:marTop w:val="0"/>
      <w:marBottom w:val="0"/>
      <w:divBdr>
        <w:top w:val="none" w:sz="0" w:space="0" w:color="auto"/>
        <w:left w:val="none" w:sz="0" w:space="0" w:color="auto"/>
        <w:bottom w:val="none" w:sz="0" w:space="0" w:color="auto"/>
        <w:right w:val="none" w:sz="0" w:space="0" w:color="auto"/>
      </w:divBdr>
    </w:div>
    <w:div w:id="1437095478">
      <w:bodyDiv w:val="1"/>
      <w:marLeft w:val="0"/>
      <w:marRight w:val="0"/>
      <w:marTop w:val="0"/>
      <w:marBottom w:val="0"/>
      <w:divBdr>
        <w:top w:val="none" w:sz="0" w:space="0" w:color="auto"/>
        <w:left w:val="none" w:sz="0" w:space="0" w:color="auto"/>
        <w:bottom w:val="none" w:sz="0" w:space="0" w:color="auto"/>
        <w:right w:val="none" w:sz="0" w:space="0" w:color="auto"/>
      </w:divBdr>
    </w:div>
    <w:div w:id="1440368347">
      <w:bodyDiv w:val="1"/>
      <w:marLeft w:val="0"/>
      <w:marRight w:val="0"/>
      <w:marTop w:val="0"/>
      <w:marBottom w:val="0"/>
      <w:divBdr>
        <w:top w:val="none" w:sz="0" w:space="0" w:color="auto"/>
        <w:left w:val="none" w:sz="0" w:space="0" w:color="auto"/>
        <w:bottom w:val="none" w:sz="0" w:space="0" w:color="auto"/>
        <w:right w:val="none" w:sz="0" w:space="0" w:color="auto"/>
      </w:divBdr>
    </w:div>
    <w:div w:id="1446458368">
      <w:bodyDiv w:val="1"/>
      <w:marLeft w:val="0"/>
      <w:marRight w:val="0"/>
      <w:marTop w:val="0"/>
      <w:marBottom w:val="0"/>
      <w:divBdr>
        <w:top w:val="none" w:sz="0" w:space="0" w:color="auto"/>
        <w:left w:val="none" w:sz="0" w:space="0" w:color="auto"/>
        <w:bottom w:val="none" w:sz="0" w:space="0" w:color="auto"/>
        <w:right w:val="none" w:sz="0" w:space="0" w:color="auto"/>
      </w:divBdr>
      <w:divsChild>
        <w:div w:id="1398045123">
          <w:marLeft w:val="0"/>
          <w:marRight w:val="0"/>
          <w:marTop w:val="0"/>
          <w:marBottom w:val="0"/>
          <w:divBdr>
            <w:top w:val="none" w:sz="0" w:space="0" w:color="auto"/>
            <w:left w:val="none" w:sz="0" w:space="0" w:color="auto"/>
            <w:bottom w:val="none" w:sz="0" w:space="0" w:color="auto"/>
            <w:right w:val="none" w:sz="0" w:space="0" w:color="auto"/>
          </w:divBdr>
        </w:div>
      </w:divsChild>
    </w:div>
    <w:div w:id="1456414349">
      <w:bodyDiv w:val="1"/>
      <w:marLeft w:val="0"/>
      <w:marRight w:val="0"/>
      <w:marTop w:val="0"/>
      <w:marBottom w:val="0"/>
      <w:divBdr>
        <w:top w:val="none" w:sz="0" w:space="0" w:color="auto"/>
        <w:left w:val="none" w:sz="0" w:space="0" w:color="auto"/>
        <w:bottom w:val="none" w:sz="0" w:space="0" w:color="auto"/>
        <w:right w:val="none" w:sz="0" w:space="0" w:color="auto"/>
      </w:divBdr>
    </w:div>
    <w:div w:id="1460148063">
      <w:bodyDiv w:val="1"/>
      <w:marLeft w:val="0"/>
      <w:marRight w:val="0"/>
      <w:marTop w:val="0"/>
      <w:marBottom w:val="0"/>
      <w:divBdr>
        <w:top w:val="none" w:sz="0" w:space="0" w:color="auto"/>
        <w:left w:val="none" w:sz="0" w:space="0" w:color="auto"/>
        <w:bottom w:val="none" w:sz="0" w:space="0" w:color="auto"/>
        <w:right w:val="none" w:sz="0" w:space="0" w:color="auto"/>
      </w:divBdr>
    </w:div>
    <w:div w:id="1465074547">
      <w:bodyDiv w:val="1"/>
      <w:marLeft w:val="0"/>
      <w:marRight w:val="0"/>
      <w:marTop w:val="0"/>
      <w:marBottom w:val="0"/>
      <w:divBdr>
        <w:top w:val="none" w:sz="0" w:space="0" w:color="auto"/>
        <w:left w:val="none" w:sz="0" w:space="0" w:color="auto"/>
        <w:bottom w:val="none" w:sz="0" w:space="0" w:color="auto"/>
        <w:right w:val="none" w:sz="0" w:space="0" w:color="auto"/>
      </w:divBdr>
    </w:div>
    <w:div w:id="1472987877">
      <w:bodyDiv w:val="1"/>
      <w:marLeft w:val="0"/>
      <w:marRight w:val="0"/>
      <w:marTop w:val="0"/>
      <w:marBottom w:val="0"/>
      <w:divBdr>
        <w:top w:val="none" w:sz="0" w:space="0" w:color="auto"/>
        <w:left w:val="none" w:sz="0" w:space="0" w:color="auto"/>
        <w:bottom w:val="none" w:sz="0" w:space="0" w:color="auto"/>
        <w:right w:val="none" w:sz="0" w:space="0" w:color="auto"/>
      </w:divBdr>
    </w:div>
    <w:div w:id="1474248560">
      <w:bodyDiv w:val="1"/>
      <w:marLeft w:val="0"/>
      <w:marRight w:val="0"/>
      <w:marTop w:val="0"/>
      <w:marBottom w:val="0"/>
      <w:divBdr>
        <w:top w:val="none" w:sz="0" w:space="0" w:color="auto"/>
        <w:left w:val="none" w:sz="0" w:space="0" w:color="auto"/>
        <w:bottom w:val="none" w:sz="0" w:space="0" w:color="auto"/>
        <w:right w:val="none" w:sz="0" w:space="0" w:color="auto"/>
      </w:divBdr>
    </w:div>
    <w:div w:id="1478181998">
      <w:bodyDiv w:val="1"/>
      <w:marLeft w:val="0"/>
      <w:marRight w:val="0"/>
      <w:marTop w:val="0"/>
      <w:marBottom w:val="0"/>
      <w:divBdr>
        <w:top w:val="none" w:sz="0" w:space="0" w:color="auto"/>
        <w:left w:val="none" w:sz="0" w:space="0" w:color="auto"/>
        <w:bottom w:val="none" w:sz="0" w:space="0" w:color="auto"/>
        <w:right w:val="none" w:sz="0" w:space="0" w:color="auto"/>
      </w:divBdr>
    </w:div>
    <w:div w:id="1487892754">
      <w:bodyDiv w:val="1"/>
      <w:marLeft w:val="0"/>
      <w:marRight w:val="0"/>
      <w:marTop w:val="0"/>
      <w:marBottom w:val="0"/>
      <w:divBdr>
        <w:top w:val="none" w:sz="0" w:space="0" w:color="auto"/>
        <w:left w:val="none" w:sz="0" w:space="0" w:color="auto"/>
        <w:bottom w:val="none" w:sz="0" w:space="0" w:color="auto"/>
        <w:right w:val="none" w:sz="0" w:space="0" w:color="auto"/>
      </w:divBdr>
    </w:div>
    <w:div w:id="1489394732">
      <w:bodyDiv w:val="1"/>
      <w:marLeft w:val="0"/>
      <w:marRight w:val="0"/>
      <w:marTop w:val="0"/>
      <w:marBottom w:val="0"/>
      <w:divBdr>
        <w:top w:val="none" w:sz="0" w:space="0" w:color="auto"/>
        <w:left w:val="none" w:sz="0" w:space="0" w:color="auto"/>
        <w:bottom w:val="none" w:sz="0" w:space="0" w:color="auto"/>
        <w:right w:val="none" w:sz="0" w:space="0" w:color="auto"/>
      </w:divBdr>
    </w:div>
    <w:div w:id="1525634915">
      <w:bodyDiv w:val="1"/>
      <w:marLeft w:val="0"/>
      <w:marRight w:val="0"/>
      <w:marTop w:val="0"/>
      <w:marBottom w:val="0"/>
      <w:divBdr>
        <w:top w:val="none" w:sz="0" w:space="0" w:color="auto"/>
        <w:left w:val="none" w:sz="0" w:space="0" w:color="auto"/>
        <w:bottom w:val="none" w:sz="0" w:space="0" w:color="auto"/>
        <w:right w:val="none" w:sz="0" w:space="0" w:color="auto"/>
      </w:divBdr>
    </w:div>
    <w:div w:id="1526208806">
      <w:bodyDiv w:val="1"/>
      <w:marLeft w:val="0"/>
      <w:marRight w:val="0"/>
      <w:marTop w:val="0"/>
      <w:marBottom w:val="0"/>
      <w:divBdr>
        <w:top w:val="none" w:sz="0" w:space="0" w:color="auto"/>
        <w:left w:val="none" w:sz="0" w:space="0" w:color="auto"/>
        <w:bottom w:val="none" w:sz="0" w:space="0" w:color="auto"/>
        <w:right w:val="none" w:sz="0" w:space="0" w:color="auto"/>
      </w:divBdr>
    </w:div>
    <w:div w:id="1528330632">
      <w:bodyDiv w:val="1"/>
      <w:marLeft w:val="0"/>
      <w:marRight w:val="0"/>
      <w:marTop w:val="0"/>
      <w:marBottom w:val="0"/>
      <w:divBdr>
        <w:top w:val="none" w:sz="0" w:space="0" w:color="auto"/>
        <w:left w:val="none" w:sz="0" w:space="0" w:color="auto"/>
        <w:bottom w:val="none" w:sz="0" w:space="0" w:color="auto"/>
        <w:right w:val="none" w:sz="0" w:space="0" w:color="auto"/>
      </w:divBdr>
      <w:divsChild>
        <w:div w:id="243534017">
          <w:marLeft w:val="0"/>
          <w:marRight w:val="0"/>
          <w:marTop w:val="0"/>
          <w:marBottom w:val="0"/>
          <w:divBdr>
            <w:top w:val="none" w:sz="0" w:space="0" w:color="auto"/>
            <w:left w:val="none" w:sz="0" w:space="0" w:color="auto"/>
            <w:bottom w:val="none" w:sz="0" w:space="0" w:color="auto"/>
            <w:right w:val="none" w:sz="0" w:space="0" w:color="auto"/>
          </w:divBdr>
          <w:divsChild>
            <w:div w:id="673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8339">
      <w:bodyDiv w:val="1"/>
      <w:marLeft w:val="0"/>
      <w:marRight w:val="0"/>
      <w:marTop w:val="0"/>
      <w:marBottom w:val="0"/>
      <w:divBdr>
        <w:top w:val="none" w:sz="0" w:space="0" w:color="auto"/>
        <w:left w:val="none" w:sz="0" w:space="0" w:color="auto"/>
        <w:bottom w:val="none" w:sz="0" w:space="0" w:color="auto"/>
        <w:right w:val="none" w:sz="0" w:space="0" w:color="auto"/>
      </w:divBdr>
    </w:div>
    <w:div w:id="1578590618">
      <w:bodyDiv w:val="1"/>
      <w:marLeft w:val="0"/>
      <w:marRight w:val="0"/>
      <w:marTop w:val="0"/>
      <w:marBottom w:val="0"/>
      <w:divBdr>
        <w:top w:val="none" w:sz="0" w:space="0" w:color="auto"/>
        <w:left w:val="none" w:sz="0" w:space="0" w:color="auto"/>
        <w:bottom w:val="none" w:sz="0" w:space="0" w:color="auto"/>
        <w:right w:val="none" w:sz="0" w:space="0" w:color="auto"/>
      </w:divBdr>
    </w:div>
    <w:div w:id="1590699619">
      <w:bodyDiv w:val="1"/>
      <w:marLeft w:val="0"/>
      <w:marRight w:val="0"/>
      <w:marTop w:val="0"/>
      <w:marBottom w:val="0"/>
      <w:divBdr>
        <w:top w:val="none" w:sz="0" w:space="0" w:color="auto"/>
        <w:left w:val="none" w:sz="0" w:space="0" w:color="auto"/>
        <w:bottom w:val="none" w:sz="0" w:space="0" w:color="auto"/>
        <w:right w:val="none" w:sz="0" w:space="0" w:color="auto"/>
      </w:divBdr>
    </w:div>
    <w:div w:id="1598979545">
      <w:bodyDiv w:val="1"/>
      <w:marLeft w:val="0"/>
      <w:marRight w:val="0"/>
      <w:marTop w:val="0"/>
      <w:marBottom w:val="0"/>
      <w:divBdr>
        <w:top w:val="none" w:sz="0" w:space="0" w:color="auto"/>
        <w:left w:val="none" w:sz="0" w:space="0" w:color="auto"/>
        <w:bottom w:val="none" w:sz="0" w:space="0" w:color="auto"/>
        <w:right w:val="none" w:sz="0" w:space="0" w:color="auto"/>
      </w:divBdr>
    </w:div>
    <w:div w:id="1622805220">
      <w:bodyDiv w:val="1"/>
      <w:marLeft w:val="0"/>
      <w:marRight w:val="0"/>
      <w:marTop w:val="0"/>
      <w:marBottom w:val="0"/>
      <w:divBdr>
        <w:top w:val="none" w:sz="0" w:space="0" w:color="auto"/>
        <w:left w:val="none" w:sz="0" w:space="0" w:color="auto"/>
        <w:bottom w:val="none" w:sz="0" w:space="0" w:color="auto"/>
        <w:right w:val="none" w:sz="0" w:space="0" w:color="auto"/>
      </w:divBdr>
    </w:div>
    <w:div w:id="1626541429">
      <w:bodyDiv w:val="1"/>
      <w:marLeft w:val="0"/>
      <w:marRight w:val="0"/>
      <w:marTop w:val="0"/>
      <w:marBottom w:val="0"/>
      <w:divBdr>
        <w:top w:val="none" w:sz="0" w:space="0" w:color="auto"/>
        <w:left w:val="none" w:sz="0" w:space="0" w:color="auto"/>
        <w:bottom w:val="none" w:sz="0" w:space="0" w:color="auto"/>
        <w:right w:val="none" w:sz="0" w:space="0" w:color="auto"/>
      </w:divBdr>
    </w:div>
    <w:div w:id="1630748031">
      <w:bodyDiv w:val="1"/>
      <w:marLeft w:val="0"/>
      <w:marRight w:val="0"/>
      <w:marTop w:val="0"/>
      <w:marBottom w:val="0"/>
      <w:divBdr>
        <w:top w:val="none" w:sz="0" w:space="0" w:color="auto"/>
        <w:left w:val="none" w:sz="0" w:space="0" w:color="auto"/>
        <w:bottom w:val="none" w:sz="0" w:space="0" w:color="auto"/>
        <w:right w:val="none" w:sz="0" w:space="0" w:color="auto"/>
      </w:divBdr>
    </w:div>
    <w:div w:id="1640300854">
      <w:bodyDiv w:val="1"/>
      <w:marLeft w:val="0"/>
      <w:marRight w:val="0"/>
      <w:marTop w:val="0"/>
      <w:marBottom w:val="0"/>
      <w:divBdr>
        <w:top w:val="none" w:sz="0" w:space="0" w:color="auto"/>
        <w:left w:val="none" w:sz="0" w:space="0" w:color="auto"/>
        <w:bottom w:val="none" w:sz="0" w:space="0" w:color="auto"/>
        <w:right w:val="none" w:sz="0" w:space="0" w:color="auto"/>
      </w:divBdr>
      <w:divsChild>
        <w:div w:id="2904607">
          <w:marLeft w:val="0"/>
          <w:marRight w:val="0"/>
          <w:marTop w:val="0"/>
          <w:marBottom w:val="0"/>
          <w:divBdr>
            <w:top w:val="none" w:sz="0" w:space="0" w:color="auto"/>
            <w:left w:val="none" w:sz="0" w:space="0" w:color="auto"/>
            <w:bottom w:val="none" w:sz="0" w:space="0" w:color="auto"/>
            <w:right w:val="none" w:sz="0" w:space="0" w:color="auto"/>
          </w:divBdr>
          <w:divsChild>
            <w:div w:id="24713901">
              <w:marLeft w:val="0"/>
              <w:marRight w:val="0"/>
              <w:marTop w:val="0"/>
              <w:marBottom w:val="0"/>
              <w:divBdr>
                <w:top w:val="none" w:sz="0" w:space="0" w:color="auto"/>
                <w:left w:val="none" w:sz="0" w:space="0" w:color="auto"/>
                <w:bottom w:val="none" w:sz="0" w:space="0" w:color="auto"/>
                <w:right w:val="none" w:sz="0" w:space="0" w:color="auto"/>
              </w:divBdr>
            </w:div>
            <w:div w:id="739910678">
              <w:marLeft w:val="0"/>
              <w:marRight w:val="0"/>
              <w:marTop w:val="0"/>
              <w:marBottom w:val="0"/>
              <w:divBdr>
                <w:top w:val="none" w:sz="0" w:space="0" w:color="auto"/>
                <w:left w:val="none" w:sz="0" w:space="0" w:color="auto"/>
                <w:bottom w:val="none" w:sz="0" w:space="0" w:color="auto"/>
                <w:right w:val="none" w:sz="0" w:space="0" w:color="auto"/>
              </w:divBdr>
            </w:div>
            <w:div w:id="888878517">
              <w:marLeft w:val="0"/>
              <w:marRight w:val="0"/>
              <w:marTop w:val="0"/>
              <w:marBottom w:val="0"/>
              <w:divBdr>
                <w:top w:val="none" w:sz="0" w:space="0" w:color="auto"/>
                <w:left w:val="none" w:sz="0" w:space="0" w:color="auto"/>
                <w:bottom w:val="none" w:sz="0" w:space="0" w:color="auto"/>
                <w:right w:val="none" w:sz="0" w:space="0" w:color="auto"/>
              </w:divBdr>
            </w:div>
            <w:div w:id="1529489288">
              <w:marLeft w:val="0"/>
              <w:marRight w:val="0"/>
              <w:marTop w:val="0"/>
              <w:marBottom w:val="0"/>
              <w:divBdr>
                <w:top w:val="none" w:sz="0" w:space="0" w:color="auto"/>
                <w:left w:val="none" w:sz="0" w:space="0" w:color="auto"/>
                <w:bottom w:val="none" w:sz="0" w:space="0" w:color="auto"/>
                <w:right w:val="none" w:sz="0" w:space="0" w:color="auto"/>
              </w:divBdr>
            </w:div>
            <w:div w:id="2063165888">
              <w:marLeft w:val="0"/>
              <w:marRight w:val="0"/>
              <w:marTop w:val="0"/>
              <w:marBottom w:val="0"/>
              <w:divBdr>
                <w:top w:val="none" w:sz="0" w:space="0" w:color="auto"/>
                <w:left w:val="none" w:sz="0" w:space="0" w:color="auto"/>
                <w:bottom w:val="none" w:sz="0" w:space="0" w:color="auto"/>
                <w:right w:val="none" w:sz="0" w:space="0" w:color="auto"/>
              </w:divBdr>
            </w:div>
          </w:divsChild>
        </w:div>
        <w:div w:id="42336513">
          <w:marLeft w:val="0"/>
          <w:marRight w:val="0"/>
          <w:marTop w:val="0"/>
          <w:marBottom w:val="0"/>
          <w:divBdr>
            <w:top w:val="none" w:sz="0" w:space="0" w:color="auto"/>
            <w:left w:val="none" w:sz="0" w:space="0" w:color="auto"/>
            <w:bottom w:val="none" w:sz="0" w:space="0" w:color="auto"/>
            <w:right w:val="none" w:sz="0" w:space="0" w:color="auto"/>
          </w:divBdr>
          <w:divsChild>
            <w:div w:id="47539425">
              <w:marLeft w:val="0"/>
              <w:marRight w:val="0"/>
              <w:marTop w:val="0"/>
              <w:marBottom w:val="0"/>
              <w:divBdr>
                <w:top w:val="none" w:sz="0" w:space="0" w:color="auto"/>
                <w:left w:val="none" w:sz="0" w:space="0" w:color="auto"/>
                <w:bottom w:val="none" w:sz="0" w:space="0" w:color="auto"/>
                <w:right w:val="none" w:sz="0" w:space="0" w:color="auto"/>
              </w:divBdr>
            </w:div>
            <w:div w:id="206184804">
              <w:marLeft w:val="0"/>
              <w:marRight w:val="0"/>
              <w:marTop w:val="0"/>
              <w:marBottom w:val="0"/>
              <w:divBdr>
                <w:top w:val="none" w:sz="0" w:space="0" w:color="auto"/>
                <w:left w:val="none" w:sz="0" w:space="0" w:color="auto"/>
                <w:bottom w:val="none" w:sz="0" w:space="0" w:color="auto"/>
                <w:right w:val="none" w:sz="0" w:space="0" w:color="auto"/>
              </w:divBdr>
            </w:div>
            <w:div w:id="281688422">
              <w:marLeft w:val="0"/>
              <w:marRight w:val="0"/>
              <w:marTop w:val="0"/>
              <w:marBottom w:val="0"/>
              <w:divBdr>
                <w:top w:val="none" w:sz="0" w:space="0" w:color="auto"/>
                <w:left w:val="none" w:sz="0" w:space="0" w:color="auto"/>
                <w:bottom w:val="none" w:sz="0" w:space="0" w:color="auto"/>
                <w:right w:val="none" w:sz="0" w:space="0" w:color="auto"/>
              </w:divBdr>
            </w:div>
            <w:div w:id="443351080">
              <w:marLeft w:val="0"/>
              <w:marRight w:val="0"/>
              <w:marTop w:val="0"/>
              <w:marBottom w:val="0"/>
              <w:divBdr>
                <w:top w:val="none" w:sz="0" w:space="0" w:color="auto"/>
                <w:left w:val="none" w:sz="0" w:space="0" w:color="auto"/>
                <w:bottom w:val="none" w:sz="0" w:space="0" w:color="auto"/>
                <w:right w:val="none" w:sz="0" w:space="0" w:color="auto"/>
              </w:divBdr>
            </w:div>
            <w:div w:id="778573589">
              <w:marLeft w:val="0"/>
              <w:marRight w:val="0"/>
              <w:marTop w:val="0"/>
              <w:marBottom w:val="0"/>
              <w:divBdr>
                <w:top w:val="none" w:sz="0" w:space="0" w:color="auto"/>
                <w:left w:val="none" w:sz="0" w:space="0" w:color="auto"/>
                <w:bottom w:val="none" w:sz="0" w:space="0" w:color="auto"/>
                <w:right w:val="none" w:sz="0" w:space="0" w:color="auto"/>
              </w:divBdr>
            </w:div>
          </w:divsChild>
        </w:div>
        <w:div w:id="98575347">
          <w:marLeft w:val="0"/>
          <w:marRight w:val="0"/>
          <w:marTop w:val="0"/>
          <w:marBottom w:val="0"/>
          <w:divBdr>
            <w:top w:val="none" w:sz="0" w:space="0" w:color="auto"/>
            <w:left w:val="none" w:sz="0" w:space="0" w:color="auto"/>
            <w:bottom w:val="none" w:sz="0" w:space="0" w:color="auto"/>
            <w:right w:val="none" w:sz="0" w:space="0" w:color="auto"/>
          </w:divBdr>
          <w:divsChild>
            <w:div w:id="1054232251">
              <w:marLeft w:val="0"/>
              <w:marRight w:val="0"/>
              <w:marTop w:val="0"/>
              <w:marBottom w:val="0"/>
              <w:divBdr>
                <w:top w:val="none" w:sz="0" w:space="0" w:color="auto"/>
                <w:left w:val="none" w:sz="0" w:space="0" w:color="auto"/>
                <w:bottom w:val="none" w:sz="0" w:space="0" w:color="auto"/>
                <w:right w:val="none" w:sz="0" w:space="0" w:color="auto"/>
              </w:divBdr>
            </w:div>
            <w:div w:id="1659381165">
              <w:marLeft w:val="0"/>
              <w:marRight w:val="0"/>
              <w:marTop w:val="0"/>
              <w:marBottom w:val="0"/>
              <w:divBdr>
                <w:top w:val="none" w:sz="0" w:space="0" w:color="auto"/>
                <w:left w:val="none" w:sz="0" w:space="0" w:color="auto"/>
                <w:bottom w:val="none" w:sz="0" w:space="0" w:color="auto"/>
                <w:right w:val="none" w:sz="0" w:space="0" w:color="auto"/>
              </w:divBdr>
            </w:div>
            <w:div w:id="1755082012">
              <w:marLeft w:val="0"/>
              <w:marRight w:val="0"/>
              <w:marTop w:val="0"/>
              <w:marBottom w:val="0"/>
              <w:divBdr>
                <w:top w:val="none" w:sz="0" w:space="0" w:color="auto"/>
                <w:left w:val="none" w:sz="0" w:space="0" w:color="auto"/>
                <w:bottom w:val="none" w:sz="0" w:space="0" w:color="auto"/>
                <w:right w:val="none" w:sz="0" w:space="0" w:color="auto"/>
              </w:divBdr>
            </w:div>
            <w:div w:id="2040466649">
              <w:marLeft w:val="0"/>
              <w:marRight w:val="0"/>
              <w:marTop w:val="0"/>
              <w:marBottom w:val="0"/>
              <w:divBdr>
                <w:top w:val="none" w:sz="0" w:space="0" w:color="auto"/>
                <w:left w:val="none" w:sz="0" w:space="0" w:color="auto"/>
                <w:bottom w:val="none" w:sz="0" w:space="0" w:color="auto"/>
                <w:right w:val="none" w:sz="0" w:space="0" w:color="auto"/>
              </w:divBdr>
            </w:div>
            <w:div w:id="2113158015">
              <w:marLeft w:val="0"/>
              <w:marRight w:val="0"/>
              <w:marTop w:val="0"/>
              <w:marBottom w:val="0"/>
              <w:divBdr>
                <w:top w:val="none" w:sz="0" w:space="0" w:color="auto"/>
                <w:left w:val="none" w:sz="0" w:space="0" w:color="auto"/>
                <w:bottom w:val="none" w:sz="0" w:space="0" w:color="auto"/>
                <w:right w:val="none" w:sz="0" w:space="0" w:color="auto"/>
              </w:divBdr>
            </w:div>
          </w:divsChild>
        </w:div>
        <w:div w:id="107966396">
          <w:marLeft w:val="0"/>
          <w:marRight w:val="0"/>
          <w:marTop w:val="0"/>
          <w:marBottom w:val="0"/>
          <w:divBdr>
            <w:top w:val="none" w:sz="0" w:space="0" w:color="auto"/>
            <w:left w:val="none" w:sz="0" w:space="0" w:color="auto"/>
            <w:bottom w:val="none" w:sz="0" w:space="0" w:color="auto"/>
            <w:right w:val="none" w:sz="0" w:space="0" w:color="auto"/>
          </w:divBdr>
        </w:div>
        <w:div w:id="128521431">
          <w:marLeft w:val="0"/>
          <w:marRight w:val="0"/>
          <w:marTop w:val="0"/>
          <w:marBottom w:val="0"/>
          <w:divBdr>
            <w:top w:val="none" w:sz="0" w:space="0" w:color="auto"/>
            <w:left w:val="none" w:sz="0" w:space="0" w:color="auto"/>
            <w:bottom w:val="none" w:sz="0" w:space="0" w:color="auto"/>
            <w:right w:val="none" w:sz="0" w:space="0" w:color="auto"/>
          </w:divBdr>
        </w:div>
        <w:div w:id="212084335">
          <w:marLeft w:val="0"/>
          <w:marRight w:val="0"/>
          <w:marTop w:val="0"/>
          <w:marBottom w:val="0"/>
          <w:divBdr>
            <w:top w:val="none" w:sz="0" w:space="0" w:color="auto"/>
            <w:left w:val="none" w:sz="0" w:space="0" w:color="auto"/>
            <w:bottom w:val="none" w:sz="0" w:space="0" w:color="auto"/>
            <w:right w:val="none" w:sz="0" w:space="0" w:color="auto"/>
          </w:divBdr>
        </w:div>
        <w:div w:id="308824958">
          <w:marLeft w:val="0"/>
          <w:marRight w:val="0"/>
          <w:marTop w:val="0"/>
          <w:marBottom w:val="0"/>
          <w:divBdr>
            <w:top w:val="none" w:sz="0" w:space="0" w:color="auto"/>
            <w:left w:val="none" w:sz="0" w:space="0" w:color="auto"/>
            <w:bottom w:val="none" w:sz="0" w:space="0" w:color="auto"/>
            <w:right w:val="none" w:sz="0" w:space="0" w:color="auto"/>
          </w:divBdr>
        </w:div>
        <w:div w:id="345444264">
          <w:marLeft w:val="0"/>
          <w:marRight w:val="0"/>
          <w:marTop w:val="0"/>
          <w:marBottom w:val="0"/>
          <w:divBdr>
            <w:top w:val="none" w:sz="0" w:space="0" w:color="auto"/>
            <w:left w:val="none" w:sz="0" w:space="0" w:color="auto"/>
            <w:bottom w:val="none" w:sz="0" w:space="0" w:color="auto"/>
            <w:right w:val="none" w:sz="0" w:space="0" w:color="auto"/>
          </w:divBdr>
        </w:div>
        <w:div w:id="375667474">
          <w:marLeft w:val="0"/>
          <w:marRight w:val="0"/>
          <w:marTop w:val="0"/>
          <w:marBottom w:val="0"/>
          <w:divBdr>
            <w:top w:val="none" w:sz="0" w:space="0" w:color="auto"/>
            <w:left w:val="none" w:sz="0" w:space="0" w:color="auto"/>
            <w:bottom w:val="none" w:sz="0" w:space="0" w:color="auto"/>
            <w:right w:val="none" w:sz="0" w:space="0" w:color="auto"/>
          </w:divBdr>
        </w:div>
        <w:div w:id="405423433">
          <w:marLeft w:val="0"/>
          <w:marRight w:val="0"/>
          <w:marTop w:val="0"/>
          <w:marBottom w:val="0"/>
          <w:divBdr>
            <w:top w:val="none" w:sz="0" w:space="0" w:color="auto"/>
            <w:left w:val="none" w:sz="0" w:space="0" w:color="auto"/>
            <w:bottom w:val="none" w:sz="0" w:space="0" w:color="auto"/>
            <w:right w:val="none" w:sz="0" w:space="0" w:color="auto"/>
          </w:divBdr>
        </w:div>
        <w:div w:id="414865628">
          <w:marLeft w:val="0"/>
          <w:marRight w:val="0"/>
          <w:marTop w:val="0"/>
          <w:marBottom w:val="0"/>
          <w:divBdr>
            <w:top w:val="none" w:sz="0" w:space="0" w:color="auto"/>
            <w:left w:val="none" w:sz="0" w:space="0" w:color="auto"/>
            <w:bottom w:val="none" w:sz="0" w:space="0" w:color="auto"/>
            <w:right w:val="none" w:sz="0" w:space="0" w:color="auto"/>
          </w:divBdr>
          <w:divsChild>
            <w:div w:id="836532689">
              <w:marLeft w:val="0"/>
              <w:marRight w:val="0"/>
              <w:marTop w:val="0"/>
              <w:marBottom w:val="0"/>
              <w:divBdr>
                <w:top w:val="none" w:sz="0" w:space="0" w:color="auto"/>
                <w:left w:val="none" w:sz="0" w:space="0" w:color="auto"/>
                <w:bottom w:val="none" w:sz="0" w:space="0" w:color="auto"/>
                <w:right w:val="none" w:sz="0" w:space="0" w:color="auto"/>
              </w:divBdr>
            </w:div>
            <w:div w:id="946961042">
              <w:marLeft w:val="0"/>
              <w:marRight w:val="0"/>
              <w:marTop w:val="0"/>
              <w:marBottom w:val="0"/>
              <w:divBdr>
                <w:top w:val="none" w:sz="0" w:space="0" w:color="auto"/>
                <w:left w:val="none" w:sz="0" w:space="0" w:color="auto"/>
                <w:bottom w:val="none" w:sz="0" w:space="0" w:color="auto"/>
                <w:right w:val="none" w:sz="0" w:space="0" w:color="auto"/>
              </w:divBdr>
            </w:div>
            <w:div w:id="1119570543">
              <w:marLeft w:val="0"/>
              <w:marRight w:val="0"/>
              <w:marTop w:val="0"/>
              <w:marBottom w:val="0"/>
              <w:divBdr>
                <w:top w:val="none" w:sz="0" w:space="0" w:color="auto"/>
                <w:left w:val="none" w:sz="0" w:space="0" w:color="auto"/>
                <w:bottom w:val="none" w:sz="0" w:space="0" w:color="auto"/>
                <w:right w:val="none" w:sz="0" w:space="0" w:color="auto"/>
              </w:divBdr>
            </w:div>
            <w:div w:id="1846705543">
              <w:marLeft w:val="0"/>
              <w:marRight w:val="0"/>
              <w:marTop w:val="0"/>
              <w:marBottom w:val="0"/>
              <w:divBdr>
                <w:top w:val="none" w:sz="0" w:space="0" w:color="auto"/>
                <w:left w:val="none" w:sz="0" w:space="0" w:color="auto"/>
                <w:bottom w:val="none" w:sz="0" w:space="0" w:color="auto"/>
                <w:right w:val="none" w:sz="0" w:space="0" w:color="auto"/>
              </w:divBdr>
            </w:div>
            <w:div w:id="1960333439">
              <w:marLeft w:val="0"/>
              <w:marRight w:val="0"/>
              <w:marTop w:val="0"/>
              <w:marBottom w:val="0"/>
              <w:divBdr>
                <w:top w:val="none" w:sz="0" w:space="0" w:color="auto"/>
                <w:left w:val="none" w:sz="0" w:space="0" w:color="auto"/>
                <w:bottom w:val="none" w:sz="0" w:space="0" w:color="auto"/>
                <w:right w:val="none" w:sz="0" w:space="0" w:color="auto"/>
              </w:divBdr>
            </w:div>
          </w:divsChild>
        </w:div>
        <w:div w:id="431319929">
          <w:marLeft w:val="0"/>
          <w:marRight w:val="0"/>
          <w:marTop w:val="0"/>
          <w:marBottom w:val="0"/>
          <w:divBdr>
            <w:top w:val="none" w:sz="0" w:space="0" w:color="auto"/>
            <w:left w:val="none" w:sz="0" w:space="0" w:color="auto"/>
            <w:bottom w:val="none" w:sz="0" w:space="0" w:color="auto"/>
            <w:right w:val="none" w:sz="0" w:space="0" w:color="auto"/>
          </w:divBdr>
        </w:div>
        <w:div w:id="457336054">
          <w:marLeft w:val="0"/>
          <w:marRight w:val="0"/>
          <w:marTop w:val="0"/>
          <w:marBottom w:val="0"/>
          <w:divBdr>
            <w:top w:val="none" w:sz="0" w:space="0" w:color="auto"/>
            <w:left w:val="none" w:sz="0" w:space="0" w:color="auto"/>
            <w:bottom w:val="none" w:sz="0" w:space="0" w:color="auto"/>
            <w:right w:val="none" w:sz="0" w:space="0" w:color="auto"/>
          </w:divBdr>
        </w:div>
        <w:div w:id="537359276">
          <w:marLeft w:val="0"/>
          <w:marRight w:val="0"/>
          <w:marTop w:val="0"/>
          <w:marBottom w:val="0"/>
          <w:divBdr>
            <w:top w:val="none" w:sz="0" w:space="0" w:color="auto"/>
            <w:left w:val="none" w:sz="0" w:space="0" w:color="auto"/>
            <w:bottom w:val="none" w:sz="0" w:space="0" w:color="auto"/>
            <w:right w:val="none" w:sz="0" w:space="0" w:color="auto"/>
          </w:divBdr>
          <w:divsChild>
            <w:div w:id="642277400">
              <w:marLeft w:val="-75"/>
              <w:marRight w:val="0"/>
              <w:marTop w:val="30"/>
              <w:marBottom w:val="30"/>
              <w:divBdr>
                <w:top w:val="none" w:sz="0" w:space="0" w:color="auto"/>
                <w:left w:val="none" w:sz="0" w:space="0" w:color="auto"/>
                <w:bottom w:val="none" w:sz="0" w:space="0" w:color="auto"/>
                <w:right w:val="none" w:sz="0" w:space="0" w:color="auto"/>
              </w:divBdr>
              <w:divsChild>
                <w:div w:id="210767663">
                  <w:marLeft w:val="0"/>
                  <w:marRight w:val="0"/>
                  <w:marTop w:val="0"/>
                  <w:marBottom w:val="0"/>
                  <w:divBdr>
                    <w:top w:val="none" w:sz="0" w:space="0" w:color="auto"/>
                    <w:left w:val="none" w:sz="0" w:space="0" w:color="auto"/>
                    <w:bottom w:val="none" w:sz="0" w:space="0" w:color="auto"/>
                    <w:right w:val="none" w:sz="0" w:space="0" w:color="auto"/>
                  </w:divBdr>
                  <w:divsChild>
                    <w:div w:id="102380685">
                      <w:marLeft w:val="0"/>
                      <w:marRight w:val="0"/>
                      <w:marTop w:val="0"/>
                      <w:marBottom w:val="0"/>
                      <w:divBdr>
                        <w:top w:val="none" w:sz="0" w:space="0" w:color="auto"/>
                        <w:left w:val="none" w:sz="0" w:space="0" w:color="auto"/>
                        <w:bottom w:val="none" w:sz="0" w:space="0" w:color="auto"/>
                        <w:right w:val="none" w:sz="0" w:space="0" w:color="auto"/>
                      </w:divBdr>
                    </w:div>
                  </w:divsChild>
                </w:div>
                <w:div w:id="354309064">
                  <w:marLeft w:val="0"/>
                  <w:marRight w:val="0"/>
                  <w:marTop w:val="0"/>
                  <w:marBottom w:val="0"/>
                  <w:divBdr>
                    <w:top w:val="none" w:sz="0" w:space="0" w:color="auto"/>
                    <w:left w:val="none" w:sz="0" w:space="0" w:color="auto"/>
                    <w:bottom w:val="none" w:sz="0" w:space="0" w:color="auto"/>
                    <w:right w:val="none" w:sz="0" w:space="0" w:color="auto"/>
                  </w:divBdr>
                  <w:divsChild>
                    <w:div w:id="74010193">
                      <w:marLeft w:val="0"/>
                      <w:marRight w:val="0"/>
                      <w:marTop w:val="0"/>
                      <w:marBottom w:val="0"/>
                      <w:divBdr>
                        <w:top w:val="none" w:sz="0" w:space="0" w:color="auto"/>
                        <w:left w:val="none" w:sz="0" w:space="0" w:color="auto"/>
                        <w:bottom w:val="none" w:sz="0" w:space="0" w:color="auto"/>
                        <w:right w:val="none" w:sz="0" w:space="0" w:color="auto"/>
                      </w:divBdr>
                    </w:div>
                    <w:div w:id="255016283">
                      <w:marLeft w:val="0"/>
                      <w:marRight w:val="0"/>
                      <w:marTop w:val="0"/>
                      <w:marBottom w:val="0"/>
                      <w:divBdr>
                        <w:top w:val="none" w:sz="0" w:space="0" w:color="auto"/>
                        <w:left w:val="none" w:sz="0" w:space="0" w:color="auto"/>
                        <w:bottom w:val="none" w:sz="0" w:space="0" w:color="auto"/>
                        <w:right w:val="none" w:sz="0" w:space="0" w:color="auto"/>
                      </w:divBdr>
                    </w:div>
                    <w:div w:id="326902915">
                      <w:marLeft w:val="0"/>
                      <w:marRight w:val="0"/>
                      <w:marTop w:val="0"/>
                      <w:marBottom w:val="0"/>
                      <w:divBdr>
                        <w:top w:val="none" w:sz="0" w:space="0" w:color="auto"/>
                        <w:left w:val="none" w:sz="0" w:space="0" w:color="auto"/>
                        <w:bottom w:val="none" w:sz="0" w:space="0" w:color="auto"/>
                        <w:right w:val="none" w:sz="0" w:space="0" w:color="auto"/>
                      </w:divBdr>
                    </w:div>
                    <w:div w:id="344403782">
                      <w:marLeft w:val="0"/>
                      <w:marRight w:val="0"/>
                      <w:marTop w:val="0"/>
                      <w:marBottom w:val="0"/>
                      <w:divBdr>
                        <w:top w:val="none" w:sz="0" w:space="0" w:color="auto"/>
                        <w:left w:val="none" w:sz="0" w:space="0" w:color="auto"/>
                        <w:bottom w:val="none" w:sz="0" w:space="0" w:color="auto"/>
                        <w:right w:val="none" w:sz="0" w:space="0" w:color="auto"/>
                      </w:divBdr>
                    </w:div>
                    <w:div w:id="375275084">
                      <w:marLeft w:val="0"/>
                      <w:marRight w:val="0"/>
                      <w:marTop w:val="0"/>
                      <w:marBottom w:val="0"/>
                      <w:divBdr>
                        <w:top w:val="none" w:sz="0" w:space="0" w:color="auto"/>
                        <w:left w:val="none" w:sz="0" w:space="0" w:color="auto"/>
                        <w:bottom w:val="none" w:sz="0" w:space="0" w:color="auto"/>
                        <w:right w:val="none" w:sz="0" w:space="0" w:color="auto"/>
                      </w:divBdr>
                    </w:div>
                    <w:div w:id="554856784">
                      <w:marLeft w:val="0"/>
                      <w:marRight w:val="0"/>
                      <w:marTop w:val="0"/>
                      <w:marBottom w:val="0"/>
                      <w:divBdr>
                        <w:top w:val="none" w:sz="0" w:space="0" w:color="auto"/>
                        <w:left w:val="none" w:sz="0" w:space="0" w:color="auto"/>
                        <w:bottom w:val="none" w:sz="0" w:space="0" w:color="auto"/>
                        <w:right w:val="none" w:sz="0" w:space="0" w:color="auto"/>
                      </w:divBdr>
                    </w:div>
                    <w:div w:id="572617389">
                      <w:marLeft w:val="0"/>
                      <w:marRight w:val="0"/>
                      <w:marTop w:val="0"/>
                      <w:marBottom w:val="0"/>
                      <w:divBdr>
                        <w:top w:val="none" w:sz="0" w:space="0" w:color="auto"/>
                        <w:left w:val="none" w:sz="0" w:space="0" w:color="auto"/>
                        <w:bottom w:val="none" w:sz="0" w:space="0" w:color="auto"/>
                        <w:right w:val="none" w:sz="0" w:space="0" w:color="auto"/>
                      </w:divBdr>
                    </w:div>
                    <w:div w:id="714741308">
                      <w:marLeft w:val="0"/>
                      <w:marRight w:val="0"/>
                      <w:marTop w:val="0"/>
                      <w:marBottom w:val="0"/>
                      <w:divBdr>
                        <w:top w:val="none" w:sz="0" w:space="0" w:color="auto"/>
                        <w:left w:val="none" w:sz="0" w:space="0" w:color="auto"/>
                        <w:bottom w:val="none" w:sz="0" w:space="0" w:color="auto"/>
                        <w:right w:val="none" w:sz="0" w:space="0" w:color="auto"/>
                      </w:divBdr>
                    </w:div>
                    <w:div w:id="776217764">
                      <w:marLeft w:val="0"/>
                      <w:marRight w:val="0"/>
                      <w:marTop w:val="0"/>
                      <w:marBottom w:val="0"/>
                      <w:divBdr>
                        <w:top w:val="none" w:sz="0" w:space="0" w:color="auto"/>
                        <w:left w:val="none" w:sz="0" w:space="0" w:color="auto"/>
                        <w:bottom w:val="none" w:sz="0" w:space="0" w:color="auto"/>
                        <w:right w:val="none" w:sz="0" w:space="0" w:color="auto"/>
                      </w:divBdr>
                    </w:div>
                    <w:div w:id="833453357">
                      <w:marLeft w:val="0"/>
                      <w:marRight w:val="0"/>
                      <w:marTop w:val="0"/>
                      <w:marBottom w:val="0"/>
                      <w:divBdr>
                        <w:top w:val="none" w:sz="0" w:space="0" w:color="auto"/>
                        <w:left w:val="none" w:sz="0" w:space="0" w:color="auto"/>
                        <w:bottom w:val="none" w:sz="0" w:space="0" w:color="auto"/>
                        <w:right w:val="none" w:sz="0" w:space="0" w:color="auto"/>
                      </w:divBdr>
                    </w:div>
                    <w:div w:id="913971271">
                      <w:marLeft w:val="0"/>
                      <w:marRight w:val="0"/>
                      <w:marTop w:val="0"/>
                      <w:marBottom w:val="0"/>
                      <w:divBdr>
                        <w:top w:val="none" w:sz="0" w:space="0" w:color="auto"/>
                        <w:left w:val="none" w:sz="0" w:space="0" w:color="auto"/>
                        <w:bottom w:val="none" w:sz="0" w:space="0" w:color="auto"/>
                        <w:right w:val="none" w:sz="0" w:space="0" w:color="auto"/>
                      </w:divBdr>
                    </w:div>
                    <w:div w:id="1032608810">
                      <w:marLeft w:val="0"/>
                      <w:marRight w:val="0"/>
                      <w:marTop w:val="0"/>
                      <w:marBottom w:val="0"/>
                      <w:divBdr>
                        <w:top w:val="none" w:sz="0" w:space="0" w:color="auto"/>
                        <w:left w:val="none" w:sz="0" w:space="0" w:color="auto"/>
                        <w:bottom w:val="none" w:sz="0" w:space="0" w:color="auto"/>
                        <w:right w:val="none" w:sz="0" w:space="0" w:color="auto"/>
                      </w:divBdr>
                    </w:div>
                    <w:div w:id="1206913049">
                      <w:marLeft w:val="0"/>
                      <w:marRight w:val="0"/>
                      <w:marTop w:val="0"/>
                      <w:marBottom w:val="0"/>
                      <w:divBdr>
                        <w:top w:val="none" w:sz="0" w:space="0" w:color="auto"/>
                        <w:left w:val="none" w:sz="0" w:space="0" w:color="auto"/>
                        <w:bottom w:val="none" w:sz="0" w:space="0" w:color="auto"/>
                        <w:right w:val="none" w:sz="0" w:space="0" w:color="auto"/>
                      </w:divBdr>
                    </w:div>
                    <w:div w:id="1221945037">
                      <w:marLeft w:val="0"/>
                      <w:marRight w:val="0"/>
                      <w:marTop w:val="0"/>
                      <w:marBottom w:val="0"/>
                      <w:divBdr>
                        <w:top w:val="none" w:sz="0" w:space="0" w:color="auto"/>
                        <w:left w:val="none" w:sz="0" w:space="0" w:color="auto"/>
                        <w:bottom w:val="none" w:sz="0" w:space="0" w:color="auto"/>
                        <w:right w:val="none" w:sz="0" w:space="0" w:color="auto"/>
                      </w:divBdr>
                    </w:div>
                    <w:div w:id="1396271178">
                      <w:marLeft w:val="0"/>
                      <w:marRight w:val="0"/>
                      <w:marTop w:val="0"/>
                      <w:marBottom w:val="0"/>
                      <w:divBdr>
                        <w:top w:val="none" w:sz="0" w:space="0" w:color="auto"/>
                        <w:left w:val="none" w:sz="0" w:space="0" w:color="auto"/>
                        <w:bottom w:val="none" w:sz="0" w:space="0" w:color="auto"/>
                        <w:right w:val="none" w:sz="0" w:space="0" w:color="auto"/>
                      </w:divBdr>
                    </w:div>
                    <w:div w:id="1443917519">
                      <w:marLeft w:val="0"/>
                      <w:marRight w:val="0"/>
                      <w:marTop w:val="0"/>
                      <w:marBottom w:val="0"/>
                      <w:divBdr>
                        <w:top w:val="none" w:sz="0" w:space="0" w:color="auto"/>
                        <w:left w:val="none" w:sz="0" w:space="0" w:color="auto"/>
                        <w:bottom w:val="none" w:sz="0" w:space="0" w:color="auto"/>
                        <w:right w:val="none" w:sz="0" w:space="0" w:color="auto"/>
                      </w:divBdr>
                    </w:div>
                    <w:div w:id="1521041512">
                      <w:marLeft w:val="0"/>
                      <w:marRight w:val="0"/>
                      <w:marTop w:val="0"/>
                      <w:marBottom w:val="0"/>
                      <w:divBdr>
                        <w:top w:val="none" w:sz="0" w:space="0" w:color="auto"/>
                        <w:left w:val="none" w:sz="0" w:space="0" w:color="auto"/>
                        <w:bottom w:val="none" w:sz="0" w:space="0" w:color="auto"/>
                        <w:right w:val="none" w:sz="0" w:space="0" w:color="auto"/>
                      </w:divBdr>
                    </w:div>
                    <w:div w:id="1542669003">
                      <w:marLeft w:val="0"/>
                      <w:marRight w:val="0"/>
                      <w:marTop w:val="0"/>
                      <w:marBottom w:val="0"/>
                      <w:divBdr>
                        <w:top w:val="none" w:sz="0" w:space="0" w:color="auto"/>
                        <w:left w:val="none" w:sz="0" w:space="0" w:color="auto"/>
                        <w:bottom w:val="none" w:sz="0" w:space="0" w:color="auto"/>
                        <w:right w:val="none" w:sz="0" w:space="0" w:color="auto"/>
                      </w:divBdr>
                    </w:div>
                    <w:div w:id="1664507665">
                      <w:marLeft w:val="0"/>
                      <w:marRight w:val="0"/>
                      <w:marTop w:val="0"/>
                      <w:marBottom w:val="0"/>
                      <w:divBdr>
                        <w:top w:val="none" w:sz="0" w:space="0" w:color="auto"/>
                        <w:left w:val="none" w:sz="0" w:space="0" w:color="auto"/>
                        <w:bottom w:val="none" w:sz="0" w:space="0" w:color="auto"/>
                        <w:right w:val="none" w:sz="0" w:space="0" w:color="auto"/>
                      </w:divBdr>
                    </w:div>
                    <w:div w:id="1677491081">
                      <w:marLeft w:val="0"/>
                      <w:marRight w:val="0"/>
                      <w:marTop w:val="0"/>
                      <w:marBottom w:val="0"/>
                      <w:divBdr>
                        <w:top w:val="none" w:sz="0" w:space="0" w:color="auto"/>
                        <w:left w:val="none" w:sz="0" w:space="0" w:color="auto"/>
                        <w:bottom w:val="none" w:sz="0" w:space="0" w:color="auto"/>
                        <w:right w:val="none" w:sz="0" w:space="0" w:color="auto"/>
                      </w:divBdr>
                    </w:div>
                    <w:div w:id="1725712701">
                      <w:marLeft w:val="0"/>
                      <w:marRight w:val="0"/>
                      <w:marTop w:val="0"/>
                      <w:marBottom w:val="0"/>
                      <w:divBdr>
                        <w:top w:val="none" w:sz="0" w:space="0" w:color="auto"/>
                        <w:left w:val="none" w:sz="0" w:space="0" w:color="auto"/>
                        <w:bottom w:val="none" w:sz="0" w:space="0" w:color="auto"/>
                        <w:right w:val="none" w:sz="0" w:space="0" w:color="auto"/>
                      </w:divBdr>
                    </w:div>
                    <w:div w:id="1972519517">
                      <w:marLeft w:val="0"/>
                      <w:marRight w:val="0"/>
                      <w:marTop w:val="0"/>
                      <w:marBottom w:val="0"/>
                      <w:divBdr>
                        <w:top w:val="none" w:sz="0" w:space="0" w:color="auto"/>
                        <w:left w:val="none" w:sz="0" w:space="0" w:color="auto"/>
                        <w:bottom w:val="none" w:sz="0" w:space="0" w:color="auto"/>
                        <w:right w:val="none" w:sz="0" w:space="0" w:color="auto"/>
                      </w:divBdr>
                    </w:div>
                    <w:div w:id="1999964341">
                      <w:marLeft w:val="0"/>
                      <w:marRight w:val="0"/>
                      <w:marTop w:val="0"/>
                      <w:marBottom w:val="0"/>
                      <w:divBdr>
                        <w:top w:val="none" w:sz="0" w:space="0" w:color="auto"/>
                        <w:left w:val="none" w:sz="0" w:space="0" w:color="auto"/>
                        <w:bottom w:val="none" w:sz="0" w:space="0" w:color="auto"/>
                        <w:right w:val="none" w:sz="0" w:space="0" w:color="auto"/>
                      </w:divBdr>
                    </w:div>
                    <w:div w:id="2021270594">
                      <w:marLeft w:val="0"/>
                      <w:marRight w:val="0"/>
                      <w:marTop w:val="0"/>
                      <w:marBottom w:val="0"/>
                      <w:divBdr>
                        <w:top w:val="none" w:sz="0" w:space="0" w:color="auto"/>
                        <w:left w:val="none" w:sz="0" w:space="0" w:color="auto"/>
                        <w:bottom w:val="none" w:sz="0" w:space="0" w:color="auto"/>
                        <w:right w:val="none" w:sz="0" w:space="0" w:color="auto"/>
                      </w:divBdr>
                    </w:div>
                    <w:div w:id="2043937077">
                      <w:marLeft w:val="0"/>
                      <w:marRight w:val="0"/>
                      <w:marTop w:val="0"/>
                      <w:marBottom w:val="0"/>
                      <w:divBdr>
                        <w:top w:val="none" w:sz="0" w:space="0" w:color="auto"/>
                        <w:left w:val="none" w:sz="0" w:space="0" w:color="auto"/>
                        <w:bottom w:val="none" w:sz="0" w:space="0" w:color="auto"/>
                        <w:right w:val="none" w:sz="0" w:space="0" w:color="auto"/>
                      </w:divBdr>
                    </w:div>
                    <w:div w:id="2062514921">
                      <w:marLeft w:val="0"/>
                      <w:marRight w:val="0"/>
                      <w:marTop w:val="0"/>
                      <w:marBottom w:val="0"/>
                      <w:divBdr>
                        <w:top w:val="none" w:sz="0" w:space="0" w:color="auto"/>
                        <w:left w:val="none" w:sz="0" w:space="0" w:color="auto"/>
                        <w:bottom w:val="none" w:sz="0" w:space="0" w:color="auto"/>
                        <w:right w:val="none" w:sz="0" w:space="0" w:color="auto"/>
                      </w:divBdr>
                    </w:div>
                  </w:divsChild>
                </w:div>
                <w:div w:id="1737777247">
                  <w:marLeft w:val="0"/>
                  <w:marRight w:val="0"/>
                  <w:marTop w:val="0"/>
                  <w:marBottom w:val="0"/>
                  <w:divBdr>
                    <w:top w:val="none" w:sz="0" w:space="0" w:color="auto"/>
                    <w:left w:val="none" w:sz="0" w:space="0" w:color="auto"/>
                    <w:bottom w:val="none" w:sz="0" w:space="0" w:color="auto"/>
                    <w:right w:val="none" w:sz="0" w:space="0" w:color="auto"/>
                  </w:divBdr>
                  <w:divsChild>
                    <w:div w:id="1503550039">
                      <w:marLeft w:val="0"/>
                      <w:marRight w:val="0"/>
                      <w:marTop w:val="0"/>
                      <w:marBottom w:val="0"/>
                      <w:divBdr>
                        <w:top w:val="none" w:sz="0" w:space="0" w:color="auto"/>
                        <w:left w:val="none" w:sz="0" w:space="0" w:color="auto"/>
                        <w:bottom w:val="none" w:sz="0" w:space="0" w:color="auto"/>
                        <w:right w:val="none" w:sz="0" w:space="0" w:color="auto"/>
                      </w:divBdr>
                    </w:div>
                  </w:divsChild>
                </w:div>
                <w:div w:id="1804346223">
                  <w:marLeft w:val="0"/>
                  <w:marRight w:val="0"/>
                  <w:marTop w:val="0"/>
                  <w:marBottom w:val="0"/>
                  <w:divBdr>
                    <w:top w:val="none" w:sz="0" w:space="0" w:color="auto"/>
                    <w:left w:val="none" w:sz="0" w:space="0" w:color="auto"/>
                    <w:bottom w:val="none" w:sz="0" w:space="0" w:color="auto"/>
                    <w:right w:val="none" w:sz="0" w:space="0" w:color="auto"/>
                  </w:divBdr>
                  <w:divsChild>
                    <w:div w:id="95297397">
                      <w:marLeft w:val="0"/>
                      <w:marRight w:val="0"/>
                      <w:marTop w:val="0"/>
                      <w:marBottom w:val="0"/>
                      <w:divBdr>
                        <w:top w:val="none" w:sz="0" w:space="0" w:color="auto"/>
                        <w:left w:val="none" w:sz="0" w:space="0" w:color="auto"/>
                        <w:bottom w:val="none" w:sz="0" w:space="0" w:color="auto"/>
                        <w:right w:val="none" w:sz="0" w:space="0" w:color="auto"/>
                      </w:divBdr>
                    </w:div>
                    <w:div w:id="630869089">
                      <w:marLeft w:val="0"/>
                      <w:marRight w:val="0"/>
                      <w:marTop w:val="0"/>
                      <w:marBottom w:val="0"/>
                      <w:divBdr>
                        <w:top w:val="none" w:sz="0" w:space="0" w:color="auto"/>
                        <w:left w:val="none" w:sz="0" w:space="0" w:color="auto"/>
                        <w:bottom w:val="none" w:sz="0" w:space="0" w:color="auto"/>
                        <w:right w:val="none" w:sz="0" w:space="0" w:color="auto"/>
                      </w:divBdr>
                    </w:div>
                    <w:div w:id="1113288448">
                      <w:marLeft w:val="0"/>
                      <w:marRight w:val="0"/>
                      <w:marTop w:val="0"/>
                      <w:marBottom w:val="0"/>
                      <w:divBdr>
                        <w:top w:val="none" w:sz="0" w:space="0" w:color="auto"/>
                        <w:left w:val="none" w:sz="0" w:space="0" w:color="auto"/>
                        <w:bottom w:val="none" w:sz="0" w:space="0" w:color="auto"/>
                        <w:right w:val="none" w:sz="0" w:space="0" w:color="auto"/>
                      </w:divBdr>
                    </w:div>
                    <w:div w:id="1507524896">
                      <w:marLeft w:val="0"/>
                      <w:marRight w:val="0"/>
                      <w:marTop w:val="0"/>
                      <w:marBottom w:val="0"/>
                      <w:divBdr>
                        <w:top w:val="none" w:sz="0" w:space="0" w:color="auto"/>
                        <w:left w:val="none" w:sz="0" w:space="0" w:color="auto"/>
                        <w:bottom w:val="none" w:sz="0" w:space="0" w:color="auto"/>
                        <w:right w:val="none" w:sz="0" w:space="0" w:color="auto"/>
                      </w:divBdr>
                    </w:div>
                    <w:div w:id="1757746293">
                      <w:marLeft w:val="0"/>
                      <w:marRight w:val="0"/>
                      <w:marTop w:val="0"/>
                      <w:marBottom w:val="0"/>
                      <w:divBdr>
                        <w:top w:val="none" w:sz="0" w:space="0" w:color="auto"/>
                        <w:left w:val="none" w:sz="0" w:space="0" w:color="auto"/>
                        <w:bottom w:val="none" w:sz="0" w:space="0" w:color="auto"/>
                        <w:right w:val="none" w:sz="0" w:space="0" w:color="auto"/>
                      </w:divBdr>
                    </w:div>
                    <w:div w:id="19456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04557">
          <w:marLeft w:val="0"/>
          <w:marRight w:val="0"/>
          <w:marTop w:val="0"/>
          <w:marBottom w:val="0"/>
          <w:divBdr>
            <w:top w:val="none" w:sz="0" w:space="0" w:color="auto"/>
            <w:left w:val="none" w:sz="0" w:space="0" w:color="auto"/>
            <w:bottom w:val="none" w:sz="0" w:space="0" w:color="auto"/>
            <w:right w:val="none" w:sz="0" w:space="0" w:color="auto"/>
          </w:divBdr>
        </w:div>
        <w:div w:id="581375812">
          <w:marLeft w:val="0"/>
          <w:marRight w:val="0"/>
          <w:marTop w:val="0"/>
          <w:marBottom w:val="0"/>
          <w:divBdr>
            <w:top w:val="none" w:sz="0" w:space="0" w:color="auto"/>
            <w:left w:val="none" w:sz="0" w:space="0" w:color="auto"/>
            <w:bottom w:val="none" w:sz="0" w:space="0" w:color="auto"/>
            <w:right w:val="none" w:sz="0" w:space="0" w:color="auto"/>
          </w:divBdr>
        </w:div>
        <w:div w:id="607006983">
          <w:marLeft w:val="0"/>
          <w:marRight w:val="0"/>
          <w:marTop w:val="0"/>
          <w:marBottom w:val="0"/>
          <w:divBdr>
            <w:top w:val="none" w:sz="0" w:space="0" w:color="auto"/>
            <w:left w:val="none" w:sz="0" w:space="0" w:color="auto"/>
            <w:bottom w:val="none" w:sz="0" w:space="0" w:color="auto"/>
            <w:right w:val="none" w:sz="0" w:space="0" w:color="auto"/>
          </w:divBdr>
        </w:div>
        <w:div w:id="656223096">
          <w:marLeft w:val="0"/>
          <w:marRight w:val="0"/>
          <w:marTop w:val="0"/>
          <w:marBottom w:val="0"/>
          <w:divBdr>
            <w:top w:val="none" w:sz="0" w:space="0" w:color="auto"/>
            <w:left w:val="none" w:sz="0" w:space="0" w:color="auto"/>
            <w:bottom w:val="none" w:sz="0" w:space="0" w:color="auto"/>
            <w:right w:val="none" w:sz="0" w:space="0" w:color="auto"/>
          </w:divBdr>
        </w:div>
        <w:div w:id="672295494">
          <w:marLeft w:val="0"/>
          <w:marRight w:val="0"/>
          <w:marTop w:val="0"/>
          <w:marBottom w:val="0"/>
          <w:divBdr>
            <w:top w:val="none" w:sz="0" w:space="0" w:color="auto"/>
            <w:left w:val="none" w:sz="0" w:space="0" w:color="auto"/>
            <w:bottom w:val="none" w:sz="0" w:space="0" w:color="auto"/>
            <w:right w:val="none" w:sz="0" w:space="0" w:color="auto"/>
          </w:divBdr>
          <w:divsChild>
            <w:div w:id="961762237">
              <w:marLeft w:val="0"/>
              <w:marRight w:val="0"/>
              <w:marTop w:val="0"/>
              <w:marBottom w:val="0"/>
              <w:divBdr>
                <w:top w:val="none" w:sz="0" w:space="0" w:color="auto"/>
                <w:left w:val="none" w:sz="0" w:space="0" w:color="auto"/>
                <w:bottom w:val="none" w:sz="0" w:space="0" w:color="auto"/>
                <w:right w:val="none" w:sz="0" w:space="0" w:color="auto"/>
              </w:divBdr>
            </w:div>
          </w:divsChild>
        </w:div>
        <w:div w:id="737172703">
          <w:marLeft w:val="0"/>
          <w:marRight w:val="0"/>
          <w:marTop w:val="0"/>
          <w:marBottom w:val="0"/>
          <w:divBdr>
            <w:top w:val="none" w:sz="0" w:space="0" w:color="auto"/>
            <w:left w:val="none" w:sz="0" w:space="0" w:color="auto"/>
            <w:bottom w:val="none" w:sz="0" w:space="0" w:color="auto"/>
            <w:right w:val="none" w:sz="0" w:space="0" w:color="auto"/>
          </w:divBdr>
          <w:divsChild>
            <w:div w:id="442967936">
              <w:marLeft w:val="0"/>
              <w:marRight w:val="0"/>
              <w:marTop w:val="0"/>
              <w:marBottom w:val="0"/>
              <w:divBdr>
                <w:top w:val="none" w:sz="0" w:space="0" w:color="auto"/>
                <w:left w:val="none" w:sz="0" w:space="0" w:color="auto"/>
                <w:bottom w:val="none" w:sz="0" w:space="0" w:color="auto"/>
                <w:right w:val="none" w:sz="0" w:space="0" w:color="auto"/>
              </w:divBdr>
            </w:div>
            <w:div w:id="1784691447">
              <w:marLeft w:val="0"/>
              <w:marRight w:val="0"/>
              <w:marTop w:val="0"/>
              <w:marBottom w:val="0"/>
              <w:divBdr>
                <w:top w:val="none" w:sz="0" w:space="0" w:color="auto"/>
                <w:left w:val="none" w:sz="0" w:space="0" w:color="auto"/>
                <w:bottom w:val="none" w:sz="0" w:space="0" w:color="auto"/>
                <w:right w:val="none" w:sz="0" w:space="0" w:color="auto"/>
              </w:divBdr>
            </w:div>
            <w:div w:id="1845708294">
              <w:marLeft w:val="0"/>
              <w:marRight w:val="0"/>
              <w:marTop w:val="0"/>
              <w:marBottom w:val="0"/>
              <w:divBdr>
                <w:top w:val="none" w:sz="0" w:space="0" w:color="auto"/>
                <w:left w:val="none" w:sz="0" w:space="0" w:color="auto"/>
                <w:bottom w:val="none" w:sz="0" w:space="0" w:color="auto"/>
                <w:right w:val="none" w:sz="0" w:space="0" w:color="auto"/>
              </w:divBdr>
            </w:div>
          </w:divsChild>
        </w:div>
        <w:div w:id="737900588">
          <w:marLeft w:val="0"/>
          <w:marRight w:val="0"/>
          <w:marTop w:val="0"/>
          <w:marBottom w:val="0"/>
          <w:divBdr>
            <w:top w:val="none" w:sz="0" w:space="0" w:color="auto"/>
            <w:left w:val="none" w:sz="0" w:space="0" w:color="auto"/>
            <w:bottom w:val="none" w:sz="0" w:space="0" w:color="auto"/>
            <w:right w:val="none" w:sz="0" w:space="0" w:color="auto"/>
          </w:divBdr>
        </w:div>
        <w:div w:id="748381532">
          <w:marLeft w:val="0"/>
          <w:marRight w:val="0"/>
          <w:marTop w:val="0"/>
          <w:marBottom w:val="0"/>
          <w:divBdr>
            <w:top w:val="none" w:sz="0" w:space="0" w:color="auto"/>
            <w:left w:val="none" w:sz="0" w:space="0" w:color="auto"/>
            <w:bottom w:val="none" w:sz="0" w:space="0" w:color="auto"/>
            <w:right w:val="none" w:sz="0" w:space="0" w:color="auto"/>
          </w:divBdr>
          <w:divsChild>
            <w:div w:id="8147993">
              <w:marLeft w:val="0"/>
              <w:marRight w:val="0"/>
              <w:marTop w:val="0"/>
              <w:marBottom w:val="0"/>
              <w:divBdr>
                <w:top w:val="none" w:sz="0" w:space="0" w:color="auto"/>
                <w:left w:val="none" w:sz="0" w:space="0" w:color="auto"/>
                <w:bottom w:val="none" w:sz="0" w:space="0" w:color="auto"/>
                <w:right w:val="none" w:sz="0" w:space="0" w:color="auto"/>
              </w:divBdr>
            </w:div>
            <w:div w:id="703136320">
              <w:marLeft w:val="0"/>
              <w:marRight w:val="0"/>
              <w:marTop w:val="0"/>
              <w:marBottom w:val="0"/>
              <w:divBdr>
                <w:top w:val="none" w:sz="0" w:space="0" w:color="auto"/>
                <w:left w:val="none" w:sz="0" w:space="0" w:color="auto"/>
                <w:bottom w:val="none" w:sz="0" w:space="0" w:color="auto"/>
                <w:right w:val="none" w:sz="0" w:space="0" w:color="auto"/>
              </w:divBdr>
            </w:div>
            <w:div w:id="889539620">
              <w:marLeft w:val="0"/>
              <w:marRight w:val="0"/>
              <w:marTop w:val="0"/>
              <w:marBottom w:val="0"/>
              <w:divBdr>
                <w:top w:val="none" w:sz="0" w:space="0" w:color="auto"/>
                <w:left w:val="none" w:sz="0" w:space="0" w:color="auto"/>
                <w:bottom w:val="none" w:sz="0" w:space="0" w:color="auto"/>
                <w:right w:val="none" w:sz="0" w:space="0" w:color="auto"/>
              </w:divBdr>
            </w:div>
            <w:div w:id="1422212687">
              <w:marLeft w:val="0"/>
              <w:marRight w:val="0"/>
              <w:marTop w:val="0"/>
              <w:marBottom w:val="0"/>
              <w:divBdr>
                <w:top w:val="none" w:sz="0" w:space="0" w:color="auto"/>
                <w:left w:val="none" w:sz="0" w:space="0" w:color="auto"/>
                <w:bottom w:val="none" w:sz="0" w:space="0" w:color="auto"/>
                <w:right w:val="none" w:sz="0" w:space="0" w:color="auto"/>
              </w:divBdr>
            </w:div>
            <w:div w:id="1848015918">
              <w:marLeft w:val="0"/>
              <w:marRight w:val="0"/>
              <w:marTop w:val="0"/>
              <w:marBottom w:val="0"/>
              <w:divBdr>
                <w:top w:val="none" w:sz="0" w:space="0" w:color="auto"/>
                <w:left w:val="none" w:sz="0" w:space="0" w:color="auto"/>
                <w:bottom w:val="none" w:sz="0" w:space="0" w:color="auto"/>
                <w:right w:val="none" w:sz="0" w:space="0" w:color="auto"/>
              </w:divBdr>
            </w:div>
          </w:divsChild>
        </w:div>
        <w:div w:id="755059776">
          <w:marLeft w:val="0"/>
          <w:marRight w:val="0"/>
          <w:marTop w:val="0"/>
          <w:marBottom w:val="0"/>
          <w:divBdr>
            <w:top w:val="none" w:sz="0" w:space="0" w:color="auto"/>
            <w:left w:val="none" w:sz="0" w:space="0" w:color="auto"/>
            <w:bottom w:val="none" w:sz="0" w:space="0" w:color="auto"/>
            <w:right w:val="none" w:sz="0" w:space="0" w:color="auto"/>
          </w:divBdr>
        </w:div>
        <w:div w:id="836118050">
          <w:marLeft w:val="0"/>
          <w:marRight w:val="0"/>
          <w:marTop w:val="0"/>
          <w:marBottom w:val="0"/>
          <w:divBdr>
            <w:top w:val="none" w:sz="0" w:space="0" w:color="auto"/>
            <w:left w:val="none" w:sz="0" w:space="0" w:color="auto"/>
            <w:bottom w:val="none" w:sz="0" w:space="0" w:color="auto"/>
            <w:right w:val="none" w:sz="0" w:space="0" w:color="auto"/>
          </w:divBdr>
        </w:div>
        <w:div w:id="846140687">
          <w:marLeft w:val="0"/>
          <w:marRight w:val="0"/>
          <w:marTop w:val="0"/>
          <w:marBottom w:val="0"/>
          <w:divBdr>
            <w:top w:val="none" w:sz="0" w:space="0" w:color="auto"/>
            <w:left w:val="none" w:sz="0" w:space="0" w:color="auto"/>
            <w:bottom w:val="none" w:sz="0" w:space="0" w:color="auto"/>
            <w:right w:val="none" w:sz="0" w:space="0" w:color="auto"/>
          </w:divBdr>
        </w:div>
        <w:div w:id="876166858">
          <w:marLeft w:val="0"/>
          <w:marRight w:val="0"/>
          <w:marTop w:val="0"/>
          <w:marBottom w:val="0"/>
          <w:divBdr>
            <w:top w:val="none" w:sz="0" w:space="0" w:color="auto"/>
            <w:left w:val="none" w:sz="0" w:space="0" w:color="auto"/>
            <w:bottom w:val="none" w:sz="0" w:space="0" w:color="auto"/>
            <w:right w:val="none" w:sz="0" w:space="0" w:color="auto"/>
          </w:divBdr>
        </w:div>
        <w:div w:id="912351635">
          <w:marLeft w:val="0"/>
          <w:marRight w:val="0"/>
          <w:marTop w:val="0"/>
          <w:marBottom w:val="0"/>
          <w:divBdr>
            <w:top w:val="none" w:sz="0" w:space="0" w:color="auto"/>
            <w:left w:val="none" w:sz="0" w:space="0" w:color="auto"/>
            <w:bottom w:val="none" w:sz="0" w:space="0" w:color="auto"/>
            <w:right w:val="none" w:sz="0" w:space="0" w:color="auto"/>
          </w:divBdr>
          <w:divsChild>
            <w:div w:id="1269510479">
              <w:marLeft w:val="-75"/>
              <w:marRight w:val="0"/>
              <w:marTop w:val="30"/>
              <w:marBottom w:val="30"/>
              <w:divBdr>
                <w:top w:val="none" w:sz="0" w:space="0" w:color="auto"/>
                <w:left w:val="none" w:sz="0" w:space="0" w:color="auto"/>
                <w:bottom w:val="none" w:sz="0" w:space="0" w:color="auto"/>
                <w:right w:val="none" w:sz="0" w:space="0" w:color="auto"/>
              </w:divBdr>
              <w:divsChild>
                <w:div w:id="115947713">
                  <w:marLeft w:val="0"/>
                  <w:marRight w:val="0"/>
                  <w:marTop w:val="0"/>
                  <w:marBottom w:val="0"/>
                  <w:divBdr>
                    <w:top w:val="none" w:sz="0" w:space="0" w:color="auto"/>
                    <w:left w:val="none" w:sz="0" w:space="0" w:color="auto"/>
                    <w:bottom w:val="none" w:sz="0" w:space="0" w:color="auto"/>
                    <w:right w:val="none" w:sz="0" w:space="0" w:color="auto"/>
                  </w:divBdr>
                  <w:divsChild>
                    <w:div w:id="1228372363">
                      <w:marLeft w:val="0"/>
                      <w:marRight w:val="0"/>
                      <w:marTop w:val="0"/>
                      <w:marBottom w:val="0"/>
                      <w:divBdr>
                        <w:top w:val="none" w:sz="0" w:space="0" w:color="auto"/>
                        <w:left w:val="none" w:sz="0" w:space="0" w:color="auto"/>
                        <w:bottom w:val="none" w:sz="0" w:space="0" w:color="auto"/>
                        <w:right w:val="none" w:sz="0" w:space="0" w:color="auto"/>
                      </w:divBdr>
                    </w:div>
                  </w:divsChild>
                </w:div>
                <w:div w:id="133447256">
                  <w:marLeft w:val="0"/>
                  <w:marRight w:val="0"/>
                  <w:marTop w:val="0"/>
                  <w:marBottom w:val="0"/>
                  <w:divBdr>
                    <w:top w:val="none" w:sz="0" w:space="0" w:color="auto"/>
                    <w:left w:val="none" w:sz="0" w:space="0" w:color="auto"/>
                    <w:bottom w:val="none" w:sz="0" w:space="0" w:color="auto"/>
                    <w:right w:val="none" w:sz="0" w:space="0" w:color="auto"/>
                  </w:divBdr>
                  <w:divsChild>
                    <w:div w:id="2033602499">
                      <w:marLeft w:val="0"/>
                      <w:marRight w:val="0"/>
                      <w:marTop w:val="0"/>
                      <w:marBottom w:val="0"/>
                      <w:divBdr>
                        <w:top w:val="none" w:sz="0" w:space="0" w:color="auto"/>
                        <w:left w:val="none" w:sz="0" w:space="0" w:color="auto"/>
                        <w:bottom w:val="none" w:sz="0" w:space="0" w:color="auto"/>
                        <w:right w:val="none" w:sz="0" w:space="0" w:color="auto"/>
                      </w:divBdr>
                    </w:div>
                  </w:divsChild>
                </w:div>
                <w:div w:id="207500753">
                  <w:marLeft w:val="0"/>
                  <w:marRight w:val="0"/>
                  <w:marTop w:val="0"/>
                  <w:marBottom w:val="0"/>
                  <w:divBdr>
                    <w:top w:val="none" w:sz="0" w:space="0" w:color="auto"/>
                    <w:left w:val="none" w:sz="0" w:space="0" w:color="auto"/>
                    <w:bottom w:val="none" w:sz="0" w:space="0" w:color="auto"/>
                    <w:right w:val="none" w:sz="0" w:space="0" w:color="auto"/>
                  </w:divBdr>
                  <w:divsChild>
                    <w:div w:id="1399747716">
                      <w:marLeft w:val="0"/>
                      <w:marRight w:val="0"/>
                      <w:marTop w:val="0"/>
                      <w:marBottom w:val="0"/>
                      <w:divBdr>
                        <w:top w:val="none" w:sz="0" w:space="0" w:color="auto"/>
                        <w:left w:val="none" w:sz="0" w:space="0" w:color="auto"/>
                        <w:bottom w:val="none" w:sz="0" w:space="0" w:color="auto"/>
                        <w:right w:val="none" w:sz="0" w:space="0" w:color="auto"/>
                      </w:divBdr>
                    </w:div>
                  </w:divsChild>
                </w:div>
                <w:div w:id="233012408">
                  <w:marLeft w:val="0"/>
                  <w:marRight w:val="0"/>
                  <w:marTop w:val="0"/>
                  <w:marBottom w:val="0"/>
                  <w:divBdr>
                    <w:top w:val="none" w:sz="0" w:space="0" w:color="auto"/>
                    <w:left w:val="none" w:sz="0" w:space="0" w:color="auto"/>
                    <w:bottom w:val="none" w:sz="0" w:space="0" w:color="auto"/>
                    <w:right w:val="none" w:sz="0" w:space="0" w:color="auto"/>
                  </w:divBdr>
                  <w:divsChild>
                    <w:div w:id="1390301220">
                      <w:marLeft w:val="0"/>
                      <w:marRight w:val="0"/>
                      <w:marTop w:val="0"/>
                      <w:marBottom w:val="0"/>
                      <w:divBdr>
                        <w:top w:val="none" w:sz="0" w:space="0" w:color="auto"/>
                        <w:left w:val="none" w:sz="0" w:space="0" w:color="auto"/>
                        <w:bottom w:val="none" w:sz="0" w:space="0" w:color="auto"/>
                        <w:right w:val="none" w:sz="0" w:space="0" w:color="auto"/>
                      </w:divBdr>
                    </w:div>
                  </w:divsChild>
                </w:div>
                <w:div w:id="397090233">
                  <w:marLeft w:val="0"/>
                  <w:marRight w:val="0"/>
                  <w:marTop w:val="0"/>
                  <w:marBottom w:val="0"/>
                  <w:divBdr>
                    <w:top w:val="none" w:sz="0" w:space="0" w:color="auto"/>
                    <w:left w:val="none" w:sz="0" w:space="0" w:color="auto"/>
                    <w:bottom w:val="none" w:sz="0" w:space="0" w:color="auto"/>
                    <w:right w:val="none" w:sz="0" w:space="0" w:color="auto"/>
                  </w:divBdr>
                  <w:divsChild>
                    <w:div w:id="2122449687">
                      <w:marLeft w:val="0"/>
                      <w:marRight w:val="0"/>
                      <w:marTop w:val="0"/>
                      <w:marBottom w:val="0"/>
                      <w:divBdr>
                        <w:top w:val="none" w:sz="0" w:space="0" w:color="auto"/>
                        <w:left w:val="none" w:sz="0" w:space="0" w:color="auto"/>
                        <w:bottom w:val="none" w:sz="0" w:space="0" w:color="auto"/>
                        <w:right w:val="none" w:sz="0" w:space="0" w:color="auto"/>
                      </w:divBdr>
                    </w:div>
                  </w:divsChild>
                </w:div>
                <w:div w:id="460349050">
                  <w:marLeft w:val="0"/>
                  <w:marRight w:val="0"/>
                  <w:marTop w:val="0"/>
                  <w:marBottom w:val="0"/>
                  <w:divBdr>
                    <w:top w:val="none" w:sz="0" w:space="0" w:color="auto"/>
                    <w:left w:val="none" w:sz="0" w:space="0" w:color="auto"/>
                    <w:bottom w:val="none" w:sz="0" w:space="0" w:color="auto"/>
                    <w:right w:val="none" w:sz="0" w:space="0" w:color="auto"/>
                  </w:divBdr>
                  <w:divsChild>
                    <w:div w:id="1542277636">
                      <w:marLeft w:val="0"/>
                      <w:marRight w:val="0"/>
                      <w:marTop w:val="0"/>
                      <w:marBottom w:val="0"/>
                      <w:divBdr>
                        <w:top w:val="none" w:sz="0" w:space="0" w:color="auto"/>
                        <w:left w:val="none" w:sz="0" w:space="0" w:color="auto"/>
                        <w:bottom w:val="none" w:sz="0" w:space="0" w:color="auto"/>
                        <w:right w:val="none" w:sz="0" w:space="0" w:color="auto"/>
                      </w:divBdr>
                    </w:div>
                  </w:divsChild>
                </w:div>
                <w:div w:id="465464610">
                  <w:marLeft w:val="0"/>
                  <w:marRight w:val="0"/>
                  <w:marTop w:val="0"/>
                  <w:marBottom w:val="0"/>
                  <w:divBdr>
                    <w:top w:val="none" w:sz="0" w:space="0" w:color="auto"/>
                    <w:left w:val="none" w:sz="0" w:space="0" w:color="auto"/>
                    <w:bottom w:val="none" w:sz="0" w:space="0" w:color="auto"/>
                    <w:right w:val="none" w:sz="0" w:space="0" w:color="auto"/>
                  </w:divBdr>
                  <w:divsChild>
                    <w:div w:id="49692590">
                      <w:marLeft w:val="0"/>
                      <w:marRight w:val="0"/>
                      <w:marTop w:val="0"/>
                      <w:marBottom w:val="0"/>
                      <w:divBdr>
                        <w:top w:val="none" w:sz="0" w:space="0" w:color="auto"/>
                        <w:left w:val="none" w:sz="0" w:space="0" w:color="auto"/>
                        <w:bottom w:val="none" w:sz="0" w:space="0" w:color="auto"/>
                        <w:right w:val="none" w:sz="0" w:space="0" w:color="auto"/>
                      </w:divBdr>
                    </w:div>
                  </w:divsChild>
                </w:div>
                <w:div w:id="615450313">
                  <w:marLeft w:val="0"/>
                  <w:marRight w:val="0"/>
                  <w:marTop w:val="0"/>
                  <w:marBottom w:val="0"/>
                  <w:divBdr>
                    <w:top w:val="none" w:sz="0" w:space="0" w:color="auto"/>
                    <w:left w:val="none" w:sz="0" w:space="0" w:color="auto"/>
                    <w:bottom w:val="none" w:sz="0" w:space="0" w:color="auto"/>
                    <w:right w:val="none" w:sz="0" w:space="0" w:color="auto"/>
                  </w:divBdr>
                  <w:divsChild>
                    <w:div w:id="1407075587">
                      <w:marLeft w:val="0"/>
                      <w:marRight w:val="0"/>
                      <w:marTop w:val="0"/>
                      <w:marBottom w:val="0"/>
                      <w:divBdr>
                        <w:top w:val="none" w:sz="0" w:space="0" w:color="auto"/>
                        <w:left w:val="none" w:sz="0" w:space="0" w:color="auto"/>
                        <w:bottom w:val="none" w:sz="0" w:space="0" w:color="auto"/>
                        <w:right w:val="none" w:sz="0" w:space="0" w:color="auto"/>
                      </w:divBdr>
                    </w:div>
                  </w:divsChild>
                </w:div>
                <w:div w:id="662928347">
                  <w:marLeft w:val="0"/>
                  <w:marRight w:val="0"/>
                  <w:marTop w:val="0"/>
                  <w:marBottom w:val="0"/>
                  <w:divBdr>
                    <w:top w:val="none" w:sz="0" w:space="0" w:color="auto"/>
                    <w:left w:val="none" w:sz="0" w:space="0" w:color="auto"/>
                    <w:bottom w:val="none" w:sz="0" w:space="0" w:color="auto"/>
                    <w:right w:val="none" w:sz="0" w:space="0" w:color="auto"/>
                  </w:divBdr>
                  <w:divsChild>
                    <w:div w:id="1068335037">
                      <w:marLeft w:val="0"/>
                      <w:marRight w:val="0"/>
                      <w:marTop w:val="0"/>
                      <w:marBottom w:val="0"/>
                      <w:divBdr>
                        <w:top w:val="none" w:sz="0" w:space="0" w:color="auto"/>
                        <w:left w:val="none" w:sz="0" w:space="0" w:color="auto"/>
                        <w:bottom w:val="none" w:sz="0" w:space="0" w:color="auto"/>
                        <w:right w:val="none" w:sz="0" w:space="0" w:color="auto"/>
                      </w:divBdr>
                    </w:div>
                  </w:divsChild>
                </w:div>
                <w:div w:id="734428586">
                  <w:marLeft w:val="0"/>
                  <w:marRight w:val="0"/>
                  <w:marTop w:val="0"/>
                  <w:marBottom w:val="0"/>
                  <w:divBdr>
                    <w:top w:val="none" w:sz="0" w:space="0" w:color="auto"/>
                    <w:left w:val="none" w:sz="0" w:space="0" w:color="auto"/>
                    <w:bottom w:val="none" w:sz="0" w:space="0" w:color="auto"/>
                    <w:right w:val="none" w:sz="0" w:space="0" w:color="auto"/>
                  </w:divBdr>
                  <w:divsChild>
                    <w:div w:id="786311949">
                      <w:marLeft w:val="0"/>
                      <w:marRight w:val="0"/>
                      <w:marTop w:val="0"/>
                      <w:marBottom w:val="0"/>
                      <w:divBdr>
                        <w:top w:val="none" w:sz="0" w:space="0" w:color="auto"/>
                        <w:left w:val="none" w:sz="0" w:space="0" w:color="auto"/>
                        <w:bottom w:val="none" w:sz="0" w:space="0" w:color="auto"/>
                        <w:right w:val="none" w:sz="0" w:space="0" w:color="auto"/>
                      </w:divBdr>
                    </w:div>
                  </w:divsChild>
                </w:div>
                <w:div w:id="781993034">
                  <w:marLeft w:val="0"/>
                  <w:marRight w:val="0"/>
                  <w:marTop w:val="0"/>
                  <w:marBottom w:val="0"/>
                  <w:divBdr>
                    <w:top w:val="none" w:sz="0" w:space="0" w:color="auto"/>
                    <w:left w:val="none" w:sz="0" w:space="0" w:color="auto"/>
                    <w:bottom w:val="none" w:sz="0" w:space="0" w:color="auto"/>
                    <w:right w:val="none" w:sz="0" w:space="0" w:color="auto"/>
                  </w:divBdr>
                  <w:divsChild>
                    <w:div w:id="296768329">
                      <w:marLeft w:val="0"/>
                      <w:marRight w:val="0"/>
                      <w:marTop w:val="0"/>
                      <w:marBottom w:val="0"/>
                      <w:divBdr>
                        <w:top w:val="none" w:sz="0" w:space="0" w:color="auto"/>
                        <w:left w:val="none" w:sz="0" w:space="0" w:color="auto"/>
                        <w:bottom w:val="none" w:sz="0" w:space="0" w:color="auto"/>
                        <w:right w:val="none" w:sz="0" w:space="0" w:color="auto"/>
                      </w:divBdr>
                    </w:div>
                  </w:divsChild>
                </w:div>
                <w:div w:id="801846289">
                  <w:marLeft w:val="0"/>
                  <w:marRight w:val="0"/>
                  <w:marTop w:val="0"/>
                  <w:marBottom w:val="0"/>
                  <w:divBdr>
                    <w:top w:val="none" w:sz="0" w:space="0" w:color="auto"/>
                    <w:left w:val="none" w:sz="0" w:space="0" w:color="auto"/>
                    <w:bottom w:val="none" w:sz="0" w:space="0" w:color="auto"/>
                    <w:right w:val="none" w:sz="0" w:space="0" w:color="auto"/>
                  </w:divBdr>
                  <w:divsChild>
                    <w:div w:id="141581323">
                      <w:marLeft w:val="0"/>
                      <w:marRight w:val="0"/>
                      <w:marTop w:val="0"/>
                      <w:marBottom w:val="0"/>
                      <w:divBdr>
                        <w:top w:val="none" w:sz="0" w:space="0" w:color="auto"/>
                        <w:left w:val="none" w:sz="0" w:space="0" w:color="auto"/>
                        <w:bottom w:val="none" w:sz="0" w:space="0" w:color="auto"/>
                        <w:right w:val="none" w:sz="0" w:space="0" w:color="auto"/>
                      </w:divBdr>
                    </w:div>
                  </w:divsChild>
                </w:div>
                <w:div w:id="834078879">
                  <w:marLeft w:val="0"/>
                  <w:marRight w:val="0"/>
                  <w:marTop w:val="0"/>
                  <w:marBottom w:val="0"/>
                  <w:divBdr>
                    <w:top w:val="none" w:sz="0" w:space="0" w:color="auto"/>
                    <w:left w:val="none" w:sz="0" w:space="0" w:color="auto"/>
                    <w:bottom w:val="none" w:sz="0" w:space="0" w:color="auto"/>
                    <w:right w:val="none" w:sz="0" w:space="0" w:color="auto"/>
                  </w:divBdr>
                  <w:divsChild>
                    <w:div w:id="1508591846">
                      <w:marLeft w:val="0"/>
                      <w:marRight w:val="0"/>
                      <w:marTop w:val="0"/>
                      <w:marBottom w:val="0"/>
                      <w:divBdr>
                        <w:top w:val="none" w:sz="0" w:space="0" w:color="auto"/>
                        <w:left w:val="none" w:sz="0" w:space="0" w:color="auto"/>
                        <w:bottom w:val="none" w:sz="0" w:space="0" w:color="auto"/>
                        <w:right w:val="none" w:sz="0" w:space="0" w:color="auto"/>
                      </w:divBdr>
                    </w:div>
                  </w:divsChild>
                </w:div>
                <w:div w:id="920067487">
                  <w:marLeft w:val="0"/>
                  <w:marRight w:val="0"/>
                  <w:marTop w:val="0"/>
                  <w:marBottom w:val="0"/>
                  <w:divBdr>
                    <w:top w:val="none" w:sz="0" w:space="0" w:color="auto"/>
                    <w:left w:val="none" w:sz="0" w:space="0" w:color="auto"/>
                    <w:bottom w:val="none" w:sz="0" w:space="0" w:color="auto"/>
                    <w:right w:val="none" w:sz="0" w:space="0" w:color="auto"/>
                  </w:divBdr>
                  <w:divsChild>
                    <w:div w:id="1227063083">
                      <w:marLeft w:val="0"/>
                      <w:marRight w:val="0"/>
                      <w:marTop w:val="0"/>
                      <w:marBottom w:val="0"/>
                      <w:divBdr>
                        <w:top w:val="none" w:sz="0" w:space="0" w:color="auto"/>
                        <w:left w:val="none" w:sz="0" w:space="0" w:color="auto"/>
                        <w:bottom w:val="none" w:sz="0" w:space="0" w:color="auto"/>
                        <w:right w:val="none" w:sz="0" w:space="0" w:color="auto"/>
                      </w:divBdr>
                    </w:div>
                  </w:divsChild>
                </w:div>
                <w:div w:id="982081500">
                  <w:marLeft w:val="0"/>
                  <w:marRight w:val="0"/>
                  <w:marTop w:val="0"/>
                  <w:marBottom w:val="0"/>
                  <w:divBdr>
                    <w:top w:val="none" w:sz="0" w:space="0" w:color="auto"/>
                    <w:left w:val="none" w:sz="0" w:space="0" w:color="auto"/>
                    <w:bottom w:val="none" w:sz="0" w:space="0" w:color="auto"/>
                    <w:right w:val="none" w:sz="0" w:space="0" w:color="auto"/>
                  </w:divBdr>
                  <w:divsChild>
                    <w:div w:id="668484274">
                      <w:marLeft w:val="0"/>
                      <w:marRight w:val="0"/>
                      <w:marTop w:val="0"/>
                      <w:marBottom w:val="0"/>
                      <w:divBdr>
                        <w:top w:val="none" w:sz="0" w:space="0" w:color="auto"/>
                        <w:left w:val="none" w:sz="0" w:space="0" w:color="auto"/>
                        <w:bottom w:val="none" w:sz="0" w:space="0" w:color="auto"/>
                        <w:right w:val="none" w:sz="0" w:space="0" w:color="auto"/>
                      </w:divBdr>
                    </w:div>
                  </w:divsChild>
                </w:div>
                <w:div w:id="1241403603">
                  <w:marLeft w:val="0"/>
                  <w:marRight w:val="0"/>
                  <w:marTop w:val="0"/>
                  <w:marBottom w:val="0"/>
                  <w:divBdr>
                    <w:top w:val="none" w:sz="0" w:space="0" w:color="auto"/>
                    <w:left w:val="none" w:sz="0" w:space="0" w:color="auto"/>
                    <w:bottom w:val="none" w:sz="0" w:space="0" w:color="auto"/>
                    <w:right w:val="none" w:sz="0" w:space="0" w:color="auto"/>
                  </w:divBdr>
                  <w:divsChild>
                    <w:div w:id="798453686">
                      <w:marLeft w:val="0"/>
                      <w:marRight w:val="0"/>
                      <w:marTop w:val="0"/>
                      <w:marBottom w:val="0"/>
                      <w:divBdr>
                        <w:top w:val="none" w:sz="0" w:space="0" w:color="auto"/>
                        <w:left w:val="none" w:sz="0" w:space="0" w:color="auto"/>
                        <w:bottom w:val="none" w:sz="0" w:space="0" w:color="auto"/>
                        <w:right w:val="none" w:sz="0" w:space="0" w:color="auto"/>
                      </w:divBdr>
                    </w:div>
                  </w:divsChild>
                </w:div>
                <w:div w:id="1433474634">
                  <w:marLeft w:val="0"/>
                  <w:marRight w:val="0"/>
                  <w:marTop w:val="0"/>
                  <w:marBottom w:val="0"/>
                  <w:divBdr>
                    <w:top w:val="none" w:sz="0" w:space="0" w:color="auto"/>
                    <w:left w:val="none" w:sz="0" w:space="0" w:color="auto"/>
                    <w:bottom w:val="none" w:sz="0" w:space="0" w:color="auto"/>
                    <w:right w:val="none" w:sz="0" w:space="0" w:color="auto"/>
                  </w:divBdr>
                  <w:divsChild>
                    <w:div w:id="848250487">
                      <w:marLeft w:val="0"/>
                      <w:marRight w:val="0"/>
                      <w:marTop w:val="0"/>
                      <w:marBottom w:val="0"/>
                      <w:divBdr>
                        <w:top w:val="none" w:sz="0" w:space="0" w:color="auto"/>
                        <w:left w:val="none" w:sz="0" w:space="0" w:color="auto"/>
                        <w:bottom w:val="none" w:sz="0" w:space="0" w:color="auto"/>
                        <w:right w:val="none" w:sz="0" w:space="0" w:color="auto"/>
                      </w:divBdr>
                    </w:div>
                  </w:divsChild>
                </w:div>
                <w:div w:id="1588658874">
                  <w:marLeft w:val="0"/>
                  <w:marRight w:val="0"/>
                  <w:marTop w:val="0"/>
                  <w:marBottom w:val="0"/>
                  <w:divBdr>
                    <w:top w:val="none" w:sz="0" w:space="0" w:color="auto"/>
                    <w:left w:val="none" w:sz="0" w:space="0" w:color="auto"/>
                    <w:bottom w:val="none" w:sz="0" w:space="0" w:color="auto"/>
                    <w:right w:val="none" w:sz="0" w:space="0" w:color="auto"/>
                  </w:divBdr>
                  <w:divsChild>
                    <w:div w:id="374699265">
                      <w:marLeft w:val="0"/>
                      <w:marRight w:val="0"/>
                      <w:marTop w:val="0"/>
                      <w:marBottom w:val="0"/>
                      <w:divBdr>
                        <w:top w:val="none" w:sz="0" w:space="0" w:color="auto"/>
                        <w:left w:val="none" w:sz="0" w:space="0" w:color="auto"/>
                        <w:bottom w:val="none" w:sz="0" w:space="0" w:color="auto"/>
                        <w:right w:val="none" w:sz="0" w:space="0" w:color="auto"/>
                      </w:divBdr>
                    </w:div>
                  </w:divsChild>
                </w:div>
                <w:div w:id="1683583446">
                  <w:marLeft w:val="0"/>
                  <w:marRight w:val="0"/>
                  <w:marTop w:val="0"/>
                  <w:marBottom w:val="0"/>
                  <w:divBdr>
                    <w:top w:val="none" w:sz="0" w:space="0" w:color="auto"/>
                    <w:left w:val="none" w:sz="0" w:space="0" w:color="auto"/>
                    <w:bottom w:val="none" w:sz="0" w:space="0" w:color="auto"/>
                    <w:right w:val="none" w:sz="0" w:space="0" w:color="auto"/>
                  </w:divBdr>
                  <w:divsChild>
                    <w:div w:id="617033537">
                      <w:marLeft w:val="0"/>
                      <w:marRight w:val="0"/>
                      <w:marTop w:val="0"/>
                      <w:marBottom w:val="0"/>
                      <w:divBdr>
                        <w:top w:val="none" w:sz="0" w:space="0" w:color="auto"/>
                        <w:left w:val="none" w:sz="0" w:space="0" w:color="auto"/>
                        <w:bottom w:val="none" w:sz="0" w:space="0" w:color="auto"/>
                        <w:right w:val="none" w:sz="0" w:space="0" w:color="auto"/>
                      </w:divBdr>
                    </w:div>
                  </w:divsChild>
                </w:div>
                <w:div w:id="1752309201">
                  <w:marLeft w:val="0"/>
                  <w:marRight w:val="0"/>
                  <w:marTop w:val="0"/>
                  <w:marBottom w:val="0"/>
                  <w:divBdr>
                    <w:top w:val="none" w:sz="0" w:space="0" w:color="auto"/>
                    <w:left w:val="none" w:sz="0" w:space="0" w:color="auto"/>
                    <w:bottom w:val="none" w:sz="0" w:space="0" w:color="auto"/>
                    <w:right w:val="none" w:sz="0" w:space="0" w:color="auto"/>
                  </w:divBdr>
                  <w:divsChild>
                    <w:div w:id="485049905">
                      <w:marLeft w:val="0"/>
                      <w:marRight w:val="0"/>
                      <w:marTop w:val="0"/>
                      <w:marBottom w:val="0"/>
                      <w:divBdr>
                        <w:top w:val="none" w:sz="0" w:space="0" w:color="auto"/>
                        <w:left w:val="none" w:sz="0" w:space="0" w:color="auto"/>
                        <w:bottom w:val="none" w:sz="0" w:space="0" w:color="auto"/>
                        <w:right w:val="none" w:sz="0" w:space="0" w:color="auto"/>
                      </w:divBdr>
                    </w:div>
                  </w:divsChild>
                </w:div>
                <w:div w:id="1925795209">
                  <w:marLeft w:val="0"/>
                  <w:marRight w:val="0"/>
                  <w:marTop w:val="0"/>
                  <w:marBottom w:val="0"/>
                  <w:divBdr>
                    <w:top w:val="none" w:sz="0" w:space="0" w:color="auto"/>
                    <w:left w:val="none" w:sz="0" w:space="0" w:color="auto"/>
                    <w:bottom w:val="none" w:sz="0" w:space="0" w:color="auto"/>
                    <w:right w:val="none" w:sz="0" w:space="0" w:color="auto"/>
                  </w:divBdr>
                  <w:divsChild>
                    <w:div w:id="1022979870">
                      <w:marLeft w:val="0"/>
                      <w:marRight w:val="0"/>
                      <w:marTop w:val="0"/>
                      <w:marBottom w:val="0"/>
                      <w:divBdr>
                        <w:top w:val="none" w:sz="0" w:space="0" w:color="auto"/>
                        <w:left w:val="none" w:sz="0" w:space="0" w:color="auto"/>
                        <w:bottom w:val="none" w:sz="0" w:space="0" w:color="auto"/>
                        <w:right w:val="none" w:sz="0" w:space="0" w:color="auto"/>
                      </w:divBdr>
                    </w:div>
                  </w:divsChild>
                </w:div>
                <w:div w:id="1993171182">
                  <w:marLeft w:val="0"/>
                  <w:marRight w:val="0"/>
                  <w:marTop w:val="0"/>
                  <w:marBottom w:val="0"/>
                  <w:divBdr>
                    <w:top w:val="none" w:sz="0" w:space="0" w:color="auto"/>
                    <w:left w:val="none" w:sz="0" w:space="0" w:color="auto"/>
                    <w:bottom w:val="none" w:sz="0" w:space="0" w:color="auto"/>
                    <w:right w:val="none" w:sz="0" w:space="0" w:color="auto"/>
                  </w:divBdr>
                  <w:divsChild>
                    <w:div w:id="13821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5368">
          <w:marLeft w:val="0"/>
          <w:marRight w:val="0"/>
          <w:marTop w:val="0"/>
          <w:marBottom w:val="0"/>
          <w:divBdr>
            <w:top w:val="none" w:sz="0" w:space="0" w:color="auto"/>
            <w:left w:val="none" w:sz="0" w:space="0" w:color="auto"/>
            <w:bottom w:val="none" w:sz="0" w:space="0" w:color="auto"/>
            <w:right w:val="none" w:sz="0" w:space="0" w:color="auto"/>
          </w:divBdr>
        </w:div>
        <w:div w:id="943152457">
          <w:marLeft w:val="0"/>
          <w:marRight w:val="0"/>
          <w:marTop w:val="0"/>
          <w:marBottom w:val="0"/>
          <w:divBdr>
            <w:top w:val="none" w:sz="0" w:space="0" w:color="auto"/>
            <w:left w:val="none" w:sz="0" w:space="0" w:color="auto"/>
            <w:bottom w:val="none" w:sz="0" w:space="0" w:color="auto"/>
            <w:right w:val="none" w:sz="0" w:space="0" w:color="auto"/>
          </w:divBdr>
        </w:div>
        <w:div w:id="977147728">
          <w:marLeft w:val="0"/>
          <w:marRight w:val="0"/>
          <w:marTop w:val="0"/>
          <w:marBottom w:val="0"/>
          <w:divBdr>
            <w:top w:val="none" w:sz="0" w:space="0" w:color="auto"/>
            <w:left w:val="none" w:sz="0" w:space="0" w:color="auto"/>
            <w:bottom w:val="none" w:sz="0" w:space="0" w:color="auto"/>
            <w:right w:val="none" w:sz="0" w:space="0" w:color="auto"/>
          </w:divBdr>
        </w:div>
        <w:div w:id="1046032387">
          <w:marLeft w:val="0"/>
          <w:marRight w:val="0"/>
          <w:marTop w:val="0"/>
          <w:marBottom w:val="0"/>
          <w:divBdr>
            <w:top w:val="none" w:sz="0" w:space="0" w:color="auto"/>
            <w:left w:val="none" w:sz="0" w:space="0" w:color="auto"/>
            <w:bottom w:val="none" w:sz="0" w:space="0" w:color="auto"/>
            <w:right w:val="none" w:sz="0" w:space="0" w:color="auto"/>
          </w:divBdr>
        </w:div>
        <w:div w:id="1063137979">
          <w:marLeft w:val="0"/>
          <w:marRight w:val="0"/>
          <w:marTop w:val="0"/>
          <w:marBottom w:val="0"/>
          <w:divBdr>
            <w:top w:val="none" w:sz="0" w:space="0" w:color="auto"/>
            <w:left w:val="none" w:sz="0" w:space="0" w:color="auto"/>
            <w:bottom w:val="none" w:sz="0" w:space="0" w:color="auto"/>
            <w:right w:val="none" w:sz="0" w:space="0" w:color="auto"/>
          </w:divBdr>
        </w:div>
        <w:div w:id="1085997279">
          <w:marLeft w:val="0"/>
          <w:marRight w:val="0"/>
          <w:marTop w:val="0"/>
          <w:marBottom w:val="0"/>
          <w:divBdr>
            <w:top w:val="none" w:sz="0" w:space="0" w:color="auto"/>
            <w:left w:val="none" w:sz="0" w:space="0" w:color="auto"/>
            <w:bottom w:val="none" w:sz="0" w:space="0" w:color="auto"/>
            <w:right w:val="none" w:sz="0" w:space="0" w:color="auto"/>
          </w:divBdr>
          <w:divsChild>
            <w:div w:id="1708332830">
              <w:marLeft w:val="0"/>
              <w:marRight w:val="0"/>
              <w:marTop w:val="0"/>
              <w:marBottom w:val="0"/>
              <w:divBdr>
                <w:top w:val="none" w:sz="0" w:space="0" w:color="auto"/>
                <w:left w:val="none" w:sz="0" w:space="0" w:color="auto"/>
                <w:bottom w:val="none" w:sz="0" w:space="0" w:color="auto"/>
                <w:right w:val="none" w:sz="0" w:space="0" w:color="auto"/>
              </w:divBdr>
            </w:div>
            <w:div w:id="1717847313">
              <w:marLeft w:val="0"/>
              <w:marRight w:val="0"/>
              <w:marTop w:val="0"/>
              <w:marBottom w:val="0"/>
              <w:divBdr>
                <w:top w:val="none" w:sz="0" w:space="0" w:color="auto"/>
                <w:left w:val="none" w:sz="0" w:space="0" w:color="auto"/>
                <w:bottom w:val="none" w:sz="0" w:space="0" w:color="auto"/>
                <w:right w:val="none" w:sz="0" w:space="0" w:color="auto"/>
              </w:divBdr>
            </w:div>
            <w:div w:id="1985085560">
              <w:marLeft w:val="0"/>
              <w:marRight w:val="0"/>
              <w:marTop w:val="0"/>
              <w:marBottom w:val="0"/>
              <w:divBdr>
                <w:top w:val="none" w:sz="0" w:space="0" w:color="auto"/>
                <w:left w:val="none" w:sz="0" w:space="0" w:color="auto"/>
                <w:bottom w:val="none" w:sz="0" w:space="0" w:color="auto"/>
                <w:right w:val="none" w:sz="0" w:space="0" w:color="auto"/>
              </w:divBdr>
            </w:div>
            <w:div w:id="2127768595">
              <w:marLeft w:val="0"/>
              <w:marRight w:val="0"/>
              <w:marTop w:val="0"/>
              <w:marBottom w:val="0"/>
              <w:divBdr>
                <w:top w:val="none" w:sz="0" w:space="0" w:color="auto"/>
                <w:left w:val="none" w:sz="0" w:space="0" w:color="auto"/>
                <w:bottom w:val="none" w:sz="0" w:space="0" w:color="auto"/>
                <w:right w:val="none" w:sz="0" w:space="0" w:color="auto"/>
              </w:divBdr>
            </w:div>
          </w:divsChild>
        </w:div>
        <w:div w:id="1091119195">
          <w:marLeft w:val="0"/>
          <w:marRight w:val="0"/>
          <w:marTop w:val="0"/>
          <w:marBottom w:val="0"/>
          <w:divBdr>
            <w:top w:val="none" w:sz="0" w:space="0" w:color="auto"/>
            <w:left w:val="none" w:sz="0" w:space="0" w:color="auto"/>
            <w:bottom w:val="none" w:sz="0" w:space="0" w:color="auto"/>
            <w:right w:val="none" w:sz="0" w:space="0" w:color="auto"/>
          </w:divBdr>
          <w:divsChild>
            <w:div w:id="196895550">
              <w:marLeft w:val="0"/>
              <w:marRight w:val="0"/>
              <w:marTop w:val="0"/>
              <w:marBottom w:val="0"/>
              <w:divBdr>
                <w:top w:val="none" w:sz="0" w:space="0" w:color="auto"/>
                <w:left w:val="none" w:sz="0" w:space="0" w:color="auto"/>
                <w:bottom w:val="none" w:sz="0" w:space="0" w:color="auto"/>
                <w:right w:val="none" w:sz="0" w:space="0" w:color="auto"/>
              </w:divBdr>
            </w:div>
            <w:div w:id="1116170079">
              <w:marLeft w:val="0"/>
              <w:marRight w:val="0"/>
              <w:marTop w:val="0"/>
              <w:marBottom w:val="0"/>
              <w:divBdr>
                <w:top w:val="none" w:sz="0" w:space="0" w:color="auto"/>
                <w:left w:val="none" w:sz="0" w:space="0" w:color="auto"/>
                <w:bottom w:val="none" w:sz="0" w:space="0" w:color="auto"/>
                <w:right w:val="none" w:sz="0" w:space="0" w:color="auto"/>
              </w:divBdr>
            </w:div>
            <w:div w:id="1183671367">
              <w:marLeft w:val="0"/>
              <w:marRight w:val="0"/>
              <w:marTop w:val="0"/>
              <w:marBottom w:val="0"/>
              <w:divBdr>
                <w:top w:val="none" w:sz="0" w:space="0" w:color="auto"/>
                <w:left w:val="none" w:sz="0" w:space="0" w:color="auto"/>
                <w:bottom w:val="none" w:sz="0" w:space="0" w:color="auto"/>
                <w:right w:val="none" w:sz="0" w:space="0" w:color="auto"/>
              </w:divBdr>
            </w:div>
          </w:divsChild>
        </w:div>
        <w:div w:id="1110510875">
          <w:marLeft w:val="0"/>
          <w:marRight w:val="0"/>
          <w:marTop w:val="0"/>
          <w:marBottom w:val="0"/>
          <w:divBdr>
            <w:top w:val="none" w:sz="0" w:space="0" w:color="auto"/>
            <w:left w:val="none" w:sz="0" w:space="0" w:color="auto"/>
            <w:bottom w:val="none" w:sz="0" w:space="0" w:color="auto"/>
            <w:right w:val="none" w:sz="0" w:space="0" w:color="auto"/>
          </w:divBdr>
        </w:div>
        <w:div w:id="1143039327">
          <w:marLeft w:val="0"/>
          <w:marRight w:val="0"/>
          <w:marTop w:val="0"/>
          <w:marBottom w:val="0"/>
          <w:divBdr>
            <w:top w:val="none" w:sz="0" w:space="0" w:color="auto"/>
            <w:left w:val="none" w:sz="0" w:space="0" w:color="auto"/>
            <w:bottom w:val="none" w:sz="0" w:space="0" w:color="auto"/>
            <w:right w:val="none" w:sz="0" w:space="0" w:color="auto"/>
          </w:divBdr>
        </w:div>
        <w:div w:id="1151677211">
          <w:marLeft w:val="0"/>
          <w:marRight w:val="0"/>
          <w:marTop w:val="0"/>
          <w:marBottom w:val="0"/>
          <w:divBdr>
            <w:top w:val="none" w:sz="0" w:space="0" w:color="auto"/>
            <w:left w:val="none" w:sz="0" w:space="0" w:color="auto"/>
            <w:bottom w:val="none" w:sz="0" w:space="0" w:color="auto"/>
            <w:right w:val="none" w:sz="0" w:space="0" w:color="auto"/>
          </w:divBdr>
        </w:div>
        <w:div w:id="1176043831">
          <w:marLeft w:val="0"/>
          <w:marRight w:val="0"/>
          <w:marTop w:val="0"/>
          <w:marBottom w:val="0"/>
          <w:divBdr>
            <w:top w:val="none" w:sz="0" w:space="0" w:color="auto"/>
            <w:left w:val="none" w:sz="0" w:space="0" w:color="auto"/>
            <w:bottom w:val="none" w:sz="0" w:space="0" w:color="auto"/>
            <w:right w:val="none" w:sz="0" w:space="0" w:color="auto"/>
          </w:divBdr>
          <w:divsChild>
            <w:div w:id="178782567">
              <w:marLeft w:val="0"/>
              <w:marRight w:val="0"/>
              <w:marTop w:val="0"/>
              <w:marBottom w:val="0"/>
              <w:divBdr>
                <w:top w:val="none" w:sz="0" w:space="0" w:color="auto"/>
                <w:left w:val="none" w:sz="0" w:space="0" w:color="auto"/>
                <w:bottom w:val="none" w:sz="0" w:space="0" w:color="auto"/>
                <w:right w:val="none" w:sz="0" w:space="0" w:color="auto"/>
              </w:divBdr>
            </w:div>
            <w:div w:id="323048737">
              <w:marLeft w:val="0"/>
              <w:marRight w:val="0"/>
              <w:marTop w:val="0"/>
              <w:marBottom w:val="0"/>
              <w:divBdr>
                <w:top w:val="none" w:sz="0" w:space="0" w:color="auto"/>
                <w:left w:val="none" w:sz="0" w:space="0" w:color="auto"/>
                <w:bottom w:val="none" w:sz="0" w:space="0" w:color="auto"/>
                <w:right w:val="none" w:sz="0" w:space="0" w:color="auto"/>
              </w:divBdr>
            </w:div>
            <w:div w:id="1616329420">
              <w:marLeft w:val="0"/>
              <w:marRight w:val="0"/>
              <w:marTop w:val="0"/>
              <w:marBottom w:val="0"/>
              <w:divBdr>
                <w:top w:val="none" w:sz="0" w:space="0" w:color="auto"/>
                <w:left w:val="none" w:sz="0" w:space="0" w:color="auto"/>
                <w:bottom w:val="none" w:sz="0" w:space="0" w:color="auto"/>
                <w:right w:val="none" w:sz="0" w:space="0" w:color="auto"/>
              </w:divBdr>
            </w:div>
            <w:div w:id="1665742696">
              <w:marLeft w:val="0"/>
              <w:marRight w:val="0"/>
              <w:marTop w:val="0"/>
              <w:marBottom w:val="0"/>
              <w:divBdr>
                <w:top w:val="none" w:sz="0" w:space="0" w:color="auto"/>
                <w:left w:val="none" w:sz="0" w:space="0" w:color="auto"/>
                <w:bottom w:val="none" w:sz="0" w:space="0" w:color="auto"/>
                <w:right w:val="none" w:sz="0" w:space="0" w:color="auto"/>
              </w:divBdr>
            </w:div>
            <w:div w:id="1857423751">
              <w:marLeft w:val="0"/>
              <w:marRight w:val="0"/>
              <w:marTop w:val="0"/>
              <w:marBottom w:val="0"/>
              <w:divBdr>
                <w:top w:val="none" w:sz="0" w:space="0" w:color="auto"/>
                <w:left w:val="none" w:sz="0" w:space="0" w:color="auto"/>
                <w:bottom w:val="none" w:sz="0" w:space="0" w:color="auto"/>
                <w:right w:val="none" w:sz="0" w:space="0" w:color="auto"/>
              </w:divBdr>
            </w:div>
          </w:divsChild>
        </w:div>
        <w:div w:id="1199246355">
          <w:marLeft w:val="0"/>
          <w:marRight w:val="0"/>
          <w:marTop w:val="0"/>
          <w:marBottom w:val="0"/>
          <w:divBdr>
            <w:top w:val="none" w:sz="0" w:space="0" w:color="auto"/>
            <w:left w:val="none" w:sz="0" w:space="0" w:color="auto"/>
            <w:bottom w:val="none" w:sz="0" w:space="0" w:color="auto"/>
            <w:right w:val="none" w:sz="0" w:space="0" w:color="auto"/>
          </w:divBdr>
          <w:divsChild>
            <w:div w:id="934828093">
              <w:marLeft w:val="0"/>
              <w:marRight w:val="0"/>
              <w:marTop w:val="0"/>
              <w:marBottom w:val="0"/>
              <w:divBdr>
                <w:top w:val="none" w:sz="0" w:space="0" w:color="auto"/>
                <w:left w:val="none" w:sz="0" w:space="0" w:color="auto"/>
                <w:bottom w:val="none" w:sz="0" w:space="0" w:color="auto"/>
                <w:right w:val="none" w:sz="0" w:space="0" w:color="auto"/>
              </w:divBdr>
            </w:div>
            <w:div w:id="1754202942">
              <w:marLeft w:val="0"/>
              <w:marRight w:val="0"/>
              <w:marTop w:val="0"/>
              <w:marBottom w:val="0"/>
              <w:divBdr>
                <w:top w:val="none" w:sz="0" w:space="0" w:color="auto"/>
                <w:left w:val="none" w:sz="0" w:space="0" w:color="auto"/>
                <w:bottom w:val="none" w:sz="0" w:space="0" w:color="auto"/>
                <w:right w:val="none" w:sz="0" w:space="0" w:color="auto"/>
              </w:divBdr>
            </w:div>
            <w:div w:id="2036422606">
              <w:marLeft w:val="0"/>
              <w:marRight w:val="0"/>
              <w:marTop w:val="0"/>
              <w:marBottom w:val="0"/>
              <w:divBdr>
                <w:top w:val="none" w:sz="0" w:space="0" w:color="auto"/>
                <w:left w:val="none" w:sz="0" w:space="0" w:color="auto"/>
                <w:bottom w:val="none" w:sz="0" w:space="0" w:color="auto"/>
                <w:right w:val="none" w:sz="0" w:space="0" w:color="auto"/>
              </w:divBdr>
            </w:div>
            <w:div w:id="2070759417">
              <w:marLeft w:val="0"/>
              <w:marRight w:val="0"/>
              <w:marTop w:val="0"/>
              <w:marBottom w:val="0"/>
              <w:divBdr>
                <w:top w:val="none" w:sz="0" w:space="0" w:color="auto"/>
                <w:left w:val="none" w:sz="0" w:space="0" w:color="auto"/>
                <w:bottom w:val="none" w:sz="0" w:space="0" w:color="auto"/>
                <w:right w:val="none" w:sz="0" w:space="0" w:color="auto"/>
              </w:divBdr>
            </w:div>
            <w:div w:id="2142503842">
              <w:marLeft w:val="0"/>
              <w:marRight w:val="0"/>
              <w:marTop w:val="0"/>
              <w:marBottom w:val="0"/>
              <w:divBdr>
                <w:top w:val="none" w:sz="0" w:space="0" w:color="auto"/>
                <w:left w:val="none" w:sz="0" w:space="0" w:color="auto"/>
                <w:bottom w:val="none" w:sz="0" w:space="0" w:color="auto"/>
                <w:right w:val="none" w:sz="0" w:space="0" w:color="auto"/>
              </w:divBdr>
            </w:div>
          </w:divsChild>
        </w:div>
        <w:div w:id="1211456766">
          <w:marLeft w:val="0"/>
          <w:marRight w:val="0"/>
          <w:marTop w:val="0"/>
          <w:marBottom w:val="0"/>
          <w:divBdr>
            <w:top w:val="none" w:sz="0" w:space="0" w:color="auto"/>
            <w:left w:val="none" w:sz="0" w:space="0" w:color="auto"/>
            <w:bottom w:val="none" w:sz="0" w:space="0" w:color="auto"/>
            <w:right w:val="none" w:sz="0" w:space="0" w:color="auto"/>
          </w:divBdr>
        </w:div>
        <w:div w:id="1235700655">
          <w:marLeft w:val="0"/>
          <w:marRight w:val="0"/>
          <w:marTop w:val="0"/>
          <w:marBottom w:val="0"/>
          <w:divBdr>
            <w:top w:val="none" w:sz="0" w:space="0" w:color="auto"/>
            <w:left w:val="none" w:sz="0" w:space="0" w:color="auto"/>
            <w:bottom w:val="none" w:sz="0" w:space="0" w:color="auto"/>
            <w:right w:val="none" w:sz="0" w:space="0" w:color="auto"/>
          </w:divBdr>
        </w:div>
        <w:div w:id="1258900394">
          <w:marLeft w:val="0"/>
          <w:marRight w:val="0"/>
          <w:marTop w:val="0"/>
          <w:marBottom w:val="0"/>
          <w:divBdr>
            <w:top w:val="none" w:sz="0" w:space="0" w:color="auto"/>
            <w:left w:val="none" w:sz="0" w:space="0" w:color="auto"/>
            <w:bottom w:val="none" w:sz="0" w:space="0" w:color="auto"/>
            <w:right w:val="none" w:sz="0" w:space="0" w:color="auto"/>
          </w:divBdr>
        </w:div>
        <w:div w:id="1295983343">
          <w:marLeft w:val="0"/>
          <w:marRight w:val="0"/>
          <w:marTop w:val="0"/>
          <w:marBottom w:val="0"/>
          <w:divBdr>
            <w:top w:val="none" w:sz="0" w:space="0" w:color="auto"/>
            <w:left w:val="none" w:sz="0" w:space="0" w:color="auto"/>
            <w:bottom w:val="none" w:sz="0" w:space="0" w:color="auto"/>
            <w:right w:val="none" w:sz="0" w:space="0" w:color="auto"/>
          </w:divBdr>
        </w:div>
        <w:div w:id="1341658423">
          <w:marLeft w:val="0"/>
          <w:marRight w:val="0"/>
          <w:marTop w:val="0"/>
          <w:marBottom w:val="0"/>
          <w:divBdr>
            <w:top w:val="none" w:sz="0" w:space="0" w:color="auto"/>
            <w:left w:val="none" w:sz="0" w:space="0" w:color="auto"/>
            <w:bottom w:val="none" w:sz="0" w:space="0" w:color="auto"/>
            <w:right w:val="none" w:sz="0" w:space="0" w:color="auto"/>
          </w:divBdr>
        </w:div>
        <w:div w:id="1350252134">
          <w:marLeft w:val="0"/>
          <w:marRight w:val="0"/>
          <w:marTop w:val="0"/>
          <w:marBottom w:val="0"/>
          <w:divBdr>
            <w:top w:val="none" w:sz="0" w:space="0" w:color="auto"/>
            <w:left w:val="none" w:sz="0" w:space="0" w:color="auto"/>
            <w:bottom w:val="none" w:sz="0" w:space="0" w:color="auto"/>
            <w:right w:val="none" w:sz="0" w:space="0" w:color="auto"/>
          </w:divBdr>
        </w:div>
        <w:div w:id="1482235628">
          <w:marLeft w:val="0"/>
          <w:marRight w:val="0"/>
          <w:marTop w:val="0"/>
          <w:marBottom w:val="0"/>
          <w:divBdr>
            <w:top w:val="none" w:sz="0" w:space="0" w:color="auto"/>
            <w:left w:val="none" w:sz="0" w:space="0" w:color="auto"/>
            <w:bottom w:val="none" w:sz="0" w:space="0" w:color="auto"/>
            <w:right w:val="none" w:sz="0" w:space="0" w:color="auto"/>
          </w:divBdr>
        </w:div>
        <w:div w:id="1565414750">
          <w:marLeft w:val="0"/>
          <w:marRight w:val="0"/>
          <w:marTop w:val="0"/>
          <w:marBottom w:val="0"/>
          <w:divBdr>
            <w:top w:val="none" w:sz="0" w:space="0" w:color="auto"/>
            <w:left w:val="none" w:sz="0" w:space="0" w:color="auto"/>
            <w:bottom w:val="none" w:sz="0" w:space="0" w:color="auto"/>
            <w:right w:val="none" w:sz="0" w:space="0" w:color="auto"/>
          </w:divBdr>
          <w:divsChild>
            <w:div w:id="178548628">
              <w:marLeft w:val="0"/>
              <w:marRight w:val="0"/>
              <w:marTop w:val="0"/>
              <w:marBottom w:val="0"/>
              <w:divBdr>
                <w:top w:val="none" w:sz="0" w:space="0" w:color="auto"/>
                <w:left w:val="none" w:sz="0" w:space="0" w:color="auto"/>
                <w:bottom w:val="none" w:sz="0" w:space="0" w:color="auto"/>
                <w:right w:val="none" w:sz="0" w:space="0" w:color="auto"/>
              </w:divBdr>
            </w:div>
            <w:div w:id="420418484">
              <w:marLeft w:val="0"/>
              <w:marRight w:val="0"/>
              <w:marTop w:val="0"/>
              <w:marBottom w:val="0"/>
              <w:divBdr>
                <w:top w:val="none" w:sz="0" w:space="0" w:color="auto"/>
                <w:left w:val="none" w:sz="0" w:space="0" w:color="auto"/>
                <w:bottom w:val="none" w:sz="0" w:space="0" w:color="auto"/>
                <w:right w:val="none" w:sz="0" w:space="0" w:color="auto"/>
              </w:divBdr>
            </w:div>
            <w:div w:id="444888753">
              <w:marLeft w:val="0"/>
              <w:marRight w:val="0"/>
              <w:marTop w:val="0"/>
              <w:marBottom w:val="0"/>
              <w:divBdr>
                <w:top w:val="none" w:sz="0" w:space="0" w:color="auto"/>
                <w:left w:val="none" w:sz="0" w:space="0" w:color="auto"/>
                <w:bottom w:val="none" w:sz="0" w:space="0" w:color="auto"/>
                <w:right w:val="none" w:sz="0" w:space="0" w:color="auto"/>
              </w:divBdr>
            </w:div>
            <w:div w:id="557253885">
              <w:marLeft w:val="0"/>
              <w:marRight w:val="0"/>
              <w:marTop w:val="0"/>
              <w:marBottom w:val="0"/>
              <w:divBdr>
                <w:top w:val="none" w:sz="0" w:space="0" w:color="auto"/>
                <w:left w:val="none" w:sz="0" w:space="0" w:color="auto"/>
                <w:bottom w:val="none" w:sz="0" w:space="0" w:color="auto"/>
                <w:right w:val="none" w:sz="0" w:space="0" w:color="auto"/>
              </w:divBdr>
            </w:div>
            <w:div w:id="763913037">
              <w:marLeft w:val="0"/>
              <w:marRight w:val="0"/>
              <w:marTop w:val="0"/>
              <w:marBottom w:val="0"/>
              <w:divBdr>
                <w:top w:val="none" w:sz="0" w:space="0" w:color="auto"/>
                <w:left w:val="none" w:sz="0" w:space="0" w:color="auto"/>
                <w:bottom w:val="none" w:sz="0" w:space="0" w:color="auto"/>
                <w:right w:val="none" w:sz="0" w:space="0" w:color="auto"/>
              </w:divBdr>
            </w:div>
          </w:divsChild>
        </w:div>
        <w:div w:id="1581282591">
          <w:marLeft w:val="0"/>
          <w:marRight w:val="0"/>
          <w:marTop w:val="0"/>
          <w:marBottom w:val="0"/>
          <w:divBdr>
            <w:top w:val="none" w:sz="0" w:space="0" w:color="auto"/>
            <w:left w:val="none" w:sz="0" w:space="0" w:color="auto"/>
            <w:bottom w:val="none" w:sz="0" w:space="0" w:color="auto"/>
            <w:right w:val="none" w:sz="0" w:space="0" w:color="auto"/>
          </w:divBdr>
        </w:div>
        <w:div w:id="1610427635">
          <w:marLeft w:val="0"/>
          <w:marRight w:val="0"/>
          <w:marTop w:val="0"/>
          <w:marBottom w:val="0"/>
          <w:divBdr>
            <w:top w:val="none" w:sz="0" w:space="0" w:color="auto"/>
            <w:left w:val="none" w:sz="0" w:space="0" w:color="auto"/>
            <w:bottom w:val="none" w:sz="0" w:space="0" w:color="auto"/>
            <w:right w:val="none" w:sz="0" w:space="0" w:color="auto"/>
          </w:divBdr>
        </w:div>
        <w:div w:id="1623002189">
          <w:marLeft w:val="0"/>
          <w:marRight w:val="0"/>
          <w:marTop w:val="0"/>
          <w:marBottom w:val="0"/>
          <w:divBdr>
            <w:top w:val="none" w:sz="0" w:space="0" w:color="auto"/>
            <w:left w:val="none" w:sz="0" w:space="0" w:color="auto"/>
            <w:bottom w:val="none" w:sz="0" w:space="0" w:color="auto"/>
            <w:right w:val="none" w:sz="0" w:space="0" w:color="auto"/>
          </w:divBdr>
        </w:div>
        <w:div w:id="1698769138">
          <w:marLeft w:val="0"/>
          <w:marRight w:val="0"/>
          <w:marTop w:val="0"/>
          <w:marBottom w:val="0"/>
          <w:divBdr>
            <w:top w:val="none" w:sz="0" w:space="0" w:color="auto"/>
            <w:left w:val="none" w:sz="0" w:space="0" w:color="auto"/>
            <w:bottom w:val="none" w:sz="0" w:space="0" w:color="auto"/>
            <w:right w:val="none" w:sz="0" w:space="0" w:color="auto"/>
          </w:divBdr>
        </w:div>
        <w:div w:id="1712916437">
          <w:marLeft w:val="0"/>
          <w:marRight w:val="0"/>
          <w:marTop w:val="0"/>
          <w:marBottom w:val="0"/>
          <w:divBdr>
            <w:top w:val="none" w:sz="0" w:space="0" w:color="auto"/>
            <w:left w:val="none" w:sz="0" w:space="0" w:color="auto"/>
            <w:bottom w:val="none" w:sz="0" w:space="0" w:color="auto"/>
            <w:right w:val="none" w:sz="0" w:space="0" w:color="auto"/>
          </w:divBdr>
        </w:div>
        <w:div w:id="1743217721">
          <w:marLeft w:val="0"/>
          <w:marRight w:val="0"/>
          <w:marTop w:val="0"/>
          <w:marBottom w:val="0"/>
          <w:divBdr>
            <w:top w:val="none" w:sz="0" w:space="0" w:color="auto"/>
            <w:left w:val="none" w:sz="0" w:space="0" w:color="auto"/>
            <w:bottom w:val="none" w:sz="0" w:space="0" w:color="auto"/>
            <w:right w:val="none" w:sz="0" w:space="0" w:color="auto"/>
          </w:divBdr>
        </w:div>
        <w:div w:id="1775973826">
          <w:marLeft w:val="0"/>
          <w:marRight w:val="0"/>
          <w:marTop w:val="0"/>
          <w:marBottom w:val="0"/>
          <w:divBdr>
            <w:top w:val="none" w:sz="0" w:space="0" w:color="auto"/>
            <w:left w:val="none" w:sz="0" w:space="0" w:color="auto"/>
            <w:bottom w:val="none" w:sz="0" w:space="0" w:color="auto"/>
            <w:right w:val="none" w:sz="0" w:space="0" w:color="auto"/>
          </w:divBdr>
        </w:div>
        <w:div w:id="1802069452">
          <w:marLeft w:val="0"/>
          <w:marRight w:val="0"/>
          <w:marTop w:val="0"/>
          <w:marBottom w:val="0"/>
          <w:divBdr>
            <w:top w:val="none" w:sz="0" w:space="0" w:color="auto"/>
            <w:left w:val="none" w:sz="0" w:space="0" w:color="auto"/>
            <w:bottom w:val="none" w:sz="0" w:space="0" w:color="auto"/>
            <w:right w:val="none" w:sz="0" w:space="0" w:color="auto"/>
          </w:divBdr>
          <w:divsChild>
            <w:div w:id="285044576">
              <w:marLeft w:val="0"/>
              <w:marRight w:val="0"/>
              <w:marTop w:val="0"/>
              <w:marBottom w:val="0"/>
              <w:divBdr>
                <w:top w:val="none" w:sz="0" w:space="0" w:color="auto"/>
                <w:left w:val="none" w:sz="0" w:space="0" w:color="auto"/>
                <w:bottom w:val="none" w:sz="0" w:space="0" w:color="auto"/>
                <w:right w:val="none" w:sz="0" w:space="0" w:color="auto"/>
              </w:divBdr>
            </w:div>
            <w:div w:id="413746700">
              <w:marLeft w:val="0"/>
              <w:marRight w:val="0"/>
              <w:marTop w:val="0"/>
              <w:marBottom w:val="0"/>
              <w:divBdr>
                <w:top w:val="none" w:sz="0" w:space="0" w:color="auto"/>
                <w:left w:val="none" w:sz="0" w:space="0" w:color="auto"/>
                <w:bottom w:val="none" w:sz="0" w:space="0" w:color="auto"/>
                <w:right w:val="none" w:sz="0" w:space="0" w:color="auto"/>
              </w:divBdr>
            </w:div>
            <w:div w:id="563838529">
              <w:marLeft w:val="0"/>
              <w:marRight w:val="0"/>
              <w:marTop w:val="0"/>
              <w:marBottom w:val="0"/>
              <w:divBdr>
                <w:top w:val="none" w:sz="0" w:space="0" w:color="auto"/>
                <w:left w:val="none" w:sz="0" w:space="0" w:color="auto"/>
                <w:bottom w:val="none" w:sz="0" w:space="0" w:color="auto"/>
                <w:right w:val="none" w:sz="0" w:space="0" w:color="auto"/>
              </w:divBdr>
            </w:div>
            <w:div w:id="932517033">
              <w:marLeft w:val="0"/>
              <w:marRight w:val="0"/>
              <w:marTop w:val="0"/>
              <w:marBottom w:val="0"/>
              <w:divBdr>
                <w:top w:val="none" w:sz="0" w:space="0" w:color="auto"/>
                <w:left w:val="none" w:sz="0" w:space="0" w:color="auto"/>
                <w:bottom w:val="none" w:sz="0" w:space="0" w:color="auto"/>
                <w:right w:val="none" w:sz="0" w:space="0" w:color="auto"/>
              </w:divBdr>
            </w:div>
            <w:div w:id="1665283780">
              <w:marLeft w:val="0"/>
              <w:marRight w:val="0"/>
              <w:marTop w:val="0"/>
              <w:marBottom w:val="0"/>
              <w:divBdr>
                <w:top w:val="none" w:sz="0" w:space="0" w:color="auto"/>
                <w:left w:val="none" w:sz="0" w:space="0" w:color="auto"/>
                <w:bottom w:val="none" w:sz="0" w:space="0" w:color="auto"/>
                <w:right w:val="none" w:sz="0" w:space="0" w:color="auto"/>
              </w:divBdr>
            </w:div>
          </w:divsChild>
        </w:div>
        <w:div w:id="1814253694">
          <w:marLeft w:val="0"/>
          <w:marRight w:val="0"/>
          <w:marTop w:val="0"/>
          <w:marBottom w:val="0"/>
          <w:divBdr>
            <w:top w:val="none" w:sz="0" w:space="0" w:color="auto"/>
            <w:left w:val="none" w:sz="0" w:space="0" w:color="auto"/>
            <w:bottom w:val="none" w:sz="0" w:space="0" w:color="auto"/>
            <w:right w:val="none" w:sz="0" w:space="0" w:color="auto"/>
          </w:divBdr>
        </w:div>
        <w:div w:id="1903440549">
          <w:marLeft w:val="0"/>
          <w:marRight w:val="0"/>
          <w:marTop w:val="0"/>
          <w:marBottom w:val="0"/>
          <w:divBdr>
            <w:top w:val="none" w:sz="0" w:space="0" w:color="auto"/>
            <w:left w:val="none" w:sz="0" w:space="0" w:color="auto"/>
            <w:bottom w:val="none" w:sz="0" w:space="0" w:color="auto"/>
            <w:right w:val="none" w:sz="0" w:space="0" w:color="auto"/>
          </w:divBdr>
        </w:div>
        <w:div w:id="1939412908">
          <w:marLeft w:val="0"/>
          <w:marRight w:val="0"/>
          <w:marTop w:val="0"/>
          <w:marBottom w:val="0"/>
          <w:divBdr>
            <w:top w:val="none" w:sz="0" w:space="0" w:color="auto"/>
            <w:left w:val="none" w:sz="0" w:space="0" w:color="auto"/>
            <w:bottom w:val="none" w:sz="0" w:space="0" w:color="auto"/>
            <w:right w:val="none" w:sz="0" w:space="0" w:color="auto"/>
          </w:divBdr>
        </w:div>
        <w:div w:id="2047367348">
          <w:marLeft w:val="0"/>
          <w:marRight w:val="0"/>
          <w:marTop w:val="0"/>
          <w:marBottom w:val="0"/>
          <w:divBdr>
            <w:top w:val="none" w:sz="0" w:space="0" w:color="auto"/>
            <w:left w:val="none" w:sz="0" w:space="0" w:color="auto"/>
            <w:bottom w:val="none" w:sz="0" w:space="0" w:color="auto"/>
            <w:right w:val="none" w:sz="0" w:space="0" w:color="auto"/>
          </w:divBdr>
        </w:div>
        <w:div w:id="2048752957">
          <w:marLeft w:val="0"/>
          <w:marRight w:val="0"/>
          <w:marTop w:val="0"/>
          <w:marBottom w:val="0"/>
          <w:divBdr>
            <w:top w:val="none" w:sz="0" w:space="0" w:color="auto"/>
            <w:left w:val="none" w:sz="0" w:space="0" w:color="auto"/>
            <w:bottom w:val="none" w:sz="0" w:space="0" w:color="auto"/>
            <w:right w:val="none" w:sz="0" w:space="0" w:color="auto"/>
          </w:divBdr>
          <w:divsChild>
            <w:div w:id="279608260">
              <w:marLeft w:val="0"/>
              <w:marRight w:val="0"/>
              <w:marTop w:val="0"/>
              <w:marBottom w:val="0"/>
              <w:divBdr>
                <w:top w:val="none" w:sz="0" w:space="0" w:color="auto"/>
                <w:left w:val="none" w:sz="0" w:space="0" w:color="auto"/>
                <w:bottom w:val="none" w:sz="0" w:space="0" w:color="auto"/>
                <w:right w:val="none" w:sz="0" w:space="0" w:color="auto"/>
              </w:divBdr>
            </w:div>
            <w:div w:id="531580252">
              <w:marLeft w:val="0"/>
              <w:marRight w:val="0"/>
              <w:marTop w:val="0"/>
              <w:marBottom w:val="0"/>
              <w:divBdr>
                <w:top w:val="none" w:sz="0" w:space="0" w:color="auto"/>
                <w:left w:val="none" w:sz="0" w:space="0" w:color="auto"/>
                <w:bottom w:val="none" w:sz="0" w:space="0" w:color="auto"/>
                <w:right w:val="none" w:sz="0" w:space="0" w:color="auto"/>
              </w:divBdr>
            </w:div>
            <w:div w:id="942617372">
              <w:marLeft w:val="0"/>
              <w:marRight w:val="0"/>
              <w:marTop w:val="0"/>
              <w:marBottom w:val="0"/>
              <w:divBdr>
                <w:top w:val="none" w:sz="0" w:space="0" w:color="auto"/>
                <w:left w:val="none" w:sz="0" w:space="0" w:color="auto"/>
                <w:bottom w:val="none" w:sz="0" w:space="0" w:color="auto"/>
                <w:right w:val="none" w:sz="0" w:space="0" w:color="auto"/>
              </w:divBdr>
            </w:div>
            <w:div w:id="1178540597">
              <w:marLeft w:val="0"/>
              <w:marRight w:val="0"/>
              <w:marTop w:val="0"/>
              <w:marBottom w:val="0"/>
              <w:divBdr>
                <w:top w:val="none" w:sz="0" w:space="0" w:color="auto"/>
                <w:left w:val="none" w:sz="0" w:space="0" w:color="auto"/>
                <w:bottom w:val="none" w:sz="0" w:space="0" w:color="auto"/>
                <w:right w:val="none" w:sz="0" w:space="0" w:color="auto"/>
              </w:divBdr>
            </w:div>
            <w:div w:id="1191407651">
              <w:marLeft w:val="0"/>
              <w:marRight w:val="0"/>
              <w:marTop w:val="0"/>
              <w:marBottom w:val="0"/>
              <w:divBdr>
                <w:top w:val="none" w:sz="0" w:space="0" w:color="auto"/>
                <w:left w:val="none" w:sz="0" w:space="0" w:color="auto"/>
                <w:bottom w:val="none" w:sz="0" w:space="0" w:color="auto"/>
                <w:right w:val="none" w:sz="0" w:space="0" w:color="auto"/>
              </w:divBdr>
            </w:div>
          </w:divsChild>
        </w:div>
        <w:div w:id="2052415192">
          <w:marLeft w:val="0"/>
          <w:marRight w:val="0"/>
          <w:marTop w:val="0"/>
          <w:marBottom w:val="0"/>
          <w:divBdr>
            <w:top w:val="none" w:sz="0" w:space="0" w:color="auto"/>
            <w:left w:val="none" w:sz="0" w:space="0" w:color="auto"/>
            <w:bottom w:val="none" w:sz="0" w:space="0" w:color="auto"/>
            <w:right w:val="none" w:sz="0" w:space="0" w:color="auto"/>
          </w:divBdr>
        </w:div>
        <w:div w:id="2076581258">
          <w:marLeft w:val="0"/>
          <w:marRight w:val="0"/>
          <w:marTop w:val="0"/>
          <w:marBottom w:val="0"/>
          <w:divBdr>
            <w:top w:val="none" w:sz="0" w:space="0" w:color="auto"/>
            <w:left w:val="none" w:sz="0" w:space="0" w:color="auto"/>
            <w:bottom w:val="none" w:sz="0" w:space="0" w:color="auto"/>
            <w:right w:val="none" w:sz="0" w:space="0" w:color="auto"/>
          </w:divBdr>
        </w:div>
        <w:div w:id="2085057435">
          <w:marLeft w:val="0"/>
          <w:marRight w:val="0"/>
          <w:marTop w:val="0"/>
          <w:marBottom w:val="0"/>
          <w:divBdr>
            <w:top w:val="none" w:sz="0" w:space="0" w:color="auto"/>
            <w:left w:val="none" w:sz="0" w:space="0" w:color="auto"/>
            <w:bottom w:val="none" w:sz="0" w:space="0" w:color="auto"/>
            <w:right w:val="none" w:sz="0" w:space="0" w:color="auto"/>
          </w:divBdr>
        </w:div>
        <w:div w:id="2113625103">
          <w:marLeft w:val="0"/>
          <w:marRight w:val="0"/>
          <w:marTop w:val="0"/>
          <w:marBottom w:val="0"/>
          <w:divBdr>
            <w:top w:val="none" w:sz="0" w:space="0" w:color="auto"/>
            <w:left w:val="none" w:sz="0" w:space="0" w:color="auto"/>
            <w:bottom w:val="none" w:sz="0" w:space="0" w:color="auto"/>
            <w:right w:val="none" w:sz="0" w:space="0" w:color="auto"/>
          </w:divBdr>
          <w:divsChild>
            <w:div w:id="127166181">
              <w:marLeft w:val="0"/>
              <w:marRight w:val="0"/>
              <w:marTop w:val="0"/>
              <w:marBottom w:val="0"/>
              <w:divBdr>
                <w:top w:val="none" w:sz="0" w:space="0" w:color="auto"/>
                <w:left w:val="none" w:sz="0" w:space="0" w:color="auto"/>
                <w:bottom w:val="none" w:sz="0" w:space="0" w:color="auto"/>
                <w:right w:val="none" w:sz="0" w:space="0" w:color="auto"/>
              </w:divBdr>
            </w:div>
            <w:div w:id="398557146">
              <w:marLeft w:val="0"/>
              <w:marRight w:val="0"/>
              <w:marTop w:val="0"/>
              <w:marBottom w:val="0"/>
              <w:divBdr>
                <w:top w:val="none" w:sz="0" w:space="0" w:color="auto"/>
                <w:left w:val="none" w:sz="0" w:space="0" w:color="auto"/>
                <w:bottom w:val="none" w:sz="0" w:space="0" w:color="auto"/>
                <w:right w:val="none" w:sz="0" w:space="0" w:color="auto"/>
              </w:divBdr>
            </w:div>
            <w:div w:id="862746232">
              <w:marLeft w:val="0"/>
              <w:marRight w:val="0"/>
              <w:marTop w:val="0"/>
              <w:marBottom w:val="0"/>
              <w:divBdr>
                <w:top w:val="none" w:sz="0" w:space="0" w:color="auto"/>
                <w:left w:val="none" w:sz="0" w:space="0" w:color="auto"/>
                <w:bottom w:val="none" w:sz="0" w:space="0" w:color="auto"/>
                <w:right w:val="none" w:sz="0" w:space="0" w:color="auto"/>
              </w:divBdr>
            </w:div>
            <w:div w:id="1852068456">
              <w:marLeft w:val="0"/>
              <w:marRight w:val="0"/>
              <w:marTop w:val="0"/>
              <w:marBottom w:val="0"/>
              <w:divBdr>
                <w:top w:val="none" w:sz="0" w:space="0" w:color="auto"/>
                <w:left w:val="none" w:sz="0" w:space="0" w:color="auto"/>
                <w:bottom w:val="none" w:sz="0" w:space="0" w:color="auto"/>
                <w:right w:val="none" w:sz="0" w:space="0" w:color="auto"/>
              </w:divBdr>
            </w:div>
            <w:div w:id="19314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8344">
      <w:bodyDiv w:val="1"/>
      <w:marLeft w:val="0"/>
      <w:marRight w:val="0"/>
      <w:marTop w:val="0"/>
      <w:marBottom w:val="0"/>
      <w:divBdr>
        <w:top w:val="none" w:sz="0" w:space="0" w:color="auto"/>
        <w:left w:val="none" w:sz="0" w:space="0" w:color="auto"/>
        <w:bottom w:val="none" w:sz="0" w:space="0" w:color="auto"/>
        <w:right w:val="none" w:sz="0" w:space="0" w:color="auto"/>
      </w:divBdr>
    </w:div>
    <w:div w:id="1650091320">
      <w:bodyDiv w:val="1"/>
      <w:marLeft w:val="0"/>
      <w:marRight w:val="0"/>
      <w:marTop w:val="0"/>
      <w:marBottom w:val="0"/>
      <w:divBdr>
        <w:top w:val="none" w:sz="0" w:space="0" w:color="auto"/>
        <w:left w:val="none" w:sz="0" w:space="0" w:color="auto"/>
        <w:bottom w:val="none" w:sz="0" w:space="0" w:color="auto"/>
        <w:right w:val="none" w:sz="0" w:space="0" w:color="auto"/>
      </w:divBdr>
    </w:div>
    <w:div w:id="1654794284">
      <w:bodyDiv w:val="1"/>
      <w:marLeft w:val="0"/>
      <w:marRight w:val="0"/>
      <w:marTop w:val="0"/>
      <w:marBottom w:val="0"/>
      <w:divBdr>
        <w:top w:val="none" w:sz="0" w:space="0" w:color="auto"/>
        <w:left w:val="none" w:sz="0" w:space="0" w:color="auto"/>
        <w:bottom w:val="none" w:sz="0" w:space="0" w:color="auto"/>
        <w:right w:val="none" w:sz="0" w:space="0" w:color="auto"/>
      </w:divBdr>
    </w:div>
    <w:div w:id="1663704831">
      <w:bodyDiv w:val="1"/>
      <w:marLeft w:val="0"/>
      <w:marRight w:val="0"/>
      <w:marTop w:val="0"/>
      <w:marBottom w:val="0"/>
      <w:divBdr>
        <w:top w:val="none" w:sz="0" w:space="0" w:color="auto"/>
        <w:left w:val="none" w:sz="0" w:space="0" w:color="auto"/>
        <w:bottom w:val="none" w:sz="0" w:space="0" w:color="auto"/>
        <w:right w:val="none" w:sz="0" w:space="0" w:color="auto"/>
      </w:divBdr>
    </w:div>
    <w:div w:id="1666008860">
      <w:bodyDiv w:val="1"/>
      <w:marLeft w:val="0"/>
      <w:marRight w:val="0"/>
      <w:marTop w:val="0"/>
      <w:marBottom w:val="0"/>
      <w:divBdr>
        <w:top w:val="none" w:sz="0" w:space="0" w:color="auto"/>
        <w:left w:val="none" w:sz="0" w:space="0" w:color="auto"/>
        <w:bottom w:val="none" w:sz="0" w:space="0" w:color="auto"/>
        <w:right w:val="none" w:sz="0" w:space="0" w:color="auto"/>
      </w:divBdr>
    </w:div>
    <w:div w:id="1667784654">
      <w:bodyDiv w:val="1"/>
      <w:marLeft w:val="0"/>
      <w:marRight w:val="0"/>
      <w:marTop w:val="0"/>
      <w:marBottom w:val="0"/>
      <w:divBdr>
        <w:top w:val="none" w:sz="0" w:space="0" w:color="auto"/>
        <w:left w:val="none" w:sz="0" w:space="0" w:color="auto"/>
        <w:bottom w:val="none" w:sz="0" w:space="0" w:color="auto"/>
        <w:right w:val="none" w:sz="0" w:space="0" w:color="auto"/>
      </w:divBdr>
    </w:div>
    <w:div w:id="1671249951">
      <w:bodyDiv w:val="1"/>
      <w:marLeft w:val="0"/>
      <w:marRight w:val="0"/>
      <w:marTop w:val="0"/>
      <w:marBottom w:val="0"/>
      <w:divBdr>
        <w:top w:val="none" w:sz="0" w:space="0" w:color="auto"/>
        <w:left w:val="none" w:sz="0" w:space="0" w:color="auto"/>
        <w:bottom w:val="none" w:sz="0" w:space="0" w:color="auto"/>
        <w:right w:val="none" w:sz="0" w:space="0" w:color="auto"/>
      </w:divBdr>
    </w:div>
    <w:div w:id="1678655745">
      <w:bodyDiv w:val="1"/>
      <w:marLeft w:val="0"/>
      <w:marRight w:val="0"/>
      <w:marTop w:val="0"/>
      <w:marBottom w:val="0"/>
      <w:divBdr>
        <w:top w:val="none" w:sz="0" w:space="0" w:color="auto"/>
        <w:left w:val="none" w:sz="0" w:space="0" w:color="auto"/>
        <w:bottom w:val="none" w:sz="0" w:space="0" w:color="auto"/>
        <w:right w:val="none" w:sz="0" w:space="0" w:color="auto"/>
      </w:divBdr>
    </w:div>
    <w:div w:id="1691223234">
      <w:bodyDiv w:val="1"/>
      <w:marLeft w:val="0"/>
      <w:marRight w:val="0"/>
      <w:marTop w:val="0"/>
      <w:marBottom w:val="0"/>
      <w:divBdr>
        <w:top w:val="none" w:sz="0" w:space="0" w:color="auto"/>
        <w:left w:val="none" w:sz="0" w:space="0" w:color="auto"/>
        <w:bottom w:val="none" w:sz="0" w:space="0" w:color="auto"/>
        <w:right w:val="none" w:sz="0" w:space="0" w:color="auto"/>
      </w:divBdr>
    </w:div>
    <w:div w:id="1701516517">
      <w:bodyDiv w:val="1"/>
      <w:marLeft w:val="0"/>
      <w:marRight w:val="0"/>
      <w:marTop w:val="0"/>
      <w:marBottom w:val="0"/>
      <w:divBdr>
        <w:top w:val="none" w:sz="0" w:space="0" w:color="auto"/>
        <w:left w:val="none" w:sz="0" w:space="0" w:color="auto"/>
        <w:bottom w:val="none" w:sz="0" w:space="0" w:color="auto"/>
        <w:right w:val="none" w:sz="0" w:space="0" w:color="auto"/>
      </w:divBdr>
    </w:div>
    <w:div w:id="1707754816">
      <w:bodyDiv w:val="1"/>
      <w:marLeft w:val="0"/>
      <w:marRight w:val="0"/>
      <w:marTop w:val="0"/>
      <w:marBottom w:val="0"/>
      <w:divBdr>
        <w:top w:val="none" w:sz="0" w:space="0" w:color="auto"/>
        <w:left w:val="none" w:sz="0" w:space="0" w:color="auto"/>
        <w:bottom w:val="none" w:sz="0" w:space="0" w:color="auto"/>
        <w:right w:val="none" w:sz="0" w:space="0" w:color="auto"/>
      </w:divBdr>
    </w:div>
    <w:div w:id="1711103225">
      <w:bodyDiv w:val="1"/>
      <w:marLeft w:val="0"/>
      <w:marRight w:val="0"/>
      <w:marTop w:val="0"/>
      <w:marBottom w:val="0"/>
      <w:divBdr>
        <w:top w:val="none" w:sz="0" w:space="0" w:color="auto"/>
        <w:left w:val="none" w:sz="0" w:space="0" w:color="auto"/>
        <w:bottom w:val="none" w:sz="0" w:space="0" w:color="auto"/>
        <w:right w:val="none" w:sz="0" w:space="0" w:color="auto"/>
      </w:divBdr>
    </w:div>
    <w:div w:id="1716351343">
      <w:bodyDiv w:val="1"/>
      <w:marLeft w:val="0"/>
      <w:marRight w:val="0"/>
      <w:marTop w:val="0"/>
      <w:marBottom w:val="0"/>
      <w:divBdr>
        <w:top w:val="none" w:sz="0" w:space="0" w:color="auto"/>
        <w:left w:val="none" w:sz="0" w:space="0" w:color="auto"/>
        <w:bottom w:val="none" w:sz="0" w:space="0" w:color="auto"/>
        <w:right w:val="none" w:sz="0" w:space="0" w:color="auto"/>
      </w:divBdr>
    </w:div>
    <w:div w:id="1740590901">
      <w:bodyDiv w:val="1"/>
      <w:marLeft w:val="0"/>
      <w:marRight w:val="0"/>
      <w:marTop w:val="0"/>
      <w:marBottom w:val="0"/>
      <w:divBdr>
        <w:top w:val="none" w:sz="0" w:space="0" w:color="auto"/>
        <w:left w:val="none" w:sz="0" w:space="0" w:color="auto"/>
        <w:bottom w:val="none" w:sz="0" w:space="0" w:color="auto"/>
        <w:right w:val="none" w:sz="0" w:space="0" w:color="auto"/>
      </w:divBdr>
    </w:div>
    <w:div w:id="1740782029">
      <w:bodyDiv w:val="1"/>
      <w:marLeft w:val="0"/>
      <w:marRight w:val="0"/>
      <w:marTop w:val="0"/>
      <w:marBottom w:val="0"/>
      <w:divBdr>
        <w:top w:val="none" w:sz="0" w:space="0" w:color="auto"/>
        <w:left w:val="none" w:sz="0" w:space="0" w:color="auto"/>
        <w:bottom w:val="none" w:sz="0" w:space="0" w:color="auto"/>
        <w:right w:val="none" w:sz="0" w:space="0" w:color="auto"/>
      </w:divBdr>
    </w:div>
    <w:div w:id="1744913427">
      <w:bodyDiv w:val="1"/>
      <w:marLeft w:val="0"/>
      <w:marRight w:val="0"/>
      <w:marTop w:val="0"/>
      <w:marBottom w:val="0"/>
      <w:divBdr>
        <w:top w:val="none" w:sz="0" w:space="0" w:color="auto"/>
        <w:left w:val="none" w:sz="0" w:space="0" w:color="auto"/>
        <w:bottom w:val="none" w:sz="0" w:space="0" w:color="auto"/>
        <w:right w:val="none" w:sz="0" w:space="0" w:color="auto"/>
      </w:divBdr>
    </w:div>
    <w:div w:id="1749620045">
      <w:bodyDiv w:val="1"/>
      <w:marLeft w:val="0"/>
      <w:marRight w:val="0"/>
      <w:marTop w:val="0"/>
      <w:marBottom w:val="0"/>
      <w:divBdr>
        <w:top w:val="none" w:sz="0" w:space="0" w:color="auto"/>
        <w:left w:val="none" w:sz="0" w:space="0" w:color="auto"/>
        <w:bottom w:val="none" w:sz="0" w:space="0" w:color="auto"/>
        <w:right w:val="none" w:sz="0" w:space="0" w:color="auto"/>
      </w:divBdr>
    </w:div>
    <w:div w:id="1760756153">
      <w:bodyDiv w:val="1"/>
      <w:marLeft w:val="0"/>
      <w:marRight w:val="0"/>
      <w:marTop w:val="0"/>
      <w:marBottom w:val="0"/>
      <w:divBdr>
        <w:top w:val="none" w:sz="0" w:space="0" w:color="auto"/>
        <w:left w:val="none" w:sz="0" w:space="0" w:color="auto"/>
        <w:bottom w:val="none" w:sz="0" w:space="0" w:color="auto"/>
        <w:right w:val="none" w:sz="0" w:space="0" w:color="auto"/>
      </w:divBdr>
    </w:div>
    <w:div w:id="1795825161">
      <w:bodyDiv w:val="1"/>
      <w:marLeft w:val="0"/>
      <w:marRight w:val="0"/>
      <w:marTop w:val="0"/>
      <w:marBottom w:val="0"/>
      <w:divBdr>
        <w:top w:val="none" w:sz="0" w:space="0" w:color="auto"/>
        <w:left w:val="none" w:sz="0" w:space="0" w:color="auto"/>
        <w:bottom w:val="none" w:sz="0" w:space="0" w:color="auto"/>
        <w:right w:val="none" w:sz="0" w:space="0" w:color="auto"/>
      </w:divBdr>
    </w:div>
    <w:div w:id="1801653996">
      <w:bodyDiv w:val="1"/>
      <w:marLeft w:val="0"/>
      <w:marRight w:val="0"/>
      <w:marTop w:val="0"/>
      <w:marBottom w:val="0"/>
      <w:divBdr>
        <w:top w:val="none" w:sz="0" w:space="0" w:color="auto"/>
        <w:left w:val="none" w:sz="0" w:space="0" w:color="auto"/>
        <w:bottom w:val="none" w:sz="0" w:space="0" w:color="auto"/>
        <w:right w:val="none" w:sz="0" w:space="0" w:color="auto"/>
      </w:divBdr>
    </w:div>
    <w:div w:id="1825077140">
      <w:bodyDiv w:val="1"/>
      <w:marLeft w:val="0"/>
      <w:marRight w:val="0"/>
      <w:marTop w:val="0"/>
      <w:marBottom w:val="0"/>
      <w:divBdr>
        <w:top w:val="none" w:sz="0" w:space="0" w:color="auto"/>
        <w:left w:val="none" w:sz="0" w:space="0" w:color="auto"/>
        <w:bottom w:val="none" w:sz="0" w:space="0" w:color="auto"/>
        <w:right w:val="none" w:sz="0" w:space="0" w:color="auto"/>
      </w:divBdr>
    </w:div>
    <w:div w:id="1843205632">
      <w:bodyDiv w:val="1"/>
      <w:marLeft w:val="0"/>
      <w:marRight w:val="0"/>
      <w:marTop w:val="0"/>
      <w:marBottom w:val="0"/>
      <w:divBdr>
        <w:top w:val="none" w:sz="0" w:space="0" w:color="auto"/>
        <w:left w:val="none" w:sz="0" w:space="0" w:color="auto"/>
        <w:bottom w:val="none" w:sz="0" w:space="0" w:color="auto"/>
        <w:right w:val="none" w:sz="0" w:space="0" w:color="auto"/>
      </w:divBdr>
    </w:div>
    <w:div w:id="1847017545">
      <w:bodyDiv w:val="1"/>
      <w:marLeft w:val="0"/>
      <w:marRight w:val="0"/>
      <w:marTop w:val="0"/>
      <w:marBottom w:val="0"/>
      <w:divBdr>
        <w:top w:val="none" w:sz="0" w:space="0" w:color="auto"/>
        <w:left w:val="none" w:sz="0" w:space="0" w:color="auto"/>
        <w:bottom w:val="none" w:sz="0" w:space="0" w:color="auto"/>
        <w:right w:val="none" w:sz="0" w:space="0" w:color="auto"/>
      </w:divBdr>
    </w:div>
    <w:div w:id="1858276680">
      <w:bodyDiv w:val="1"/>
      <w:marLeft w:val="0"/>
      <w:marRight w:val="0"/>
      <w:marTop w:val="0"/>
      <w:marBottom w:val="0"/>
      <w:divBdr>
        <w:top w:val="none" w:sz="0" w:space="0" w:color="auto"/>
        <w:left w:val="none" w:sz="0" w:space="0" w:color="auto"/>
        <w:bottom w:val="none" w:sz="0" w:space="0" w:color="auto"/>
        <w:right w:val="none" w:sz="0" w:space="0" w:color="auto"/>
      </w:divBdr>
    </w:div>
    <w:div w:id="1875189310">
      <w:bodyDiv w:val="1"/>
      <w:marLeft w:val="0"/>
      <w:marRight w:val="0"/>
      <w:marTop w:val="0"/>
      <w:marBottom w:val="0"/>
      <w:divBdr>
        <w:top w:val="none" w:sz="0" w:space="0" w:color="auto"/>
        <w:left w:val="none" w:sz="0" w:space="0" w:color="auto"/>
        <w:bottom w:val="none" w:sz="0" w:space="0" w:color="auto"/>
        <w:right w:val="none" w:sz="0" w:space="0" w:color="auto"/>
      </w:divBdr>
    </w:div>
    <w:div w:id="1880899032">
      <w:bodyDiv w:val="1"/>
      <w:marLeft w:val="0"/>
      <w:marRight w:val="0"/>
      <w:marTop w:val="0"/>
      <w:marBottom w:val="0"/>
      <w:divBdr>
        <w:top w:val="none" w:sz="0" w:space="0" w:color="auto"/>
        <w:left w:val="none" w:sz="0" w:space="0" w:color="auto"/>
        <w:bottom w:val="none" w:sz="0" w:space="0" w:color="auto"/>
        <w:right w:val="none" w:sz="0" w:space="0" w:color="auto"/>
      </w:divBdr>
    </w:div>
    <w:div w:id="1893149983">
      <w:bodyDiv w:val="1"/>
      <w:marLeft w:val="0"/>
      <w:marRight w:val="0"/>
      <w:marTop w:val="0"/>
      <w:marBottom w:val="0"/>
      <w:divBdr>
        <w:top w:val="none" w:sz="0" w:space="0" w:color="auto"/>
        <w:left w:val="none" w:sz="0" w:space="0" w:color="auto"/>
        <w:bottom w:val="none" w:sz="0" w:space="0" w:color="auto"/>
        <w:right w:val="none" w:sz="0" w:space="0" w:color="auto"/>
      </w:divBdr>
    </w:div>
    <w:div w:id="1898080297">
      <w:bodyDiv w:val="1"/>
      <w:marLeft w:val="0"/>
      <w:marRight w:val="0"/>
      <w:marTop w:val="0"/>
      <w:marBottom w:val="0"/>
      <w:divBdr>
        <w:top w:val="none" w:sz="0" w:space="0" w:color="auto"/>
        <w:left w:val="none" w:sz="0" w:space="0" w:color="auto"/>
        <w:bottom w:val="none" w:sz="0" w:space="0" w:color="auto"/>
        <w:right w:val="none" w:sz="0" w:space="0" w:color="auto"/>
      </w:divBdr>
    </w:div>
    <w:div w:id="1906715594">
      <w:bodyDiv w:val="1"/>
      <w:marLeft w:val="0"/>
      <w:marRight w:val="0"/>
      <w:marTop w:val="0"/>
      <w:marBottom w:val="0"/>
      <w:divBdr>
        <w:top w:val="none" w:sz="0" w:space="0" w:color="auto"/>
        <w:left w:val="none" w:sz="0" w:space="0" w:color="auto"/>
        <w:bottom w:val="none" w:sz="0" w:space="0" w:color="auto"/>
        <w:right w:val="none" w:sz="0" w:space="0" w:color="auto"/>
      </w:divBdr>
    </w:div>
    <w:div w:id="1925602949">
      <w:bodyDiv w:val="1"/>
      <w:marLeft w:val="0"/>
      <w:marRight w:val="0"/>
      <w:marTop w:val="0"/>
      <w:marBottom w:val="0"/>
      <w:divBdr>
        <w:top w:val="none" w:sz="0" w:space="0" w:color="auto"/>
        <w:left w:val="none" w:sz="0" w:space="0" w:color="auto"/>
        <w:bottom w:val="none" w:sz="0" w:space="0" w:color="auto"/>
        <w:right w:val="none" w:sz="0" w:space="0" w:color="auto"/>
      </w:divBdr>
    </w:div>
    <w:div w:id="1931692658">
      <w:bodyDiv w:val="1"/>
      <w:marLeft w:val="0"/>
      <w:marRight w:val="0"/>
      <w:marTop w:val="0"/>
      <w:marBottom w:val="0"/>
      <w:divBdr>
        <w:top w:val="none" w:sz="0" w:space="0" w:color="auto"/>
        <w:left w:val="none" w:sz="0" w:space="0" w:color="auto"/>
        <w:bottom w:val="none" w:sz="0" w:space="0" w:color="auto"/>
        <w:right w:val="none" w:sz="0" w:space="0" w:color="auto"/>
      </w:divBdr>
    </w:div>
    <w:div w:id="1951276118">
      <w:bodyDiv w:val="1"/>
      <w:marLeft w:val="0"/>
      <w:marRight w:val="0"/>
      <w:marTop w:val="0"/>
      <w:marBottom w:val="0"/>
      <w:divBdr>
        <w:top w:val="none" w:sz="0" w:space="0" w:color="auto"/>
        <w:left w:val="none" w:sz="0" w:space="0" w:color="auto"/>
        <w:bottom w:val="none" w:sz="0" w:space="0" w:color="auto"/>
        <w:right w:val="none" w:sz="0" w:space="0" w:color="auto"/>
      </w:divBdr>
    </w:div>
    <w:div w:id="1953899386">
      <w:bodyDiv w:val="1"/>
      <w:marLeft w:val="0"/>
      <w:marRight w:val="0"/>
      <w:marTop w:val="0"/>
      <w:marBottom w:val="0"/>
      <w:divBdr>
        <w:top w:val="none" w:sz="0" w:space="0" w:color="auto"/>
        <w:left w:val="none" w:sz="0" w:space="0" w:color="auto"/>
        <w:bottom w:val="none" w:sz="0" w:space="0" w:color="auto"/>
        <w:right w:val="none" w:sz="0" w:space="0" w:color="auto"/>
      </w:divBdr>
    </w:div>
    <w:div w:id="1954440894">
      <w:bodyDiv w:val="1"/>
      <w:marLeft w:val="0"/>
      <w:marRight w:val="0"/>
      <w:marTop w:val="0"/>
      <w:marBottom w:val="0"/>
      <w:divBdr>
        <w:top w:val="none" w:sz="0" w:space="0" w:color="auto"/>
        <w:left w:val="none" w:sz="0" w:space="0" w:color="auto"/>
        <w:bottom w:val="none" w:sz="0" w:space="0" w:color="auto"/>
        <w:right w:val="none" w:sz="0" w:space="0" w:color="auto"/>
      </w:divBdr>
    </w:div>
    <w:div w:id="1956063277">
      <w:bodyDiv w:val="1"/>
      <w:marLeft w:val="0"/>
      <w:marRight w:val="0"/>
      <w:marTop w:val="0"/>
      <w:marBottom w:val="0"/>
      <w:divBdr>
        <w:top w:val="none" w:sz="0" w:space="0" w:color="auto"/>
        <w:left w:val="none" w:sz="0" w:space="0" w:color="auto"/>
        <w:bottom w:val="none" w:sz="0" w:space="0" w:color="auto"/>
        <w:right w:val="none" w:sz="0" w:space="0" w:color="auto"/>
      </w:divBdr>
      <w:divsChild>
        <w:div w:id="48724594">
          <w:marLeft w:val="0"/>
          <w:marRight w:val="0"/>
          <w:marTop w:val="0"/>
          <w:marBottom w:val="0"/>
          <w:divBdr>
            <w:top w:val="none" w:sz="0" w:space="0" w:color="auto"/>
            <w:left w:val="none" w:sz="0" w:space="0" w:color="auto"/>
            <w:bottom w:val="none" w:sz="0" w:space="0" w:color="auto"/>
            <w:right w:val="none" w:sz="0" w:space="0" w:color="auto"/>
          </w:divBdr>
        </w:div>
        <w:div w:id="217399227">
          <w:marLeft w:val="0"/>
          <w:marRight w:val="0"/>
          <w:marTop w:val="0"/>
          <w:marBottom w:val="0"/>
          <w:divBdr>
            <w:top w:val="none" w:sz="0" w:space="0" w:color="auto"/>
            <w:left w:val="none" w:sz="0" w:space="0" w:color="auto"/>
            <w:bottom w:val="none" w:sz="0" w:space="0" w:color="auto"/>
            <w:right w:val="none" w:sz="0" w:space="0" w:color="auto"/>
          </w:divBdr>
        </w:div>
        <w:div w:id="1484421815">
          <w:marLeft w:val="0"/>
          <w:marRight w:val="0"/>
          <w:marTop w:val="0"/>
          <w:marBottom w:val="0"/>
          <w:divBdr>
            <w:top w:val="none" w:sz="0" w:space="0" w:color="auto"/>
            <w:left w:val="none" w:sz="0" w:space="0" w:color="auto"/>
            <w:bottom w:val="none" w:sz="0" w:space="0" w:color="auto"/>
            <w:right w:val="none" w:sz="0" w:space="0" w:color="auto"/>
          </w:divBdr>
        </w:div>
        <w:div w:id="1691183337">
          <w:marLeft w:val="0"/>
          <w:marRight w:val="0"/>
          <w:marTop w:val="0"/>
          <w:marBottom w:val="0"/>
          <w:divBdr>
            <w:top w:val="none" w:sz="0" w:space="0" w:color="auto"/>
            <w:left w:val="none" w:sz="0" w:space="0" w:color="auto"/>
            <w:bottom w:val="none" w:sz="0" w:space="0" w:color="auto"/>
            <w:right w:val="none" w:sz="0" w:space="0" w:color="auto"/>
          </w:divBdr>
        </w:div>
        <w:div w:id="2139646375">
          <w:marLeft w:val="0"/>
          <w:marRight w:val="0"/>
          <w:marTop w:val="0"/>
          <w:marBottom w:val="0"/>
          <w:divBdr>
            <w:top w:val="none" w:sz="0" w:space="0" w:color="auto"/>
            <w:left w:val="none" w:sz="0" w:space="0" w:color="auto"/>
            <w:bottom w:val="none" w:sz="0" w:space="0" w:color="auto"/>
            <w:right w:val="none" w:sz="0" w:space="0" w:color="auto"/>
          </w:divBdr>
        </w:div>
      </w:divsChild>
    </w:div>
    <w:div w:id="1956214045">
      <w:bodyDiv w:val="1"/>
      <w:marLeft w:val="0"/>
      <w:marRight w:val="0"/>
      <w:marTop w:val="0"/>
      <w:marBottom w:val="0"/>
      <w:divBdr>
        <w:top w:val="none" w:sz="0" w:space="0" w:color="auto"/>
        <w:left w:val="none" w:sz="0" w:space="0" w:color="auto"/>
        <w:bottom w:val="none" w:sz="0" w:space="0" w:color="auto"/>
        <w:right w:val="none" w:sz="0" w:space="0" w:color="auto"/>
      </w:divBdr>
    </w:div>
    <w:div w:id="1976644130">
      <w:bodyDiv w:val="1"/>
      <w:marLeft w:val="0"/>
      <w:marRight w:val="0"/>
      <w:marTop w:val="0"/>
      <w:marBottom w:val="0"/>
      <w:divBdr>
        <w:top w:val="none" w:sz="0" w:space="0" w:color="auto"/>
        <w:left w:val="none" w:sz="0" w:space="0" w:color="auto"/>
        <w:bottom w:val="none" w:sz="0" w:space="0" w:color="auto"/>
        <w:right w:val="none" w:sz="0" w:space="0" w:color="auto"/>
      </w:divBdr>
    </w:div>
    <w:div w:id="1983120770">
      <w:bodyDiv w:val="1"/>
      <w:marLeft w:val="0"/>
      <w:marRight w:val="0"/>
      <w:marTop w:val="0"/>
      <w:marBottom w:val="0"/>
      <w:divBdr>
        <w:top w:val="none" w:sz="0" w:space="0" w:color="auto"/>
        <w:left w:val="none" w:sz="0" w:space="0" w:color="auto"/>
        <w:bottom w:val="none" w:sz="0" w:space="0" w:color="auto"/>
        <w:right w:val="none" w:sz="0" w:space="0" w:color="auto"/>
      </w:divBdr>
    </w:div>
    <w:div w:id="1992251300">
      <w:bodyDiv w:val="1"/>
      <w:marLeft w:val="0"/>
      <w:marRight w:val="0"/>
      <w:marTop w:val="0"/>
      <w:marBottom w:val="0"/>
      <w:divBdr>
        <w:top w:val="none" w:sz="0" w:space="0" w:color="auto"/>
        <w:left w:val="none" w:sz="0" w:space="0" w:color="auto"/>
        <w:bottom w:val="none" w:sz="0" w:space="0" w:color="auto"/>
        <w:right w:val="none" w:sz="0" w:space="0" w:color="auto"/>
      </w:divBdr>
    </w:div>
    <w:div w:id="2008708679">
      <w:bodyDiv w:val="1"/>
      <w:marLeft w:val="0"/>
      <w:marRight w:val="0"/>
      <w:marTop w:val="0"/>
      <w:marBottom w:val="0"/>
      <w:divBdr>
        <w:top w:val="none" w:sz="0" w:space="0" w:color="auto"/>
        <w:left w:val="none" w:sz="0" w:space="0" w:color="auto"/>
        <w:bottom w:val="none" w:sz="0" w:space="0" w:color="auto"/>
        <w:right w:val="none" w:sz="0" w:space="0" w:color="auto"/>
      </w:divBdr>
    </w:div>
    <w:div w:id="2013675989">
      <w:bodyDiv w:val="1"/>
      <w:marLeft w:val="0"/>
      <w:marRight w:val="0"/>
      <w:marTop w:val="0"/>
      <w:marBottom w:val="0"/>
      <w:divBdr>
        <w:top w:val="none" w:sz="0" w:space="0" w:color="auto"/>
        <w:left w:val="none" w:sz="0" w:space="0" w:color="auto"/>
        <w:bottom w:val="none" w:sz="0" w:space="0" w:color="auto"/>
        <w:right w:val="none" w:sz="0" w:space="0" w:color="auto"/>
      </w:divBdr>
    </w:div>
    <w:div w:id="2048597692">
      <w:bodyDiv w:val="1"/>
      <w:marLeft w:val="0"/>
      <w:marRight w:val="0"/>
      <w:marTop w:val="0"/>
      <w:marBottom w:val="0"/>
      <w:divBdr>
        <w:top w:val="none" w:sz="0" w:space="0" w:color="auto"/>
        <w:left w:val="none" w:sz="0" w:space="0" w:color="auto"/>
        <w:bottom w:val="none" w:sz="0" w:space="0" w:color="auto"/>
        <w:right w:val="none" w:sz="0" w:space="0" w:color="auto"/>
      </w:divBdr>
    </w:div>
    <w:div w:id="2051687752">
      <w:bodyDiv w:val="1"/>
      <w:marLeft w:val="0"/>
      <w:marRight w:val="0"/>
      <w:marTop w:val="0"/>
      <w:marBottom w:val="0"/>
      <w:divBdr>
        <w:top w:val="none" w:sz="0" w:space="0" w:color="auto"/>
        <w:left w:val="none" w:sz="0" w:space="0" w:color="auto"/>
        <w:bottom w:val="none" w:sz="0" w:space="0" w:color="auto"/>
        <w:right w:val="none" w:sz="0" w:space="0" w:color="auto"/>
      </w:divBdr>
    </w:div>
    <w:div w:id="2060156447">
      <w:bodyDiv w:val="1"/>
      <w:marLeft w:val="0"/>
      <w:marRight w:val="0"/>
      <w:marTop w:val="0"/>
      <w:marBottom w:val="0"/>
      <w:divBdr>
        <w:top w:val="none" w:sz="0" w:space="0" w:color="auto"/>
        <w:left w:val="none" w:sz="0" w:space="0" w:color="auto"/>
        <w:bottom w:val="none" w:sz="0" w:space="0" w:color="auto"/>
        <w:right w:val="none" w:sz="0" w:space="0" w:color="auto"/>
      </w:divBdr>
    </w:div>
    <w:div w:id="2072383928">
      <w:bodyDiv w:val="1"/>
      <w:marLeft w:val="0"/>
      <w:marRight w:val="0"/>
      <w:marTop w:val="0"/>
      <w:marBottom w:val="0"/>
      <w:divBdr>
        <w:top w:val="none" w:sz="0" w:space="0" w:color="auto"/>
        <w:left w:val="none" w:sz="0" w:space="0" w:color="auto"/>
        <w:bottom w:val="none" w:sz="0" w:space="0" w:color="auto"/>
        <w:right w:val="none" w:sz="0" w:space="0" w:color="auto"/>
      </w:divBdr>
    </w:div>
    <w:div w:id="2084255852">
      <w:bodyDiv w:val="1"/>
      <w:marLeft w:val="0"/>
      <w:marRight w:val="0"/>
      <w:marTop w:val="0"/>
      <w:marBottom w:val="0"/>
      <w:divBdr>
        <w:top w:val="none" w:sz="0" w:space="0" w:color="auto"/>
        <w:left w:val="none" w:sz="0" w:space="0" w:color="auto"/>
        <w:bottom w:val="none" w:sz="0" w:space="0" w:color="auto"/>
        <w:right w:val="none" w:sz="0" w:space="0" w:color="auto"/>
      </w:divBdr>
    </w:div>
    <w:div w:id="2091533896">
      <w:bodyDiv w:val="1"/>
      <w:marLeft w:val="0"/>
      <w:marRight w:val="0"/>
      <w:marTop w:val="0"/>
      <w:marBottom w:val="0"/>
      <w:divBdr>
        <w:top w:val="none" w:sz="0" w:space="0" w:color="auto"/>
        <w:left w:val="none" w:sz="0" w:space="0" w:color="auto"/>
        <w:bottom w:val="none" w:sz="0" w:space="0" w:color="auto"/>
        <w:right w:val="none" w:sz="0" w:space="0" w:color="auto"/>
      </w:divBdr>
    </w:div>
    <w:div w:id="2100562372">
      <w:bodyDiv w:val="1"/>
      <w:marLeft w:val="0"/>
      <w:marRight w:val="0"/>
      <w:marTop w:val="0"/>
      <w:marBottom w:val="0"/>
      <w:divBdr>
        <w:top w:val="none" w:sz="0" w:space="0" w:color="auto"/>
        <w:left w:val="none" w:sz="0" w:space="0" w:color="auto"/>
        <w:bottom w:val="none" w:sz="0" w:space="0" w:color="auto"/>
        <w:right w:val="none" w:sz="0" w:space="0" w:color="auto"/>
      </w:divBdr>
    </w:div>
    <w:div w:id="2104643621">
      <w:bodyDiv w:val="1"/>
      <w:marLeft w:val="0"/>
      <w:marRight w:val="0"/>
      <w:marTop w:val="0"/>
      <w:marBottom w:val="0"/>
      <w:divBdr>
        <w:top w:val="none" w:sz="0" w:space="0" w:color="auto"/>
        <w:left w:val="none" w:sz="0" w:space="0" w:color="auto"/>
        <w:bottom w:val="none" w:sz="0" w:space="0" w:color="auto"/>
        <w:right w:val="none" w:sz="0" w:space="0" w:color="auto"/>
      </w:divBdr>
    </w:div>
    <w:div w:id="2106222906">
      <w:bodyDiv w:val="1"/>
      <w:marLeft w:val="0"/>
      <w:marRight w:val="0"/>
      <w:marTop w:val="0"/>
      <w:marBottom w:val="0"/>
      <w:divBdr>
        <w:top w:val="none" w:sz="0" w:space="0" w:color="auto"/>
        <w:left w:val="none" w:sz="0" w:space="0" w:color="auto"/>
        <w:bottom w:val="none" w:sz="0" w:space="0" w:color="auto"/>
        <w:right w:val="none" w:sz="0" w:space="0" w:color="auto"/>
      </w:divBdr>
    </w:div>
    <w:div w:id="2108623010">
      <w:bodyDiv w:val="1"/>
      <w:marLeft w:val="0"/>
      <w:marRight w:val="0"/>
      <w:marTop w:val="0"/>
      <w:marBottom w:val="0"/>
      <w:divBdr>
        <w:top w:val="none" w:sz="0" w:space="0" w:color="auto"/>
        <w:left w:val="none" w:sz="0" w:space="0" w:color="auto"/>
        <w:bottom w:val="none" w:sz="0" w:space="0" w:color="auto"/>
        <w:right w:val="none" w:sz="0" w:space="0" w:color="auto"/>
      </w:divBdr>
    </w:div>
    <w:div w:id="2119568696">
      <w:bodyDiv w:val="1"/>
      <w:marLeft w:val="0"/>
      <w:marRight w:val="0"/>
      <w:marTop w:val="0"/>
      <w:marBottom w:val="0"/>
      <w:divBdr>
        <w:top w:val="none" w:sz="0" w:space="0" w:color="auto"/>
        <w:left w:val="none" w:sz="0" w:space="0" w:color="auto"/>
        <w:bottom w:val="none" w:sz="0" w:space="0" w:color="auto"/>
        <w:right w:val="none" w:sz="0" w:space="0" w:color="auto"/>
      </w:divBdr>
    </w:div>
    <w:div w:id="2128813830">
      <w:bodyDiv w:val="1"/>
      <w:marLeft w:val="0"/>
      <w:marRight w:val="0"/>
      <w:marTop w:val="0"/>
      <w:marBottom w:val="0"/>
      <w:divBdr>
        <w:top w:val="none" w:sz="0" w:space="0" w:color="auto"/>
        <w:left w:val="none" w:sz="0" w:space="0" w:color="auto"/>
        <w:bottom w:val="none" w:sz="0" w:space="0" w:color="auto"/>
        <w:right w:val="none" w:sz="0" w:space="0" w:color="auto"/>
      </w:divBdr>
      <w:divsChild>
        <w:div w:id="292684667">
          <w:marLeft w:val="0"/>
          <w:marRight w:val="0"/>
          <w:marTop w:val="0"/>
          <w:marBottom w:val="0"/>
          <w:divBdr>
            <w:top w:val="none" w:sz="0" w:space="0" w:color="auto"/>
            <w:left w:val="none" w:sz="0" w:space="0" w:color="auto"/>
            <w:bottom w:val="none" w:sz="0" w:space="0" w:color="auto"/>
            <w:right w:val="none" w:sz="0" w:space="0" w:color="auto"/>
          </w:divBdr>
          <w:divsChild>
            <w:div w:id="892348601">
              <w:marLeft w:val="0"/>
              <w:marRight w:val="0"/>
              <w:marTop w:val="0"/>
              <w:marBottom w:val="0"/>
              <w:divBdr>
                <w:top w:val="none" w:sz="0" w:space="0" w:color="auto"/>
                <w:left w:val="none" w:sz="0" w:space="0" w:color="auto"/>
                <w:bottom w:val="none" w:sz="0" w:space="0" w:color="auto"/>
                <w:right w:val="none" w:sz="0" w:space="0" w:color="auto"/>
              </w:divBdr>
            </w:div>
            <w:div w:id="1321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6.xml"/><Relationship Id="rId21" Type="http://schemas.openxmlformats.org/officeDocument/2006/relationships/footer" Target="footer4.xml"/><Relationship Id="rId42" Type="http://schemas.openxmlformats.org/officeDocument/2006/relationships/footer" Target="footer14.xml"/><Relationship Id="rId63" Type="http://schemas.openxmlformats.org/officeDocument/2006/relationships/hyperlink" Target="https://www.magnet-model.eu/publication/" TargetMode="External"/><Relationship Id="rId84" Type="http://schemas.openxmlformats.org/officeDocument/2006/relationships/header" Target="header21.xml"/><Relationship Id="rId138" Type="http://schemas.openxmlformats.org/officeDocument/2006/relationships/image" Target="media/image37.jpg"/><Relationship Id="rId159" Type="http://schemas.openxmlformats.org/officeDocument/2006/relationships/hyperlink" Target="https://www.eea.europa.eu/publications/progressing-towards-waste-prevention-in/at_download/file." TargetMode="External"/><Relationship Id="rId170" Type="http://schemas.openxmlformats.org/officeDocument/2006/relationships/hyperlink" Target="https://ec.europa.eu/eurostat/web/prodcom" TargetMode="External"/><Relationship Id="rId191" Type="http://schemas.openxmlformats.org/officeDocument/2006/relationships/hyperlink" Target="https://www.sciencedirect.com/science/article/pii/B9781845699390500022" TargetMode="External"/><Relationship Id="rId205"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26.png"/><Relationship Id="rId11" Type="http://schemas.openxmlformats.org/officeDocument/2006/relationships/image" Target="media/image1.emf"/><Relationship Id="rId32" Type="http://schemas.openxmlformats.org/officeDocument/2006/relationships/hyperlink" Target="https://ec.europa.eu/info/law/better-regulation/have-your-say/initiatives/13223-Food-waste-reduction-targets_en" TargetMode="External"/><Relationship Id="rId37" Type="http://schemas.openxmlformats.org/officeDocument/2006/relationships/header" Target="header12.xml"/><Relationship Id="rId53" Type="http://schemas.openxmlformats.org/officeDocument/2006/relationships/hyperlink" Target="https://publications.jrc.ec.europa.eu/repository/handle/JRC123037" TargetMode="External"/><Relationship Id="rId58" Type="http://schemas.openxmlformats.org/officeDocument/2006/relationships/hyperlink" Target="https://www.fao.org/3/ca6030en/ca6030en.pdf" TargetMode="External"/><Relationship Id="rId74" Type="http://schemas.openxmlformats.org/officeDocument/2006/relationships/header" Target="header16.xml"/><Relationship Id="rId79" Type="http://schemas.openxmlformats.org/officeDocument/2006/relationships/footer" Target="footer18.xml"/><Relationship Id="rId102" Type="http://schemas.openxmlformats.org/officeDocument/2006/relationships/image" Target="media/image22.png"/><Relationship Id="rId123" Type="http://schemas.openxmlformats.org/officeDocument/2006/relationships/hyperlink" Target="https://www.renewcell.com/en/" TargetMode="External"/><Relationship Id="rId128" Type="http://schemas.openxmlformats.org/officeDocument/2006/relationships/image" Target="media/image28.png"/><Relationship Id="rId144" Type="http://schemas.openxmlformats.org/officeDocument/2006/relationships/hyperlink" Target="http://www.ecap.eu.com/wp-content/uploads/2018/07/ECAP-Textile-collection-in-European-cities_full-report_with-summary.pdf" TargetMode="External"/><Relationship Id="rId149" Type="http://schemas.openxmlformats.org/officeDocument/2006/relationships/hyperlink" Target="https://euratex.eu/rehubs/" TargetMode="External"/><Relationship Id="rId5" Type="http://schemas.openxmlformats.org/officeDocument/2006/relationships/numbering" Target="numbering.xml"/><Relationship Id="rId90" Type="http://schemas.openxmlformats.org/officeDocument/2006/relationships/chart" Target="charts/chart2.xml"/><Relationship Id="rId95" Type="http://schemas.openxmlformats.org/officeDocument/2006/relationships/image" Target="media/image16.emf"/><Relationship Id="rId160" Type="http://schemas.openxmlformats.org/officeDocument/2006/relationships/hyperlink" Target="https://www.eea.europa.eu/publications/textiles-and-the-environment-the" TargetMode="External"/><Relationship Id="rId165" Type="http://schemas.openxmlformats.org/officeDocument/2006/relationships/hyperlink" Target="https://www.europarl.europa.eu/thinktank/en/document/EPRS_BRI(2019)633143." TargetMode="External"/><Relationship Id="rId181" Type="http://schemas.openxmlformats.org/officeDocument/2006/relationships/hyperlink" Target="https://greencitizen.com/blog/shoe-recycling/" TargetMode="External"/><Relationship Id="rId186" Type="http://schemas.openxmlformats.org/officeDocument/2006/relationships/hyperlink" Target="https://www.oecd.org/development-cooperation-learning/practices/dynamic/dcd-best-practices/89276a44/pdf/germany-supports-sustainable-textile-production.pdf" TargetMode="Externa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header" Target="header15.xml"/><Relationship Id="rId48" Type="http://schemas.openxmlformats.org/officeDocument/2006/relationships/image" Target="media/image3.emf"/><Relationship Id="rId64" Type="http://schemas.openxmlformats.org/officeDocument/2006/relationships/hyperlink" Target="https://agriculture.ec.europa.eu/data-and-analysis/markets/outlook/medium-term_en" TargetMode="External"/><Relationship Id="rId69" Type="http://schemas.openxmlformats.org/officeDocument/2006/relationships/hyperlink" Target="https://ec.europa.eu/eurostat/web/products-eurostat-news/-/ddn-20220925-2" TargetMode="External"/><Relationship Id="rId113" Type="http://schemas.openxmlformats.org/officeDocument/2006/relationships/footer" Target="footer24.xml"/><Relationship Id="rId118" Type="http://schemas.openxmlformats.org/officeDocument/2006/relationships/header" Target="header27.xml"/><Relationship Id="rId134" Type="http://schemas.openxmlformats.org/officeDocument/2006/relationships/image" Target="media/image33.png"/><Relationship Id="rId139" Type="http://schemas.openxmlformats.org/officeDocument/2006/relationships/image" Target="media/image38.jpg"/><Relationship Id="rId80" Type="http://schemas.openxmlformats.org/officeDocument/2006/relationships/header" Target="header19.xml"/><Relationship Id="rId85" Type="http://schemas.openxmlformats.org/officeDocument/2006/relationships/footer" Target="footer21.xml"/><Relationship Id="rId150" Type="http://schemas.openxmlformats.org/officeDocument/2006/relationships/hyperlink" Target="https://data.europa.eu/doi/10.2779/14834" TargetMode="External"/><Relationship Id="rId155" Type="http://schemas.openxmlformats.org/officeDocument/2006/relationships/hyperlink" Target="https://op.europa.eu/en/publication-detail/-/publication/edace3e3-e189-11e8-b690-01aa75ed71a1/language-en" TargetMode="External"/><Relationship Id="rId171" Type="http://schemas.openxmlformats.org/officeDocument/2006/relationships/hyperlink" Target="https://doi.org/10.1007/s11367-010-0197-y." TargetMode="External"/><Relationship Id="rId176" Type="http://schemas.openxmlformats.org/officeDocument/2006/relationships/hyperlink" Target="https://www.naturvardsverket.se/contentassets/be04327b5a874955a5402d4f663d1632/webinar-collaborative-study-chemicals-recycled-textiles-hm-ikea.pdf." TargetMode="External"/><Relationship Id="rId192" Type="http://schemas.openxmlformats.org/officeDocument/2006/relationships/hyperlink" Target="https://sswm.info/sites/default/files/reference_attachments/SHAKIH%202009%20Water%20conservation%20in%20the%20textile%20industry.pdf" TargetMode="External"/><Relationship Id="rId197" Type="http://schemas.openxmlformats.org/officeDocument/2006/relationships/hyperlink" Target="https://www.un.org/africarenewal/magazine/december-2017-march-2018/protectionist-ban-imported-used-clothing" TargetMode="External"/><Relationship Id="rId206" Type="http://schemas.microsoft.com/office/2019/05/relationships/documenttasks" Target="documenttasks/documenttasks1.xml"/><Relationship Id="rId201" Type="http://schemas.openxmlformats.org/officeDocument/2006/relationships/footer" Target="footer29.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hyperlink" Target="https://www.ifad.org/en/rural-development-report/" TargetMode="External"/><Relationship Id="rId103" Type="http://schemas.openxmlformats.org/officeDocument/2006/relationships/image" Target="media/image23.emf"/><Relationship Id="rId108" Type="http://schemas.openxmlformats.org/officeDocument/2006/relationships/header" Target="header22.xml"/><Relationship Id="rId124" Type="http://schemas.openxmlformats.org/officeDocument/2006/relationships/hyperlink" Target="https://cordis.europa.eu/project/id/642494" TargetMode="External"/><Relationship Id="rId129" Type="http://schemas.openxmlformats.org/officeDocument/2006/relationships/hyperlink" Target="https://www.sciencedirect.com/topics/earth-and-planetary-sciences/foodstuff" TargetMode="External"/><Relationship Id="rId54" Type="http://schemas.openxmlformats.org/officeDocument/2006/relationships/hyperlink" Target="https://publications.jrc.ec.europa.eu/repository/handle/JRC118064" TargetMode="External"/><Relationship Id="rId70" Type="http://schemas.openxmlformats.org/officeDocument/2006/relationships/hyperlink" Target="https://ec.europa.eu/eurostat/statistics-explained/index.php?title=Food_waste_and_food_waste_prevention_-_estimates" TargetMode="External"/><Relationship Id="rId75" Type="http://schemas.openxmlformats.org/officeDocument/2006/relationships/header" Target="header17.xml"/><Relationship Id="rId91" Type="http://schemas.openxmlformats.org/officeDocument/2006/relationships/image" Target="media/image14.png"/><Relationship Id="rId96" Type="http://schemas.openxmlformats.org/officeDocument/2006/relationships/chart" Target="charts/chart5.xml"/><Relationship Id="rId140" Type="http://schemas.openxmlformats.org/officeDocument/2006/relationships/image" Target="media/image39.png"/><Relationship Id="rId145" Type="http://schemas.openxmlformats.org/officeDocument/2006/relationships/hyperlink" Target="http://www.ecap.eu.com/wp-content/uploads/2019/07/Guidance-for-Textiles-Collections.pdf" TargetMode="External"/><Relationship Id="rId161" Type="http://schemas.openxmlformats.org/officeDocument/2006/relationships/hyperlink" Target="https://www.eea.europa.eu/publications/textiles-in-europes-circular-economy" TargetMode="External"/><Relationship Id="rId166" Type="http://schemas.openxmlformats.org/officeDocument/2006/relationships/hyperlink" Target="https://www.europarl.europa.eu/news/en/headlines/society/20201208STO93327/the-impact-of-textile-production-and-waste-on-the-environment-infographic." TargetMode="External"/><Relationship Id="rId182" Type="http://schemas.openxmlformats.org/officeDocument/2006/relationships/hyperlink" Target="https://www.mckinsey.com/~/media/mckinsey/industries/retail/our%20insights/fashion%20on%20climate/fashion-on-climate-full-report.pdf" TargetMode="External"/><Relationship Id="rId187" Type="http://schemas.openxmlformats.org/officeDocument/2006/relationships/hyperlink" Target="https://www.recycling-magazine.com/2021/02/18/worlds-first-fully-automated-textile-sorting-plant-in-malmo/"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image" Target="media/image4.png"/><Relationship Id="rId114" Type="http://schemas.openxmlformats.org/officeDocument/2006/relationships/header" Target="header25.xml"/><Relationship Id="rId119" Type="http://schemas.openxmlformats.org/officeDocument/2006/relationships/footer" Target="footer27.xml"/><Relationship Id="rId44" Type="http://schemas.openxmlformats.org/officeDocument/2006/relationships/footer" Target="footer15.xml"/><Relationship Id="rId60" Type="http://schemas.openxmlformats.org/officeDocument/2006/relationships/hyperlink" Target="https://ec.europa.eu/environment/biodiversity/business/news/news-192_en.htm" TargetMode="External"/><Relationship Id="rId65" Type="http://schemas.openxmlformats.org/officeDocument/2006/relationships/image" Target="media/image6.png"/><Relationship Id="rId81" Type="http://schemas.openxmlformats.org/officeDocument/2006/relationships/header" Target="header20.xml"/><Relationship Id="rId86" Type="http://schemas.openxmlformats.org/officeDocument/2006/relationships/image" Target="media/image12.emf"/><Relationship Id="rId130" Type="http://schemas.openxmlformats.org/officeDocument/2006/relationships/image" Target="media/image29.png"/><Relationship Id="rId135" Type="http://schemas.openxmlformats.org/officeDocument/2006/relationships/image" Target="media/image34.png"/><Relationship Id="rId151" Type="http://schemas.openxmlformats.org/officeDocument/2006/relationships/hyperlink" Target="https://op.europa.eu/en/publication-detail/-/publication/739a1cca-6145-11ec-9c6c-01aa75ed71a1" TargetMode="External"/><Relationship Id="rId156" Type="http://schemas.openxmlformats.org/officeDocument/2006/relationships/hyperlink" Target="https://data.europa.eu/doi/10.2873/23948." TargetMode="External"/><Relationship Id="rId177" Type="http://schemas.openxmlformats.org/officeDocument/2006/relationships/hyperlink" Target="https://www.dailymail.co.uk/news/article-10450221/Dumped-Atacama-desert-mountain-discarded-cheap-clothes-West.html" TargetMode="External"/><Relationship Id="rId198" Type="http://schemas.openxmlformats.org/officeDocument/2006/relationships/header" Target="header28.xml"/><Relationship Id="rId172" Type="http://schemas.openxmlformats.org/officeDocument/2006/relationships/hyperlink" Target="https://www.sciencedirect.com/science/article/pii/S0959652618305985" TargetMode="External"/><Relationship Id="rId193" Type="http://schemas.openxmlformats.org/officeDocument/2006/relationships/hyperlink" Target="https://www.statista.com/forecasts/890785/e-commerce-revenue-in-europe-fashion-by-segments" TargetMode="External"/><Relationship Id="rId202" Type="http://schemas.openxmlformats.org/officeDocument/2006/relationships/header" Target="header30.xml"/><Relationship Id="rId207" Type="http://schemas.microsoft.com/office/2020/10/relationships/intelligence" Target="intelligence2.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header" Target="header13.xml"/><Relationship Id="rId109" Type="http://schemas.openxmlformats.org/officeDocument/2006/relationships/header" Target="header23.xml"/><Relationship Id="rId34" Type="http://schemas.openxmlformats.org/officeDocument/2006/relationships/header" Target="header11.xml"/><Relationship Id="rId50" Type="http://schemas.openxmlformats.org/officeDocument/2006/relationships/image" Target="media/image5.jpeg"/><Relationship Id="rId55" Type="http://schemas.openxmlformats.org/officeDocument/2006/relationships/hyperlink" Target="https://web.jrc.ec.europa.eu/policy-model-inventory/explore/models/model-magnet/policy-support" TargetMode="External"/><Relationship Id="rId76" Type="http://schemas.openxmlformats.org/officeDocument/2006/relationships/footer" Target="footer16.xml"/><Relationship Id="rId97" Type="http://schemas.openxmlformats.org/officeDocument/2006/relationships/image" Target="media/image17.png"/><Relationship Id="rId104" Type="http://schemas.openxmlformats.org/officeDocument/2006/relationships/image" Target="media/image24.png"/><Relationship Id="rId120" Type="http://schemas.openxmlformats.org/officeDocument/2006/relationships/image" Target="media/image27.png"/><Relationship Id="rId125" Type="http://schemas.openxmlformats.org/officeDocument/2006/relationships/hyperlink" Target="https://cordis.europa.eu/project/id/101000559" TargetMode="External"/><Relationship Id="rId141" Type="http://schemas.openxmlformats.org/officeDocument/2006/relationships/hyperlink" Target="https://www.collectors2020.eu/wp-content/uploads/2020/12/COLLECTORS_D4.5Guidelines-final.pdf" TargetMode="External"/><Relationship Id="rId146" Type="http://schemas.openxmlformats.org/officeDocument/2006/relationships/hyperlink" Target="https://ellenmacarthurfoundation.org/a-new-textiles-economy." TargetMode="External"/><Relationship Id="rId167" Type="http://schemas.openxmlformats.org/officeDocument/2006/relationships/hyperlink" Target="https://ec.europa.eu/eurostat/documents/342366/351811/Guidance+on+municipal+waste+data+collection/" TargetMode="External"/><Relationship Id="rId188" Type="http://schemas.openxmlformats.org/officeDocument/2006/relationships/hyperlink" Target="https://refashion.fr/pro/en/press-releases" TargetMode="Externa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chart" Target="charts/chart3.xml"/><Relationship Id="rId162" Type="http://schemas.openxmlformats.org/officeDocument/2006/relationships/hyperlink" Target="https://www.eea.europa.eu/data-and-maps/figures/the-use-of-primary-raw." TargetMode="External"/><Relationship Id="rId183" Type="http://schemas.openxmlformats.org/officeDocument/2006/relationships/hyperlink" Target="https://www.mdpi.com/2071-1050/13/24/13732/pdf" TargetMode="Externa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header" Target="header14.xml"/><Relationship Id="rId45" Type="http://schemas.openxmlformats.org/officeDocument/2006/relationships/hyperlink" Target="https://ec.europa.eu/eurostat/statistics-explained/index.php?title=Food_waste_and_food_waste_prevention_-_estimates" TargetMode="External"/><Relationship Id="rId66" Type="http://schemas.openxmlformats.org/officeDocument/2006/relationships/image" Target="media/image7.png"/><Relationship Id="rId87" Type="http://schemas.openxmlformats.org/officeDocument/2006/relationships/hyperlink" Target="https://ec.europa.eu/info/publications/proposal-empowering-consumer-green-transition-and-annex_en" TargetMode="External"/><Relationship Id="rId110" Type="http://schemas.openxmlformats.org/officeDocument/2006/relationships/footer" Target="footer22.xml"/><Relationship Id="rId115" Type="http://schemas.openxmlformats.org/officeDocument/2006/relationships/header" Target="header26.xml"/><Relationship Id="rId131" Type="http://schemas.openxmlformats.org/officeDocument/2006/relationships/image" Target="media/image30.png"/><Relationship Id="rId136" Type="http://schemas.openxmlformats.org/officeDocument/2006/relationships/image" Target="media/image35.png"/><Relationship Id="rId157" Type="http://schemas.openxmlformats.org/officeDocument/2006/relationships/hyperlink" Target="https://data.europa.eu/doi/10.2760/858144." TargetMode="External"/><Relationship Id="rId178" Type="http://schemas.openxmlformats.org/officeDocument/2006/relationships/hyperlink" Target="https://doi.org/10.1016/j.jclepro.2020.122951." TargetMode="External"/><Relationship Id="rId61" Type="http://schemas.openxmlformats.org/officeDocument/2006/relationships/hyperlink" Target="https://sdgs.un.org/publications/sdg-good-practices-2020" TargetMode="External"/><Relationship Id="rId82" Type="http://schemas.openxmlformats.org/officeDocument/2006/relationships/footer" Target="footer19.xml"/><Relationship Id="rId152" Type="http://schemas.openxmlformats.org/officeDocument/2006/relationships/hyperlink" Target="https://publications.jrc.ec.europa.eu/repository/handle/JRC111059" TargetMode="External"/><Relationship Id="rId173" Type="http://schemas.openxmlformats.org/officeDocument/2006/relationships/hyperlink" Target="https://www.globalfashionagenda.com/publications-and-policy/pulse-of-the-industry/" TargetMode="External"/><Relationship Id="rId194" Type="http://schemas.openxmlformats.org/officeDocument/2006/relationships/hyperlink" Target="https://www.statista.com/statistics/417674/eu-european-union-textile-clothing-household-consumption/" TargetMode="External"/><Relationship Id="rId199" Type="http://schemas.openxmlformats.org/officeDocument/2006/relationships/header" Target="header29.xml"/><Relationship Id="rId203" Type="http://schemas.openxmlformats.org/officeDocument/2006/relationships/footer" Target="footer30.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footer" Target="footer10.xml"/><Relationship Id="rId56" Type="http://schemas.openxmlformats.org/officeDocument/2006/relationships/hyperlink" Target="https://www.gtap.agecon.purdue.edu/default.asp" TargetMode="External"/><Relationship Id="rId77" Type="http://schemas.openxmlformats.org/officeDocument/2006/relationships/footer" Target="footer17.xml"/><Relationship Id="rId100" Type="http://schemas.openxmlformats.org/officeDocument/2006/relationships/image" Target="media/image20.emf"/><Relationship Id="rId105" Type="http://schemas.openxmlformats.org/officeDocument/2006/relationships/hyperlink" Target="https://www.sciencedirect.com/science/article/pii/S0959652618305985" TargetMode="External"/><Relationship Id="rId126" Type="http://schemas.openxmlformats.org/officeDocument/2006/relationships/hyperlink" Target="https://trexproject.eu/" TargetMode="External"/><Relationship Id="rId147" Type="http://schemas.openxmlformats.org/officeDocument/2006/relationships/hyperlink" Target="https://emf.thirdlight.com/link/circular-business-models-report/@/preview/1?o" TargetMode="External"/><Relationship Id="rId168" Type="http://schemas.openxmlformats.org/officeDocument/2006/relationships/hyperlink" Target="https://ec.europa.eu/eurostat/documents/342366/351806/Guidance-on-EWCStat-categories-2010.pdf/0e7cd3fc-c05c-47a7-818f-1c2421e55604." TargetMode="External"/><Relationship Id="rId8" Type="http://schemas.openxmlformats.org/officeDocument/2006/relationships/webSettings" Target="webSettings.xml"/><Relationship Id="rId51" Type="http://schemas.openxmlformats.org/officeDocument/2006/relationships/hyperlink" Target="https://www.europarl.europa.eu/RegData/etudes/IDAN/2022/734766/IPOL_IDA(2022)734766_EN.pdf" TargetMode="External"/><Relationship Id="rId72" Type="http://schemas.openxmlformats.org/officeDocument/2006/relationships/hyperlink" Target="file://net1.cec.eu.int/JRC_NEW/JRC.D/JRC.D.4/SCIENTIFIC/FOOD_SYSTEM/30-PROJECT/40%20FoodWaste_IA/Model_preparation/pillovers%20and%20Transboundary%20Impacts%20of%20Public%20Policies" TargetMode="External"/><Relationship Id="rId93" Type="http://schemas.openxmlformats.org/officeDocument/2006/relationships/chart" Target="charts/chart4.xml"/><Relationship Id="rId98" Type="http://schemas.openxmlformats.org/officeDocument/2006/relationships/image" Target="media/image18.emf"/><Relationship Id="rId121" Type="http://schemas.openxmlformats.org/officeDocument/2006/relationships/hyperlink" Target="http://www.life-ecotex.eu/index.php/en/home/" TargetMode="External"/><Relationship Id="rId142" Type="http://schemas.openxmlformats.org/officeDocument/2006/relationships/hyperlink" Target="https://www.collectors2020.eu/wp-content/uploads/2020/12/COLLECTORS-D4.6_Policy-recommendations-final.pdf" TargetMode="External"/><Relationship Id="rId163" Type="http://schemas.openxmlformats.org/officeDocument/2006/relationships/hyperlink" Target="https://www.eionet.europa.eu/etcs/etc-wmge/products/etc-wmge-reports/textiles-and-the-environment-in-a-circular-economy" TargetMode="External"/><Relationship Id="rId184" Type="http://schemas.openxmlformats.org/officeDocument/2006/relationships/hyperlink" Target="https://www.worldatlas.com/articles/top-10-textile-importing-countries-in-the-world.html." TargetMode="External"/><Relationship Id="rId189" Type="http://schemas.openxmlformats.org/officeDocument/2006/relationships/hyperlink" Target="https://www.textile.fr/actualite/recycle-plateforme-digitale-de-mise-en-relation-des-acteurs-du-recyclage-de-refashion" TargetMode="Externa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yperlink" Target="https://ec.europa.eu/info/law/better-regulation/have-your-say/initiatives/13223-Food-waste-reduction-targets/feedback_en?p_id=26531524" TargetMode="External"/><Relationship Id="rId67" Type="http://schemas.openxmlformats.org/officeDocument/2006/relationships/image" Target="media/image8.png"/><Relationship Id="rId116" Type="http://schemas.openxmlformats.org/officeDocument/2006/relationships/footer" Target="footer25.xml"/><Relationship Id="rId137" Type="http://schemas.openxmlformats.org/officeDocument/2006/relationships/image" Target="media/image36.jpg"/><Relationship Id="rId158" Type="http://schemas.openxmlformats.org/officeDocument/2006/relationships/hyperlink" Target="https://publications.jrc.ec.europa.eu/repository/handle/JRC111059" TargetMode="External"/><Relationship Id="rId20" Type="http://schemas.openxmlformats.org/officeDocument/2006/relationships/header" Target="header5.xml"/><Relationship Id="rId41" Type="http://schemas.openxmlformats.org/officeDocument/2006/relationships/footer" Target="footer13.xml"/><Relationship Id="rId62" Type="http://schemas.openxmlformats.org/officeDocument/2006/relationships/hyperlink" Target="https://www.oecd.org/gov/pcsd/understanding-the-spillovers-and-transboundary-impacts-of-public-policies-862c0db7-en.htm" TargetMode="External"/><Relationship Id="rId83" Type="http://schemas.openxmlformats.org/officeDocument/2006/relationships/footer" Target="footer20.xml"/><Relationship Id="rId88" Type="http://schemas.openxmlformats.org/officeDocument/2006/relationships/image" Target="media/image13.emf"/><Relationship Id="rId111" Type="http://schemas.openxmlformats.org/officeDocument/2006/relationships/footer" Target="footer23.xml"/><Relationship Id="rId132" Type="http://schemas.openxmlformats.org/officeDocument/2006/relationships/image" Target="media/image31.png"/><Relationship Id="rId153" Type="http://schemas.openxmlformats.org/officeDocument/2006/relationships/hyperlink" Target="https://publications.jrc.ec.europa.eu/repository/handle/JRC125110." TargetMode="External"/><Relationship Id="rId174" Type="http://schemas.openxmlformats.org/officeDocument/2006/relationships/hyperlink" Target="https://www.greenpeace.org/static/planet4-international-stateless/2022/04/9f50d3de-greenpeace-germany-poisoned-fast-fashion-briefing-factsheet-april-2022.pdf." TargetMode="External"/><Relationship Id="rId179" Type="http://schemas.openxmlformats.org/officeDocument/2006/relationships/hyperlink" Target="https://publications.jrc.ec.europa.eu/repository/handle/JRC125110" TargetMode="External"/><Relationship Id="rId195" Type="http://schemas.openxmlformats.org/officeDocument/2006/relationships/hyperlink" Target="https://theconversation.com/do-you-shop-for-second-hand-clothes-youre-likely-to-be-more-stylish-180028" TargetMode="External"/><Relationship Id="rId190" Type="http://schemas.openxmlformats.org/officeDocument/2006/relationships/hyperlink" Target="https://www.sciencedirect.com/science/article/pii/S0959652618305985" TargetMode="External"/><Relationship Id="rId204"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footer" Target="footer11.xml"/><Relationship Id="rId57" Type="http://schemas.openxmlformats.org/officeDocument/2006/relationships/hyperlink" Target="https://www.gtap.agecon.purdue.edu/about/consortium.asp" TargetMode="External"/><Relationship Id="rId106" Type="http://schemas.openxmlformats.org/officeDocument/2006/relationships/image" Target="media/image25.png"/><Relationship Id="rId127" Type="http://schemas.openxmlformats.org/officeDocument/2006/relationships/hyperlink" Target="https://www.sciencedirect.com/topics/engineering/sankey-diagrams" TargetMode="External"/><Relationship Id="rId10" Type="http://schemas.openxmlformats.org/officeDocument/2006/relationships/endnotes" Target="endnotes.xml"/><Relationship Id="rId31" Type="http://schemas.openxmlformats.org/officeDocument/2006/relationships/hyperlink" Target="https://ec.europa.eu/info/law/better-regulation/have-your-say/initiatives/13225-Environmental-impact-of-waste-management-revision-of-EU-waste-framework_en" TargetMode="External"/><Relationship Id="rId52" Type="http://schemas.openxmlformats.org/officeDocument/2006/relationships/hyperlink" Target="https://web.jrc.ec.europa.eu/policy-model-inventory/explore/models/model-magnet" TargetMode="External"/><Relationship Id="rId73" Type="http://schemas.openxmlformats.org/officeDocument/2006/relationships/image" Target="media/image11.png"/><Relationship Id="rId78" Type="http://schemas.openxmlformats.org/officeDocument/2006/relationships/header" Target="header18.xml"/><Relationship Id="rId94" Type="http://schemas.openxmlformats.org/officeDocument/2006/relationships/image" Target="media/image15.png"/><Relationship Id="rId99" Type="http://schemas.openxmlformats.org/officeDocument/2006/relationships/image" Target="media/image19.png"/><Relationship Id="rId101" Type="http://schemas.openxmlformats.org/officeDocument/2006/relationships/image" Target="media/image21.emf"/><Relationship Id="rId122" Type="http://schemas.openxmlformats.org/officeDocument/2006/relationships/hyperlink" Target="https://www.carbios.com/en/" TargetMode="External"/><Relationship Id="rId143" Type="http://schemas.openxmlformats.org/officeDocument/2006/relationships/hyperlink" Target="https://www.cesme-book.eu/book/level-1-d/3.1-best-practices/3.1.2-humanita-textile-recycling" TargetMode="External"/><Relationship Id="rId148" Type="http://schemas.openxmlformats.org/officeDocument/2006/relationships/hyperlink" Target="https://ec.europa.eu/commission/presscorner/api/files/attachment/872168/Textiles%20Factsheet.pdf.pdf" TargetMode="External"/><Relationship Id="rId164" Type="http://schemas.openxmlformats.org/officeDocument/2006/relationships/hyperlink" Target="https://www.eea.europa.eu/themes/waste/waste-prevention" TargetMode="External"/><Relationship Id="rId169" Type="http://schemas.openxmlformats.org/officeDocument/2006/relationships/hyperlink" Target="https://ec.europa.eu/eurostat/statistics-explained/index.php?title=E-commerce_statistics_for_individuals" TargetMode="External"/><Relationship Id="rId185" Type="http://schemas.openxmlformats.org/officeDocument/2006/relationships/hyperlink" Target="https://www.nrdc.org/issues/encourage-textile-manufacturers-reduce-pollution"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lesjoyeuxrecycleurs.com/news/tapis/" TargetMode="External"/><Relationship Id="rId26" Type="http://schemas.openxmlformats.org/officeDocument/2006/relationships/header" Target="header8.xml"/><Relationship Id="rId47" Type="http://schemas.openxmlformats.org/officeDocument/2006/relationships/hyperlink" Target="https://food.ec.europa.eu/safety/food-waste/eu-actions-against-food-waste/eu-platform-food-losses-and-food-waste_en" TargetMode="External"/><Relationship Id="rId68" Type="http://schemas.openxmlformats.org/officeDocument/2006/relationships/image" Target="media/image9.png"/><Relationship Id="rId89" Type="http://schemas.openxmlformats.org/officeDocument/2006/relationships/chart" Target="charts/chart1.xml"/><Relationship Id="rId112" Type="http://schemas.openxmlformats.org/officeDocument/2006/relationships/header" Target="header24.xml"/><Relationship Id="rId133" Type="http://schemas.openxmlformats.org/officeDocument/2006/relationships/image" Target="media/image32.png"/><Relationship Id="rId154" Type="http://schemas.openxmlformats.org/officeDocument/2006/relationships/hyperlink" Target="https://ec.europa.eu/environment/gpp/pdf/criteria/textiles_2017.pdf" TargetMode="External"/><Relationship Id="rId175" Type="http://schemas.openxmlformats.org/officeDocument/2006/relationships/hyperlink" Target="https://www.nrdc.org/sites/default/files/cbd-to-scale-report.pdf" TargetMode="External"/><Relationship Id="rId196" Type="http://schemas.openxmlformats.org/officeDocument/2006/relationships/hyperlink" Target="https://theexchange.africa/industry-and-trade/africa-second-hand-clothes-imports-ban/." TargetMode="External"/><Relationship Id="rId200" Type="http://schemas.openxmlformats.org/officeDocument/2006/relationships/footer" Target="footer28.xml"/></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EN/TXT/?uri=CELEX:52015DC0614" TargetMode="External"/><Relationship Id="rId21" Type="http://schemas.openxmlformats.org/officeDocument/2006/relationships/hyperlink" Target="https://kingcounty.gov/~/media/depts/dnrp/solid-waste/linkup/documents/recycling-economic-development-review.ashx?la=en" TargetMode="External"/><Relationship Id="rId42" Type="http://schemas.openxmlformats.org/officeDocument/2006/relationships/hyperlink" Target="https://eur-lex.europa.eu/legal-content/EN/TXT/?uri=COM%3A2020%3A667%3AFIN" TargetMode="External"/><Relationship Id="rId47" Type="http://schemas.openxmlformats.org/officeDocument/2006/relationships/hyperlink" Target="https://eur-lex.europa.eu/legal-content/ES/TXT/?uri=CELEX:52021DC0778" TargetMode="External"/><Relationship Id="rId63" Type="http://schemas.openxmlformats.org/officeDocument/2006/relationships/hyperlink" Target="https://data.europa.eu/doi/10.2873/23948" TargetMode="External"/><Relationship Id="rId68" Type="http://schemas.openxmlformats.org/officeDocument/2006/relationships/hyperlink" Target="https://eur-lex.europa.eu/legal-content/en/ALL/?uri=CELEX%3A32002R2150" TargetMode="External"/><Relationship Id="rId84" Type="http://schemas.openxmlformats.org/officeDocument/2006/relationships/hyperlink" Target="https://doi.org/10.1016/j.jclepro.2020.122951." TargetMode="External"/><Relationship Id="rId89" Type="http://schemas.openxmlformats.org/officeDocument/2006/relationships/hyperlink" Target="https://www.sciencedirect.com/science/article/pii/S0959652618305985" TargetMode="External"/><Relationship Id="rId2" Type="http://schemas.openxmlformats.org/officeDocument/2006/relationships/hyperlink" Target="https://eur-lex.europa.eu/EN/legal-content/summary/european-green-deal.html" TargetMode="External"/><Relationship Id="rId16" Type="http://schemas.openxmlformats.org/officeDocument/2006/relationships/hyperlink" Target="https://eur-lex.europa.eu/legal-content/EN/TXT/?uri=CELEX:52022PC0142" TargetMode="External"/><Relationship Id="rId29" Type="http://schemas.openxmlformats.org/officeDocument/2006/relationships/hyperlink" Target="https://eur-lex.europa.eu/legal-content/en/TXT/?uri=CELEX%3A32008R1272" TargetMode="External"/><Relationship Id="rId107" Type="http://schemas.openxmlformats.org/officeDocument/2006/relationships/hyperlink" Target="https://www.unep.org/resources/report/unep-food-waste-index-report-2021" TargetMode="External"/><Relationship Id="rId11" Type="http://schemas.openxmlformats.org/officeDocument/2006/relationships/hyperlink" Target="https://ec.europa.eu/info/law/better-regulation/have-your-say/initiatives/13225-Environmental-impact-of-waste-management-revision-of-EU-waste-framework_en" TargetMode="External"/><Relationship Id="rId24" Type="http://schemas.openxmlformats.org/officeDocument/2006/relationships/hyperlink" Target="https://op.europa.eu/en/publication-detail/-/publication/edace3e3-e189-11e8-b690-01aa75ed71a1/language-en" TargetMode="External"/><Relationship Id="rId32" Type="http://schemas.openxmlformats.org/officeDocument/2006/relationships/hyperlink" Target="https://eur-lex.europa.eu/legal-content/EN/TXT/?uri=CELEX%3A32022R2400" TargetMode="External"/><Relationship Id="rId37" Type="http://schemas.openxmlformats.org/officeDocument/2006/relationships/hyperlink" Target="https://op.europa.eu/en/publication-detail/-/publication/edace3e3-e189-11e8-b690-01aa75ed71a1/language-en" TargetMode="External"/><Relationship Id="rId40" Type="http://schemas.openxmlformats.org/officeDocument/2006/relationships/hyperlink" Target="https://eur-lex.europa.eu/legal-content/EN/TXT/?uri=COM%3A2022%3A108%3AFIN" TargetMode="External"/><Relationship Id="rId45" Type="http://schemas.openxmlformats.org/officeDocument/2006/relationships/hyperlink" Target="https://environment.ec.europa.eu/strategy/chemicals-strategy_en" TargetMode="External"/><Relationship Id="rId53" Type="http://schemas.openxmlformats.org/officeDocument/2006/relationships/hyperlink" Target="https://www.consilium.europa.eu/media/40928/st12791-en19.pdf" TargetMode="External"/><Relationship Id="rId58" Type="http://schemas.openxmlformats.org/officeDocument/2006/relationships/hyperlink" Target="https://www.europarl.europa.eu/doceo/document/TA-8-2015-0266_EN.html?redirect" TargetMode="External"/><Relationship Id="rId66" Type="http://schemas.openxmlformats.org/officeDocument/2006/relationships/hyperlink" Target="https://reporting.clustercollaboration.eu/industry/eco-E14" TargetMode="External"/><Relationship Id="rId74" Type="http://schemas.openxmlformats.org/officeDocument/2006/relationships/hyperlink" Target="https://www.recycling-magazine.com/2021/02/18/worlds-first-fully-automated-textile-sorting-plant-in-malmo/" TargetMode="External"/><Relationship Id="rId79" Type="http://schemas.openxmlformats.org/officeDocument/2006/relationships/hyperlink" Target="http://dx.doi.org/10.6027/TN2012-545" TargetMode="External"/><Relationship Id="rId87" Type="http://schemas.openxmlformats.org/officeDocument/2006/relationships/hyperlink" Target="https://www.sciencedirect.com/science/article/pii/S0959652618305985" TargetMode="External"/><Relationship Id="rId102" Type="http://schemas.openxmlformats.org/officeDocument/2006/relationships/hyperlink" Target="https://cordis.europa.eu/project/id/820869" TargetMode="External"/><Relationship Id="rId5" Type="http://schemas.openxmlformats.org/officeDocument/2006/relationships/hyperlink" Target="https://ec.europa.eu/info/law/better-regulation/have-your-say/initiatives/13223-Food-waste-reduction-targets_en" TargetMode="External"/><Relationship Id="rId61" Type="http://schemas.openxmlformats.org/officeDocument/2006/relationships/hyperlink" Target="https://www.consilium.europa.eu/en/policies/food-losses-waste/timeline-food-loss-and-food-waste/" TargetMode="External"/><Relationship Id="rId82" Type="http://schemas.openxmlformats.org/officeDocument/2006/relationships/hyperlink" Target="https://www.mdpi.com/2071-1050/13/24/13732/pdf" TargetMode="External"/><Relationship Id="rId90" Type="http://schemas.openxmlformats.org/officeDocument/2006/relationships/hyperlink" Target="https://www.sciencedirect.com/science/article/pii/S0959652618305985" TargetMode="External"/><Relationship Id="rId95" Type="http://schemas.openxmlformats.org/officeDocument/2006/relationships/hyperlink" Target="https://recycle.refashion.fr/en/" TargetMode="External"/><Relationship Id="rId19" Type="http://schemas.openxmlformats.org/officeDocument/2006/relationships/hyperlink" Target="https://www.cesme-book.eu/book/level-1-d/3.1-best-practices/3.1.2-humanita-textile-recycling" TargetMode="External"/><Relationship Id="rId14" Type="http://schemas.openxmlformats.org/officeDocument/2006/relationships/hyperlink" Target="https://eur-lex.europa.eu/legal-content/EN/TXT/?uri=CELEX:31994L0062" TargetMode="External"/><Relationship Id="rId22" Type="http://schemas.openxmlformats.org/officeDocument/2006/relationships/hyperlink" Target="https://kingcounty.gov/~/media/depts/dnrp/solid-waste/linkup/documents/recycling-economic-development-review.ashx?la=en" TargetMode="External"/><Relationship Id="rId27" Type="http://schemas.openxmlformats.org/officeDocument/2006/relationships/hyperlink" Target="https://ec.europa.eu/info/strategy/priorities-2019-2024/europe-fit-digital-age/european-industrial-strategy_en" TargetMode="External"/><Relationship Id="rId30" Type="http://schemas.openxmlformats.org/officeDocument/2006/relationships/hyperlink" Target="https://echa.europa.eu/registry-of-restriction-intentions/-/dislist/details/0b0236e182446136" TargetMode="External"/><Relationship Id="rId35" Type="http://schemas.openxmlformats.org/officeDocument/2006/relationships/hyperlink" Target="https://eur-lex.europa.eu/legal-content/EN/TXT/?uri=celex%3A32000D0532" TargetMode="External"/><Relationship Id="rId43" Type="http://schemas.openxmlformats.org/officeDocument/2006/relationships/hyperlink" Target="https://eur-lex.europa.eu/legal-content/EN/ALL/?uri=COM%3A2022%3A156%3AFIN" TargetMode="External"/><Relationship Id="rId48" Type="http://schemas.openxmlformats.org/officeDocument/2006/relationships/hyperlink" Target="https://susproc.jrc.ec.europa.eu/product-bureau/product-groups/635/documents" TargetMode="External"/><Relationship Id="rId56" Type="http://schemas.openxmlformats.org/officeDocument/2006/relationships/hyperlink" Target="https://www.europarl.europa.eu/doceo/document/TA-9-2021-0040_EN.html" TargetMode="External"/><Relationship Id="rId64" Type="http://schemas.openxmlformats.org/officeDocument/2006/relationships/hyperlink" Target="https://www.sciencedirect.com/science/article/pii/B9781845699390500022" TargetMode="External"/><Relationship Id="rId69" Type="http://schemas.openxmlformats.org/officeDocument/2006/relationships/hyperlink" Target="https://earth.org/what-is-fast-fashion" TargetMode="External"/><Relationship Id="rId77" Type="http://schemas.openxmlformats.org/officeDocument/2006/relationships/hyperlink" Target="https://doi.org/10.1007/978-3-319-97922-9_2" TargetMode="External"/><Relationship Id="rId100" Type="http://schemas.openxmlformats.org/officeDocument/2006/relationships/hyperlink" Target="https://quantis.com/research/resyntex/" TargetMode="External"/><Relationship Id="rId105" Type="http://schemas.openxmlformats.org/officeDocument/2006/relationships/hyperlink" Target="https://trexproject.eu/" TargetMode="External"/><Relationship Id="rId8" Type="http://schemas.openxmlformats.org/officeDocument/2006/relationships/hyperlink" Target="https://data.europa.eu/doi/10.2779/14834" TargetMode="External"/><Relationship Id="rId51" Type="http://schemas.openxmlformats.org/officeDocument/2006/relationships/hyperlink" Target="https://environment.ec.europa.eu/topics/circular-economy/eu-ecolabel-home/product-groups-and-criteria/clothing-and-textiles_en" TargetMode="External"/><Relationship Id="rId72" Type="http://schemas.openxmlformats.org/officeDocument/2006/relationships/hyperlink" Target="https://www.salvationarmytrading.org.uk/about/our-history" TargetMode="External"/><Relationship Id="rId80" Type="http://schemas.openxmlformats.org/officeDocument/2006/relationships/hyperlink" Target="https://rreuse.org/" TargetMode="External"/><Relationship Id="rId85" Type="http://schemas.openxmlformats.org/officeDocument/2006/relationships/hyperlink" Target="https://www.sciencedirect.com/science/article/pii/S0959652618305985" TargetMode="External"/><Relationship Id="rId93" Type="http://schemas.openxmlformats.org/officeDocument/2006/relationships/hyperlink" Target="https://refashion.fr/pro/en/press-releases" TargetMode="External"/><Relationship Id="rId98" Type="http://schemas.openxmlformats.org/officeDocument/2006/relationships/hyperlink" Target="https://webgate.ec.europa.eu/life/publicWebsite/project/details/5731" TargetMode="External"/><Relationship Id="rId3" Type="http://schemas.openxmlformats.org/officeDocument/2006/relationships/hyperlink" Target="https://eur-lex.europa.eu/legal-content/EN/TXT/?qid=1583933814386&amp;uri=COM:2020:98:FIN" TargetMode="External"/><Relationship Id="rId12" Type="http://schemas.openxmlformats.org/officeDocument/2006/relationships/hyperlink" Target="https://eur-lex.europa.eu/legal-content/ES/TXT/?uri=COM:2020:381:FIN" TargetMode="External"/><Relationship Id="rId17" Type="http://schemas.openxmlformats.org/officeDocument/2006/relationships/hyperlink" Target="https://ec.europa.eu/eurostat/web/prodcom" TargetMode="External"/><Relationship Id="rId25" Type="http://schemas.openxmlformats.org/officeDocument/2006/relationships/hyperlink" Target="https://eur-lex.europa.eu/legal-content/EN/TXT/?uri=CELEX:32022D0591" TargetMode="External"/><Relationship Id="rId33" Type="http://schemas.openxmlformats.org/officeDocument/2006/relationships/hyperlink" Target="https://www.oecd.org/env/tools-evaluation/extendedproducerresponsibility.htm" TargetMode="External"/><Relationship Id="rId38" Type="http://schemas.openxmlformats.org/officeDocument/2006/relationships/hyperlink" Target="https://eur-lex.europa.eu/legal-content/EN/TXT/?uri=CELEX:52022PC0142" TargetMode="External"/><Relationship Id="rId46" Type="http://schemas.openxmlformats.org/officeDocument/2006/relationships/hyperlink" Target="https://eur-lex.europa.eu/legal-content/EN/TXT/?uri=CELEX%3A02011R1007-20180215" TargetMode="External"/><Relationship Id="rId59" Type="http://schemas.openxmlformats.org/officeDocument/2006/relationships/hyperlink" Target="https://www.europarl.europa.eu/doceo/document/TA-9-2020-0005_EN.pdf" TargetMode="External"/><Relationship Id="rId67" Type="http://schemas.openxmlformats.org/officeDocument/2006/relationships/hyperlink" Target="https://euratex.eu/wp-content/uploads/EURATEX_FactsKey_Figures_2022rev-1.pdf" TargetMode="External"/><Relationship Id="rId103" Type="http://schemas.openxmlformats.org/officeDocument/2006/relationships/hyperlink" Target="https://ec.europa.eu/newsroom/horizon2020/items/23300/en" TargetMode="External"/><Relationship Id="rId108" Type="http://schemas.openxmlformats.org/officeDocument/2006/relationships/hyperlink" Target="https://www.resourcepanel.org/sites/default/files/documents/document/media/assessing_scp_summary_report_english.pdf" TargetMode="External"/><Relationship Id="rId20" Type="http://schemas.openxmlformats.org/officeDocument/2006/relationships/hyperlink" Target="https://eur-lex.europa.eu/legal-content/EN/TXT/?uri=CELEX:52021PC0709" TargetMode="External"/><Relationship Id="rId41" Type="http://schemas.openxmlformats.org/officeDocument/2006/relationships/hyperlink" Target="https://eur-lex.europa.eu/legal-content/EN/TXT/?uri=CELEX%3A52021DC0778" TargetMode="External"/><Relationship Id="rId54" Type="http://schemas.openxmlformats.org/officeDocument/2006/relationships/hyperlink" Target="https://data.consilium.europa.eu/doc/document/ST-13852-2020-INIT/en/pdf" TargetMode="External"/><Relationship Id="rId62" Type="http://schemas.openxmlformats.org/officeDocument/2006/relationships/hyperlink" Target="https://ellenmacarthurfoundation.org/a-new-textiles-economy" TargetMode="External"/><Relationship Id="rId70" Type="http://schemas.openxmlformats.org/officeDocument/2006/relationships/hyperlink" Target="https://www.abc.net.au/news/2021-08-12/fast-fashion-turning-parts-ghana-into-toxic-landfill/100358702" TargetMode="External"/><Relationship Id="rId75" Type="http://schemas.openxmlformats.org/officeDocument/2006/relationships/hyperlink" Target="https://www.sciencedirect.com/science/article/pii/S0959652618305985" TargetMode="External"/><Relationship Id="rId83" Type="http://schemas.openxmlformats.org/officeDocument/2006/relationships/hyperlink" Target="https://theconversation.com/do-you-shop-for-second-hand-clothes-youre-likely-to-be-more-stylish-180028" TargetMode="External"/><Relationship Id="rId88" Type="http://schemas.openxmlformats.org/officeDocument/2006/relationships/hyperlink" Target="https://www.sciencedirect.com/science/article/pii/S0959652618305985" TargetMode="External"/><Relationship Id="rId91" Type="http://schemas.openxmlformats.org/officeDocument/2006/relationships/hyperlink" Target="https://www.bir.org/the-industry/textiles" TargetMode="External"/><Relationship Id="rId96" Type="http://schemas.openxmlformats.org/officeDocument/2006/relationships/hyperlink" Target="https://www.norden.org/en/news/more-recycling-and-reuse-textiles-nordics-benefits-environment-and-economy" TargetMode="External"/><Relationship Id="rId1" Type="http://schemas.openxmlformats.org/officeDocument/2006/relationships/hyperlink" Target="https://eur-lex.europa.eu/legal-content/EN/TXT/?uri=CELEX:32018L0851" TargetMode="External"/><Relationship Id="rId6" Type="http://schemas.openxmlformats.org/officeDocument/2006/relationships/hyperlink" Target="https://data.europa.eu/doi/10.2760/858144." TargetMode="External"/><Relationship Id="rId15" Type="http://schemas.openxmlformats.org/officeDocument/2006/relationships/hyperlink" Target="https://eur-lex.europa.eu/eli/dir/2019/904/oj" TargetMode="External"/><Relationship Id="rId23" Type="http://schemas.openxmlformats.org/officeDocument/2006/relationships/hyperlink" Target="https://www.foeeurope.org/sites/default/files/publications/foee_more_jobs_less_waste_0910.pdf" TargetMode="External"/><Relationship Id="rId28" Type="http://schemas.openxmlformats.org/officeDocument/2006/relationships/hyperlink" Target="https://eur-lex.europa.eu/legal-content/EN/TXT/?uri=CELEX:32006R1907" TargetMode="External"/><Relationship Id="rId36" Type="http://schemas.openxmlformats.org/officeDocument/2006/relationships/hyperlink" Target="https://eur-lex.europa.eu/legal-content/EN/TXT/?uri=CELEX:32022D0591" TargetMode="External"/><Relationship Id="rId49" Type="http://schemas.openxmlformats.org/officeDocument/2006/relationships/hyperlink" Target="https://ec.europa.eu/info/law/better-regulation/have-your-say/initiatives/13682-New-product-priorities-for-Ecodesign-for-Sustainable-Products_en" TargetMode="External"/><Relationship Id="rId57" Type="http://schemas.openxmlformats.org/officeDocument/2006/relationships/hyperlink" Target="https://www.europarl.europa.eu/doceo/document/TA-7-2012-0014_EN.html?redirect" TargetMode="External"/><Relationship Id="rId106" Type="http://schemas.openxmlformats.org/officeDocument/2006/relationships/hyperlink" Target="https://food.ec.europa.eu/document/download/b35701da-c178-4a37-b420-899195e5ba16_en?filename=fw_lib_fao-2019_en.pdf" TargetMode="External"/><Relationship Id="rId10" Type="http://schemas.openxmlformats.org/officeDocument/2006/relationships/hyperlink" Target="https://ec.europa.eu/info/law/better-regulation/have-your-say/initiatives/13223-Food-waste-reduction-targets_en" TargetMode="External"/><Relationship Id="rId31" Type="http://schemas.openxmlformats.org/officeDocument/2006/relationships/hyperlink" Target="https://eur-lex.europa.eu/legal-content/en/LSU/?uri=CELEX:32019R1021" TargetMode="External"/><Relationship Id="rId44" Type="http://schemas.openxmlformats.org/officeDocument/2006/relationships/hyperlink" Target="https://eur-lex.europa.eu/legal-content/EN/ALL/?uri=COM:2022:71:FIN" TargetMode="External"/><Relationship Id="rId52" Type="http://schemas.openxmlformats.org/officeDocument/2006/relationships/hyperlink" Target="https://sswm.info/sites/default/files/reference_attachments/SHAKIH%202009%20Water%20conservation%20in%20the%20textile%20industry.pdf" TargetMode="External"/><Relationship Id="rId60" Type="http://schemas.openxmlformats.org/officeDocument/2006/relationships/hyperlink" Target="https://www.europarl.europa.eu/doceo/document/TA-8-2017-0207_EN.html?redirect" TargetMode="External"/><Relationship Id="rId65" Type="http://schemas.openxmlformats.org/officeDocument/2006/relationships/hyperlink" Target="https://single-market-economy.ec.europa.eu/sectors/fashion/textiles-and-clothing-industries/textiles-and-clothing-eu_en" TargetMode="External"/><Relationship Id="rId73" Type="http://schemas.openxmlformats.org/officeDocument/2006/relationships/hyperlink" Target="https://refashion.fr/en" TargetMode="External"/><Relationship Id="rId78" Type="http://schemas.openxmlformats.org/officeDocument/2006/relationships/hyperlink" Target="https://euratex.eu/rehubs/" TargetMode="External"/><Relationship Id="rId81" Type="http://schemas.openxmlformats.org/officeDocument/2006/relationships/hyperlink" Target="https://rreuse.org" TargetMode="External"/><Relationship Id="rId86" Type="http://schemas.openxmlformats.org/officeDocument/2006/relationships/hyperlink" Target="https://www.sciencedirect.com/science/article/pii/S0959652618305985" TargetMode="External"/><Relationship Id="rId94" Type="http://schemas.openxmlformats.org/officeDocument/2006/relationships/hyperlink" Target="https://www.textile.fr/actualite/recycle-plateforme-digitale-de-mise-en-relation-des-acteurs-du-recyclage-de-refashion" TargetMode="External"/><Relationship Id="rId99" Type="http://schemas.openxmlformats.org/officeDocument/2006/relationships/hyperlink" Target="https://webgate.ec.europa.eu/life/publicWebsite/search/get?basicSearchText=NEWTEXTILE" TargetMode="External"/><Relationship Id="rId101" Type="http://schemas.openxmlformats.org/officeDocument/2006/relationships/hyperlink" Target="https://www.trash2cashproject.eu/" TargetMode="External"/><Relationship Id="rId4" Type="http://schemas.openxmlformats.org/officeDocument/2006/relationships/hyperlink" Target="https://ec.europa.eu/info/law/better-regulation/have-your-say/initiatives/13225-Environmental-impact-of-waste-management-revision-of-EU-waste-framework_en" TargetMode="External"/><Relationship Id="rId9" Type="http://schemas.openxmlformats.org/officeDocument/2006/relationships/hyperlink" Target="https://ec.europa.eu/info/law/better-regulation/have-your-say/initiatives/13225-Environmental-impact-of-waste-management-revision-of-EU-waste-framework_en" TargetMode="External"/><Relationship Id="rId13" Type="http://schemas.openxmlformats.org/officeDocument/2006/relationships/hyperlink" Target="https://ec.europa.eu/environment/publications/textiles-strategy_en." TargetMode="External"/><Relationship Id="rId18" Type="http://schemas.openxmlformats.org/officeDocument/2006/relationships/hyperlink" Target="https://ec.europa.eu/eurostat/web/international-trade-in-goods/data/focus-on-comext" TargetMode="External"/><Relationship Id="rId39" Type="http://schemas.openxmlformats.org/officeDocument/2006/relationships/hyperlink" Target="https://commission.europa.eu/publications/analysis-main-drivers-food-security_en" TargetMode="External"/><Relationship Id="rId109" Type="http://schemas.openxmlformats.org/officeDocument/2006/relationships/hyperlink" Target="https://ec.europa.eu/environment/eussd/pdf/bio_foodwaste_report.pdf" TargetMode="External"/><Relationship Id="rId34" Type="http://schemas.openxmlformats.org/officeDocument/2006/relationships/hyperlink" Target="https://eur-lex.europa.eu/legal-content/en/ALL/?uri=CELEX%3A32002R2150" TargetMode="External"/><Relationship Id="rId50" Type="http://schemas.openxmlformats.org/officeDocument/2006/relationships/hyperlink" Target="https://www.eea.europa.eu/publications/textiles-in-europes-circular-economy" TargetMode="External"/><Relationship Id="rId55" Type="http://schemas.openxmlformats.org/officeDocument/2006/relationships/hyperlink" Target="https://www.europarl.europa.eu/doceo/document/TA-8-2017-0196_EN.html?redirect" TargetMode="External"/><Relationship Id="rId76" Type="http://schemas.openxmlformats.org/officeDocument/2006/relationships/hyperlink" Target="https://www.sciencedirect.com/science/article/pii/S0959652618305985" TargetMode="External"/><Relationship Id="rId97" Type="http://schemas.openxmlformats.org/officeDocument/2006/relationships/hyperlink" Target="https://webgate.ec.europa.eu/life/publicWebsite/project/details/4513" TargetMode="External"/><Relationship Id="rId104" Type="http://schemas.openxmlformats.org/officeDocument/2006/relationships/hyperlink" Target="https://cordis.europa.eu/project/id/101000559" TargetMode="External"/><Relationship Id="rId7" Type="http://schemas.openxmlformats.org/officeDocument/2006/relationships/hyperlink" Target="https://op.europa.eu/en/publication-detail/-/publication/739a1cca-6145-11ec-9c6c-01aa75ed71a1" TargetMode="External"/><Relationship Id="rId71" Type="http://schemas.openxmlformats.org/officeDocument/2006/relationships/hyperlink" Target="https://www.statista.com/statistics/417674/eu-european-union-textile-clothing-household-consumption/" TargetMode="External"/><Relationship Id="rId92" Type="http://schemas.openxmlformats.org/officeDocument/2006/relationships/hyperlink" Target="https://www.euric-aisbl.eu/branches/eurictextil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et1.cec.eu.int\Homes\06\kretmar\Desktop\Market%20Analysis%20Textile\Copy%20of%20EUROSTAT_sbs_251022.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retmar\AppData\Local\Microsoft\Windows\INetCache\Content.Outlook\NKYN48XK\EUROSTAT_sbs_251022.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retmar\Downloads\isoc_ec_eseln2__custom_3699553_page_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retmar\Downloads\Primary_Commodity_Price_System_PCP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Sheet1!$E$34</c:f>
              <c:strCache>
                <c:ptCount val="1"/>
                <c:pt idx="0">
                  <c:v>Textiles</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invertIfNegative val="0"/>
          <c:cat>
            <c:strRef>
              <c:f>Sheet1!$D$35:$D$61</c:f>
              <c:strCache>
                <c:ptCount val="27"/>
                <c:pt idx="0">
                  <c:v>Belgium</c:v>
                </c:pt>
                <c:pt idx="1">
                  <c:v>Bulgaria</c:v>
                </c:pt>
                <c:pt idx="2">
                  <c:v> 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strCache>
            </c:strRef>
          </c:cat>
          <c:val>
            <c:numRef>
              <c:f>Sheet1!$E$35:$E$61</c:f>
              <c:numCache>
                <c:formatCode>#,##0.0</c:formatCode>
                <c:ptCount val="27"/>
                <c:pt idx="0">
                  <c:v>3471.7</c:v>
                </c:pt>
                <c:pt idx="1">
                  <c:v>515.70000000000005</c:v>
                </c:pt>
                <c:pt idx="2">
                  <c:v>2009.8</c:v>
                </c:pt>
                <c:pt idx="3">
                  <c:v>910.6</c:v>
                </c:pt>
                <c:pt idx="4">
                  <c:v>12186.8</c:v>
                </c:pt>
                <c:pt idx="5">
                  <c:v>346.7</c:v>
                </c:pt>
                <c:pt idx="6">
                  <c:v>197.1</c:v>
                </c:pt>
                <c:pt idx="7">
                  <c:v>574.20000000000005</c:v>
                </c:pt>
                <c:pt idx="8">
                  <c:v>5905.5</c:v>
                </c:pt>
                <c:pt idx="9">
                  <c:v>6614.8</c:v>
                </c:pt>
                <c:pt idx="10">
                  <c:v>172.9</c:v>
                </c:pt>
                <c:pt idx="11">
                  <c:v>20465.3</c:v>
                </c:pt>
                <c:pt idx="12">
                  <c:v>29.3</c:v>
                </c:pt>
                <c:pt idx="13">
                  <c:v>110</c:v>
                </c:pt>
                <c:pt idx="14">
                  <c:v>472.4</c:v>
                </c:pt>
                <c:pt idx="15" formatCode="General">
                  <c:v>0</c:v>
                </c:pt>
                <c:pt idx="16">
                  <c:v>506.4</c:v>
                </c:pt>
                <c:pt idx="17" formatCode="General">
                  <c:v>0</c:v>
                </c:pt>
                <c:pt idx="18">
                  <c:v>2996.9</c:v>
                </c:pt>
                <c:pt idx="19">
                  <c:v>1480</c:v>
                </c:pt>
                <c:pt idx="20">
                  <c:v>3438.8</c:v>
                </c:pt>
                <c:pt idx="21">
                  <c:v>3590</c:v>
                </c:pt>
                <c:pt idx="22">
                  <c:v>1454</c:v>
                </c:pt>
                <c:pt idx="23">
                  <c:v>362.9</c:v>
                </c:pt>
                <c:pt idx="24">
                  <c:v>386.2</c:v>
                </c:pt>
                <c:pt idx="25">
                  <c:v>423.2</c:v>
                </c:pt>
                <c:pt idx="26">
                  <c:v>836.3</c:v>
                </c:pt>
              </c:numCache>
            </c:numRef>
          </c:val>
          <c:extLst>
            <c:ext xmlns:c16="http://schemas.microsoft.com/office/drawing/2014/chart" uri="{C3380CC4-5D6E-409C-BE32-E72D297353CC}">
              <c16:uniqueId val="{00000000-8055-49EC-82F7-1C44B73E173E}"/>
            </c:ext>
          </c:extLst>
        </c:ser>
        <c:ser>
          <c:idx val="1"/>
          <c:order val="1"/>
          <c:tx>
            <c:strRef>
              <c:f>Sheet1!$F$34</c:f>
              <c:strCache>
                <c:ptCount val="1"/>
                <c:pt idx="0">
                  <c:v>Apparel</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invertIfNegative val="0"/>
          <c:cat>
            <c:strRef>
              <c:f>Sheet1!$D$35:$D$61</c:f>
              <c:strCache>
                <c:ptCount val="27"/>
                <c:pt idx="0">
                  <c:v>Belgium</c:v>
                </c:pt>
                <c:pt idx="1">
                  <c:v>Bulgaria</c:v>
                </c:pt>
                <c:pt idx="2">
                  <c:v> 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strCache>
            </c:strRef>
          </c:cat>
          <c:val>
            <c:numRef>
              <c:f>Sheet1!$F$35:$F$61</c:f>
              <c:numCache>
                <c:formatCode>#,##0.0</c:formatCode>
                <c:ptCount val="27"/>
                <c:pt idx="0">
                  <c:v>583.1</c:v>
                </c:pt>
                <c:pt idx="1">
                  <c:v>1379.2</c:v>
                </c:pt>
                <c:pt idx="2">
                  <c:v>733.1</c:v>
                </c:pt>
                <c:pt idx="3">
                  <c:v>483.4</c:v>
                </c:pt>
                <c:pt idx="4">
                  <c:v>6977.2</c:v>
                </c:pt>
                <c:pt idx="5">
                  <c:v>175.9</c:v>
                </c:pt>
                <c:pt idx="6">
                  <c:v>74.2</c:v>
                </c:pt>
                <c:pt idx="7">
                  <c:v>817.9</c:v>
                </c:pt>
                <c:pt idx="8">
                  <c:v>4423</c:v>
                </c:pt>
                <c:pt idx="9">
                  <c:v>7253.7</c:v>
                </c:pt>
                <c:pt idx="10">
                  <c:v>479</c:v>
                </c:pt>
                <c:pt idx="11">
                  <c:v>31854.400000000001</c:v>
                </c:pt>
                <c:pt idx="12">
                  <c:v>13.9</c:v>
                </c:pt>
                <c:pt idx="13">
                  <c:v>164.2</c:v>
                </c:pt>
                <c:pt idx="14">
                  <c:v>435.3</c:v>
                </c:pt>
                <c:pt idx="15" formatCode="General">
                  <c:v>0</c:v>
                </c:pt>
                <c:pt idx="16">
                  <c:v>321.7</c:v>
                </c:pt>
                <c:pt idx="17">
                  <c:v>15.8</c:v>
                </c:pt>
                <c:pt idx="18">
                  <c:v>472.5</c:v>
                </c:pt>
                <c:pt idx="19">
                  <c:v>606.5</c:v>
                </c:pt>
                <c:pt idx="20">
                  <c:v>2250.1999999999998</c:v>
                </c:pt>
                <c:pt idx="21">
                  <c:v>3876.8</c:v>
                </c:pt>
                <c:pt idx="22">
                  <c:v>2036.7</c:v>
                </c:pt>
                <c:pt idx="23" formatCode="General">
                  <c:v>0</c:v>
                </c:pt>
                <c:pt idx="24">
                  <c:v>361.8</c:v>
                </c:pt>
                <c:pt idx="25">
                  <c:v>432.4</c:v>
                </c:pt>
                <c:pt idx="26" formatCode="General">
                  <c:v>0</c:v>
                </c:pt>
              </c:numCache>
            </c:numRef>
          </c:val>
          <c:extLst>
            <c:ext xmlns:c16="http://schemas.microsoft.com/office/drawing/2014/chart" uri="{C3380CC4-5D6E-409C-BE32-E72D297353CC}">
              <c16:uniqueId val="{00000001-8055-49EC-82F7-1C44B73E173E}"/>
            </c:ext>
          </c:extLst>
        </c:ser>
        <c:dLbls>
          <c:showLegendKey val="0"/>
          <c:showVal val="0"/>
          <c:showCatName val="0"/>
          <c:showSerName val="0"/>
          <c:showPercent val="0"/>
          <c:showBubbleSize val="0"/>
        </c:dLbls>
        <c:gapWidth val="150"/>
        <c:overlap val="100"/>
        <c:axId val="553714720"/>
        <c:axId val="553715048"/>
      </c:barChart>
      <c:catAx>
        <c:axId val="5537147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53715048"/>
        <c:crosses val="autoZero"/>
        <c:auto val="1"/>
        <c:lblAlgn val="ctr"/>
        <c:lblOffset val="100"/>
        <c:noMultiLvlLbl val="0"/>
      </c:catAx>
      <c:valAx>
        <c:axId val="553715048"/>
        <c:scaling>
          <c:orientation val="minMax"/>
        </c:scaling>
        <c:delete val="0"/>
        <c:axPos val="l"/>
        <c:majorGridlines>
          <c:spPr>
            <a:ln w="9525" cap="flat" cmpd="sng" algn="ctr">
              <a:solidFill>
                <a:schemeClr val="tx2">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5371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v>2019</c:v>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invertIfNegative val="0"/>
          <c:cat>
            <c:strRef>
              <c:f>[EUROSTAT_sbs_251022.xls]Data!$B$10:$B$36</c:f>
              <c:strCache>
                <c:ptCount val="27"/>
                <c:pt idx="0">
                  <c:v>Belgium</c:v>
                </c:pt>
                <c:pt idx="1">
                  <c:v>Bulgaria</c:v>
                </c:pt>
                <c:pt idx="2">
                  <c:v> 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strCache>
            </c:strRef>
          </c:cat>
          <c:val>
            <c:numRef>
              <c:f>[EUROSTAT_sbs_251022.xls]Data!$F$10:$F$36</c:f>
              <c:numCache>
                <c:formatCode>#,##0.0</c:formatCode>
                <c:ptCount val="27"/>
                <c:pt idx="0">
                  <c:v>223.7</c:v>
                </c:pt>
                <c:pt idx="1">
                  <c:v>42.8</c:v>
                </c:pt>
                <c:pt idx="2">
                  <c:v>127.6</c:v>
                </c:pt>
                <c:pt idx="3">
                  <c:v>21.9</c:v>
                </c:pt>
                <c:pt idx="4">
                  <c:v>365.7</c:v>
                </c:pt>
                <c:pt idx="5">
                  <c:v>11.2</c:v>
                </c:pt>
                <c:pt idx="6">
                  <c:v>1.7</c:v>
                </c:pt>
                <c:pt idx="7">
                  <c:v>10.6</c:v>
                </c:pt>
                <c:pt idx="8">
                  <c:v>209.1</c:v>
                </c:pt>
                <c:pt idx="9" formatCode="General">
                  <c:v>0</c:v>
                </c:pt>
                <c:pt idx="10">
                  <c:v>9.6999999999999993</c:v>
                </c:pt>
                <c:pt idx="11">
                  <c:v>645.6</c:v>
                </c:pt>
                <c:pt idx="12">
                  <c:v>1.8</c:v>
                </c:pt>
                <c:pt idx="13">
                  <c:v>5.7</c:v>
                </c:pt>
                <c:pt idx="14">
                  <c:v>27.8</c:v>
                </c:pt>
                <c:pt idx="15" formatCode="General">
                  <c:v>0</c:v>
                </c:pt>
                <c:pt idx="16">
                  <c:v>19.399999999999999</c:v>
                </c:pt>
                <c:pt idx="17" formatCode="General">
                  <c:v>0</c:v>
                </c:pt>
                <c:pt idx="18">
                  <c:v>105.5</c:v>
                </c:pt>
                <c:pt idx="19">
                  <c:v>59.9</c:v>
                </c:pt>
                <c:pt idx="20">
                  <c:v>208.1</c:v>
                </c:pt>
                <c:pt idx="21">
                  <c:v>221.2</c:v>
                </c:pt>
                <c:pt idx="22">
                  <c:v>121.2</c:v>
                </c:pt>
                <c:pt idx="23">
                  <c:v>28.8</c:v>
                </c:pt>
                <c:pt idx="24">
                  <c:v>19.2</c:v>
                </c:pt>
                <c:pt idx="25">
                  <c:v>7.8</c:v>
                </c:pt>
                <c:pt idx="26">
                  <c:v>26.8</c:v>
                </c:pt>
              </c:numCache>
            </c:numRef>
          </c:val>
          <c:extLst>
            <c:ext xmlns:c16="http://schemas.microsoft.com/office/drawing/2014/chart" uri="{C3380CC4-5D6E-409C-BE32-E72D297353CC}">
              <c16:uniqueId val="{00000000-087B-44DF-AC6E-D96B2CF00846}"/>
            </c:ext>
          </c:extLst>
        </c:ser>
        <c:ser>
          <c:idx val="1"/>
          <c:order val="1"/>
          <c:tx>
            <c:v>2020</c:v>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invertIfNegative val="0"/>
          <c:cat>
            <c:strRef>
              <c:f>[EUROSTAT_sbs_251022.xls]Data!$B$10:$B$36</c:f>
              <c:strCache>
                <c:ptCount val="27"/>
                <c:pt idx="0">
                  <c:v>Belgium</c:v>
                </c:pt>
                <c:pt idx="1">
                  <c:v>Bulgaria</c:v>
                </c:pt>
                <c:pt idx="2">
                  <c:v> 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strCache>
            </c:strRef>
          </c:cat>
          <c:val>
            <c:numRef>
              <c:f>[EUROSTAT_sbs_251022.xls]Data!$K$10:$K$36</c:f>
              <c:numCache>
                <c:formatCode>#,##0.0</c:formatCode>
                <c:ptCount val="27"/>
                <c:pt idx="0">
                  <c:v>161.19999999999999</c:v>
                </c:pt>
                <c:pt idx="1">
                  <c:v>28.4</c:v>
                </c:pt>
                <c:pt idx="2">
                  <c:v>69.8</c:v>
                </c:pt>
                <c:pt idx="3">
                  <c:v>11</c:v>
                </c:pt>
                <c:pt idx="4">
                  <c:v>414.6</c:v>
                </c:pt>
                <c:pt idx="5">
                  <c:v>18.8</c:v>
                </c:pt>
                <c:pt idx="6">
                  <c:v>15</c:v>
                </c:pt>
                <c:pt idx="7">
                  <c:v>9.6</c:v>
                </c:pt>
                <c:pt idx="8">
                  <c:v>212.4</c:v>
                </c:pt>
                <c:pt idx="9" formatCode="General">
                  <c:v>0</c:v>
                </c:pt>
                <c:pt idx="10">
                  <c:v>8.5</c:v>
                </c:pt>
                <c:pt idx="11" formatCode="General">
                  <c:v>0</c:v>
                </c:pt>
                <c:pt idx="12">
                  <c:v>0.9</c:v>
                </c:pt>
                <c:pt idx="13">
                  <c:v>4.7</c:v>
                </c:pt>
                <c:pt idx="14">
                  <c:v>21.3</c:v>
                </c:pt>
                <c:pt idx="15" formatCode="General">
                  <c:v>0</c:v>
                </c:pt>
                <c:pt idx="16">
                  <c:v>18.7</c:v>
                </c:pt>
                <c:pt idx="17" formatCode="General">
                  <c:v>0</c:v>
                </c:pt>
                <c:pt idx="18">
                  <c:v>73.3</c:v>
                </c:pt>
                <c:pt idx="19">
                  <c:v>46.9</c:v>
                </c:pt>
                <c:pt idx="20">
                  <c:v>155.30000000000001</c:v>
                </c:pt>
                <c:pt idx="21">
                  <c:v>209.3</c:v>
                </c:pt>
                <c:pt idx="22">
                  <c:v>138.5</c:v>
                </c:pt>
                <c:pt idx="23">
                  <c:v>16.3</c:v>
                </c:pt>
                <c:pt idx="24">
                  <c:v>14.3</c:v>
                </c:pt>
                <c:pt idx="25">
                  <c:v>14.9</c:v>
                </c:pt>
                <c:pt idx="26">
                  <c:v>26.2</c:v>
                </c:pt>
              </c:numCache>
            </c:numRef>
          </c:val>
          <c:extLst>
            <c:ext xmlns:c16="http://schemas.microsoft.com/office/drawing/2014/chart" uri="{C3380CC4-5D6E-409C-BE32-E72D297353CC}">
              <c16:uniqueId val="{00000001-087B-44DF-AC6E-D96B2CF00846}"/>
            </c:ext>
          </c:extLst>
        </c:ser>
        <c:dLbls>
          <c:showLegendKey val="0"/>
          <c:showVal val="0"/>
          <c:showCatName val="0"/>
          <c:showSerName val="0"/>
          <c:showPercent val="0"/>
          <c:showBubbleSize val="0"/>
        </c:dLbls>
        <c:gapWidth val="100"/>
        <c:overlap val="-24"/>
        <c:axId val="539947808"/>
        <c:axId val="539950104"/>
      </c:barChart>
      <c:catAx>
        <c:axId val="539947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39950104"/>
        <c:crosses val="autoZero"/>
        <c:auto val="1"/>
        <c:lblAlgn val="ctr"/>
        <c:lblOffset val="100"/>
        <c:noMultiLvlLbl val="0"/>
      </c:catAx>
      <c:valAx>
        <c:axId val="539950104"/>
        <c:scaling>
          <c:orientation val="minMax"/>
        </c:scaling>
        <c:delete val="0"/>
        <c:axPos val="l"/>
        <c:majorGridlines>
          <c:spPr>
            <a:ln w="9525" cap="flat" cmpd="sng" algn="ctr">
              <a:solidFill>
                <a:schemeClr val="tx2">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3994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invertIfNegative val="0"/>
          <c:cat>
            <c:strRef>
              <c:f>'Sheet 1'!$AK$10:$AT$10</c:f>
              <c:strCache>
                <c:ptCount val="9"/>
                <c:pt idx="0">
                  <c:v>2010</c:v>
                </c:pt>
                <c:pt idx="2">
                  <c:v>2015</c:v>
                </c:pt>
                <c:pt idx="4">
                  <c:v>2019</c:v>
                </c:pt>
                <c:pt idx="6">
                  <c:v>2020</c:v>
                </c:pt>
                <c:pt idx="8">
                  <c:v>2021</c:v>
                </c:pt>
              </c:strCache>
            </c:strRef>
          </c:cat>
          <c:val>
            <c:numRef>
              <c:f>'Sheet 1'!$AK$12:$AT$12</c:f>
              <c:numCache>
                <c:formatCode>#,##0</c:formatCode>
                <c:ptCount val="10"/>
                <c:pt idx="0">
                  <c:v>13</c:v>
                </c:pt>
                <c:pt idx="1">
                  <c:v>0</c:v>
                </c:pt>
                <c:pt idx="2">
                  <c:v>16</c:v>
                </c:pt>
                <c:pt idx="3">
                  <c:v>0</c:v>
                </c:pt>
                <c:pt idx="4">
                  <c:v>17</c:v>
                </c:pt>
                <c:pt idx="5">
                  <c:v>0</c:v>
                </c:pt>
                <c:pt idx="6">
                  <c:v>18</c:v>
                </c:pt>
                <c:pt idx="7">
                  <c:v>0</c:v>
                </c:pt>
                <c:pt idx="8">
                  <c:v>19</c:v>
                </c:pt>
                <c:pt idx="9">
                  <c:v>0</c:v>
                </c:pt>
              </c:numCache>
            </c:numRef>
          </c:val>
          <c:extLst>
            <c:ext xmlns:c16="http://schemas.microsoft.com/office/drawing/2014/chart" uri="{C3380CC4-5D6E-409C-BE32-E72D297353CC}">
              <c16:uniqueId val="{00000000-263F-4B01-A994-E68CF6893A27}"/>
            </c:ext>
          </c:extLst>
        </c:ser>
        <c:dLbls>
          <c:showLegendKey val="0"/>
          <c:showVal val="0"/>
          <c:showCatName val="0"/>
          <c:showSerName val="0"/>
          <c:showPercent val="0"/>
          <c:showBubbleSize val="0"/>
        </c:dLbls>
        <c:gapWidth val="100"/>
        <c:overlap val="-24"/>
        <c:axId val="537589808"/>
        <c:axId val="537590464"/>
        <c:extLst>
          <c:ext xmlns:c15="http://schemas.microsoft.com/office/drawing/2012/chart" uri="{02D57815-91ED-43cb-92C2-25804820EDAC}">
            <c15:filteredBarSeries>
              <c15: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invertIfNegative val="0"/>
                <c:cat>
                  <c:strRef>
                    <c:extLst>
                      <c:ext uri="{02D57815-91ED-43cb-92C2-25804820EDAC}">
                        <c15:formulaRef>
                          <c15:sqref>'Sheet 1'!$AK$10:$AT$10</c15:sqref>
                        </c15:formulaRef>
                      </c:ext>
                    </c:extLst>
                    <c:strCache>
                      <c:ptCount val="9"/>
                      <c:pt idx="0">
                        <c:v>2010</c:v>
                      </c:pt>
                      <c:pt idx="2">
                        <c:v>2015</c:v>
                      </c:pt>
                      <c:pt idx="4">
                        <c:v>2019</c:v>
                      </c:pt>
                      <c:pt idx="6">
                        <c:v>2020</c:v>
                      </c:pt>
                      <c:pt idx="8">
                        <c:v>2021</c:v>
                      </c:pt>
                    </c:strCache>
                  </c:strRef>
                </c:cat>
                <c:val>
                  <c:numRef>
                    <c:extLst>
                      <c:ext uri="{02D57815-91ED-43cb-92C2-25804820EDAC}">
                        <c15:formulaRef>
                          <c15:sqref>'Sheet 1'!$AK$11:$AT$11</c15:sqref>
                        </c15:formulaRef>
                      </c:ext>
                    </c:extLst>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263F-4B01-A994-E68CF6893A27}"/>
                  </c:ext>
                </c:extLst>
              </c15:ser>
            </c15:filteredBarSeries>
          </c:ext>
        </c:extLst>
      </c:barChart>
      <c:catAx>
        <c:axId val="537589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37590464"/>
        <c:crosses val="autoZero"/>
        <c:auto val="1"/>
        <c:lblAlgn val="ctr"/>
        <c:lblOffset val="100"/>
        <c:noMultiLvlLbl val="0"/>
      </c:catAx>
      <c:valAx>
        <c:axId val="53759046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537589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[Primary_Commodity_Price_System_PCPS.xlsx]Data!$A$2:$B$2</c:f>
              <c:strCache>
                <c:ptCount val="2"/>
                <c:pt idx="0">
                  <c:v>All index</c:v>
                </c:pt>
              </c:strCache>
            </c:strRef>
          </c:tx>
          <c:spPr>
            <a:ln w="31750" cap="rnd">
              <a:solidFill>
                <a:schemeClr val="accent6"/>
              </a:solidFill>
              <a:round/>
            </a:ln>
            <a:effectLst/>
          </c:spPr>
          <c:marker>
            <c:symbol val="none"/>
          </c:marker>
          <c:cat>
            <c:strRef>
              <c:f>[Primary_Commodity_Price_System_PCPS.xlsx]Data!$C$1:$X$1</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[Primary_Commodity_Price_System_PCPS.xlsx]Data!$C$2:$X$2</c:f>
              <c:numCache>
                <c:formatCode>General</c:formatCode>
                <c:ptCount val="22"/>
                <c:pt idx="3">
                  <c:v>65.6783562599161</c:v>
                </c:pt>
                <c:pt idx="4">
                  <c:v>79.201303634624793</c:v>
                </c:pt>
                <c:pt idx="5">
                  <c:v>97.675640521404304</c:v>
                </c:pt>
                <c:pt idx="6">
                  <c:v>114.075602772484</c:v>
                </c:pt>
                <c:pt idx="7">
                  <c:v>129.12013272933001</c:v>
                </c:pt>
                <c:pt idx="8">
                  <c:v>162.56129559037601</c:v>
                </c:pt>
                <c:pt idx="9">
                  <c:v>115.99683511203899</c:v>
                </c:pt>
                <c:pt idx="10">
                  <c:v>145.39222204363099</c:v>
                </c:pt>
                <c:pt idx="11">
                  <c:v>181.57315323723</c:v>
                </c:pt>
                <c:pt idx="12">
                  <c:v>173.385541561466</c:v>
                </c:pt>
                <c:pt idx="13">
                  <c:v>168.16974957679699</c:v>
                </c:pt>
                <c:pt idx="14">
                  <c:v>158.255414846126</c:v>
                </c:pt>
                <c:pt idx="15">
                  <c:v>107.920935436829</c:v>
                </c:pt>
                <c:pt idx="16">
                  <c:v>100</c:v>
                </c:pt>
                <c:pt idx="17">
                  <c:v>113.33463752163</c:v>
                </c:pt>
                <c:pt idx="18">
                  <c:v>127.727305218269</c:v>
                </c:pt>
                <c:pt idx="19">
                  <c:v>116.972003279625</c:v>
                </c:pt>
                <c:pt idx="20">
                  <c:v>105.80441421660601</c:v>
                </c:pt>
                <c:pt idx="21">
                  <c:v>161.11185506566699</c:v>
                </c:pt>
              </c:numCache>
            </c:numRef>
          </c:val>
          <c:smooth val="0"/>
          <c:extLst>
            <c:ext xmlns:c16="http://schemas.microsoft.com/office/drawing/2014/chart" uri="{C3380CC4-5D6E-409C-BE32-E72D297353CC}">
              <c16:uniqueId val="{00000000-31D2-4D0A-852E-DB01B654EE7A}"/>
            </c:ext>
          </c:extLst>
        </c:ser>
        <c:ser>
          <c:idx val="1"/>
          <c:order val="1"/>
          <c:tx>
            <c:strRef>
              <c:f>[Primary_Commodity_Price_System_PCPS.xlsx]Data!$A$3:$B$3</c:f>
              <c:strCache>
                <c:ptCount val="2"/>
                <c:pt idx="0">
                  <c:v>Cotton index</c:v>
                </c:pt>
              </c:strCache>
            </c:strRef>
          </c:tx>
          <c:spPr>
            <a:ln w="31750" cap="rnd">
              <a:solidFill>
                <a:schemeClr val="accent5"/>
              </a:solidFill>
              <a:round/>
            </a:ln>
            <a:effectLst/>
          </c:spPr>
          <c:marker>
            <c:symbol val="none"/>
          </c:marker>
          <c:cat>
            <c:strRef>
              <c:f>[Primary_Commodity_Price_System_PCPS.xlsx]Data!$C$1:$X$1</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[Primary_Commodity_Price_System_PCPS.xlsx]Data!$C$3:$X$3</c:f>
              <c:numCache>
                <c:formatCode>General</c:formatCode>
                <c:ptCount val="22"/>
                <c:pt idx="0">
                  <c:v>79.564313608246295</c:v>
                </c:pt>
                <c:pt idx="1">
                  <c:v>64.673820914439105</c:v>
                </c:pt>
                <c:pt idx="2">
                  <c:v>62.333579569496997</c:v>
                </c:pt>
                <c:pt idx="3">
                  <c:v>85.489941787656605</c:v>
                </c:pt>
                <c:pt idx="4">
                  <c:v>83.5504775076719</c:v>
                </c:pt>
                <c:pt idx="5">
                  <c:v>74.336914497229301</c:v>
                </c:pt>
                <c:pt idx="6">
                  <c:v>78.223252958400195</c:v>
                </c:pt>
                <c:pt idx="7">
                  <c:v>85.272113983890904</c:v>
                </c:pt>
                <c:pt idx="8">
                  <c:v>96.208312977247701</c:v>
                </c:pt>
                <c:pt idx="9">
                  <c:v>84.555727060184296</c:v>
                </c:pt>
                <c:pt idx="10">
                  <c:v>139.52081325887701</c:v>
                </c:pt>
                <c:pt idx="11">
                  <c:v>208.833250348478</c:v>
                </c:pt>
                <c:pt idx="12">
                  <c:v>120.248450474953</c:v>
                </c:pt>
                <c:pt idx="13">
                  <c:v>121.811024341706</c:v>
                </c:pt>
                <c:pt idx="14">
                  <c:v>111.96936420900499</c:v>
                </c:pt>
                <c:pt idx="15">
                  <c:v>94.8841925268393</c:v>
                </c:pt>
                <c:pt idx="16">
                  <c:v>100</c:v>
                </c:pt>
                <c:pt idx="17">
                  <c:v>112.645212511786</c:v>
                </c:pt>
                <c:pt idx="18">
                  <c:v>123.1287351972</c:v>
                </c:pt>
                <c:pt idx="19">
                  <c:v>104.93876948994701</c:v>
                </c:pt>
                <c:pt idx="20">
                  <c:v>96.933416015553902</c:v>
                </c:pt>
                <c:pt idx="21">
                  <c:v>136.34277244977801</c:v>
                </c:pt>
              </c:numCache>
            </c:numRef>
          </c:val>
          <c:smooth val="0"/>
          <c:extLst>
            <c:ext xmlns:c16="http://schemas.microsoft.com/office/drawing/2014/chart" uri="{C3380CC4-5D6E-409C-BE32-E72D297353CC}">
              <c16:uniqueId val="{00000001-31D2-4D0A-852E-DB01B654EE7A}"/>
            </c:ext>
          </c:extLst>
        </c:ser>
        <c:ser>
          <c:idx val="2"/>
          <c:order val="2"/>
          <c:tx>
            <c:strRef>
              <c:f>[Primary_Commodity_Price_System_PCPS.xlsx]Data!$A$4:$B$4</c:f>
              <c:strCache>
                <c:ptCount val="2"/>
                <c:pt idx="0">
                  <c:v>Energy index</c:v>
                </c:pt>
              </c:strCache>
            </c:strRef>
          </c:tx>
          <c:spPr>
            <a:ln w="31750" cap="rnd">
              <a:solidFill>
                <a:schemeClr val="accent4"/>
              </a:solidFill>
              <a:round/>
            </a:ln>
            <a:effectLst/>
          </c:spPr>
          <c:marker>
            <c:symbol val="none"/>
          </c:marker>
          <c:cat>
            <c:strRef>
              <c:f>[Primary_Commodity_Price_System_PCPS.xlsx]Data!$C$1:$X$1</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[Primary_Commodity_Price_System_PCPS.xlsx]Data!$C$4:$X$4</c:f>
              <c:numCache>
                <c:formatCode>General</c:formatCode>
                <c:ptCount val="22"/>
                <c:pt idx="0">
                  <c:v>73.620515764565795</c:v>
                </c:pt>
                <c:pt idx="1">
                  <c:v>66.356471721530497</c:v>
                </c:pt>
                <c:pt idx="2">
                  <c:v>62.519301467370703</c:v>
                </c:pt>
                <c:pt idx="3">
                  <c:v>77.435056793643099</c:v>
                </c:pt>
                <c:pt idx="4">
                  <c:v>98.084593467079699</c:v>
                </c:pt>
                <c:pt idx="5">
                  <c:v>135.57786771471601</c:v>
                </c:pt>
                <c:pt idx="6">
                  <c:v>153.20178293209199</c:v>
                </c:pt>
                <c:pt idx="7">
                  <c:v>168.02694598061899</c:v>
                </c:pt>
                <c:pt idx="8">
                  <c:v>232.55689810590999</c:v>
                </c:pt>
                <c:pt idx="9">
                  <c:v>142.77169885458699</c:v>
                </c:pt>
                <c:pt idx="10">
                  <c:v>178.52656275550399</c:v>
                </c:pt>
                <c:pt idx="11">
                  <c:v>231.511766753182</c:v>
                </c:pt>
                <c:pt idx="12">
                  <c:v>228.12097579449099</c:v>
                </c:pt>
                <c:pt idx="13">
                  <c:v>225.87989261998001</c:v>
                </c:pt>
                <c:pt idx="14">
                  <c:v>212.32069526033899</c:v>
                </c:pt>
                <c:pt idx="15">
                  <c:v>118.982121133796</c:v>
                </c:pt>
                <c:pt idx="16">
                  <c:v>100</c:v>
                </c:pt>
                <c:pt idx="17">
                  <c:v>123.30069799332399</c:v>
                </c:pt>
                <c:pt idx="18">
                  <c:v>156.53475720140099</c:v>
                </c:pt>
                <c:pt idx="19">
                  <c:v>129.284979196341</c:v>
                </c:pt>
                <c:pt idx="20">
                  <c:v>91.7048926529027</c:v>
                </c:pt>
                <c:pt idx="21">
                  <c:v>183.08872268266401</c:v>
                </c:pt>
              </c:numCache>
            </c:numRef>
          </c:val>
          <c:smooth val="0"/>
          <c:extLst>
            <c:ext xmlns:c16="http://schemas.microsoft.com/office/drawing/2014/chart" uri="{C3380CC4-5D6E-409C-BE32-E72D297353CC}">
              <c16:uniqueId val="{00000002-31D2-4D0A-852E-DB01B654EE7A}"/>
            </c:ext>
          </c:extLst>
        </c:ser>
        <c:ser>
          <c:idx val="3"/>
          <c:order val="3"/>
          <c:tx>
            <c:strRef>
              <c:f>[Primary_Commodity_Price_System_PCPS.xlsx]Data!$A$5:$B$5</c:f>
              <c:strCache>
                <c:ptCount val="2"/>
                <c:pt idx="0">
                  <c:v>Energy index</c:v>
                </c:pt>
              </c:strCache>
            </c:strRef>
          </c:tx>
          <c:spPr>
            <a:ln w="31750" cap="rnd">
              <a:solidFill>
                <a:schemeClr val="accent6">
                  <a:lumMod val="60000"/>
                </a:schemeClr>
              </a:solidFill>
              <a:round/>
            </a:ln>
            <a:effectLst/>
          </c:spPr>
          <c:marker>
            <c:symbol val="none"/>
          </c:marker>
          <c:cat>
            <c:strRef>
              <c:f>[Primary_Commodity_Price_System_PCPS.xlsx]Data!$C$1:$X$1</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[Primary_Commodity_Price_System_PCPS.xlsx]Data!$C$5:$X$5</c:f>
              <c:numCache>
                <c:formatCode>General</c:formatCode>
                <c:ptCount val="22"/>
              </c:numCache>
            </c:numRef>
          </c:val>
          <c:smooth val="0"/>
          <c:extLst>
            <c:ext xmlns:c16="http://schemas.microsoft.com/office/drawing/2014/chart" uri="{C3380CC4-5D6E-409C-BE32-E72D297353CC}">
              <c16:uniqueId val="{00000003-31D2-4D0A-852E-DB01B654EE7A}"/>
            </c:ext>
          </c:extLst>
        </c:ser>
        <c:ser>
          <c:idx val="4"/>
          <c:order val="4"/>
          <c:tx>
            <c:strRef>
              <c:f>[Primary_Commodity_Price_System_PCPS.xlsx]Data!$A$6:$B$6</c:f>
              <c:strCache>
                <c:ptCount val="2"/>
                <c:pt idx="0">
                  <c:v>Wool index</c:v>
                </c:pt>
              </c:strCache>
            </c:strRef>
          </c:tx>
          <c:spPr>
            <a:ln w="31750" cap="rnd">
              <a:solidFill>
                <a:schemeClr val="accent5">
                  <a:lumMod val="60000"/>
                </a:schemeClr>
              </a:solidFill>
              <a:round/>
            </a:ln>
            <a:effectLst/>
          </c:spPr>
          <c:marker>
            <c:symbol val="none"/>
          </c:marker>
          <c:cat>
            <c:strRef>
              <c:f>[Primary_Commodity_Price_System_PCPS.xlsx]Data!$C$1:$X$1</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[Primary_Commodity_Price_System_PCPS.xlsx]Data!$C$6:$X$6</c:f>
              <c:numCache>
                <c:formatCode>General</c:formatCode>
                <c:ptCount val="22"/>
                <c:pt idx="0">
                  <c:v>46.765829323966102</c:v>
                </c:pt>
                <c:pt idx="1">
                  <c:v>44.348720822887401</c:v>
                </c:pt>
                <c:pt idx="2">
                  <c:v>56.755301209701997</c:v>
                </c:pt>
                <c:pt idx="3">
                  <c:v>63.845543064694503</c:v>
                </c:pt>
                <c:pt idx="4">
                  <c:v>59.367499252465699</c:v>
                </c:pt>
                <c:pt idx="5">
                  <c:v>56.493443078220203</c:v>
                </c:pt>
                <c:pt idx="6">
                  <c:v>58.736145718816999</c:v>
                </c:pt>
                <c:pt idx="7">
                  <c:v>81.3047207424665</c:v>
                </c:pt>
                <c:pt idx="8">
                  <c:v>78.346799457175294</c:v>
                </c:pt>
                <c:pt idx="9">
                  <c:v>65.016110590209493</c:v>
                </c:pt>
                <c:pt idx="10">
                  <c:v>85.822720723652495</c:v>
                </c:pt>
                <c:pt idx="11">
                  <c:v>132.565297224277</c:v>
                </c:pt>
                <c:pt idx="12">
                  <c:v>119.75535690216</c:v>
                </c:pt>
                <c:pt idx="13">
                  <c:v>108.801987307069</c:v>
                </c:pt>
                <c:pt idx="14">
                  <c:v>98.644792026062404</c:v>
                </c:pt>
                <c:pt idx="15">
                  <c:v>90.992375658760096</c:v>
                </c:pt>
                <c:pt idx="16">
                  <c:v>100</c:v>
                </c:pt>
                <c:pt idx="17">
                  <c:v>117.97623034470099</c:v>
                </c:pt>
                <c:pt idx="18">
                  <c:v>149.44115186189501</c:v>
                </c:pt>
                <c:pt idx="19">
                  <c:v>132.62554382936</c:v>
                </c:pt>
                <c:pt idx="20">
                  <c:v>86.598643601878194</c:v>
                </c:pt>
                <c:pt idx="21">
                  <c:v>99.816196675175107</c:v>
                </c:pt>
              </c:numCache>
            </c:numRef>
          </c:val>
          <c:smooth val="0"/>
          <c:extLst>
            <c:ext xmlns:c16="http://schemas.microsoft.com/office/drawing/2014/chart" uri="{C3380CC4-5D6E-409C-BE32-E72D297353CC}">
              <c16:uniqueId val="{00000004-31D2-4D0A-852E-DB01B654EE7A}"/>
            </c:ext>
          </c:extLst>
        </c:ser>
        <c:dLbls>
          <c:showLegendKey val="0"/>
          <c:showVal val="0"/>
          <c:showCatName val="0"/>
          <c:showSerName val="0"/>
          <c:showPercent val="0"/>
          <c:showBubbleSize val="0"/>
        </c:dLbls>
        <c:smooth val="0"/>
        <c:axId val="457493464"/>
        <c:axId val="457491168"/>
      </c:lineChart>
      <c:catAx>
        <c:axId val="45749346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457491168"/>
        <c:crosses val="autoZero"/>
        <c:auto val="1"/>
        <c:lblAlgn val="ctr"/>
        <c:lblOffset val="100"/>
        <c:noMultiLvlLbl val="0"/>
      </c:catAx>
      <c:valAx>
        <c:axId val="4574911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crossAx val="457493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 </a:t>
            </a:r>
            <a:r>
              <a:rPr lang="en-US" sz="1200" i="1">
                <a:latin typeface="Times New Roman" panose="02020603050405020304" pitchFamily="18" charset="0"/>
                <a:cs typeface="Times New Roman" panose="02020603050405020304" pitchFamily="18" charset="0"/>
              </a:rPr>
              <a:t>Generation of textile waste (Mt). Reference</a:t>
            </a:r>
            <a:r>
              <a:rPr lang="en-US" sz="1200" i="1" baseline="0">
                <a:latin typeface="Times New Roman" panose="02020603050405020304" pitchFamily="18" charset="0"/>
                <a:cs typeface="Times New Roman" panose="02020603050405020304" pitchFamily="18" charset="0"/>
              </a:rPr>
              <a:t> year 2019</a:t>
            </a:r>
            <a:endParaRPr lang="en-US" sz="1200" i="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pieChart>
        <c:varyColors val="1"/>
        <c:ser>
          <c:idx val="0"/>
          <c:order val="0"/>
          <c:tx>
            <c:strRef>
              <c:f>Sheet1!$B$1</c:f>
              <c:strCache>
                <c:ptCount val="1"/>
                <c:pt idx="0">
                  <c:v>Annual generation</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5DA-46EB-88EA-06AAA583171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394C-4947-80F8-D6B5ADBD351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2-85DA-46EB-88EA-06AAA5831717}"/>
              </c:ext>
            </c:extLst>
          </c:dPt>
          <c:dLbls>
            <c:dLbl>
              <c:idx val="0"/>
              <c:layout>
                <c:manualLayout>
                  <c:x val="2.8759318777560332E-3"/>
                  <c:y val="4.213733994536037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DA-46EB-88EA-06AAA5831717}"/>
                </c:ext>
              </c:extLst>
            </c:dLbl>
            <c:dLbl>
              <c:idx val="2"/>
              <c:layout>
                <c:manualLayout>
                  <c:x val="-1.1028527339338921E-2"/>
                  <c:y val="-0.17107980516717125"/>
                </c:manualLayout>
              </c:layout>
              <c:showLegendKey val="0"/>
              <c:showVal val="1"/>
              <c:showCatName val="1"/>
              <c:showSerName val="0"/>
              <c:showPercent val="0"/>
              <c:showBubbleSize val="0"/>
              <c:extLst>
                <c:ext xmlns:c15="http://schemas.microsoft.com/office/drawing/2012/chart" uri="{CE6537A1-D6FC-4f65-9D91-7224C49458BB}">
                  <c15:layout>
                    <c:manualLayout>
                      <c:w val="0.3432576249188839"/>
                      <c:h val="0.13267992159059086"/>
                    </c:manualLayout>
                  </c15:layout>
                </c:ext>
                <c:ext xmlns:c16="http://schemas.microsoft.com/office/drawing/2014/chart" uri="{C3380CC4-5D6E-409C-BE32-E72D297353CC}">
                  <c16:uniqueId val="{00000002-85DA-46EB-88EA-06AAA58317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Post-industrial</c:v>
                </c:pt>
                <c:pt idx="1">
                  <c:v>Pre-consumer</c:v>
                </c:pt>
                <c:pt idx="2">
                  <c:v>Post-consumer</c:v>
                </c:pt>
              </c:strCache>
            </c:strRef>
          </c:cat>
          <c:val>
            <c:numRef>
              <c:f>Sheet1!$B$2:$B$4</c:f>
              <c:numCache>
                <c:formatCode>0%</c:formatCode>
                <c:ptCount val="3"/>
                <c:pt idx="0">
                  <c:v>0.11</c:v>
                </c:pt>
                <c:pt idx="1">
                  <c:v>0.03</c:v>
                </c:pt>
                <c:pt idx="2">
                  <c:v>0.87</c:v>
                </c:pt>
              </c:numCache>
            </c:numRef>
          </c:val>
          <c:extLst>
            <c:ext xmlns:c16="http://schemas.microsoft.com/office/drawing/2014/chart" uri="{C3380CC4-5D6E-409C-BE32-E72D297353CC}">
              <c16:uniqueId val="{00000000-85DA-46EB-88EA-06AAA5831717}"/>
            </c:ext>
          </c:extLst>
        </c:ser>
        <c:dLbls>
          <c:showLegendKey val="0"/>
          <c:showVal val="0"/>
          <c:showCatName val="0"/>
          <c:showSerName val="0"/>
          <c:showPercent val="0"/>
          <c:showBubbleSize val="0"/>
          <c:showLeaderLines val="1"/>
        </c:dLbls>
        <c:firstSliceAng val="55"/>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ocumenttasks/documenttasks1.xml><?xml version="1.0" encoding="utf-8"?>
<t:Tasks xmlns:t="http://schemas.microsoft.com/office/tasks/2019/documenttasks" xmlns:oel="http://schemas.microsoft.com/office/2019/extlst">
  <t:Task id="{6FBFBC08-CA7D-41F2-844E-46536486BCD3}">
    <t:Anchor>
      <t:Comment id="315922550"/>
    </t:Anchor>
    <t:History>
      <t:Event id="{859005F2-B0BA-40F4-AF11-53819005EF22}" time="2022-10-10T08:57:21.385Z">
        <t:Attribution userId="S::caterina.savelli@ec.europa.eu::28fa28c0-b43a-4f3a-bb15-b0e6f77e3e08" userProvider="AD" userName="SAVELLI Caterina (ENV)"/>
        <t:Anchor>
          <t:Comment id="315922550"/>
        </t:Anchor>
        <t:Create/>
      </t:Event>
      <t:Event id="{2AF0A167-A432-4DA8-A240-8547B932C57B}" time="2022-10-10T08:57:21.385Z">
        <t:Attribution userId="S::caterina.savelli@ec.europa.eu::28fa28c0-b43a-4f3a-bb15-b0e6f77e3e08" userProvider="AD" userName="SAVELLI Caterina (ENV)"/>
        <t:Anchor>
          <t:Comment id="315922550"/>
        </t:Anchor>
        <t:Assign userId="S::Chiel.BERENDS@ec.europa.eu::f5ea610e-38ea-45d9-b6dc-38c757193d6a" userProvider="AD" userName="BERENDS Chiel (ENV)"/>
      </t:Event>
      <t:Event id="{6F335BF8-BD9C-401B-87DA-447FBB25FC9C}" time="2022-10-10T08:57:21.385Z">
        <t:Attribution userId="S::caterina.savelli@ec.europa.eu::28fa28c0-b43a-4f3a-bb15-b0e6f77e3e08" userProvider="AD" userName="SAVELLI Caterina (ENV)"/>
        <t:Anchor>
          <t:Comment id="315922550"/>
        </t:Anchor>
        <t:SetTitle title="@BERENDS Chiel (ENV), please draft this section based on LTTs"/>
      </t:Event>
    </t:History>
  </t:Task>
  <t:Task id="{1278721D-C3D7-459D-9FD2-2DC9BB48CFBF}">
    <t:Anchor>
      <t:Comment id="638933476"/>
    </t:Anchor>
    <t:History>
      <t:Event id="{D4A3FE8A-4C98-4266-BA56-0D89BBCF711C}" time="2022-10-10T08:58:47.702Z">
        <t:Attribution userId="S::caterina.savelli@ec.europa.eu::28fa28c0-b43a-4f3a-bb15-b0e6f77e3e08" userProvider="AD" userName="SAVELLI Caterina (ENV)"/>
        <t:Anchor>
          <t:Comment id="638933476"/>
        </t:Anchor>
        <t:Create/>
      </t:Event>
      <t:Event id="{09CC494C-2DA2-4AC6-AB5B-41E96D69AE7A}" time="2022-10-10T08:58:47.702Z">
        <t:Attribution userId="S::caterina.savelli@ec.europa.eu::28fa28c0-b43a-4f3a-bb15-b0e6f77e3e08" userProvider="AD" userName="SAVELLI Caterina (ENV)"/>
        <t:Anchor>
          <t:Comment id="638933476"/>
        </t:Anchor>
        <t:Assign userId="S::Silvija.AILE@ec.europa.eu::234c7288-8d25-40d4-991d-3c97d6739633" userProvider="AD" userName="AILE Silvija (ENV)"/>
      </t:Event>
      <t:Event id="{58C00B44-5902-4088-ABFB-6B0C77AE61BB}" time="2022-10-10T08:58:47.702Z">
        <t:Attribution userId="S::caterina.savelli@ec.europa.eu::28fa28c0-b43a-4f3a-bb15-b0e6f77e3e08" userProvider="AD" userName="SAVELLI Caterina (ENV)"/>
        <t:Anchor>
          <t:Comment id="638933476"/>
        </t:Anchor>
        <t:SetTitle title="@AILE Silvija (ENV) , please draft this section as agreed"/>
      </t:Event>
      <t:Event id="{B95E77FD-623C-4ABB-AF55-87A4846715A9}" time="2022-10-18T07:45:58.874Z">
        <t:Attribution userId="S::silvija.aile@ec.europa.eu::234c7288-8d25-40d4-991d-3c97d6739633" userProvider="AD" userName="AILE Silvija (ENV)"/>
        <t:Progress percentComplete="100"/>
      </t:Event>
    </t:History>
  </t:Task>
  <t:Task id="{A40E53F4-B3D5-470E-8B82-DFB8DE89641D}">
    <t:Anchor>
      <t:Comment id="1986788083"/>
    </t:Anchor>
    <t:History>
      <t:Event id="{9E5AF149-29A6-4B12-8A5E-965611FAA66F}" time="2022-10-27T14:10:37.192Z">
        <t:Attribution userId="S::caterina.savelli@ec.europa.eu::28fa28c0-b43a-4f3a-bb15-b0e6f77e3e08" userProvider="AD" userName="SAVELLI Caterina (ENV)"/>
        <t:Anchor>
          <t:Comment id="1986788083"/>
        </t:Anchor>
        <t:Create/>
      </t:Event>
      <t:Event id="{7330F667-AB64-42A6-B8B1-F9CFE7C65F3D}" time="2022-10-27T14:10:37.192Z">
        <t:Attribution userId="S::caterina.savelli@ec.europa.eu::28fa28c0-b43a-4f3a-bb15-b0e6f77e3e08" userProvider="AD" userName="SAVELLI Caterina (ENV)"/>
        <t:Anchor>
          <t:Comment id="1986788083"/>
        </t:Anchor>
        <t:Assign userId="S::Stavroula.GENIKALIOTI@ec.europa.eu::ae1a9934-7a0b-46ec-a88b-894fa5514541" userProvider="AD" userName="GENIKALIOTI Stavroula (ENV)"/>
      </t:Event>
      <t:Event id="{C3645059-7FB7-4503-B6D6-FAFF39D757CD}" time="2022-10-27T14:10:37.192Z">
        <t:Attribution userId="S::caterina.savelli@ec.europa.eu::28fa28c0-b43a-4f3a-bb15-b0e6f77e3e08" userProvider="AD" userName="SAVELLI Caterina (ENV)"/>
        <t:Anchor>
          <t:Comment id="1986788083"/>
        </t:Anchor>
        <t:SetTitle title="@GENIKALIOTI Stavroula (ENV) , can you please draft a paragraph on the Conference on the future of Europe. Proposal 5 measures are pasted below. Please see whihc would be the most linked. Thanks!"/>
      </t:Event>
    </t:History>
  </t:Task>
  <t:Task id="{51AE1FD6-58D4-44E0-BBA3-CD9AB85B3FD0}">
    <t:Anchor>
      <t:Comment id="660766724"/>
    </t:Anchor>
    <t:History>
      <t:Event id="{008D9583-DE92-4AD6-9564-24C1B2ABCE95}" time="2023-01-08T19:30:36.829Z">
        <t:Attribution userId="S::silvija.aile@ec.europa.eu::234c7288-8d25-40d4-991d-3c97d6739633" userProvider="AD" userName="AILE Silvija (ENV)"/>
        <t:Anchor>
          <t:Comment id="1161567395"/>
        </t:Anchor>
        <t:Create/>
      </t:Event>
      <t:Event id="{D25CF7E3-654C-4A03-AE5B-ACB9C36D7398}" time="2023-01-08T19:30:36.829Z">
        <t:Attribution userId="S::silvija.aile@ec.europa.eu::234c7288-8d25-40d4-991d-3c97d6739633" userProvider="AD" userName="AILE Silvija (ENV)"/>
        <t:Anchor>
          <t:Comment id="1161567395"/>
        </t:Anchor>
        <t:Assign userId="S::Caterina.SAVELLI@ec.europa.eu::28fa28c0-b43a-4f3a-bb15-b0e6f77e3e08" userProvider="AD" userName="SAVELLI Caterina (ENV)"/>
      </t:Event>
      <t:Event id="{5238441B-2121-4B5E-8C9B-596777C3DDC7}" time="2023-01-08T19:30:36.829Z">
        <t:Attribution userId="S::silvija.aile@ec.europa.eu::234c7288-8d25-40d4-991d-3c97d6739633" userProvider="AD" userName="AILE Silvija (ENV)"/>
        <t:Anchor>
          <t:Comment id="1161567395"/>
        </t:Anchor>
        <t:SetTitle title="@SAVELLI Caterina (ENV) but that data is then used to improve the management of textiles, including through better monitoring. i would suggest to keep both objectives"/>
      </t:Event>
    </t:History>
  </t:Task>
  <t:Task id="{343C4724-524E-4FC0-B1DB-A7C944F41542}">
    <t:Anchor>
      <t:Comment id="498928475"/>
    </t:Anchor>
    <t:History>
      <t:Event id="{5BD979C4-21ED-46BF-AF67-806E388B2DC1}" time="2022-10-27T13:38:45.303Z">
        <t:Attribution userId="S::caterina.savelli@ec.europa.eu::28fa28c0-b43a-4f3a-bb15-b0e6f77e3e08" userProvider="AD" userName="SAVELLI Caterina (ENV)"/>
        <t:Anchor>
          <t:Comment id="498928475"/>
        </t:Anchor>
        <t:Create/>
      </t:Event>
      <t:Event id="{8E48D437-2A58-4F5A-AB69-1DB1B9CCF811}" time="2022-10-27T13:38:45.303Z">
        <t:Attribution userId="S::caterina.savelli@ec.europa.eu::28fa28c0-b43a-4f3a-bb15-b0e6f77e3e08" userProvider="AD" userName="SAVELLI Caterina (ENV)"/>
        <t:Anchor>
          <t:Comment id="498928475"/>
        </t:Anchor>
        <t:Assign userId="S::Enrique.GARCIA-JOHN@ec.europa.eu::e8ca4d50-2cbc-48c6-ac8a-7f8207df471e" userProvider="AD" userName="GARCIA JOHN Enrique (ENV)"/>
      </t:Event>
      <t:Event id="{C40300C9-F595-4C60-A793-CC7CFEE14E2C}" time="2022-10-27T13:38:45.303Z">
        <t:Attribution userId="S::caterina.savelli@ec.europa.eu::28fa28c0-b43a-4f3a-bb15-b0e6f77e3e08" userProvider="AD" userName="SAVELLI Caterina (ENV)"/>
        <t:Anchor>
          <t:Comment id="498928475"/>
        </t:Anchor>
        <t:SetTitle title="@GARCIA JOHN Enrique (ENV), this is the section we discussed. To be read to be able to better explain the problem and figure out if the EoW work would solve the problem or not and what else could."/>
      </t:Event>
    </t:History>
  </t:Task>
  <t:Task id="{78CF44E2-0BB3-4913-8C93-C74F02E5AAE3}">
    <t:Anchor>
      <t:Comment id="1527909999"/>
    </t:Anchor>
    <t:History>
      <t:Event id="{0098307B-BE93-46CD-9A6C-24C2884A3FA7}" time="2022-10-27T13:46:27.201Z">
        <t:Attribution userId="S::caterina.savelli@ec.europa.eu::28fa28c0-b43a-4f3a-bb15-b0e6f77e3e08" userProvider="AD" userName="SAVELLI Caterina (ENV)"/>
        <t:Anchor>
          <t:Comment id="1527909999"/>
        </t:Anchor>
        <t:Create/>
      </t:Event>
      <t:Event id="{EB76CB88-2953-4901-94FB-825FC4515737}" time="2022-10-27T13:46:27.201Z">
        <t:Attribution userId="S::caterina.savelli@ec.europa.eu::28fa28c0-b43a-4f3a-bb15-b0e6f77e3e08" userProvider="AD" userName="SAVELLI Caterina (ENV)"/>
        <t:Anchor>
          <t:Comment id="1527909999"/>
        </t:Anchor>
        <t:Assign userId="S::Enrique.GARCIA-JOHN@ec.europa.eu::e8ca4d50-2cbc-48c6-ac8a-7f8207df471e" userProvider="AD" userName="GARCIA JOHN Enrique (ENV)"/>
      </t:Event>
      <t:Event id="{BE1CD240-306B-479A-9772-0CC65B300FBE}" time="2022-10-27T13:46:27.201Z">
        <t:Attribution userId="S::caterina.savelli@ec.europa.eu::28fa28c0-b43a-4f3a-bb15-b0e6f77e3e08" userProvider="AD" userName="SAVELLI Caterina (ENV)"/>
        <t:Anchor>
          <t:Comment id="1527909999"/>
        </t:Anchor>
        <t:SetTitle title="@GARCIA JOHN Enrique (ENV),related aspect of the problem. Would need to be substantiated."/>
      </t:Event>
    </t:History>
  </t:Task>
  <t:Task id="{FFEFDFFC-997A-494E-8D54-0EEAB3CA6001}">
    <t:Anchor>
      <t:Comment id="653860566"/>
    </t:Anchor>
    <t:History>
      <t:Event id="{CE1C5EA9-E08C-43A3-9E51-3AD308E7D197}" time="2022-10-27T13:55:12.847Z">
        <t:Attribution userId="S::caterina.savelli@ec.europa.eu::28fa28c0-b43a-4f3a-bb15-b0e6f77e3e08" userProvider="AD" userName="SAVELLI Caterina (ENV)"/>
        <t:Anchor>
          <t:Comment id="672935553"/>
        </t:Anchor>
        <t:Create/>
      </t:Event>
      <t:Event id="{C837F06E-08AA-49AF-A29B-20685A84931E}" time="2022-10-27T13:55:12.847Z">
        <t:Attribution userId="S::caterina.savelli@ec.europa.eu::28fa28c0-b43a-4f3a-bb15-b0e6f77e3e08" userProvider="AD" userName="SAVELLI Caterina (ENV)"/>
        <t:Anchor>
          <t:Comment id="672935553"/>
        </t:Anchor>
        <t:Assign userId="S::Oscar.GOMEZ-PRIETO@ec.europa.eu::3ff35115-9b4f-4d7e-ad06-9cb6d11cac8f" userProvider="AD" userName="GOMEZ PRIETO Oscar (ESTAT)"/>
      </t:Event>
      <t:Event id="{4171486A-2165-4F5C-B51C-1D47027C68CA}" time="2022-10-27T13:55:12.847Z">
        <t:Attribution userId="S::caterina.savelli@ec.europa.eu::28fa28c0-b43a-4f3a-bb15-b0e6f77e3e08" userProvider="AD" userName="SAVELLI Caterina (ENV)"/>
        <t:Anchor>
          <t:Comment id="672935553"/>
        </t:Anchor>
        <t:SetTitle title="@GOMEZ PRIETO Oscar (ESTAT)"/>
      </t:Event>
    </t:History>
  </t:Task>
  <t:Task id="{AD03EDEF-5B99-458B-8078-DA951BC43DD7}">
    <t:Anchor>
      <t:Comment id="590694345"/>
    </t:Anchor>
    <t:History>
      <t:Event id="{060E03A2-33F3-4885-BDF0-019DBCD134F2}" time="2023-01-15T17:49:58.567Z">
        <t:Attribution userId="S::silvija.aile@ec.europa.eu::234c7288-8d25-40d4-991d-3c97d6739633" userProvider="AD" userName="AILE Silvija (ENV)"/>
        <t:Anchor>
          <t:Comment id="590694345"/>
        </t:Anchor>
        <t:Create/>
      </t:Event>
      <t:Event id="{59FB6DE2-250E-46E5-91C0-7AFD4E2B540B}" time="2023-01-15T17:49:58.567Z">
        <t:Attribution userId="S::silvija.aile@ec.europa.eu::234c7288-8d25-40d4-991d-3c97d6739633" userProvider="AD" userName="AILE Silvija (ENV)"/>
        <t:Anchor>
          <t:Comment id="590694345"/>
        </t:Anchor>
        <t:Assign userId="S::Caterina.SAVELLI@ec.europa.eu::28fa28c0-b43a-4f3a-bb15-b0e6f77e3e08" userProvider="AD" userName="SAVELLI Caterina (ENV)"/>
      </t:Event>
      <t:Event id="{D786AD1C-A647-4E2C-A7EC-A8E4D817F8BF}" time="2023-01-15T17:49:58.567Z">
        <t:Attribution userId="S::silvija.aile@ec.europa.eu::234c7288-8d25-40d4-991d-3c97d6739633" userProvider="AD" userName="AILE Silvija (ENV)"/>
        <t:Anchor>
          <t:Comment id="590694345"/>
        </t:Anchor>
        <t:SetTitle title="@SAVELLI Caterina (ENV) do we add the text from Keirs document here or we only rely on the measures described in Option 3?"/>
      </t:Event>
    </t:History>
  </t:Task>
  <t:Task id="{F6BE4E6A-8F1D-4BAE-B60F-1B669A9D5ABF}">
    <t:Anchor>
      <t:Comment id="1437715467"/>
    </t:Anchor>
    <t:History>
      <t:Event id="{295EA062-1F80-4CCC-ADCA-C15B8EC7F1E6}" time="2022-10-27T13:50:07.318Z">
        <t:Attribution userId="S::caterina.savelli@ec.europa.eu::28fa28c0-b43a-4f3a-bb15-b0e6f77e3e08" userProvider="AD" userName="SAVELLI Caterina (ENV)"/>
        <t:Anchor>
          <t:Comment id="980360855"/>
        </t:Anchor>
        <t:Create/>
      </t:Event>
      <t:Event id="{F59E8083-11D4-4395-B692-97A42230E653}" time="2022-10-27T13:50:07.318Z">
        <t:Attribution userId="S::caterina.savelli@ec.europa.eu::28fa28c0-b43a-4f3a-bb15-b0e6f77e3e08" userProvider="AD" userName="SAVELLI Caterina (ENV)"/>
        <t:Anchor>
          <t:Comment id="980360855"/>
        </t:Anchor>
        <t:Assign userId="S::Enrique.GARCIA-JOHN@ec.europa.eu::e8ca4d50-2cbc-48c6-ac8a-7f8207df471e" userProvider="AD" userName="GARCIA JOHN Enrique (ENV)"/>
      </t:Event>
      <t:Event id="{63D9ECFC-004B-4D3C-82A3-2F20DD481553}" time="2022-10-27T13:50:07.318Z">
        <t:Attribution userId="S::caterina.savelli@ec.europa.eu::28fa28c0-b43a-4f3a-bb15-b0e6f77e3e08" userProvider="AD" userName="SAVELLI Caterina (ENV)"/>
        <t:Anchor>
          <t:Comment id="980360855"/>
        </t:Anchor>
        <t:SetTitle title="@GARCIA JOHN Enrique (ENV) , we could indeed add here the aspect of preventing the export of waste unless properly treated."/>
      </t:Event>
    </t:History>
  </t:Task>
  <t:Task id="{1FB59572-A0C5-4204-A8D7-241458443256}">
    <t:Anchor>
      <t:Comment id="1721475670"/>
    </t:Anchor>
    <t:History>
      <t:Event id="{422AF771-DFE9-430A-9B63-A95154A1A2B3}" time="2022-10-27T14:06:43.963Z">
        <t:Attribution userId="S::caterina.savelli@ec.europa.eu::28fa28c0-b43a-4f3a-bb15-b0e6f77e3e08" userProvider="AD" userName="SAVELLI Caterina (ENV)"/>
        <t:Anchor>
          <t:Comment id="1721475670"/>
        </t:Anchor>
        <t:Create/>
      </t:Event>
      <t:Event id="{6D40F139-8988-41A8-8E01-EDEFE0E09573}" time="2022-10-27T14:06:43.963Z">
        <t:Attribution userId="S::caterina.savelli@ec.europa.eu::28fa28c0-b43a-4f3a-bb15-b0e6f77e3e08" userProvider="AD" userName="SAVELLI Caterina (ENV)"/>
        <t:Anchor>
          <t:Comment id="1721475670"/>
        </t:Anchor>
        <t:Assign userId="S::Enrique.GARCIA-JOHN@ec.europa.eu::e8ca4d50-2cbc-48c6-ac8a-7f8207df471e" userProvider="AD" userName="GARCIA JOHN Enrique (ENV)"/>
      </t:Event>
      <t:Event id="{557FFD8D-12A0-43E0-86BE-E8711CA266C1}" time="2022-10-27T14:06:43.963Z">
        <t:Attribution userId="S::caterina.savelli@ec.europa.eu::28fa28c0-b43a-4f3a-bb15-b0e6f77e3e08" userProvider="AD" userName="SAVELLI Caterina (ENV)"/>
        <t:Anchor>
          <t:Comment id="1721475670"/>
        </t:Anchor>
        <t:SetTitle title="@GARCIA JOHN Enrique (ENV) , this is where the contributions of JRC and RDC should be plugged in."/>
      </t:Event>
    </t:History>
  </t:Task>
  <t:Task id="{E3ABD8AB-7C8B-4D6F-A579-05634408430B}">
    <t:Anchor>
      <t:Comment id="1192920923"/>
    </t:Anchor>
    <t:History>
      <t:Event id="{B2657DB8-E19D-4BCD-859B-095ED6B59557}" time="2022-12-02T18:03:17.98Z">
        <t:Attribution userId="S::bartosz.zambrzycki@ec.europa.eu::34f36df1-71ef-46b2-a23f-77c46031392c" userProvider="AD" userName="ZAMBRZYCKI Bartosz (SANTE)"/>
        <t:Anchor>
          <t:Comment id="613911845"/>
        </t:Anchor>
        <t:Create/>
      </t:Event>
      <t:Event id="{07DFF90D-66BD-46E8-B729-13818CF41F14}" time="2022-12-02T18:03:17.98Z">
        <t:Attribution userId="S::bartosz.zambrzycki@ec.europa.eu::34f36df1-71ef-46b2-a23f-77c46031392c" userProvider="AD" userName="ZAMBRZYCKI Bartosz (SANTE)"/>
        <t:Anchor>
          <t:Comment id="613911845"/>
        </t:Anchor>
        <t:Assign userId="S::Caterina.SAVELLI@ec.europa.eu::28fa28c0-b43a-4f3a-bb15-b0e6f77e3e08" userProvider="AD" userName="SAVELLI Caterina (ENV)"/>
      </t:Event>
      <t:Event id="{23E12138-3D44-48CD-91F8-3C8472C8EF25}" time="2022-12-02T18:03:17.98Z">
        <t:Attribution userId="S::bartosz.zambrzycki@ec.europa.eu::34f36df1-71ef-46b2-a23f-77c46031392c" userProvider="AD" userName="ZAMBRZYCKI Bartosz (SANTE)"/>
        <t:Anchor>
          <t:Comment id="613911845"/>
        </t:Anchor>
        <t:SetTitle title="@SAVELLI Caterina (ENV) I have moved it higher - as food waste was part of proposal no 1. I decided to skip the objective of the proposal as too long, but if you like to use it for coherence - here it is: Objective: Safe, sustainable, just, climate …"/>
      </t:Event>
    </t:History>
  </t:Task>
  <t:Task id="{A6C5CD2E-F7A1-4AE3-8D81-76B0EA8361B9}">
    <t:Anchor>
      <t:Comment id="785628428"/>
    </t:Anchor>
    <t:History>
      <t:Event id="{815FFF86-8ACD-4C27-A7B8-B959515B9CB9}" time="2022-12-04T01:48:17.218Z">
        <t:Attribution userId="S::bartosz.zambrzycki@ec.europa.eu::34f36df1-71ef-46b2-a23f-77c46031392c" userProvider="AD" userName="ZAMBRZYCKI Bartosz (SANTE)"/>
        <t:Anchor>
          <t:Comment id="785628428"/>
        </t:Anchor>
        <t:Create/>
      </t:Event>
      <t:Event id="{87B7B7AD-B523-4228-97E0-DC741463F16F}" time="2022-12-04T01:48:17.218Z">
        <t:Attribution userId="S::bartosz.zambrzycki@ec.europa.eu::34f36df1-71ef-46b2-a23f-77c46031392c" userProvider="AD" userName="ZAMBRZYCKI Bartosz (SANTE)"/>
        <t:Anchor>
          <t:Comment id="785628428"/>
        </t:Anchor>
        <t:Assign userId="S::Valeria.DE-LAURENTIIS@ec.europa.eu::0203cf98-7549-46d4-895d-103854814375" userProvider="AD" userName="DE LAURENTIIS Valeria (JRC-ISPRA)"/>
      </t:Event>
      <t:Event id="{74797B09-04A7-4BCF-9FA3-E4777A5401DE}" time="2022-12-04T01:48:17.218Z">
        <t:Attribution userId="S::bartosz.zambrzycki@ec.europa.eu::34f36df1-71ef-46b2-a23f-77c46031392c" userProvider="AD" userName="ZAMBRZYCKI Bartosz (SANTE)"/>
        <t:Anchor>
          <t:Comment id="785628428"/>
        </t:Anchor>
        <t:SetTitle title="@DE LAURENTIIS Valeria (JRC-ISPRA) Could you check if the old footnotes are still valid. Data for EU-27 or 28?. FUSIONS definition? or EC?"/>
      </t:Event>
    </t:History>
  </t:Task>
  <t:Task id="{51EC80E7-2894-4CF6-A3DA-D40F6864E7BB}">
    <t:Anchor>
      <t:Comment id="1387536660"/>
    </t:Anchor>
    <t:History>
      <t:Event id="{99783345-B5EF-43E9-A4BC-3D1D05670AF8}" time="2022-12-04T01:49:52.99Z">
        <t:Attribution userId="S::bartosz.zambrzycki@ec.europa.eu::34f36df1-71ef-46b2-a23f-77c46031392c" userProvider="AD" userName="ZAMBRZYCKI Bartosz (SANTE)"/>
        <t:Anchor>
          <t:Comment id="1387536660"/>
        </t:Anchor>
        <t:Create/>
      </t:Event>
      <t:Event id="{951FC3D6-017B-44E8-9359-15341A672511}" time="2022-12-04T01:49:52.99Z">
        <t:Attribution userId="S::bartosz.zambrzycki@ec.europa.eu::34f36df1-71ef-46b2-a23f-77c46031392c" userProvider="AD" userName="ZAMBRZYCKI Bartosz (SANTE)"/>
        <t:Anchor>
          <t:Comment id="1387536660"/>
        </t:Anchor>
        <t:Assign userId="S::Valeria.DE-LAURENTIIS@ec.europa.eu::0203cf98-7549-46d4-895d-103854814375" userProvider="AD" userName="DE LAURENTIIS Valeria (JRC-ISPRA)"/>
      </t:Event>
      <t:Event id="{49139E05-B684-4F15-81F8-5B9964B6BB38}" time="2022-12-04T01:49:52.99Z">
        <t:Attribution userId="S::bartosz.zambrzycki@ec.europa.eu::34f36df1-71ef-46b2-a23f-77c46031392c" userProvider="AD" userName="ZAMBRZYCKI Bartosz (SANTE)"/>
        <t:Anchor>
          <t:Comment id="1387536660"/>
        </t:Anchor>
        <t:SetTitle title="@DE LAURENTIIS Valeria (JRC-ISPRA)  also request to check the number. From counting the mass flow I ended at 653 Mt, but not sure if it is OK."/>
      </t:Event>
    </t:History>
  </t:Task>
  <t:Task id="{559687E6-30AB-4235-8268-B92935C21CE2}">
    <t:Anchor>
      <t:Comment id="595405104"/>
    </t:Anchor>
    <t:History>
      <t:Event id="{E7BC6232-54D1-4789-9A75-632B728F852C}" time="2023-01-08T19:33:00.852Z">
        <t:Attribution userId="S::silvija.aile@ec.europa.eu::234c7288-8d25-40d4-991d-3c97d6739633" userProvider="AD" userName="AILE Silvija (ENV)"/>
        <t:Anchor>
          <t:Comment id="595405104"/>
        </t:Anchor>
        <t:Create/>
      </t:Event>
      <t:Event id="{EC57DEE8-04E4-4161-B0DB-032FA54E16EF}" time="2023-01-08T19:33:00.852Z">
        <t:Attribution userId="S::silvija.aile@ec.europa.eu::234c7288-8d25-40d4-991d-3c97d6739633" userProvider="AD" userName="AILE Silvija (ENV)"/>
        <t:Anchor>
          <t:Comment id="595405104"/>
        </t:Anchor>
        <t:Assign userId="S::Stavroula.GENIKALIOTI@ec.europa.eu::ae1a9934-7a0b-46ec-a88b-894fa5514541" userProvider="AD" userName="GENIKALIOTI Stavroula (ENV)"/>
      </t:Event>
      <t:Event id="{261D33CA-3369-4EED-88A1-75245870078E}" time="2023-01-08T19:33:00.852Z">
        <t:Attribution userId="S::silvija.aile@ec.europa.eu::234c7288-8d25-40d4-991d-3c97d6739633" userProvider="AD" userName="AILE Silvija (ENV)"/>
        <t:Anchor>
          <t:Comment id="595405104"/>
        </t:Anchor>
        <t:SetTitle title="@GENIKALIOTI Stavroula (ENV) any numering for this heading?"/>
      </t:Event>
    </t:History>
  </t:Task>
  <t:Task id="{1DEBD8D9-2FE7-429D-95DC-5FF443E5F2B5}">
    <t:Anchor>
      <t:Comment id="499768519"/>
    </t:Anchor>
    <t:History>
      <t:Event id="{F119E56A-60BF-4249-B951-6122DE476457}" time="2022-12-04T15:14:26.727Z">
        <t:Attribution userId="S::bartosz.zambrzycki@ec.europa.eu::34f36df1-71ef-46b2-a23f-77c46031392c" userProvider="AD" userName="ZAMBRZYCKI Bartosz (SANTE)"/>
        <t:Anchor>
          <t:Comment id="499768519"/>
        </t:Anchor>
        <t:Create/>
      </t:Event>
      <t:Event id="{A4D848E3-8538-48AC-96F5-B69945AAF09C}" time="2022-12-04T15:14:26.727Z">
        <t:Attribution userId="S::bartosz.zambrzycki@ec.europa.eu::34f36df1-71ef-46b2-a23f-77c46031392c" userProvider="AD" userName="ZAMBRZYCKI Bartosz (SANTE)"/>
        <t:Anchor>
          <t:Comment id="499768519"/>
        </t:Anchor>
        <t:Assign userId="S::Valeria.DE-LAURENTIIS@ec.europa.eu::0203cf98-7549-46d4-895d-103854814375" userProvider="AD" userName="DE LAURENTIIS Valeria (JRC-ISPRA)"/>
      </t:Event>
      <t:Event id="{7A0B5696-D111-497D-B6B7-63364607595B}" time="2022-12-04T15:14:26.727Z">
        <t:Attribution userId="S::bartosz.zambrzycki@ec.europa.eu::34f36df1-71ef-46b2-a23f-77c46031392c" userProvider="AD" userName="ZAMBRZYCKI Bartosz (SANTE)"/>
        <t:Anchor>
          <t:Comment id="499768519"/>
        </t:Anchor>
        <t:SetTitle title="@DE LAURENTIIS Valeria (JRC-ISPRA) Again, request to check the number"/>
      </t:Event>
    </t:History>
  </t:Task>
  <t:Task id="{6C418176-BFDA-419E-8983-963E9DEA13CA}">
    <t:Anchor>
      <t:Comment id="1952730600"/>
    </t:Anchor>
    <t:History>
      <t:Event id="{AF81757E-CA6F-4368-8B54-3522D7BA8E63}" time="2023-01-13T11:00:21.933Z">
        <t:Attribution userId="S::silvija.aile@ec.europa.eu::234c7288-8d25-40d4-991d-3c97d6739633" userProvider="AD" userName="AILE Silvija (ENV)"/>
        <t:Anchor>
          <t:Comment id="1126633748"/>
        </t:Anchor>
        <t:Create/>
      </t:Event>
      <t:Event id="{99AFC7C2-BCAF-41A8-AD2F-D3028A0686BF}" time="2023-01-13T11:00:21.933Z">
        <t:Attribution userId="S::silvija.aile@ec.europa.eu::234c7288-8d25-40d4-991d-3c97d6739633" userProvider="AD" userName="AILE Silvija (ENV)"/>
        <t:Anchor>
          <t:Comment id="1126633748"/>
        </t:Anchor>
        <t:Assign userId="S::Dries.HUYGENS@ec.europa.eu::f9d96d27-d21a-41ab-9940-ace31a3e0459" userProvider="AD" userName="HUYGENS Dries (JRC-SEVILLA)"/>
      </t:Event>
      <t:Event id="{B38071EB-CC0F-4C99-A8F1-C8D261B4A801}" time="2023-01-13T11:00:21.933Z">
        <t:Attribution userId="S::silvija.aile@ec.europa.eu::234c7288-8d25-40d4-991d-3c97d6739633" userProvider="AD" userName="AILE Silvija (ENV)"/>
        <t:Anchor>
          <t:Comment id="1126633748"/>
        </t:Anchor>
        <t:SetTitle title="@HUYGENS Dries (JRC-SEVILLA) OK"/>
      </t:Event>
      <t:Event id="{080D1E10-AD09-4C6A-9F3F-A5B45D3A3525}" time="2023-01-13T13:39:06.773Z">
        <t:Attribution userId="S::dries.huygens@ec.europa.eu::f9d96d27-d21a-41ab-9940-ace31a3e0459" userProvider="AD" userName="HUYGENS Dries (JRC-SEVILLA)"/>
        <t:Progress percentComplete="100"/>
      </t:Event>
    </t:History>
  </t:Task>
  <t:Task id="{652A8148-7835-474F-A40E-3D71AC841565}">
    <t:Anchor>
      <t:Comment id="501370325"/>
    </t:Anchor>
    <t:History>
      <t:Event id="{E489046E-159B-4739-BF77-71E503CEB8F6}" time="2023-01-08T19:22:18.282Z">
        <t:Attribution userId="S::silvija.aile@ec.europa.eu::234c7288-8d25-40d4-991d-3c97d6739633" userProvider="AD" userName="AILE Silvija (ENV)"/>
        <t:Anchor>
          <t:Comment id="501370325"/>
        </t:Anchor>
        <t:Create/>
      </t:Event>
      <t:Event id="{430335D4-9560-4B40-8DDE-0BADA4F52F09}" time="2023-01-08T19:22:18.282Z">
        <t:Attribution userId="S::silvija.aile@ec.europa.eu::234c7288-8d25-40d4-991d-3c97d6739633" userProvider="AD" userName="AILE Silvija (ENV)"/>
        <t:Anchor>
          <t:Comment id="501370325"/>
        </t:Anchor>
        <t:Assign userId="S::Stavroula.GENIKALIOTI@ec.europa.eu::ae1a9934-7a0b-46ec-a88b-894fa5514541" userProvider="AD" userName="GENIKALIOTI Stavroula (ENV)"/>
      </t:Event>
      <t:Event id="{66DDD5F8-6A6A-47F5-9F67-37C1A414BD7B}" time="2023-01-08T19:22:18.282Z">
        <t:Attribution userId="S::silvija.aile@ec.europa.eu::234c7288-8d25-40d4-991d-3c97d6739633" userProvider="AD" userName="AILE Silvija (ENV)"/>
        <t:Anchor>
          <t:Comment id="501370325"/>
        </t:Anchor>
        <t:SetTitle title="@GENIKALIOTI Stavroula (ENV) introduce the correct numbering - what is the title of this section?"/>
      </t:Event>
    </t:History>
  </t:Task>
  <t:Task id="{CD7643AF-7AEF-44B1-9C21-2C8D69C99A6C}">
    <t:Anchor>
      <t:Comment id="948799114"/>
    </t:Anchor>
    <t:History>
      <t:Event id="{037A6D3C-7269-482F-83BC-6695C7CCDDB1}" time="2023-01-13T11:48:39.413Z">
        <t:Attribution userId="S::silvija.aile@ec.europa.eu::234c7288-8d25-40d4-991d-3c97d6739633" userProvider="AD" userName="AILE Silvija (ENV)"/>
        <t:Anchor>
          <t:Comment id="948799114"/>
        </t:Anchor>
        <t:Create/>
      </t:Event>
      <t:Event id="{ABB20076-FBB7-4027-A320-F406BF03FDAE}" time="2023-01-13T11:48:39.413Z">
        <t:Attribution userId="S::silvija.aile@ec.europa.eu::234c7288-8d25-40d4-991d-3c97d6739633" userProvider="AD" userName="AILE Silvija (ENV)"/>
        <t:Anchor>
          <t:Comment id="948799114"/>
        </t:Anchor>
        <t:Assign userId="S::Dries.HUYGENS@ec.europa.eu::f9d96d27-d21a-41ab-9940-ace31a3e0459" userProvider="AD" userName="HUYGENS Dries (JRC-SEVILLA)"/>
      </t:Event>
      <t:Event id="{8EA738E7-FF73-4ED9-8DDE-D1BEE30EC742}" time="2023-01-13T11:48:39.413Z">
        <t:Attribution userId="S::silvija.aile@ec.europa.eu::234c7288-8d25-40d4-991d-3c97d6739633" userProvider="AD" userName="AILE Silvija (ENV)"/>
        <t:Anchor>
          <t:Comment id="948799114"/>
        </t:Anchor>
        <t:SetTitle title="@HUYGENS Dries (JRC-SEVILLA) it would complicate the EPR administration if we go for parts of articles. The whole article should be in the scope. citizen will have no clue about the share of textiles in their shoes."/>
      </t:Event>
      <t:Event id="{2F545554-07D0-44B2-8CCC-36301208C80F}" time="2023-01-13T13:38:52.881Z">
        <t:Attribution userId="S::dries.huygens@ec.europa.eu::f9d96d27-d21a-41ab-9940-ace31a3e0459" userProvider="AD" userName="HUYGENS Dries (JRC-SEVILLA)"/>
        <t:Progress percentComplete="100"/>
      </t:Event>
    </t:History>
  </t:Task>
  <t:Task id="{FD2B0A0F-77F6-4FBB-93B6-B489658FB186}">
    <t:Anchor>
      <t:Comment id="1979275982"/>
    </t:Anchor>
    <t:History>
      <t:Event id="{191E9A66-286D-4961-AA89-A4C0250B60ED}" time="2023-03-29T16:36:50.126Z">
        <t:Attribution userId="S::cristina.lisetchi@ec.europa.eu::708f494d-2f0c-4f4e-b087-a886427cc670" userProvider="AD" userName="LISETCHI Cristina (SANTE)"/>
        <t:Anchor>
          <t:Comment id="1979275982"/>
        </t:Anchor>
        <t:Create/>
      </t:Event>
      <t:Event id="{1E7D6D92-0D6B-4E47-B430-7D2EE3948330}" time="2023-03-29T16:36:50.126Z">
        <t:Attribution userId="S::cristina.lisetchi@ec.europa.eu::708f494d-2f0c-4f4e-b087-a886427cc670" userProvider="AD" userName="LISETCHI Cristina (SANTE)"/>
        <t:Anchor>
          <t:Comment id="1979275982"/>
        </t:Anchor>
        <t:Assign userId="S::Anne-Laure.GASSIN@ec.europa.eu::10c5a0e9-410c-4f59-8feb-c55e14cdca1f" userProvider="AD" userName="GASSIN Anne-Laure (SANTE)"/>
      </t:Event>
      <t:Event id="{55C1B68B-77C0-4E6B-B210-6A5C8C5D308F}" time="2023-03-29T16:36:50.126Z">
        <t:Attribution userId="S::cristina.lisetchi@ec.europa.eu::708f494d-2f0c-4f4e-b087-a886427cc670" userProvider="AD" userName="LISETCHI Cristina (SANTE)"/>
        <t:Anchor>
          <t:Comment id="1979275982"/>
        </t:Anchor>
        <t:SetTitle title="not sure whether this is relevant? @GASSIN Anne-Laure (SANTE)"/>
      </t:Event>
    </t:History>
  </t:Task>
  <t:Task id="{D36D3C54-B7C0-49FD-AC87-544B1198F997}">
    <t:Anchor>
      <t:Comment id="544229852"/>
    </t:Anchor>
    <t:History>
      <t:Event id="{D9012B4E-3653-41E7-9C48-1325217A05E8}" time="2023-01-15T13:07:16.116Z">
        <t:Attribution userId="S::silvija.aile@ec.europa.eu::234c7288-8d25-40d4-991d-3c97d6739633" userProvider="AD" userName="AILE Silvija (ENV)"/>
        <t:Anchor>
          <t:Comment id="544229852"/>
        </t:Anchor>
        <t:Create/>
      </t:Event>
      <t:Event id="{F4B6B928-F730-4640-A523-331B6923EF4D}" time="2023-01-15T13:07:16.116Z">
        <t:Attribution userId="S::silvija.aile@ec.europa.eu::234c7288-8d25-40d4-991d-3c97d6739633" userProvider="AD" userName="AILE Silvija (ENV)"/>
        <t:Anchor>
          <t:Comment id="544229852"/>
        </t:Anchor>
        <t:Assign userId="S::Dries.HUYGENS@ec.europa.eu::f9d96d27-d21a-41ab-9940-ace31a3e0459" userProvider="AD" userName="HUYGENS Dries (JRC-SEVILLA)"/>
      </t:Event>
      <t:Event id="{C724C4F9-596C-4448-A157-3D4148FDC8A8}" time="2023-01-15T13:07:16.116Z">
        <t:Attribution userId="S::silvija.aile@ec.europa.eu::234c7288-8d25-40d4-991d-3c97d6739633" userProvider="AD" userName="AILE Silvija (ENV)"/>
        <t:Anchor>
          <t:Comment id="544229852"/>
        </t:Anchor>
        <t:SetTitle title="@HUYGENS Dries (JRC-SEVILLA) these are similar to household waste. they are likely to have a different collection process and for re-use also a different outlet, if not already taken care of by the producer. However, recyclign issues my bae similar.  …"/>
      </t:Event>
    </t:History>
  </t:Task>
  <t:Task id="{653822F7-DAAB-4979-AFF7-993B549196F3}">
    <t:Anchor>
      <t:Comment id="1186965576"/>
    </t:Anchor>
    <t:History>
      <t:Event id="{D22D2785-D622-41B7-B319-F39294B6CC99}" time="2023-01-15T15:19:20.32Z">
        <t:Attribution userId="S::silvija.aile@ec.europa.eu::234c7288-8d25-40d4-991d-3c97d6739633" userProvider="AD" userName="AILE Silvija (ENV)"/>
        <t:Anchor>
          <t:Comment id="1186965576"/>
        </t:Anchor>
        <t:Create/>
      </t:Event>
      <t:Event id="{1AE860D7-7F96-40FF-A19D-C1BBA6F78EBD}" time="2023-01-15T15:19:20.32Z">
        <t:Attribution userId="S::silvija.aile@ec.europa.eu::234c7288-8d25-40d4-991d-3c97d6739633" userProvider="AD" userName="AILE Silvija (ENV)"/>
        <t:Anchor>
          <t:Comment id="1186965576"/>
        </t:Anchor>
        <t:Assign userId="S::Dries.HUYGENS@ec.europa.eu::f9d96d27-d21a-41ab-9940-ace31a3e0459" userProvider="AD" userName="HUYGENS Dries (JRC-SEVILLA)"/>
      </t:Event>
      <t:Event id="{F6FF972F-981A-42CC-8881-1FD02840D63F}" time="2023-01-15T15:19:20.32Z">
        <t:Attribution userId="S::silvija.aile@ec.europa.eu::234c7288-8d25-40d4-991d-3c97d6739633" userProvider="AD" userName="AILE Silvija (ENV)"/>
        <t:Anchor>
          <t:Comment id="1186965576"/>
        </t:Anchor>
        <t:SetTitle title="@HUYGENS Dries (JRC-SEVILLA) does this reflect re-use in the country or only that used textiles were imported for e.g. sorting"/>
      </t:Event>
      <t:Event id="{983874D5-E1F8-407D-9A82-CB0D1F153391}" time="2023-01-19T05:13:54.077Z">
        <t:Attribution userId="S::silvija.aile@ec.europa.eu::234c7288-8d25-40d4-991d-3c97d6739633" userProvider="AD" userName="AILE Silvija (ENV)"/>
        <t:Progress percentComplete="100"/>
      </t:Event>
    </t:History>
  </t:Task>
  <t:Task id="{E47A768C-27C8-4D48-A916-6F4BB34AAF6A}">
    <t:Anchor>
      <t:Comment id="661625173"/>
    </t:Anchor>
    <t:History>
      <t:Event id="{C41D89F8-10A5-4D26-A7C8-72B879A7849D}" time="2023-01-16T07:59:02.863Z">
        <t:Attribution userId="S::silvija.aile@ec.europa.eu::234c7288-8d25-40d4-991d-3c97d6739633" userProvider="AD" userName="AILE Silvija (ENV)"/>
        <t:Anchor>
          <t:Comment id="1255202836"/>
        </t:Anchor>
        <t:Create/>
      </t:Event>
      <t:Event id="{CA936893-EBBA-49A6-861F-91D96BBC7F40}" time="2023-01-16T07:59:02.863Z">
        <t:Attribution userId="S::silvija.aile@ec.europa.eu::234c7288-8d25-40d4-991d-3c97d6739633" userProvider="AD" userName="AILE Silvija (ENV)"/>
        <t:Anchor>
          <t:Comment id="1255202836"/>
        </t:Anchor>
        <t:Assign userId="S::Caterina.SAVELLI@ec.europa.eu::28fa28c0-b43a-4f3a-bb15-b0e6f77e3e08" userProvider="AD" userName="SAVELLI Caterina (ENV)"/>
      </t:Event>
      <t:Event id="{AE4BAD55-2416-47A6-B261-840A2F45D160}" time="2023-01-16T07:59:02.863Z">
        <t:Attribution userId="S::silvija.aile@ec.europa.eu::234c7288-8d25-40d4-991d-3c97d6739633" userProvider="AD" userName="AILE Silvija (ENV)"/>
        <t:Anchor>
          <t:Comment id="1255202836"/>
        </t:Anchor>
        <t:SetTitle title="@SAVELLI Caterina (ENV) to be discussed with Dries - the yellow parts. Dries suggestion is household textiles. the question is to what extent we should cover SIMILAR ones from pre consumer retail and post-commercial textiles."/>
      </t:Event>
    </t:History>
  </t:Task>
  <t:Task id="{E7D448D0-58DA-4968-80E4-59B519D72344}">
    <t:Anchor>
      <t:Comment id="677970414"/>
    </t:Anchor>
    <t:History>
      <t:Event id="{AB899F3A-DBFB-4CA9-849D-9E6549B0891D}" time="2023-01-19T06:25:29.625Z">
        <t:Attribution userId="S::silvija.aile@ec.europa.eu::234c7288-8d25-40d4-991d-3c97d6739633" userProvider="AD" userName="AILE Silvija (ENV)"/>
        <t:Anchor>
          <t:Comment id="677970414"/>
        </t:Anchor>
        <t:Create/>
      </t:Event>
      <t:Event id="{D4B7A7D1-6ACA-4FC4-BDD5-E4D0C565F2F3}" time="2023-01-19T06:25:29.625Z">
        <t:Attribution userId="S::silvija.aile@ec.europa.eu::234c7288-8d25-40d4-991d-3c97d6739633" userProvider="AD" userName="AILE Silvija (ENV)"/>
        <t:Anchor>
          <t:Comment id="677970414"/>
        </t:Anchor>
        <t:Assign userId="S::Caterina.SAVELLI@ec.europa.eu::28fa28c0-b43a-4f3a-bb15-b0e6f77e3e08" userProvider="AD" userName="SAVELLI Caterina (ENV)"/>
      </t:Event>
      <t:Event id="{F63DB8AE-E854-46FA-8B2E-D951A1636616}" time="2023-01-19T06:25:29.625Z">
        <t:Attribution userId="S::silvija.aile@ec.europa.eu::234c7288-8d25-40d4-991d-3c97d6739633" userProvider="AD" userName="AILE Silvija (ENV)"/>
        <t:Anchor>
          <t:Comment id="677970414"/>
        </t:Anchor>
        <t:SetTitle title="@SAVELLI Caterina (ENV) as discussed yesterday, this describes pre consumer stage obligations on separate collection."/>
      </t:Event>
    </t:History>
  </t:Task>
  <t:Task id="{B4FEEBDB-98FD-467A-A5BE-A0E7CF8CC036}">
    <t:Anchor>
      <t:Comment id="2114009178"/>
    </t:Anchor>
    <t:History>
      <t:Event id="{DA940362-AD9E-4A99-A600-DCE6BFF34D59}" time="2023-02-10T10:23:49.481Z">
        <t:Attribution userId="S::silvija.aile@ec.europa.eu::234c7288-8d25-40d4-991d-3c97d6739633" userProvider="AD" userName="AILE Silvija (ENV)"/>
        <t:Anchor>
          <t:Comment id="2114009178"/>
        </t:Anchor>
        <t:Create/>
      </t:Event>
      <t:Event id="{350935ED-EABA-4B8C-84B1-826F6D8CA22C}" time="2023-02-10T10:23:49.481Z">
        <t:Attribution userId="S::silvija.aile@ec.europa.eu::234c7288-8d25-40d4-991d-3c97d6739633" userProvider="AD" userName="AILE Silvija (ENV)"/>
        <t:Anchor>
          <t:Comment id="2114009178"/>
        </t:Anchor>
        <t:Assign userId="S::Anne-Laure.GASSIN@ec.europa.eu::10c5a0e9-410c-4f59-8feb-c55e14cdca1f" userProvider="AD" userName="GASSIN Anne-Laure (SANTE)"/>
      </t:Event>
      <t:Event id="{33ED4016-81FD-4D74-9961-7DB339D273F1}" time="2023-02-10T10:23:49.481Z">
        <t:Attribution userId="S::silvija.aile@ec.europa.eu::234c7288-8d25-40d4-991d-3c97d6739633" userProvider="AD" userName="AILE Silvija (ENV)"/>
        <t:Anchor>
          <t:Comment id="2114009178"/>
        </t:Anchor>
        <t:SetTitle title="@GASSIN Anne-Laure (SANTE)"/>
      </t:Event>
    </t:History>
  </t:Task>
  <t:Task id="{F3FA8361-E7AB-4598-AEE7-78157D9203FA}">
    <t:Anchor>
      <t:Comment id="661724266"/>
    </t:Anchor>
    <t:History>
      <t:Event id="{ABA1CCB9-E4E3-4600-B9C6-AF36AC8EC803}" time="2023-03-29T13:18:55.47Z">
        <t:Attribution userId="S::cristina.lisetchi@ec.europa.eu::708f494d-2f0c-4f4e-b087-a886427cc670" userProvider="AD" userName="LISETCHI Cristina (SANTE)"/>
        <t:Anchor>
          <t:Comment id="661724266"/>
        </t:Anchor>
        <t:Create/>
      </t:Event>
      <t:Event id="{9C1B4D3F-4B37-401F-A9F9-90F4174D853A}" time="2023-03-29T13:18:55.47Z">
        <t:Attribution userId="S::cristina.lisetchi@ec.europa.eu::708f494d-2f0c-4f4e-b087-a886427cc670" userProvider="AD" userName="LISETCHI Cristina (SANTE)"/>
        <t:Anchor>
          <t:Comment id="661724266"/>
        </t:Anchor>
        <t:Assign userId="S::Anne-Laure.GASSIN@ec.europa.eu::10c5a0e9-410c-4f59-8feb-c55e14cdca1f" userProvider="AD" userName="GASSIN Anne-Laure (SANTE)"/>
      </t:Event>
      <t:Event id="{3CA19175-95FE-4DFD-A99C-16F29C9EE4C9}" time="2023-03-29T13:18:55.47Z">
        <t:Attribution userId="S::cristina.lisetchi@ec.europa.eu::708f494d-2f0c-4f4e-b087-a886427cc670" userProvider="AD" userName="LISETCHI Cristina (SANTE)"/>
        <t:Anchor>
          <t:Comment id="661724266"/>
        </t:Anchor>
        <t:SetTitle title="in addition to the 3 self-identified 'environmental organisations' we also have 12 self-identified 'NGOs' with an environmental focus - should we then say 15 environmental organisations here? @GASSIN Anne-Laure (SANTE)"/>
      </t:Event>
    </t:History>
  </t:Task>
  <t:Task id="{1DA69834-7391-4E3B-9E6C-676A978CCC5E}">
    <t:Anchor>
      <t:Comment id="468794668"/>
    </t:Anchor>
    <t:History>
      <t:Event id="{6A84853E-52D8-498F-A392-8158F87A8703}" time="2023-03-29T14:54:34.524Z">
        <t:Attribution userId="S::cristina.lisetchi@ec.europa.eu::708f494d-2f0c-4f4e-b087-a886427cc670" userProvider="AD" userName="LISETCHI Cristina (SANTE)"/>
        <t:Anchor>
          <t:Comment id="468794668"/>
        </t:Anchor>
        <t:Create/>
      </t:Event>
      <t:Event id="{52F81F83-9FBB-4E39-91B9-51BDDB43061F}" time="2023-03-29T14:54:34.524Z">
        <t:Attribution userId="S::cristina.lisetchi@ec.europa.eu::708f494d-2f0c-4f4e-b087-a886427cc670" userProvider="AD" userName="LISETCHI Cristina (SANTE)"/>
        <t:Anchor>
          <t:Comment id="468794668"/>
        </t:Anchor>
        <t:Assign userId="S::Anne-Laure.GASSIN@ec.europa.eu::10c5a0e9-410c-4f59-8feb-c55e14cdca1f" userProvider="AD" userName="GASSIN Anne-Laure (SANTE)"/>
      </t:Event>
      <t:Event id="{19D38DD9-EC03-43BA-A8B2-3AFDF4809BD1}" time="2023-03-29T14:54:34.524Z">
        <t:Attribution userId="S::cristina.lisetchi@ec.europa.eu::708f494d-2f0c-4f4e-b087-a886427cc670" userProvider="AD" userName="LISETCHI Cristina (SANTE)"/>
        <t:Anchor>
          <t:Comment id="468794668"/>
        </t:Anchor>
        <t:SetTitle title="…the IIA feedback report, I could only identify 8 contributions that ask for a baseline recognising earlier efforts - half of them NGOs: EuroCommerce, Feedback Global, Oddbox, Mensa Civica, WRAP, 1 academic and 2 citizens @GASSIN Anne-Laure (SANTE)"/>
      </t:Event>
    </t:History>
  </t:Task>
  <t:Task id="{718113F0-4F31-493A-B36B-18D85AEA1141}">
    <t:Anchor>
      <t:Comment id="670720684"/>
    </t:Anchor>
    <t:History>
      <t:Event id="{3B7D9551-4F5D-42F6-BDF4-6C9C0673D60F}" time="2023-05-01T15:56:54.867Z">
        <t:Attribution userId="S::bartosz.zambrzycki@ec.europa.eu::34f36df1-71ef-46b2-a23f-77c46031392c" userProvider="AD" userName="ZAMBRZYCKI Bartosz (SANTE)"/>
        <t:Anchor>
          <t:Comment id="1047993353"/>
        </t:Anchor>
        <t:Create/>
      </t:Event>
      <t:Event id="{61C1C86D-1199-423B-B76F-191C3F39DBD6}" time="2023-05-01T15:56:54.867Z">
        <t:Attribution userId="S::bartosz.zambrzycki@ec.europa.eu::34f36df1-71ef-46b2-a23f-77c46031392c" userProvider="AD" userName="ZAMBRZYCKI Bartosz (SANTE)"/>
        <t:Anchor>
          <t:Comment id="1047993353"/>
        </t:Anchor>
        <t:Assign userId="S::Valeria.DE-LAURENTIIS@ec.europa.eu::0203cf98-7549-46d4-895d-103854814375" userProvider="AD" userName="DE LAURENTIIS Valeria (JRC-ISPRA)"/>
      </t:Event>
      <t:Event id="{74BE9EE4-58EB-4F74-9F87-65860325F29C}" time="2023-05-01T15:56:54.867Z">
        <t:Attribution userId="S::bartosz.zambrzycki@ec.europa.eu::34f36df1-71ef-46b2-a23f-77c46031392c" userProvider="AD" userName="ZAMBRZYCKI Bartosz (SANTE)"/>
        <t:Anchor>
          <t:Comment id="1047993353"/>
        </t:Anchor>
        <t:SetTitle title="@DE LAURENTIIS Valeria (JRC-ISPRA)  Hi - it seems that some graphs would have to be updated based on the data from March 2023 (see text). - Food waste generated by food group (at least change 57 to 58.5) - relationship probably not - amount per stag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dd1361d-578d-4248-b657-ea0d2b6ad1f3">
      <UserInfo>
        <DisplayName>RINCON LIEVANA Maria (ENV)</DisplayName>
        <AccountId>109</AccountId>
        <AccountType/>
      </UserInfo>
      <UserInfo>
        <DisplayName>Calasso, Mariapaola</DisplayName>
        <AccountId>120</AccountId>
        <AccountType/>
      </UserInfo>
      <UserInfo>
        <DisplayName>McAndrew, Keir</DisplayName>
        <AccountId>127</AccountId>
        <AccountType/>
      </UserInfo>
      <UserInfo>
        <DisplayName>TARDITI Biancamaria (ENV)</DisplayName>
        <AccountId>31</AccountId>
        <AccountType/>
      </UserInfo>
      <UserInfo>
        <DisplayName>FORNS GOMEZ Alba (ENV)</DisplayName>
        <AccountId>135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1397B36352C447984A37DFD72D0E64" ma:contentTypeVersion="6" ma:contentTypeDescription="Create a new document." ma:contentTypeScope="" ma:versionID="39a4b9602ec308a3f46c91dedaf3d794">
  <xsd:schema xmlns:xsd="http://www.w3.org/2001/XMLSchema" xmlns:xs="http://www.w3.org/2001/XMLSchema" xmlns:p="http://schemas.microsoft.com/office/2006/metadata/properties" xmlns:ns2="9a4971b4-25da-4884-bcca-bc4cdf98062d" xmlns:ns3="cdd1361d-578d-4248-b657-ea0d2b6ad1f3" targetNamespace="http://schemas.microsoft.com/office/2006/metadata/properties" ma:root="true" ma:fieldsID="e9f694409578895e63deaf6c9a3c5d2c" ns2:_="" ns3:_="">
    <xsd:import namespace="9a4971b4-25da-4884-bcca-bc4cdf98062d"/>
    <xsd:import namespace="cdd1361d-578d-4248-b657-ea0d2b6ad1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971b4-25da-4884-bcca-bc4cdf980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d1361d-578d-4248-b657-ea0d2b6ad1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13B0A-BD6C-450D-9C1C-DB04F651CA4D}">
  <ds:schemaRefs>
    <ds:schemaRef ds:uri="http://schemas.microsoft.com/office/2006/metadata/properties"/>
    <ds:schemaRef ds:uri="http://purl.org/dc/dcmitype/"/>
    <ds:schemaRef ds:uri="http://purl.org/dc/terms/"/>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cdd1361d-578d-4248-b657-ea0d2b6ad1f3"/>
    <ds:schemaRef ds:uri="9a4971b4-25da-4884-bcca-bc4cdf98062d"/>
  </ds:schemaRefs>
</ds:datastoreItem>
</file>

<file path=customXml/itemProps2.xml><?xml version="1.0" encoding="utf-8"?>
<ds:datastoreItem xmlns:ds="http://schemas.openxmlformats.org/officeDocument/2006/customXml" ds:itemID="{81AC8A4B-55C0-4440-B35F-BD86FFF2B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971b4-25da-4884-bcca-bc4cdf98062d"/>
    <ds:schemaRef ds:uri="cdd1361d-578d-4248-b657-ea0d2b6ad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FD6F85-4AB8-4083-8F0C-5BD7423B5DF9}">
  <ds:schemaRefs>
    <ds:schemaRef ds:uri="http://schemas.microsoft.com/sharepoint/v3/contenttype/forms"/>
  </ds:schemaRefs>
</ds:datastoreItem>
</file>

<file path=customXml/itemProps4.xml><?xml version="1.0" encoding="utf-8"?>
<ds:datastoreItem xmlns:ds="http://schemas.openxmlformats.org/officeDocument/2006/customXml" ds:itemID="{69E03B97-D198-4F6A-84C2-BACE1E129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65378</Words>
  <Characters>368079</Characters>
  <Application>Microsoft Office Word</Application>
  <DocSecurity>0</DocSecurity>
  <Lines>7217</Lines>
  <Paragraphs>2534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430923</CharactersWithSpaces>
  <SharedDoc>false</SharedDoc>
  <HLinks>
    <vt:vector size="3876" baseType="variant">
      <vt:variant>
        <vt:i4>1638451</vt:i4>
      </vt:variant>
      <vt:variant>
        <vt:i4>3182</vt:i4>
      </vt:variant>
      <vt:variant>
        <vt:i4>0</vt:i4>
      </vt:variant>
      <vt:variant>
        <vt:i4>5</vt:i4>
      </vt:variant>
      <vt:variant>
        <vt:lpwstr/>
      </vt:variant>
      <vt:variant>
        <vt:lpwstr>_Toc137039641</vt:lpwstr>
      </vt:variant>
      <vt:variant>
        <vt:i4>1638451</vt:i4>
      </vt:variant>
      <vt:variant>
        <vt:i4>3176</vt:i4>
      </vt:variant>
      <vt:variant>
        <vt:i4>0</vt:i4>
      </vt:variant>
      <vt:variant>
        <vt:i4>5</vt:i4>
      </vt:variant>
      <vt:variant>
        <vt:lpwstr/>
      </vt:variant>
      <vt:variant>
        <vt:lpwstr>_Toc137039640</vt:lpwstr>
      </vt:variant>
      <vt:variant>
        <vt:i4>1966131</vt:i4>
      </vt:variant>
      <vt:variant>
        <vt:i4>3170</vt:i4>
      </vt:variant>
      <vt:variant>
        <vt:i4>0</vt:i4>
      </vt:variant>
      <vt:variant>
        <vt:i4>5</vt:i4>
      </vt:variant>
      <vt:variant>
        <vt:lpwstr/>
      </vt:variant>
      <vt:variant>
        <vt:lpwstr>_Toc137039639</vt:lpwstr>
      </vt:variant>
      <vt:variant>
        <vt:i4>1966131</vt:i4>
      </vt:variant>
      <vt:variant>
        <vt:i4>3164</vt:i4>
      </vt:variant>
      <vt:variant>
        <vt:i4>0</vt:i4>
      </vt:variant>
      <vt:variant>
        <vt:i4>5</vt:i4>
      </vt:variant>
      <vt:variant>
        <vt:lpwstr/>
      </vt:variant>
      <vt:variant>
        <vt:lpwstr>_Toc137039638</vt:lpwstr>
      </vt:variant>
      <vt:variant>
        <vt:i4>1966131</vt:i4>
      </vt:variant>
      <vt:variant>
        <vt:i4>3158</vt:i4>
      </vt:variant>
      <vt:variant>
        <vt:i4>0</vt:i4>
      </vt:variant>
      <vt:variant>
        <vt:i4>5</vt:i4>
      </vt:variant>
      <vt:variant>
        <vt:lpwstr/>
      </vt:variant>
      <vt:variant>
        <vt:lpwstr>_Toc137039637</vt:lpwstr>
      </vt:variant>
      <vt:variant>
        <vt:i4>1966131</vt:i4>
      </vt:variant>
      <vt:variant>
        <vt:i4>3152</vt:i4>
      </vt:variant>
      <vt:variant>
        <vt:i4>0</vt:i4>
      </vt:variant>
      <vt:variant>
        <vt:i4>5</vt:i4>
      </vt:variant>
      <vt:variant>
        <vt:lpwstr/>
      </vt:variant>
      <vt:variant>
        <vt:lpwstr>_Toc137039636</vt:lpwstr>
      </vt:variant>
      <vt:variant>
        <vt:i4>1966131</vt:i4>
      </vt:variant>
      <vt:variant>
        <vt:i4>3146</vt:i4>
      </vt:variant>
      <vt:variant>
        <vt:i4>0</vt:i4>
      </vt:variant>
      <vt:variant>
        <vt:i4>5</vt:i4>
      </vt:variant>
      <vt:variant>
        <vt:lpwstr/>
      </vt:variant>
      <vt:variant>
        <vt:lpwstr>_Toc137039635</vt:lpwstr>
      </vt:variant>
      <vt:variant>
        <vt:i4>1966131</vt:i4>
      </vt:variant>
      <vt:variant>
        <vt:i4>3140</vt:i4>
      </vt:variant>
      <vt:variant>
        <vt:i4>0</vt:i4>
      </vt:variant>
      <vt:variant>
        <vt:i4>5</vt:i4>
      </vt:variant>
      <vt:variant>
        <vt:lpwstr/>
      </vt:variant>
      <vt:variant>
        <vt:lpwstr>_Toc137039634</vt:lpwstr>
      </vt:variant>
      <vt:variant>
        <vt:i4>1966131</vt:i4>
      </vt:variant>
      <vt:variant>
        <vt:i4>3134</vt:i4>
      </vt:variant>
      <vt:variant>
        <vt:i4>0</vt:i4>
      </vt:variant>
      <vt:variant>
        <vt:i4>5</vt:i4>
      </vt:variant>
      <vt:variant>
        <vt:lpwstr/>
      </vt:variant>
      <vt:variant>
        <vt:lpwstr>_Toc137039633</vt:lpwstr>
      </vt:variant>
      <vt:variant>
        <vt:i4>1966131</vt:i4>
      </vt:variant>
      <vt:variant>
        <vt:i4>3128</vt:i4>
      </vt:variant>
      <vt:variant>
        <vt:i4>0</vt:i4>
      </vt:variant>
      <vt:variant>
        <vt:i4>5</vt:i4>
      </vt:variant>
      <vt:variant>
        <vt:lpwstr/>
      </vt:variant>
      <vt:variant>
        <vt:lpwstr>_Toc137039632</vt:lpwstr>
      </vt:variant>
      <vt:variant>
        <vt:i4>1966131</vt:i4>
      </vt:variant>
      <vt:variant>
        <vt:i4>3122</vt:i4>
      </vt:variant>
      <vt:variant>
        <vt:i4>0</vt:i4>
      </vt:variant>
      <vt:variant>
        <vt:i4>5</vt:i4>
      </vt:variant>
      <vt:variant>
        <vt:lpwstr/>
      </vt:variant>
      <vt:variant>
        <vt:lpwstr>_Toc137039631</vt:lpwstr>
      </vt:variant>
      <vt:variant>
        <vt:i4>1966131</vt:i4>
      </vt:variant>
      <vt:variant>
        <vt:i4>3116</vt:i4>
      </vt:variant>
      <vt:variant>
        <vt:i4>0</vt:i4>
      </vt:variant>
      <vt:variant>
        <vt:i4>5</vt:i4>
      </vt:variant>
      <vt:variant>
        <vt:lpwstr/>
      </vt:variant>
      <vt:variant>
        <vt:lpwstr>_Toc137039630</vt:lpwstr>
      </vt:variant>
      <vt:variant>
        <vt:i4>2031667</vt:i4>
      </vt:variant>
      <vt:variant>
        <vt:i4>3110</vt:i4>
      </vt:variant>
      <vt:variant>
        <vt:i4>0</vt:i4>
      </vt:variant>
      <vt:variant>
        <vt:i4>5</vt:i4>
      </vt:variant>
      <vt:variant>
        <vt:lpwstr/>
      </vt:variant>
      <vt:variant>
        <vt:lpwstr>_Toc137039629</vt:lpwstr>
      </vt:variant>
      <vt:variant>
        <vt:i4>2031667</vt:i4>
      </vt:variant>
      <vt:variant>
        <vt:i4>3104</vt:i4>
      </vt:variant>
      <vt:variant>
        <vt:i4>0</vt:i4>
      </vt:variant>
      <vt:variant>
        <vt:i4>5</vt:i4>
      </vt:variant>
      <vt:variant>
        <vt:lpwstr/>
      </vt:variant>
      <vt:variant>
        <vt:lpwstr>_Toc137039628</vt:lpwstr>
      </vt:variant>
      <vt:variant>
        <vt:i4>2031667</vt:i4>
      </vt:variant>
      <vt:variant>
        <vt:i4>3098</vt:i4>
      </vt:variant>
      <vt:variant>
        <vt:i4>0</vt:i4>
      </vt:variant>
      <vt:variant>
        <vt:i4>5</vt:i4>
      </vt:variant>
      <vt:variant>
        <vt:lpwstr/>
      </vt:variant>
      <vt:variant>
        <vt:lpwstr>_Toc137039627</vt:lpwstr>
      </vt:variant>
      <vt:variant>
        <vt:i4>2031667</vt:i4>
      </vt:variant>
      <vt:variant>
        <vt:i4>3092</vt:i4>
      </vt:variant>
      <vt:variant>
        <vt:i4>0</vt:i4>
      </vt:variant>
      <vt:variant>
        <vt:i4>5</vt:i4>
      </vt:variant>
      <vt:variant>
        <vt:lpwstr/>
      </vt:variant>
      <vt:variant>
        <vt:lpwstr>_Toc137039626</vt:lpwstr>
      </vt:variant>
      <vt:variant>
        <vt:i4>2031667</vt:i4>
      </vt:variant>
      <vt:variant>
        <vt:i4>3086</vt:i4>
      </vt:variant>
      <vt:variant>
        <vt:i4>0</vt:i4>
      </vt:variant>
      <vt:variant>
        <vt:i4>5</vt:i4>
      </vt:variant>
      <vt:variant>
        <vt:lpwstr/>
      </vt:variant>
      <vt:variant>
        <vt:lpwstr>_Toc137039625</vt:lpwstr>
      </vt:variant>
      <vt:variant>
        <vt:i4>2031667</vt:i4>
      </vt:variant>
      <vt:variant>
        <vt:i4>3080</vt:i4>
      </vt:variant>
      <vt:variant>
        <vt:i4>0</vt:i4>
      </vt:variant>
      <vt:variant>
        <vt:i4>5</vt:i4>
      </vt:variant>
      <vt:variant>
        <vt:lpwstr/>
      </vt:variant>
      <vt:variant>
        <vt:lpwstr>_Toc137039624</vt:lpwstr>
      </vt:variant>
      <vt:variant>
        <vt:i4>2031667</vt:i4>
      </vt:variant>
      <vt:variant>
        <vt:i4>3074</vt:i4>
      </vt:variant>
      <vt:variant>
        <vt:i4>0</vt:i4>
      </vt:variant>
      <vt:variant>
        <vt:i4>5</vt:i4>
      </vt:variant>
      <vt:variant>
        <vt:lpwstr/>
      </vt:variant>
      <vt:variant>
        <vt:lpwstr>_Toc137039623</vt:lpwstr>
      </vt:variant>
      <vt:variant>
        <vt:i4>2031667</vt:i4>
      </vt:variant>
      <vt:variant>
        <vt:i4>3068</vt:i4>
      </vt:variant>
      <vt:variant>
        <vt:i4>0</vt:i4>
      </vt:variant>
      <vt:variant>
        <vt:i4>5</vt:i4>
      </vt:variant>
      <vt:variant>
        <vt:lpwstr/>
      </vt:variant>
      <vt:variant>
        <vt:lpwstr>_Toc137039622</vt:lpwstr>
      </vt:variant>
      <vt:variant>
        <vt:i4>2031667</vt:i4>
      </vt:variant>
      <vt:variant>
        <vt:i4>3062</vt:i4>
      </vt:variant>
      <vt:variant>
        <vt:i4>0</vt:i4>
      </vt:variant>
      <vt:variant>
        <vt:i4>5</vt:i4>
      </vt:variant>
      <vt:variant>
        <vt:lpwstr/>
      </vt:variant>
      <vt:variant>
        <vt:lpwstr>_Toc137039621</vt:lpwstr>
      </vt:variant>
      <vt:variant>
        <vt:i4>2031667</vt:i4>
      </vt:variant>
      <vt:variant>
        <vt:i4>3056</vt:i4>
      </vt:variant>
      <vt:variant>
        <vt:i4>0</vt:i4>
      </vt:variant>
      <vt:variant>
        <vt:i4>5</vt:i4>
      </vt:variant>
      <vt:variant>
        <vt:lpwstr/>
      </vt:variant>
      <vt:variant>
        <vt:lpwstr>_Toc137039620</vt:lpwstr>
      </vt:variant>
      <vt:variant>
        <vt:i4>1835059</vt:i4>
      </vt:variant>
      <vt:variant>
        <vt:i4>3050</vt:i4>
      </vt:variant>
      <vt:variant>
        <vt:i4>0</vt:i4>
      </vt:variant>
      <vt:variant>
        <vt:i4>5</vt:i4>
      </vt:variant>
      <vt:variant>
        <vt:lpwstr/>
      </vt:variant>
      <vt:variant>
        <vt:lpwstr>_Toc137039619</vt:lpwstr>
      </vt:variant>
      <vt:variant>
        <vt:i4>1835059</vt:i4>
      </vt:variant>
      <vt:variant>
        <vt:i4>3044</vt:i4>
      </vt:variant>
      <vt:variant>
        <vt:i4>0</vt:i4>
      </vt:variant>
      <vt:variant>
        <vt:i4>5</vt:i4>
      </vt:variant>
      <vt:variant>
        <vt:lpwstr/>
      </vt:variant>
      <vt:variant>
        <vt:lpwstr>_Toc137039618</vt:lpwstr>
      </vt:variant>
      <vt:variant>
        <vt:i4>1835059</vt:i4>
      </vt:variant>
      <vt:variant>
        <vt:i4>3038</vt:i4>
      </vt:variant>
      <vt:variant>
        <vt:i4>0</vt:i4>
      </vt:variant>
      <vt:variant>
        <vt:i4>5</vt:i4>
      </vt:variant>
      <vt:variant>
        <vt:lpwstr/>
      </vt:variant>
      <vt:variant>
        <vt:lpwstr>_Toc137039617</vt:lpwstr>
      </vt:variant>
      <vt:variant>
        <vt:i4>1835059</vt:i4>
      </vt:variant>
      <vt:variant>
        <vt:i4>3032</vt:i4>
      </vt:variant>
      <vt:variant>
        <vt:i4>0</vt:i4>
      </vt:variant>
      <vt:variant>
        <vt:i4>5</vt:i4>
      </vt:variant>
      <vt:variant>
        <vt:lpwstr/>
      </vt:variant>
      <vt:variant>
        <vt:lpwstr>_Toc137039616</vt:lpwstr>
      </vt:variant>
      <vt:variant>
        <vt:i4>1835059</vt:i4>
      </vt:variant>
      <vt:variant>
        <vt:i4>3026</vt:i4>
      </vt:variant>
      <vt:variant>
        <vt:i4>0</vt:i4>
      </vt:variant>
      <vt:variant>
        <vt:i4>5</vt:i4>
      </vt:variant>
      <vt:variant>
        <vt:lpwstr/>
      </vt:variant>
      <vt:variant>
        <vt:lpwstr>_Toc137039615</vt:lpwstr>
      </vt:variant>
      <vt:variant>
        <vt:i4>1835059</vt:i4>
      </vt:variant>
      <vt:variant>
        <vt:i4>3020</vt:i4>
      </vt:variant>
      <vt:variant>
        <vt:i4>0</vt:i4>
      </vt:variant>
      <vt:variant>
        <vt:i4>5</vt:i4>
      </vt:variant>
      <vt:variant>
        <vt:lpwstr/>
      </vt:variant>
      <vt:variant>
        <vt:lpwstr>_Toc137039614</vt:lpwstr>
      </vt:variant>
      <vt:variant>
        <vt:i4>1835059</vt:i4>
      </vt:variant>
      <vt:variant>
        <vt:i4>3014</vt:i4>
      </vt:variant>
      <vt:variant>
        <vt:i4>0</vt:i4>
      </vt:variant>
      <vt:variant>
        <vt:i4>5</vt:i4>
      </vt:variant>
      <vt:variant>
        <vt:lpwstr/>
      </vt:variant>
      <vt:variant>
        <vt:lpwstr>_Toc137039613</vt:lpwstr>
      </vt:variant>
      <vt:variant>
        <vt:i4>1835059</vt:i4>
      </vt:variant>
      <vt:variant>
        <vt:i4>3008</vt:i4>
      </vt:variant>
      <vt:variant>
        <vt:i4>0</vt:i4>
      </vt:variant>
      <vt:variant>
        <vt:i4>5</vt:i4>
      </vt:variant>
      <vt:variant>
        <vt:lpwstr/>
      </vt:variant>
      <vt:variant>
        <vt:lpwstr>_Toc137039612</vt:lpwstr>
      </vt:variant>
      <vt:variant>
        <vt:i4>1835059</vt:i4>
      </vt:variant>
      <vt:variant>
        <vt:i4>3002</vt:i4>
      </vt:variant>
      <vt:variant>
        <vt:i4>0</vt:i4>
      </vt:variant>
      <vt:variant>
        <vt:i4>5</vt:i4>
      </vt:variant>
      <vt:variant>
        <vt:lpwstr/>
      </vt:variant>
      <vt:variant>
        <vt:lpwstr>_Toc137039611</vt:lpwstr>
      </vt:variant>
      <vt:variant>
        <vt:i4>1835059</vt:i4>
      </vt:variant>
      <vt:variant>
        <vt:i4>2996</vt:i4>
      </vt:variant>
      <vt:variant>
        <vt:i4>0</vt:i4>
      </vt:variant>
      <vt:variant>
        <vt:i4>5</vt:i4>
      </vt:variant>
      <vt:variant>
        <vt:lpwstr/>
      </vt:variant>
      <vt:variant>
        <vt:lpwstr>_Toc137039610</vt:lpwstr>
      </vt:variant>
      <vt:variant>
        <vt:i4>1900595</vt:i4>
      </vt:variant>
      <vt:variant>
        <vt:i4>2990</vt:i4>
      </vt:variant>
      <vt:variant>
        <vt:i4>0</vt:i4>
      </vt:variant>
      <vt:variant>
        <vt:i4>5</vt:i4>
      </vt:variant>
      <vt:variant>
        <vt:lpwstr/>
      </vt:variant>
      <vt:variant>
        <vt:lpwstr>_Toc137039609</vt:lpwstr>
      </vt:variant>
      <vt:variant>
        <vt:i4>1900595</vt:i4>
      </vt:variant>
      <vt:variant>
        <vt:i4>2984</vt:i4>
      </vt:variant>
      <vt:variant>
        <vt:i4>0</vt:i4>
      </vt:variant>
      <vt:variant>
        <vt:i4>5</vt:i4>
      </vt:variant>
      <vt:variant>
        <vt:lpwstr/>
      </vt:variant>
      <vt:variant>
        <vt:lpwstr>_Toc137039608</vt:lpwstr>
      </vt:variant>
      <vt:variant>
        <vt:i4>1900595</vt:i4>
      </vt:variant>
      <vt:variant>
        <vt:i4>2978</vt:i4>
      </vt:variant>
      <vt:variant>
        <vt:i4>0</vt:i4>
      </vt:variant>
      <vt:variant>
        <vt:i4>5</vt:i4>
      </vt:variant>
      <vt:variant>
        <vt:lpwstr/>
      </vt:variant>
      <vt:variant>
        <vt:lpwstr>_Toc137039607</vt:lpwstr>
      </vt:variant>
      <vt:variant>
        <vt:i4>1900595</vt:i4>
      </vt:variant>
      <vt:variant>
        <vt:i4>2972</vt:i4>
      </vt:variant>
      <vt:variant>
        <vt:i4>0</vt:i4>
      </vt:variant>
      <vt:variant>
        <vt:i4>5</vt:i4>
      </vt:variant>
      <vt:variant>
        <vt:lpwstr/>
      </vt:variant>
      <vt:variant>
        <vt:lpwstr>_Toc137039606</vt:lpwstr>
      </vt:variant>
      <vt:variant>
        <vt:i4>1900595</vt:i4>
      </vt:variant>
      <vt:variant>
        <vt:i4>2966</vt:i4>
      </vt:variant>
      <vt:variant>
        <vt:i4>0</vt:i4>
      </vt:variant>
      <vt:variant>
        <vt:i4>5</vt:i4>
      </vt:variant>
      <vt:variant>
        <vt:lpwstr/>
      </vt:variant>
      <vt:variant>
        <vt:lpwstr>_Toc137039605</vt:lpwstr>
      </vt:variant>
      <vt:variant>
        <vt:i4>1900595</vt:i4>
      </vt:variant>
      <vt:variant>
        <vt:i4>2960</vt:i4>
      </vt:variant>
      <vt:variant>
        <vt:i4>0</vt:i4>
      </vt:variant>
      <vt:variant>
        <vt:i4>5</vt:i4>
      </vt:variant>
      <vt:variant>
        <vt:lpwstr/>
      </vt:variant>
      <vt:variant>
        <vt:lpwstr>_Toc137039604</vt:lpwstr>
      </vt:variant>
      <vt:variant>
        <vt:i4>1900595</vt:i4>
      </vt:variant>
      <vt:variant>
        <vt:i4>2954</vt:i4>
      </vt:variant>
      <vt:variant>
        <vt:i4>0</vt:i4>
      </vt:variant>
      <vt:variant>
        <vt:i4>5</vt:i4>
      </vt:variant>
      <vt:variant>
        <vt:lpwstr/>
      </vt:variant>
      <vt:variant>
        <vt:lpwstr>_Toc137039603</vt:lpwstr>
      </vt:variant>
      <vt:variant>
        <vt:i4>1900595</vt:i4>
      </vt:variant>
      <vt:variant>
        <vt:i4>2948</vt:i4>
      </vt:variant>
      <vt:variant>
        <vt:i4>0</vt:i4>
      </vt:variant>
      <vt:variant>
        <vt:i4>5</vt:i4>
      </vt:variant>
      <vt:variant>
        <vt:lpwstr/>
      </vt:variant>
      <vt:variant>
        <vt:lpwstr>_Toc137039602</vt:lpwstr>
      </vt:variant>
      <vt:variant>
        <vt:i4>1900595</vt:i4>
      </vt:variant>
      <vt:variant>
        <vt:i4>2942</vt:i4>
      </vt:variant>
      <vt:variant>
        <vt:i4>0</vt:i4>
      </vt:variant>
      <vt:variant>
        <vt:i4>5</vt:i4>
      </vt:variant>
      <vt:variant>
        <vt:lpwstr/>
      </vt:variant>
      <vt:variant>
        <vt:lpwstr>_Toc137039601</vt:lpwstr>
      </vt:variant>
      <vt:variant>
        <vt:i4>1900595</vt:i4>
      </vt:variant>
      <vt:variant>
        <vt:i4>2936</vt:i4>
      </vt:variant>
      <vt:variant>
        <vt:i4>0</vt:i4>
      </vt:variant>
      <vt:variant>
        <vt:i4>5</vt:i4>
      </vt:variant>
      <vt:variant>
        <vt:lpwstr/>
      </vt:variant>
      <vt:variant>
        <vt:lpwstr>_Toc137039600</vt:lpwstr>
      </vt:variant>
      <vt:variant>
        <vt:i4>1310768</vt:i4>
      </vt:variant>
      <vt:variant>
        <vt:i4>2930</vt:i4>
      </vt:variant>
      <vt:variant>
        <vt:i4>0</vt:i4>
      </vt:variant>
      <vt:variant>
        <vt:i4>5</vt:i4>
      </vt:variant>
      <vt:variant>
        <vt:lpwstr/>
      </vt:variant>
      <vt:variant>
        <vt:lpwstr>_Toc137039599</vt:lpwstr>
      </vt:variant>
      <vt:variant>
        <vt:i4>1310768</vt:i4>
      </vt:variant>
      <vt:variant>
        <vt:i4>2924</vt:i4>
      </vt:variant>
      <vt:variant>
        <vt:i4>0</vt:i4>
      </vt:variant>
      <vt:variant>
        <vt:i4>5</vt:i4>
      </vt:variant>
      <vt:variant>
        <vt:lpwstr/>
      </vt:variant>
      <vt:variant>
        <vt:lpwstr>_Toc137039598</vt:lpwstr>
      </vt:variant>
      <vt:variant>
        <vt:i4>1310768</vt:i4>
      </vt:variant>
      <vt:variant>
        <vt:i4>2918</vt:i4>
      </vt:variant>
      <vt:variant>
        <vt:i4>0</vt:i4>
      </vt:variant>
      <vt:variant>
        <vt:i4>5</vt:i4>
      </vt:variant>
      <vt:variant>
        <vt:lpwstr/>
      </vt:variant>
      <vt:variant>
        <vt:lpwstr>_Toc137039597</vt:lpwstr>
      </vt:variant>
      <vt:variant>
        <vt:i4>1310768</vt:i4>
      </vt:variant>
      <vt:variant>
        <vt:i4>2912</vt:i4>
      </vt:variant>
      <vt:variant>
        <vt:i4>0</vt:i4>
      </vt:variant>
      <vt:variant>
        <vt:i4>5</vt:i4>
      </vt:variant>
      <vt:variant>
        <vt:lpwstr/>
      </vt:variant>
      <vt:variant>
        <vt:lpwstr>_Toc137039596</vt:lpwstr>
      </vt:variant>
      <vt:variant>
        <vt:i4>1310768</vt:i4>
      </vt:variant>
      <vt:variant>
        <vt:i4>2906</vt:i4>
      </vt:variant>
      <vt:variant>
        <vt:i4>0</vt:i4>
      </vt:variant>
      <vt:variant>
        <vt:i4>5</vt:i4>
      </vt:variant>
      <vt:variant>
        <vt:lpwstr/>
      </vt:variant>
      <vt:variant>
        <vt:lpwstr>_Toc137039595</vt:lpwstr>
      </vt:variant>
      <vt:variant>
        <vt:i4>1310768</vt:i4>
      </vt:variant>
      <vt:variant>
        <vt:i4>2900</vt:i4>
      </vt:variant>
      <vt:variant>
        <vt:i4>0</vt:i4>
      </vt:variant>
      <vt:variant>
        <vt:i4>5</vt:i4>
      </vt:variant>
      <vt:variant>
        <vt:lpwstr/>
      </vt:variant>
      <vt:variant>
        <vt:lpwstr>_Toc137039594</vt:lpwstr>
      </vt:variant>
      <vt:variant>
        <vt:i4>1310768</vt:i4>
      </vt:variant>
      <vt:variant>
        <vt:i4>2894</vt:i4>
      </vt:variant>
      <vt:variant>
        <vt:i4>0</vt:i4>
      </vt:variant>
      <vt:variant>
        <vt:i4>5</vt:i4>
      </vt:variant>
      <vt:variant>
        <vt:lpwstr/>
      </vt:variant>
      <vt:variant>
        <vt:lpwstr>_Toc137039593</vt:lpwstr>
      </vt:variant>
      <vt:variant>
        <vt:i4>1310768</vt:i4>
      </vt:variant>
      <vt:variant>
        <vt:i4>2888</vt:i4>
      </vt:variant>
      <vt:variant>
        <vt:i4>0</vt:i4>
      </vt:variant>
      <vt:variant>
        <vt:i4>5</vt:i4>
      </vt:variant>
      <vt:variant>
        <vt:lpwstr/>
      </vt:variant>
      <vt:variant>
        <vt:lpwstr>_Toc137039592</vt:lpwstr>
      </vt:variant>
      <vt:variant>
        <vt:i4>1310768</vt:i4>
      </vt:variant>
      <vt:variant>
        <vt:i4>2882</vt:i4>
      </vt:variant>
      <vt:variant>
        <vt:i4>0</vt:i4>
      </vt:variant>
      <vt:variant>
        <vt:i4>5</vt:i4>
      </vt:variant>
      <vt:variant>
        <vt:lpwstr/>
      </vt:variant>
      <vt:variant>
        <vt:lpwstr>_Toc137039591</vt:lpwstr>
      </vt:variant>
      <vt:variant>
        <vt:i4>1310768</vt:i4>
      </vt:variant>
      <vt:variant>
        <vt:i4>2876</vt:i4>
      </vt:variant>
      <vt:variant>
        <vt:i4>0</vt:i4>
      </vt:variant>
      <vt:variant>
        <vt:i4>5</vt:i4>
      </vt:variant>
      <vt:variant>
        <vt:lpwstr/>
      </vt:variant>
      <vt:variant>
        <vt:lpwstr>_Toc137039590</vt:lpwstr>
      </vt:variant>
      <vt:variant>
        <vt:i4>1376304</vt:i4>
      </vt:variant>
      <vt:variant>
        <vt:i4>2870</vt:i4>
      </vt:variant>
      <vt:variant>
        <vt:i4>0</vt:i4>
      </vt:variant>
      <vt:variant>
        <vt:i4>5</vt:i4>
      </vt:variant>
      <vt:variant>
        <vt:lpwstr/>
      </vt:variant>
      <vt:variant>
        <vt:lpwstr>_Toc137039589</vt:lpwstr>
      </vt:variant>
      <vt:variant>
        <vt:i4>1376304</vt:i4>
      </vt:variant>
      <vt:variant>
        <vt:i4>2864</vt:i4>
      </vt:variant>
      <vt:variant>
        <vt:i4>0</vt:i4>
      </vt:variant>
      <vt:variant>
        <vt:i4>5</vt:i4>
      </vt:variant>
      <vt:variant>
        <vt:lpwstr/>
      </vt:variant>
      <vt:variant>
        <vt:lpwstr>_Toc137039588</vt:lpwstr>
      </vt:variant>
      <vt:variant>
        <vt:i4>1376304</vt:i4>
      </vt:variant>
      <vt:variant>
        <vt:i4>2858</vt:i4>
      </vt:variant>
      <vt:variant>
        <vt:i4>0</vt:i4>
      </vt:variant>
      <vt:variant>
        <vt:i4>5</vt:i4>
      </vt:variant>
      <vt:variant>
        <vt:lpwstr/>
      </vt:variant>
      <vt:variant>
        <vt:lpwstr>_Toc137039587</vt:lpwstr>
      </vt:variant>
      <vt:variant>
        <vt:i4>1376304</vt:i4>
      </vt:variant>
      <vt:variant>
        <vt:i4>2852</vt:i4>
      </vt:variant>
      <vt:variant>
        <vt:i4>0</vt:i4>
      </vt:variant>
      <vt:variant>
        <vt:i4>5</vt:i4>
      </vt:variant>
      <vt:variant>
        <vt:lpwstr/>
      </vt:variant>
      <vt:variant>
        <vt:lpwstr>_Toc137039586</vt:lpwstr>
      </vt:variant>
      <vt:variant>
        <vt:i4>1376304</vt:i4>
      </vt:variant>
      <vt:variant>
        <vt:i4>2846</vt:i4>
      </vt:variant>
      <vt:variant>
        <vt:i4>0</vt:i4>
      </vt:variant>
      <vt:variant>
        <vt:i4>5</vt:i4>
      </vt:variant>
      <vt:variant>
        <vt:lpwstr/>
      </vt:variant>
      <vt:variant>
        <vt:lpwstr>_Toc137039585</vt:lpwstr>
      </vt:variant>
      <vt:variant>
        <vt:i4>1376304</vt:i4>
      </vt:variant>
      <vt:variant>
        <vt:i4>2840</vt:i4>
      </vt:variant>
      <vt:variant>
        <vt:i4>0</vt:i4>
      </vt:variant>
      <vt:variant>
        <vt:i4>5</vt:i4>
      </vt:variant>
      <vt:variant>
        <vt:lpwstr/>
      </vt:variant>
      <vt:variant>
        <vt:lpwstr>_Toc137039584</vt:lpwstr>
      </vt:variant>
      <vt:variant>
        <vt:i4>1376304</vt:i4>
      </vt:variant>
      <vt:variant>
        <vt:i4>2834</vt:i4>
      </vt:variant>
      <vt:variant>
        <vt:i4>0</vt:i4>
      </vt:variant>
      <vt:variant>
        <vt:i4>5</vt:i4>
      </vt:variant>
      <vt:variant>
        <vt:lpwstr/>
      </vt:variant>
      <vt:variant>
        <vt:lpwstr>_Toc137039583</vt:lpwstr>
      </vt:variant>
      <vt:variant>
        <vt:i4>1376304</vt:i4>
      </vt:variant>
      <vt:variant>
        <vt:i4>2828</vt:i4>
      </vt:variant>
      <vt:variant>
        <vt:i4>0</vt:i4>
      </vt:variant>
      <vt:variant>
        <vt:i4>5</vt:i4>
      </vt:variant>
      <vt:variant>
        <vt:lpwstr/>
      </vt:variant>
      <vt:variant>
        <vt:lpwstr>_Toc137039582</vt:lpwstr>
      </vt:variant>
      <vt:variant>
        <vt:i4>1376304</vt:i4>
      </vt:variant>
      <vt:variant>
        <vt:i4>2822</vt:i4>
      </vt:variant>
      <vt:variant>
        <vt:i4>0</vt:i4>
      </vt:variant>
      <vt:variant>
        <vt:i4>5</vt:i4>
      </vt:variant>
      <vt:variant>
        <vt:lpwstr/>
      </vt:variant>
      <vt:variant>
        <vt:lpwstr>_Toc137039581</vt:lpwstr>
      </vt:variant>
      <vt:variant>
        <vt:i4>1376304</vt:i4>
      </vt:variant>
      <vt:variant>
        <vt:i4>2816</vt:i4>
      </vt:variant>
      <vt:variant>
        <vt:i4>0</vt:i4>
      </vt:variant>
      <vt:variant>
        <vt:i4>5</vt:i4>
      </vt:variant>
      <vt:variant>
        <vt:lpwstr/>
      </vt:variant>
      <vt:variant>
        <vt:lpwstr>_Toc137039580</vt:lpwstr>
      </vt:variant>
      <vt:variant>
        <vt:i4>1703984</vt:i4>
      </vt:variant>
      <vt:variant>
        <vt:i4>2810</vt:i4>
      </vt:variant>
      <vt:variant>
        <vt:i4>0</vt:i4>
      </vt:variant>
      <vt:variant>
        <vt:i4>5</vt:i4>
      </vt:variant>
      <vt:variant>
        <vt:lpwstr/>
      </vt:variant>
      <vt:variant>
        <vt:lpwstr>_Toc137039579</vt:lpwstr>
      </vt:variant>
      <vt:variant>
        <vt:i4>1703984</vt:i4>
      </vt:variant>
      <vt:variant>
        <vt:i4>2804</vt:i4>
      </vt:variant>
      <vt:variant>
        <vt:i4>0</vt:i4>
      </vt:variant>
      <vt:variant>
        <vt:i4>5</vt:i4>
      </vt:variant>
      <vt:variant>
        <vt:lpwstr/>
      </vt:variant>
      <vt:variant>
        <vt:lpwstr>_Toc137039578</vt:lpwstr>
      </vt:variant>
      <vt:variant>
        <vt:i4>1703984</vt:i4>
      </vt:variant>
      <vt:variant>
        <vt:i4>2798</vt:i4>
      </vt:variant>
      <vt:variant>
        <vt:i4>0</vt:i4>
      </vt:variant>
      <vt:variant>
        <vt:i4>5</vt:i4>
      </vt:variant>
      <vt:variant>
        <vt:lpwstr/>
      </vt:variant>
      <vt:variant>
        <vt:lpwstr>_Toc137039577</vt:lpwstr>
      </vt:variant>
      <vt:variant>
        <vt:i4>1703984</vt:i4>
      </vt:variant>
      <vt:variant>
        <vt:i4>2792</vt:i4>
      </vt:variant>
      <vt:variant>
        <vt:i4>0</vt:i4>
      </vt:variant>
      <vt:variant>
        <vt:i4>5</vt:i4>
      </vt:variant>
      <vt:variant>
        <vt:lpwstr/>
      </vt:variant>
      <vt:variant>
        <vt:lpwstr>_Toc137039576</vt:lpwstr>
      </vt:variant>
      <vt:variant>
        <vt:i4>1703984</vt:i4>
      </vt:variant>
      <vt:variant>
        <vt:i4>2786</vt:i4>
      </vt:variant>
      <vt:variant>
        <vt:i4>0</vt:i4>
      </vt:variant>
      <vt:variant>
        <vt:i4>5</vt:i4>
      </vt:variant>
      <vt:variant>
        <vt:lpwstr/>
      </vt:variant>
      <vt:variant>
        <vt:lpwstr>_Toc137039575</vt:lpwstr>
      </vt:variant>
      <vt:variant>
        <vt:i4>1703984</vt:i4>
      </vt:variant>
      <vt:variant>
        <vt:i4>2780</vt:i4>
      </vt:variant>
      <vt:variant>
        <vt:i4>0</vt:i4>
      </vt:variant>
      <vt:variant>
        <vt:i4>5</vt:i4>
      </vt:variant>
      <vt:variant>
        <vt:lpwstr/>
      </vt:variant>
      <vt:variant>
        <vt:lpwstr>_Toc137039574</vt:lpwstr>
      </vt:variant>
      <vt:variant>
        <vt:i4>1703984</vt:i4>
      </vt:variant>
      <vt:variant>
        <vt:i4>2774</vt:i4>
      </vt:variant>
      <vt:variant>
        <vt:i4>0</vt:i4>
      </vt:variant>
      <vt:variant>
        <vt:i4>5</vt:i4>
      </vt:variant>
      <vt:variant>
        <vt:lpwstr/>
      </vt:variant>
      <vt:variant>
        <vt:lpwstr>_Toc137039573</vt:lpwstr>
      </vt:variant>
      <vt:variant>
        <vt:i4>1703984</vt:i4>
      </vt:variant>
      <vt:variant>
        <vt:i4>2768</vt:i4>
      </vt:variant>
      <vt:variant>
        <vt:i4>0</vt:i4>
      </vt:variant>
      <vt:variant>
        <vt:i4>5</vt:i4>
      </vt:variant>
      <vt:variant>
        <vt:lpwstr/>
      </vt:variant>
      <vt:variant>
        <vt:lpwstr>_Toc137039572</vt:lpwstr>
      </vt:variant>
      <vt:variant>
        <vt:i4>1703984</vt:i4>
      </vt:variant>
      <vt:variant>
        <vt:i4>2762</vt:i4>
      </vt:variant>
      <vt:variant>
        <vt:i4>0</vt:i4>
      </vt:variant>
      <vt:variant>
        <vt:i4>5</vt:i4>
      </vt:variant>
      <vt:variant>
        <vt:lpwstr/>
      </vt:variant>
      <vt:variant>
        <vt:lpwstr>_Toc137039571</vt:lpwstr>
      </vt:variant>
      <vt:variant>
        <vt:i4>1703984</vt:i4>
      </vt:variant>
      <vt:variant>
        <vt:i4>2756</vt:i4>
      </vt:variant>
      <vt:variant>
        <vt:i4>0</vt:i4>
      </vt:variant>
      <vt:variant>
        <vt:i4>5</vt:i4>
      </vt:variant>
      <vt:variant>
        <vt:lpwstr/>
      </vt:variant>
      <vt:variant>
        <vt:lpwstr>_Toc137039570</vt:lpwstr>
      </vt:variant>
      <vt:variant>
        <vt:i4>1769520</vt:i4>
      </vt:variant>
      <vt:variant>
        <vt:i4>2750</vt:i4>
      </vt:variant>
      <vt:variant>
        <vt:i4>0</vt:i4>
      </vt:variant>
      <vt:variant>
        <vt:i4>5</vt:i4>
      </vt:variant>
      <vt:variant>
        <vt:lpwstr/>
      </vt:variant>
      <vt:variant>
        <vt:lpwstr>_Toc137039569</vt:lpwstr>
      </vt:variant>
      <vt:variant>
        <vt:i4>1769520</vt:i4>
      </vt:variant>
      <vt:variant>
        <vt:i4>2744</vt:i4>
      </vt:variant>
      <vt:variant>
        <vt:i4>0</vt:i4>
      </vt:variant>
      <vt:variant>
        <vt:i4>5</vt:i4>
      </vt:variant>
      <vt:variant>
        <vt:lpwstr/>
      </vt:variant>
      <vt:variant>
        <vt:lpwstr>_Toc137039568</vt:lpwstr>
      </vt:variant>
      <vt:variant>
        <vt:i4>1769520</vt:i4>
      </vt:variant>
      <vt:variant>
        <vt:i4>2738</vt:i4>
      </vt:variant>
      <vt:variant>
        <vt:i4>0</vt:i4>
      </vt:variant>
      <vt:variant>
        <vt:i4>5</vt:i4>
      </vt:variant>
      <vt:variant>
        <vt:lpwstr/>
      </vt:variant>
      <vt:variant>
        <vt:lpwstr>_Toc137039567</vt:lpwstr>
      </vt:variant>
      <vt:variant>
        <vt:i4>1769520</vt:i4>
      </vt:variant>
      <vt:variant>
        <vt:i4>2732</vt:i4>
      </vt:variant>
      <vt:variant>
        <vt:i4>0</vt:i4>
      </vt:variant>
      <vt:variant>
        <vt:i4>5</vt:i4>
      </vt:variant>
      <vt:variant>
        <vt:lpwstr/>
      </vt:variant>
      <vt:variant>
        <vt:lpwstr>_Toc137039566</vt:lpwstr>
      </vt:variant>
      <vt:variant>
        <vt:i4>1769520</vt:i4>
      </vt:variant>
      <vt:variant>
        <vt:i4>2726</vt:i4>
      </vt:variant>
      <vt:variant>
        <vt:i4>0</vt:i4>
      </vt:variant>
      <vt:variant>
        <vt:i4>5</vt:i4>
      </vt:variant>
      <vt:variant>
        <vt:lpwstr/>
      </vt:variant>
      <vt:variant>
        <vt:lpwstr>_Toc137039565</vt:lpwstr>
      </vt:variant>
      <vt:variant>
        <vt:i4>1769520</vt:i4>
      </vt:variant>
      <vt:variant>
        <vt:i4>2720</vt:i4>
      </vt:variant>
      <vt:variant>
        <vt:i4>0</vt:i4>
      </vt:variant>
      <vt:variant>
        <vt:i4>5</vt:i4>
      </vt:variant>
      <vt:variant>
        <vt:lpwstr/>
      </vt:variant>
      <vt:variant>
        <vt:lpwstr>_Toc137039564</vt:lpwstr>
      </vt:variant>
      <vt:variant>
        <vt:i4>1769520</vt:i4>
      </vt:variant>
      <vt:variant>
        <vt:i4>2714</vt:i4>
      </vt:variant>
      <vt:variant>
        <vt:i4>0</vt:i4>
      </vt:variant>
      <vt:variant>
        <vt:i4>5</vt:i4>
      </vt:variant>
      <vt:variant>
        <vt:lpwstr/>
      </vt:variant>
      <vt:variant>
        <vt:lpwstr>_Toc137039563</vt:lpwstr>
      </vt:variant>
      <vt:variant>
        <vt:i4>1769520</vt:i4>
      </vt:variant>
      <vt:variant>
        <vt:i4>2708</vt:i4>
      </vt:variant>
      <vt:variant>
        <vt:i4>0</vt:i4>
      </vt:variant>
      <vt:variant>
        <vt:i4>5</vt:i4>
      </vt:variant>
      <vt:variant>
        <vt:lpwstr/>
      </vt:variant>
      <vt:variant>
        <vt:lpwstr>_Toc137039562</vt:lpwstr>
      </vt:variant>
      <vt:variant>
        <vt:i4>1769520</vt:i4>
      </vt:variant>
      <vt:variant>
        <vt:i4>2702</vt:i4>
      </vt:variant>
      <vt:variant>
        <vt:i4>0</vt:i4>
      </vt:variant>
      <vt:variant>
        <vt:i4>5</vt:i4>
      </vt:variant>
      <vt:variant>
        <vt:lpwstr/>
      </vt:variant>
      <vt:variant>
        <vt:lpwstr>_Toc137039561</vt:lpwstr>
      </vt:variant>
      <vt:variant>
        <vt:i4>1769520</vt:i4>
      </vt:variant>
      <vt:variant>
        <vt:i4>2696</vt:i4>
      </vt:variant>
      <vt:variant>
        <vt:i4>0</vt:i4>
      </vt:variant>
      <vt:variant>
        <vt:i4>5</vt:i4>
      </vt:variant>
      <vt:variant>
        <vt:lpwstr/>
      </vt:variant>
      <vt:variant>
        <vt:lpwstr>_Toc137039560</vt:lpwstr>
      </vt:variant>
      <vt:variant>
        <vt:i4>1572912</vt:i4>
      </vt:variant>
      <vt:variant>
        <vt:i4>2690</vt:i4>
      </vt:variant>
      <vt:variant>
        <vt:i4>0</vt:i4>
      </vt:variant>
      <vt:variant>
        <vt:i4>5</vt:i4>
      </vt:variant>
      <vt:variant>
        <vt:lpwstr/>
      </vt:variant>
      <vt:variant>
        <vt:lpwstr>_Toc137039559</vt:lpwstr>
      </vt:variant>
      <vt:variant>
        <vt:i4>1572912</vt:i4>
      </vt:variant>
      <vt:variant>
        <vt:i4>2684</vt:i4>
      </vt:variant>
      <vt:variant>
        <vt:i4>0</vt:i4>
      </vt:variant>
      <vt:variant>
        <vt:i4>5</vt:i4>
      </vt:variant>
      <vt:variant>
        <vt:lpwstr/>
      </vt:variant>
      <vt:variant>
        <vt:lpwstr>_Toc137039558</vt:lpwstr>
      </vt:variant>
      <vt:variant>
        <vt:i4>1572912</vt:i4>
      </vt:variant>
      <vt:variant>
        <vt:i4>2678</vt:i4>
      </vt:variant>
      <vt:variant>
        <vt:i4>0</vt:i4>
      </vt:variant>
      <vt:variant>
        <vt:i4>5</vt:i4>
      </vt:variant>
      <vt:variant>
        <vt:lpwstr/>
      </vt:variant>
      <vt:variant>
        <vt:lpwstr>_Toc137039557</vt:lpwstr>
      </vt:variant>
      <vt:variant>
        <vt:i4>1572912</vt:i4>
      </vt:variant>
      <vt:variant>
        <vt:i4>2672</vt:i4>
      </vt:variant>
      <vt:variant>
        <vt:i4>0</vt:i4>
      </vt:variant>
      <vt:variant>
        <vt:i4>5</vt:i4>
      </vt:variant>
      <vt:variant>
        <vt:lpwstr/>
      </vt:variant>
      <vt:variant>
        <vt:lpwstr>_Toc137039556</vt:lpwstr>
      </vt:variant>
      <vt:variant>
        <vt:i4>1572912</vt:i4>
      </vt:variant>
      <vt:variant>
        <vt:i4>2666</vt:i4>
      </vt:variant>
      <vt:variant>
        <vt:i4>0</vt:i4>
      </vt:variant>
      <vt:variant>
        <vt:i4>5</vt:i4>
      </vt:variant>
      <vt:variant>
        <vt:lpwstr/>
      </vt:variant>
      <vt:variant>
        <vt:lpwstr>_Toc137039555</vt:lpwstr>
      </vt:variant>
      <vt:variant>
        <vt:i4>1572912</vt:i4>
      </vt:variant>
      <vt:variant>
        <vt:i4>2660</vt:i4>
      </vt:variant>
      <vt:variant>
        <vt:i4>0</vt:i4>
      </vt:variant>
      <vt:variant>
        <vt:i4>5</vt:i4>
      </vt:variant>
      <vt:variant>
        <vt:lpwstr/>
      </vt:variant>
      <vt:variant>
        <vt:lpwstr>_Toc137039554</vt:lpwstr>
      </vt:variant>
      <vt:variant>
        <vt:i4>1572912</vt:i4>
      </vt:variant>
      <vt:variant>
        <vt:i4>2654</vt:i4>
      </vt:variant>
      <vt:variant>
        <vt:i4>0</vt:i4>
      </vt:variant>
      <vt:variant>
        <vt:i4>5</vt:i4>
      </vt:variant>
      <vt:variant>
        <vt:lpwstr/>
      </vt:variant>
      <vt:variant>
        <vt:lpwstr>_Toc137039553</vt:lpwstr>
      </vt:variant>
      <vt:variant>
        <vt:i4>1572912</vt:i4>
      </vt:variant>
      <vt:variant>
        <vt:i4>2648</vt:i4>
      </vt:variant>
      <vt:variant>
        <vt:i4>0</vt:i4>
      </vt:variant>
      <vt:variant>
        <vt:i4>5</vt:i4>
      </vt:variant>
      <vt:variant>
        <vt:lpwstr/>
      </vt:variant>
      <vt:variant>
        <vt:lpwstr>_Toc137039552</vt:lpwstr>
      </vt:variant>
      <vt:variant>
        <vt:i4>1572912</vt:i4>
      </vt:variant>
      <vt:variant>
        <vt:i4>2642</vt:i4>
      </vt:variant>
      <vt:variant>
        <vt:i4>0</vt:i4>
      </vt:variant>
      <vt:variant>
        <vt:i4>5</vt:i4>
      </vt:variant>
      <vt:variant>
        <vt:lpwstr/>
      </vt:variant>
      <vt:variant>
        <vt:lpwstr>_Toc137039551</vt:lpwstr>
      </vt:variant>
      <vt:variant>
        <vt:i4>1572912</vt:i4>
      </vt:variant>
      <vt:variant>
        <vt:i4>2636</vt:i4>
      </vt:variant>
      <vt:variant>
        <vt:i4>0</vt:i4>
      </vt:variant>
      <vt:variant>
        <vt:i4>5</vt:i4>
      </vt:variant>
      <vt:variant>
        <vt:lpwstr/>
      </vt:variant>
      <vt:variant>
        <vt:lpwstr>_Toc137039550</vt:lpwstr>
      </vt:variant>
      <vt:variant>
        <vt:i4>1638448</vt:i4>
      </vt:variant>
      <vt:variant>
        <vt:i4>2630</vt:i4>
      </vt:variant>
      <vt:variant>
        <vt:i4>0</vt:i4>
      </vt:variant>
      <vt:variant>
        <vt:i4>5</vt:i4>
      </vt:variant>
      <vt:variant>
        <vt:lpwstr/>
      </vt:variant>
      <vt:variant>
        <vt:lpwstr>_Toc137039549</vt:lpwstr>
      </vt:variant>
      <vt:variant>
        <vt:i4>1638448</vt:i4>
      </vt:variant>
      <vt:variant>
        <vt:i4>2624</vt:i4>
      </vt:variant>
      <vt:variant>
        <vt:i4>0</vt:i4>
      </vt:variant>
      <vt:variant>
        <vt:i4>5</vt:i4>
      </vt:variant>
      <vt:variant>
        <vt:lpwstr/>
      </vt:variant>
      <vt:variant>
        <vt:lpwstr>_Toc137039548</vt:lpwstr>
      </vt:variant>
      <vt:variant>
        <vt:i4>1638448</vt:i4>
      </vt:variant>
      <vt:variant>
        <vt:i4>2618</vt:i4>
      </vt:variant>
      <vt:variant>
        <vt:i4>0</vt:i4>
      </vt:variant>
      <vt:variant>
        <vt:i4>5</vt:i4>
      </vt:variant>
      <vt:variant>
        <vt:lpwstr/>
      </vt:variant>
      <vt:variant>
        <vt:lpwstr>_Toc137039547</vt:lpwstr>
      </vt:variant>
      <vt:variant>
        <vt:i4>1638448</vt:i4>
      </vt:variant>
      <vt:variant>
        <vt:i4>2612</vt:i4>
      </vt:variant>
      <vt:variant>
        <vt:i4>0</vt:i4>
      </vt:variant>
      <vt:variant>
        <vt:i4>5</vt:i4>
      </vt:variant>
      <vt:variant>
        <vt:lpwstr/>
      </vt:variant>
      <vt:variant>
        <vt:lpwstr>_Toc137039546</vt:lpwstr>
      </vt:variant>
      <vt:variant>
        <vt:i4>1638448</vt:i4>
      </vt:variant>
      <vt:variant>
        <vt:i4>2606</vt:i4>
      </vt:variant>
      <vt:variant>
        <vt:i4>0</vt:i4>
      </vt:variant>
      <vt:variant>
        <vt:i4>5</vt:i4>
      </vt:variant>
      <vt:variant>
        <vt:lpwstr/>
      </vt:variant>
      <vt:variant>
        <vt:lpwstr>_Toc137039545</vt:lpwstr>
      </vt:variant>
      <vt:variant>
        <vt:i4>1638448</vt:i4>
      </vt:variant>
      <vt:variant>
        <vt:i4>2600</vt:i4>
      </vt:variant>
      <vt:variant>
        <vt:i4>0</vt:i4>
      </vt:variant>
      <vt:variant>
        <vt:i4>5</vt:i4>
      </vt:variant>
      <vt:variant>
        <vt:lpwstr/>
      </vt:variant>
      <vt:variant>
        <vt:lpwstr>_Toc137039544</vt:lpwstr>
      </vt:variant>
      <vt:variant>
        <vt:i4>1638448</vt:i4>
      </vt:variant>
      <vt:variant>
        <vt:i4>2594</vt:i4>
      </vt:variant>
      <vt:variant>
        <vt:i4>0</vt:i4>
      </vt:variant>
      <vt:variant>
        <vt:i4>5</vt:i4>
      </vt:variant>
      <vt:variant>
        <vt:lpwstr/>
      </vt:variant>
      <vt:variant>
        <vt:lpwstr>_Toc137039543</vt:lpwstr>
      </vt:variant>
      <vt:variant>
        <vt:i4>1638448</vt:i4>
      </vt:variant>
      <vt:variant>
        <vt:i4>2588</vt:i4>
      </vt:variant>
      <vt:variant>
        <vt:i4>0</vt:i4>
      </vt:variant>
      <vt:variant>
        <vt:i4>5</vt:i4>
      </vt:variant>
      <vt:variant>
        <vt:lpwstr/>
      </vt:variant>
      <vt:variant>
        <vt:lpwstr>_Toc137039542</vt:lpwstr>
      </vt:variant>
      <vt:variant>
        <vt:i4>1638448</vt:i4>
      </vt:variant>
      <vt:variant>
        <vt:i4>2582</vt:i4>
      </vt:variant>
      <vt:variant>
        <vt:i4>0</vt:i4>
      </vt:variant>
      <vt:variant>
        <vt:i4>5</vt:i4>
      </vt:variant>
      <vt:variant>
        <vt:lpwstr/>
      </vt:variant>
      <vt:variant>
        <vt:lpwstr>_Toc137039541</vt:lpwstr>
      </vt:variant>
      <vt:variant>
        <vt:i4>1638448</vt:i4>
      </vt:variant>
      <vt:variant>
        <vt:i4>2576</vt:i4>
      </vt:variant>
      <vt:variant>
        <vt:i4>0</vt:i4>
      </vt:variant>
      <vt:variant>
        <vt:i4>5</vt:i4>
      </vt:variant>
      <vt:variant>
        <vt:lpwstr/>
      </vt:variant>
      <vt:variant>
        <vt:lpwstr>_Toc137039540</vt:lpwstr>
      </vt:variant>
      <vt:variant>
        <vt:i4>1966128</vt:i4>
      </vt:variant>
      <vt:variant>
        <vt:i4>2570</vt:i4>
      </vt:variant>
      <vt:variant>
        <vt:i4>0</vt:i4>
      </vt:variant>
      <vt:variant>
        <vt:i4>5</vt:i4>
      </vt:variant>
      <vt:variant>
        <vt:lpwstr/>
      </vt:variant>
      <vt:variant>
        <vt:lpwstr>_Toc137039539</vt:lpwstr>
      </vt:variant>
      <vt:variant>
        <vt:i4>1966128</vt:i4>
      </vt:variant>
      <vt:variant>
        <vt:i4>2564</vt:i4>
      </vt:variant>
      <vt:variant>
        <vt:i4>0</vt:i4>
      </vt:variant>
      <vt:variant>
        <vt:i4>5</vt:i4>
      </vt:variant>
      <vt:variant>
        <vt:lpwstr/>
      </vt:variant>
      <vt:variant>
        <vt:lpwstr>_Toc137039538</vt:lpwstr>
      </vt:variant>
      <vt:variant>
        <vt:i4>1966128</vt:i4>
      </vt:variant>
      <vt:variant>
        <vt:i4>2558</vt:i4>
      </vt:variant>
      <vt:variant>
        <vt:i4>0</vt:i4>
      </vt:variant>
      <vt:variant>
        <vt:i4>5</vt:i4>
      </vt:variant>
      <vt:variant>
        <vt:lpwstr/>
      </vt:variant>
      <vt:variant>
        <vt:lpwstr>_Toc137039537</vt:lpwstr>
      </vt:variant>
      <vt:variant>
        <vt:i4>1966128</vt:i4>
      </vt:variant>
      <vt:variant>
        <vt:i4>2552</vt:i4>
      </vt:variant>
      <vt:variant>
        <vt:i4>0</vt:i4>
      </vt:variant>
      <vt:variant>
        <vt:i4>5</vt:i4>
      </vt:variant>
      <vt:variant>
        <vt:lpwstr/>
      </vt:variant>
      <vt:variant>
        <vt:lpwstr>_Toc137039536</vt:lpwstr>
      </vt:variant>
      <vt:variant>
        <vt:i4>1966128</vt:i4>
      </vt:variant>
      <vt:variant>
        <vt:i4>2546</vt:i4>
      </vt:variant>
      <vt:variant>
        <vt:i4>0</vt:i4>
      </vt:variant>
      <vt:variant>
        <vt:i4>5</vt:i4>
      </vt:variant>
      <vt:variant>
        <vt:lpwstr/>
      </vt:variant>
      <vt:variant>
        <vt:lpwstr>_Toc137039535</vt:lpwstr>
      </vt:variant>
      <vt:variant>
        <vt:i4>1966128</vt:i4>
      </vt:variant>
      <vt:variant>
        <vt:i4>2540</vt:i4>
      </vt:variant>
      <vt:variant>
        <vt:i4>0</vt:i4>
      </vt:variant>
      <vt:variant>
        <vt:i4>5</vt:i4>
      </vt:variant>
      <vt:variant>
        <vt:lpwstr/>
      </vt:variant>
      <vt:variant>
        <vt:lpwstr>_Toc137039534</vt:lpwstr>
      </vt:variant>
      <vt:variant>
        <vt:i4>1966128</vt:i4>
      </vt:variant>
      <vt:variant>
        <vt:i4>2534</vt:i4>
      </vt:variant>
      <vt:variant>
        <vt:i4>0</vt:i4>
      </vt:variant>
      <vt:variant>
        <vt:i4>5</vt:i4>
      </vt:variant>
      <vt:variant>
        <vt:lpwstr/>
      </vt:variant>
      <vt:variant>
        <vt:lpwstr>_Toc137039533</vt:lpwstr>
      </vt:variant>
      <vt:variant>
        <vt:i4>1966128</vt:i4>
      </vt:variant>
      <vt:variant>
        <vt:i4>2528</vt:i4>
      </vt:variant>
      <vt:variant>
        <vt:i4>0</vt:i4>
      </vt:variant>
      <vt:variant>
        <vt:i4>5</vt:i4>
      </vt:variant>
      <vt:variant>
        <vt:lpwstr/>
      </vt:variant>
      <vt:variant>
        <vt:lpwstr>_Toc137039532</vt:lpwstr>
      </vt:variant>
      <vt:variant>
        <vt:i4>1966128</vt:i4>
      </vt:variant>
      <vt:variant>
        <vt:i4>2522</vt:i4>
      </vt:variant>
      <vt:variant>
        <vt:i4>0</vt:i4>
      </vt:variant>
      <vt:variant>
        <vt:i4>5</vt:i4>
      </vt:variant>
      <vt:variant>
        <vt:lpwstr/>
      </vt:variant>
      <vt:variant>
        <vt:lpwstr>_Toc137039531</vt:lpwstr>
      </vt:variant>
      <vt:variant>
        <vt:i4>1966128</vt:i4>
      </vt:variant>
      <vt:variant>
        <vt:i4>2516</vt:i4>
      </vt:variant>
      <vt:variant>
        <vt:i4>0</vt:i4>
      </vt:variant>
      <vt:variant>
        <vt:i4>5</vt:i4>
      </vt:variant>
      <vt:variant>
        <vt:lpwstr/>
      </vt:variant>
      <vt:variant>
        <vt:lpwstr>_Toc137039530</vt:lpwstr>
      </vt:variant>
      <vt:variant>
        <vt:i4>2031664</vt:i4>
      </vt:variant>
      <vt:variant>
        <vt:i4>2507</vt:i4>
      </vt:variant>
      <vt:variant>
        <vt:i4>0</vt:i4>
      </vt:variant>
      <vt:variant>
        <vt:i4>5</vt:i4>
      </vt:variant>
      <vt:variant>
        <vt:lpwstr/>
      </vt:variant>
      <vt:variant>
        <vt:lpwstr>_Toc137039529</vt:lpwstr>
      </vt:variant>
      <vt:variant>
        <vt:i4>2031664</vt:i4>
      </vt:variant>
      <vt:variant>
        <vt:i4>2501</vt:i4>
      </vt:variant>
      <vt:variant>
        <vt:i4>0</vt:i4>
      </vt:variant>
      <vt:variant>
        <vt:i4>5</vt:i4>
      </vt:variant>
      <vt:variant>
        <vt:lpwstr/>
      </vt:variant>
      <vt:variant>
        <vt:lpwstr>_Toc137039528</vt:lpwstr>
      </vt:variant>
      <vt:variant>
        <vt:i4>2031664</vt:i4>
      </vt:variant>
      <vt:variant>
        <vt:i4>2495</vt:i4>
      </vt:variant>
      <vt:variant>
        <vt:i4>0</vt:i4>
      </vt:variant>
      <vt:variant>
        <vt:i4>5</vt:i4>
      </vt:variant>
      <vt:variant>
        <vt:lpwstr/>
      </vt:variant>
      <vt:variant>
        <vt:lpwstr>_Toc137039527</vt:lpwstr>
      </vt:variant>
      <vt:variant>
        <vt:i4>2031664</vt:i4>
      </vt:variant>
      <vt:variant>
        <vt:i4>2489</vt:i4>
      </vt:variant>
      <vt:variant>
        <vt:i4>0</vt:i4>
      </vt:variant>
      <vt:variant>
        <vt:i4>5</vt:i4>
      </vt:variant>
      <vt:variant>
        <vt:lpwstr/>
      </vt:variant>
      <vt:variant>
        <vt:lpwstr>_Toc137039526</vt:lpwstr>
      </vt:variant>
      <vt:variant>
        <vt:i4>2031664</vt:i4>
      </vt:variant>
      <vt:variant>
        <vt:i4>2483</vt:i4>
      </vt:variant>
      <vt:variant>
        <vt:i4>0</vt:i4>
      </vt:variant>
      <vt:variant>
        <vt:i4>5</vt:i4>
      </vt:variant>
      <vt:variant>
        <vt:lpwstr/>
      </vt:variant>
      <vt:variant>
        <vt:lpwstr>_Toc137039525</vt:lpwstr>
      </vt:variant>
      <vt:variant>
        <vt:i4>2031664</vt:i4>
      </vt:variant>
      <vt:variant>
        <vt:i4>2477</vt:i4>
      </vt:variant>
      <vt:variant>
        <vt:i4>0</vt:i4>
      </vt:variant>
      <vt:variant>
        <vt:i4>5</vt:i4>
      </vt:variant>
      <vt:variant>
        <vt:lpwstr/>
      </vt:variant>
      <vt:variant>
        <vt:lpwstr>_Toc137039524</vt:lpwstr>
      </vt:variant>
      <vt:variant>
        <vt:i4>2031664</vt:i4>
      </vt:variant>
      <vt:variant>
        <vt:i4>2471</vt:i4>
      </vt:variant>
      <vt:variant>
        <vt:i4>0</vt:i4>
      </vt:variant>
      <vt:variant>
        <vt:i4>5</vt:i4>
      </vt:variant>
      <vt:variant>
        <vt:lpwstr/>
      </vt:variant>
      <vt:variant>
        <vt:lpwstr>_Toc137039523</vt:lpwstr>
      </vt:variant>
      <vt:variant>
        <vt:i4>2031664</vt:i4>
      </vt:variant>
      <vt:variant>
        <vt:i4>2465</vt:i4>
      </vt:variant>
      <vt:variant>
        <vt:i4>0</vt:i4>
      </vt:variant>
      <vt:variant>
        <vt:i4>5</vt:i4>
      </vt:variant>
      <vt:variant>
        <vt:lpwstr/>
      </vt:variant>
      <vt:variant>
        <vt:lpwstr>_Toc137039522</vt:lpwstr>
      </vt:variant>
      <vt:variant>
        <vt:i4>2031664</vt:i4>
      </vt:variant>
      <vt:variant>
        <vt:i4>2459</vt:i4>
      </vt:variant>
      <vt:variant>
        <vt:i4>0</vt:i4>
      </vt:variant>
      <vt:variant>
        <vt:i4>5</vt:i4>
      </vt:variant>
      <vt:variant>
        <vt:lpwstr/>
      </vt:variant>
      <vt:variant>
        <vt:lpwstr>_Toc137039521</vt:lpwstr>
      </vt:variant>
      <vt:variant>
        <vt:i4>2031664</vt:i4>
      </vt:variant>
      <vt:variant>
        <vt:i4>2453</vt:i4>
      </vt:variant>
      <vt:variant>
        <vt:i4>0</vt:i4>
      </vt:variant>
      <vt:variant>
        <vt:i4>5</vt:i4>
      </vt:variant>
      <vt:variant>
        <vt:lpwstr/>
      </vt:variant>
      <vt:variant>
        <vt:lpwstr>_Toc137039520</vt:lpwstr>
      </vt:variant>
      <vt:variant>
        <vt:i4>1835056</vt:i4>
      </vt:variant>
      <vt:variant>
        <vt:i4>2447</vt:i4>
      </vt:variant>
      <vt:variant>
        <vt:i4>0</vt:i4>
      </vt:variant>
      <vt:variant>
        <vt:i4>5</vt:i4>
      </vt:variant>
      <vt:variant>
        <vt:lpwstr/>
      </vt:variant>
      <vt:variant>
        <vt:lpwstr>_Toc137039519</vt:lpwstr>
      </vt:variant>
      <vt:variant>
        <vt:i4>1835056</vt:i4>
      </vt:variant>
      <vt:variant>
        <vt:i4>2441</vt:i4>
      </vt:variant>
      <vt:variant>
        <vt:i4>0</vt:i4>
      </vt:variant>
      <vt:variant>
        <vt:i4>5</vt:i4>
      </vt:variant>
      <vt:variant>
        <vt:lpwstr/>
      </vt:variant>
      <vt:variant>
        <vt:lpwstr>_Toc137039518</vt:lpwstr>
      </vt:variant>
      <vt:variant>
        <vt:i4>1835056</vt:i4>
      </vt:variant>
      <vt:variant>
        <vt:i4>2435</vt:i4>
      </vt:variant>
      <vt:variant>
        <vt:i4>0</vt:i4>
      </vt:variant>
      <vt:variant>
        <vt:i4>5</vt:i4>
      </vt:variant>
      <vt:variant>
        <vt:lpwstr/>
      </vt:variant>
      <vt:variant>
        <vt:lpwstr>_Toc137039517</vt:lpwstr>
      </vt:variant>
      <vt:variant>
        <vt:i4>1835056</vt:i4>
      </vt:variant>
      <vt:variant>
        <vt:i4>2429</vt:i4>
      </vt:variant>
      <vt:variant>
        <vt:i4>0</vt:i4>
      </vt:variant>
      <vt:variant>
        <vt:i4>5</vt:i4>
      </vt:variant>
      <vt:variant>
        <vt:lpwstr/>
      </vt:variant>
      <vt:variant>
        <vt:lpwstr>_Toc137039516</vt:lpwstr>
      </vt:variant>
      <vt:variant>
        <vt:i4>1835056</vt:i4>
      </vt:variant>
      <vt:variant>
        <vt:i4>2423</vt:i4>
      </vt:variant>
      <vt:variant>
        <vt:i4>0</vt:i4>
      </vt:variant>
      <vt:variant>
        <vt:i4>5</vt:i4>
      </vt:variant>
      <vt:variant>
        <vt:lpwstr/>
      </vt:variant>
      <vt:variant>
        <vt:lpwstr>_Toc137039515</vt:lpwstr>
      </vt:variant>
      <vt:variant>
        <vt:i4>1835056</vt:i4>
      </vt:variant>
      <vt:variant>
        <vt:i4>2417</vt:i4>
      </vt:variant>
      <vt:variant>
        <vt:i4>0</vt:i4>
      </vt:variant>
      <vt:variant>
        <vt:i4>5</vt:i4>
      </vt:variant>
      <vt:variant>
        <vt:lpwstr/>
      </vt:variant>
      <vt:variant>
        <vt:lpwstr>_Toc137039514</vt:lpwstr>
      </vt:variant>
      <vt:variant>
        <vt:i4>1835056</vt:i4>
      </vt:variant>
      <vt:variant>
        <vt:i4>2411</vt:i4>
      </vt:variant>
      <vt:variant>
        <vt:i4>0</vt:i4>
      </vt:variant>
      <vt:variant>
        <vt:i4>5</vt:i4>
      </vt:variant>
      <vt:variant>
        <vt:lpwstr/>
      </vt:variant>
      <vt:variant>
        <vt:lpwstr>_Toc137039513</vt:lpwstr>
      </vt:variant>
      <vt:variant>
        <vt:i4>1835056</vt:i4>
      </vt:variant>
      <vt:variant>
        <vt:i4>2405</vt:i4>
      </vt:variant>
      <vt:variant>
        <vt:i4>0</vt:i4>
      </vt:variant>
      <vt:variant>
        <vt:i4>5</vt:i4>
      </vt:variant>
      <vt:variant>
        <vt:lpwstr/>
      </vt:variant>
      <vt:variant>
        <vt:lpwstr>_Toc137039512</vt:lpwstr>
      </vt:variant>
      <vt:variant>
        <vt:i4>1835056</vt:i4>
      </vt:variant>
      <vt:variant>
        <vt:i4>2399</vt:i4>
      </vt:variant>
      <vt:variant>
        <vt:i4>0</vt:i4>
      </vt:variant>
      <vt:variant>
        <vt:i4>5</vt:i4>
      </vt:variant>
      <vt:variant>
        <vt:lpwstr/>
      </vt:variant>
      <vt:variant>
        <vt:lpwstr>_Toc137039511</vt:lpwstr>
      </vt:variant>
      <vt:variant>
        <vt:i4>1835056</vt:i4>
      </vt:variant>
      <vt:variant>
        <vt:i4>2393</vt:i4>
      </vt:variant>
      <vt:variant>
        <vt:i4>0</vt:i4>
      </vt:variant>
      <vt:variant>
        <vt:i4>5</vt:i4>
      </vt:variant>
      <vt:variant>
        <vt:lpwstr/>
      </vt:variant>
      <vt:variant>
        <vt:lpwstr>_Toc137039510</vt:lpwstr>
      </vt:variant>
      <vt:variant>
        <vt:i4>1900592</vt:i4>
      </vt:variant>
      <vt:variant>
        <vt:i4>2387</vt:i4>
      </vt:variant>
      <vt:variant>
        <vt:i4>0</vt:i4>
      </vt:variant>
      <vt:variant>
        <vt:i4>5</vt:i4>
      </vt:variant>
      <vt:variant>
        <vt:lpwstr/>
      </vt:variant>
      <vt:variant>
        <vt:lpwstr>_Toc137039509</vt:lpwstr>
      </vt:variant>
      <vt:variant>
        <vt:i4>1900592</vt:i4>
      </vt:variant>
      <vt:variant>
        <vt:i4>2381</vt:i4>
      </vt:variant>
      <vt:variant>
        <vt:i4>0</vt:i4>
      </vt:variant>
      <vt:variant>
        <vt:i4>5</vt:i4>
      </vt:variant>
      <vt:variant>
        <vt:lpwstr/>
      </vt:variant>
      <vt:variant>
        <vt:lpwstr>_Toc137039508</vt:lpwstr>
      </vt:variant>
      <vt:variant>
        <vt:i4>1900592</vt:i4>
      </vt:variant>
      <vt:variant>
        <vt:i4>2375</vt:i4>
      </vt:variant>
      <vt:variant>
        <vt:i4>0</vt:i4>
      </vt:variant>
      <vt:variant>
        <vt:i4>5</vt:i4>
      </vt:variant>
      <vt:variant>
        <vt:lpwstr/>
      </vt:variant>
      <vt:variant>
        <vt:lpwstr>_Toc137039507</vt:lpwstr>
      </vt:variant>
      <vt:variant>
        <vt:i4>1900592</vt:i4>
      </vt:variant>
      <vt:variant>
        <vt:i4>2369</vt:i4>
      </vt:variant>
      <vt:variant>
        <vt:i4>0</vt:i4>
      </vt:variant>
      <vt:variant>
        <vt:i4>5</vt:i4>
      </vt:variant>
      <vt:variant>
        <vt:lpwstr/>
      </vt:variant>
      <vt:variant>
        <vt:lpwstr>_Toc137039506</vt:lpwstr>
      </vt:variant>
      <vt:variant>
        <vt:i4>1900592</vt:i4>
      </vt:variant>
      <vt:variant>
        <vt:i4>2363</vt:i4>
      </vt:variant>
      <vt:variant>
        <vt:i4>0</vt:i4>
      </vt:variant>
      <vt:variant>
        <vt:i4>5</vt:i4>
      </vt:variant>
      <vt:variant>
        <vt:lpwstr/>
      </vt:variant>
      <vt:variant>
        <vt:lpwstr>_Toc137039505</vt:lpwstr>
      </vt:variant>
      <vt:variant>
        <vt:i4>1900592</vt:i4>
      </vt:variant>
      <vt:variant>
        <vt:i4>2357</vt:i4>
      </vt:variant>
      <vt:variant>
        <vt:i4>0</vt:i4>
      </vt:variant>
      <vt:variant>
        <vt:i4>5</vt:i4>
      </vt:variant>
      <vt:variant>
        <vt:lpwstr/>
      </vt:variant>
      <vt:variant>
        <vt:lpwstr>_Toc137039504</vt:lpwstr>
      </vt:variant>
      <vt:variant>
        <vt:i4>1900592</vt:i4>
      </vt:variant>
      <vt:variant>
        <vt:i4>2351</vt:i4>
      </vt:variant>
      <vt:variant>
        <vt:i4>0</vt:i4>
      </vt:variant>
      <vt:variant>
        <vt:i4>5</vt:i4>
      </vt:variant>
      <vt:variant>
        <vt:lpwstr/>
      </vt:variant>
      <vt:variant>
        <vt:lpwstr>_Toc137039503</vt:lpwstr>
      </vt:variant>
      <vt:variant>
        <vt:i4>1900592</vt:i4>
      </vt:variant>
      <vt:variant>
        <vt:i4>2345</vt:i4>
      </vt:variant>
      <vt:variant>
        <vt:i4>0</vt:i4>
      </vt:variant>
      <vt:variant>
        <vt:i4>5</vt:i4>
      </vt:variant>
      <vt:variant>
        <vt:lpwstr/>
      </vt:variant>
      <vt:variant>
        <vt:lpwstr>_Toc137039502</vt:lpwstr>
      </vt:variant>
      <vt:variant>
        <vt:i4>1900592</vt:i4>
      </vt:variant>
      <vt:variant>
        <vt:i4>2339</vt:i4>
      </vt:variant>
      <vt:variant>
        <vt:i4>0</vt:i4>
      </vt:variant>
      <vt:variant>
        <vt:i4>5</vt:i4>
      </vt:variant>
      <vt:variant>
        <vt:lpwstr/>
      </vt:variant>
      <vt:variant>
        <vt:lpwstr>_Toc137039501</vt:lpwstr>
      </vt:variant>
      <vt:variant>
        <vt:i4>1900592</vt:i4>
      </vt:variant>
      <vt:variant>
        <vt:i4>2333</vt:i4>
      </vt:variant>
      <vt:variant>
        <vt:i4>0</vt:i4>
      </vt:variant>
      <vt:variant>
        <vt:i4>5</vt:i4>
      </vt:variant>
      <vt:variant>
        <vt:lpwstr/>
      </vt:variant>
      <vt:variant>
        <vt:lpwstr>_Toc137039500</vt:lpwstr>
      </vt:variant>
      <vt:variant>
        <vt:i4>1310769</vt:i4>
      </vt:variant>
      <vt:variant>
        <vt:i4>2327</vt:i4>
      </vt:variant>
      <vt:variant>
        <vt:i4>0</vt:i4>
      </vt:variant>
      <vt:variant>
        <vt:i4>5</vt:i4>
      </vt:variant>
      <vt:variant>
        <vt:lpwstr/>
      </vt:variant>
      <vt:variant>
        <vt:lpwstr>_Toc137039499</vt:lpwstr>
      </vt:variant>
      <vt:variant>
        <vt:i4>1310769</vt:i4>
      </vt:variant>
      <vt:variant>
        <vt:i4>2321</vt:i4>
      </vt:variant>
      <vt:variant>
        <vt:i4>0</vt:i4>
      </vt:variant>
      <vt:variant>
        <vt:i4>5</vt:i4>
      </vt:variant>
      <vt:variant>
        <vt:lpwstr/>
      </vt:variant>
      <vt:variant>
        <vt:lpwstr>_Toc137039498</vt:lpwstr>
      </vt:variant>
      <vt:variant>
        <vt:i4>1310769</vt:i4>
      </vt:variant>
      <vt:variant>
        <vt:i4>2315</vt:i4>
      </vt:variant>
      <vt:variant>
        <vt:i4>0</vt:i4>
      </vt:variant>
      <vt:variant>
        <vt:i4>5</vt:i4>
      </vt:variant>
      <vt:variant>
        <vt:lpwstr/>
      </vt:variant>
      <vt:variant>
        <vt:lpwstr>_Toc137039497</vt:lpwstr>
      </vt:variant>
      <vt:variant>
        <vt:i4>1310769</vt:i4>
      </vt:variant>
      <vt:variant>
        <vt:i4>2309</vt:i4>
      </vt:variant>
      <vt:variant>
        <vt:i4>0</vt:i4>
      </vt:variant>
      <vt:variant>
        <vt:i4>5</vt:i4>
      </vt:variant>
      <vt:variant>
        <vt:lpwstr/>
      </vt:variant>
      <vt:variant>
        <vt:lpwstr>_Toc137039496</vt:lpwstr>
      </vt:variant>
      <vt:variant>
        <vt:i4>1310769</vt:i4>
      </vt:variant>
      <vt:variant>
        <vt:i4>2303</vt:i4>
      </vt:variant>
      <vt:variant>
        <vt:i4>0</vt:i4>
      </vt:variant>
      <vt:variant>
        <vt:i4>5</vt:i4>
      </vt:variant>
      <vt:variant>
        <vt:lpwstr/>
      </vt:variant>
      <vt:variant>
        <vt:lpwstr>_Toc137039495</vt:lpwstr>
      </vt:variant>
      <vt:variant>
        <vt:i4>1310769</vt:i4>
      </vt:variant>
      <vt:variant>
        <vt:i4>2297</vt:i4>
      </vt:variant>
      <vt:variant>
        <vt:i4>0</vt:i4>
      </vt:variant>
      <vt:variant>
        <vt:i4>5</vt:i4>
      </vt:variant>
      <vt:variant>
        <vt:lpwstr/>
      </vt:variant>
      <vt:variant>
        <vt:lpwstr>_Toc137039494</vt:lpwstr>
      </vt:variant>
      <vt:variant>
        <vt:i4>1310769</vt:i4>
      </vt:variant>
      <vt:variant>
        <vt:i4>2291</vt:i4>
      </vt:variant>
      <vt:variant>
        <vt:i4>0</vt:i4>
      </vt:variant>
      <vt:variant>
        <vt:i4>5</vt:i4>
      </vt:variant>
      <vt:variant>
        <vt:lpwstr/>
      </vt:variant>
      <vt:variant>
        <vt:lpwstr>_Toc137039493</vt:lpwstr>
      </vt:variant>
      <vt:variant>
        <vt:i4>1310769</vt:i4>
      </vt:variant>
      <vt:variant>
        <vt:i4>2285</vt:i4>
      </vt:variant>
      <vt:variant>
        <vt:i4>0</vt:i4>
      </vt:variant>
      <vt:variant>
        <vt:i4>5</vt:i4>
      </vt:variant>
      <vt:variant>
        <vt:lpwstr/>
      </vt:variant>
      <vt:variant>
        <vt:lpwstr>_Toc137039492</vt:lpwstr>
      </vt:variant>
      <vt:variant>
        <vt:i4>1310769</vt:i4>
      </vt:variant>
      <vt:variant>
        <vt:i4>2279</vt:i4>
      </vt:variant>
      <vt:variant>
        <vt:i4>0</vt:i4>
      </vt:variant>
      <vt:variant>
        <vt:i4>5</vt:i4>
      </vt:variant>
      <vt:variant>
        <vt:lpwstr/>
      </vt:variant>
      <vt:variant>
        <vt:lpwstr>_Toc137039491</vt:lpwstr>
      </vt:variant>
      <vt:variant>
        <vt:i4>1310769</vt:i4>
      </vt:variant>
      <vt:variant>
        <vt:i4>2273</vt:i4>
      </vt:variant>
      <vt:variant>
        <vt:i4>0</vt:i4>
      </vt:variant>
      <vt:variant>
        <vt:i4>5</vt:i4>
      </vt:variant>
      <vt:variant>
        <vt:lpwstr/>
      </vt:variant>
      <vt:variant>
        <vt:lpwstr>_Toc137039490</vt:lpwstr>
      </vt:variant>
      <vt:variant>
        <vt:i4>1376305</vt:i4>
      </vt:variant>
      <vt:variant>
        <vt:i4>2267</vt:i4>
      </vt:variant>
      <vt:variant>
        <vt:i4>0</vt:i4>
      </vt:variant>
      <vt:variant>
        <vt:i4>5</vt:i4>
      </vt:variant>
      <vt:variant>
        <vt:lpwstr/>
      </vt:variant>
      <vt:variant>
        <vt:lpwstr>_Toc137039489</vt:lpwstr>
      </vt:variant>
      <vt:variant>
        <vt:i4>1376305</vt:i4>
      </vt:variant>
      <vt:variant>
        <vt:i4>2261</vt:i4>
      </vt:variant>
      <vt:variant>
        <vt:i4>0</vt:i4>
      </vt:variant>
      <vt:variant>
        <vt:i4>5</vt:i4>
      </vt:variant>
      <vt:variant>
        <vt:lpwstr/>
      </vt:variant>
      <vt:variant>
        <vt:lpwstr>_Toc137039488</vt:lpwstr>
      </vt:variant>
      <vt:variant>
        <vt:i4>1376305</vt:i4>
      </vt:variant>
      <vt:variant>
        <vt:i4>2255</vt:i4>
      </vt:variant>
      <vt:variant>
        <vt:i4>0</vt:i4>
      </vt:variant>
      <vt:variant>
        <vt:i4>5</vt:i4>
      </vt:variant>
      <vt:variant>
        <vt:lpwstr/>
      </vt:variant>
      <vt:variant>
        <vt:lpwstr>_Toc137039487</vt:lpwstr>
      </vt:variant>
      <vt:variant>
        <vt:i4>1376305</vt:i4>
      </vt:variant>
      <vt:variant>
        <vt:i4>2249</vt:i4>
      </vt:variant>
      <vt:variant>
        <vt:i4>0</vt:i4>
      </vt:variant>
      <vt:variant>
        <vt:i4>5</vt:i4>
      </vt:variant>
      <vt:variant>
        <vt:lpwstr/>
      </vt:variant>
      <vt:variant>
        <vt:lpwstr>_Toc137039486</vt:lpwstr>
      </vt:variant>
      <vt:variant>
        <vt:i4>1376305</vt:i4>
      </vt:variant>
      <vt:variant>
        <vt:i4>2243</vt:i4>
      </vt:variant>
      <vt:variant>
        <vt:i4>0</vt:i4>
      </vt:variant>
      <vt:variant>
        <vt:i4>5</vt:i4>
      </vt:variant>
      <vt:variant>
        <vt:lpwstr/>
      </vt:variant>
      <vt:variant>
        <vt:lpwstr>_Toc137039485</vt:lpwstr>
      </vt:variant>
      <vt:variant>
        <vt:i4>1376305</vt:i4>
      </vt:variant>
      <vt:variant>
        <vt:i4>2237</vt:i4>
      </vt:variant>
      <vt:variant>
        <vt:i4>0</vt:i4>
      </vt:variant>
      <vt:variant>
        <vt:i4>5</vt:i4>
      </vt:variant>
      <vt:variant>
        <vt:lpwstr/>
      </vt:variant>
      <vt:variant>
        <vt:lpwstr>_Toc137039484</vt:lpwstr>
      </vt:variant>
      <vt:variant>
        <vt:i4>1376305</vt:i4>
      </vt:variant>
      <vt:variant>
        <vt:i4>2231</vt:i4>
      </vt:variant>
      <vt:variant>
        <vt:i4>0</vt:i4>
      </vt:variant>
      <vt:variant>
        <vt:i4>5</vt:i4>
      </vt:variant>
      <vt:variant>
        <vt:lpwstr/>
      </vt:variant>
      <vt:variant>
        <vt:lpwstr>_Toc137039483</vt:lpwstr>
      </vt:variant>
      <vt:variant>
        <vt:i4>1376305</vt:i4>
      </vt:variant>
      <vt:variant>
        <vt:i4>2225</vt:i4>
      </vt:variant>
      <vt:variant>
        <vt:i4>0</vt:i4>
      </vt:variant>
      <vt:variant>
        <vt:i4>5</vt:i4>
      </vt:variant>
      <vt:variant>
        <vt:lpwstr/>
      </vt:variant>
      <vt:variant>
        <vt:lpwstr>_Toc137039482</vt:lpwstr>
      </vt:variant>
      <vt:variant>
        <vt:i4>1376305</vt:i4>
      </vt:variant>
      <vt:variant>
        <vt:i4>2219</vt:i4>
      </vt:variant>
      <vt:variant>
        <vt:i4>0</vt:i4>
      </vt:variant>
      <vt:variant>
        <vt:i4>5</vt:i4>
      </vt:variant>
      <vt:variant>
        <vt:lpwstr/>
      </vt:variant>
      <vt:variant>
        <vt:lpwstr>_Toc137039481</vt:lpwstr>
      </vt:variant>
      <vt:variant>
        <vt:i4>1376305</vt:i4>
      </vt:variant>
      <vt:variant>
        <vt:i4>2213</vt:i4>
      </vt:variant>
      <vt:variant>
        <vt:i4>0</vt:i4>
      </vt:variant>
      <vt:variant>
        <vt:i4>5</vt:i4>
      </vt:variant>
      <vt:variant>
        <vt:lpwstr/>
      </vt:variant>
      <vt:variant>
        <vt:lpwstr>_Toc137039480</vt:lpwstr>
      </vt:variant>
      <vt:variant>
        <vt:i4>1703985</vt:i4>
      </vt:variant>
      <vt:variant>
        <vt:i4>2207</vt:i4>
      </vt:variant>
      <vt:variant>
        <vt:i4>0</vt:i4>
      </vt:variant>
      <vt:variant>
        <vt:i4>5</vt:i4>
      </vt:variant>
      <vt:variant>
        <vt:lpwstr/>
      </vt:variant>
      <vt:variant>
        <vt:lpwstr>_Toc137039479</vt:lpwstr>
      </vt:variant>
      <vt:variant>
        <vt:i4>1703985</vt:i4>
      </vt:variant>
      <vt:variant>
        <vt:i4>2201</vt:i4>
      </vt:variant>
      <vt:variant>
        <vt:i4>0</vt:i4>
      </vt:variant>
      <vt:variant>
        <vt:i4>5</vt:i4>
      </vt:variant>
      <vt:variant>
        <vt:lpwstr/>
      </vt:variant>
      <vt:variant>
        <vt:lpwstr>_Toc137039478</vt:lpwstr>
      </vt:variant>
      <vt:variant>
        <vt:i4>1703985</vt:i4>
      </vt:variant>
      <vt:variant>
        <vt:i4>2195</vt:i4>
      </vt:variant>
      <vt:variant>
        <vt:i4>0</vt:i4>
      </vt:variant>
      <vt:variant>
        <vt:i4>5</vt:i4>
      </vt:variant>
      <vt:variant>
        <vt:lpwstr/>
      </vt:variant>
      <vt:variant>
        <vt:lpwstr>_Toc137039477</vt:lpwstr>
      </vt:variant>
      <vt:variant>
        <vt:i4>1703985</vt:i4>
      </vt:variant>
      <vt:variant>
        <vt:i4>2189</vt:i4>
      </vt:variant>
      <vt:variant>
        <vt:i4>0</vt:i4>
      </vt:variant>
      <vt:variant>
        <vt:i4>5</vt:i4>
      </vt:variant>
      <vt:variant>
        <vt:lpwstr/>
      </vt:variant>
      <vt:variant>
        <vt:lpwstr>_Toc137039476</vt:lpwstr>
      </vt:variant>
      <vt:variant>
        <vt:i4>1703985</vt:i4>
      </vt:variant>
      <vt:variant>
        <vt:i4>2183</vt:i4>
      </vt:variant>
      <vt:variant>
        <vt:i4>0</vt:i4>
      </vt:variant>
      <vt:variant>
        <vt:i4>5</vt:i4>
      </vt:variant>
      <vt:variant>
        <vt:lpwstr/>
      </vt:variant>
      <vt:variant>
        <vt:lpwstr>_Toc137039475</vt:lpwstr>
      </vt:variant>
      <vt:variant>
        <vt:i4>1703985</vt:i4>
      </vt:variant>
      <vt:variant>
        <vt:i4>2177</vt:i4>
      </vt:variant>
      <vt:variant>
        <vt:i4>0</vt:i4>
      </vt:variant>
      <vt:variant>
        <vt:i4>5</vt:i4>
      </vt:variant>
      <vt:variant>
        <vt:lpwstr/>
      </vt:variant>
      <vt:variant>
        <vt:lpwstr>_Toc137039474</vt:lpwstr>
      </vt:variant>
      <vt:variant>
        <vt:i4>1703985</vt:i4>
      </vt:variant>
      <vt:variant>
        <vt:i4>2171</vt:i4>
      </vt:variant>
      <vt:variant>
        <vt:i4>0</vt:i4>
      </vt:variant>
      <vt:variant>
        <vt:i4>5</vt:i4>
      </vt:variant>
      <vt:variant>
        <vt:lpwstr/>
      </vt:variant>
      <vt:variant>
        <vt:lpwstr>_Toc137039473</vt:lpwstr>
      </vt:variant>
      <vt:variant>
        <vt:i4>1703985</vt:i4>
      </vt:variant>
      <vt:variant>
        <vt:i4>2165</vt:i4>
      </vt:variant>
      <vt:variant>
        <vt:i4>0</vt:i4>
      </vt:variant>
      <vt:variant>
        <vt:i4>5</vt:i4>
      </vt:variant>
      <vt:variant>
        <vt:lpwstr/>
      </vt:variant>
      <vt:variant>
        <vt:lpwstr>_Toc137039472</vt:lpwstr>
      </vt:variant>
      <vt:variant>
        <vt:i4>1703985</vt:i4>
      </vt:variant>
      <vt:variant>
        <vt:i4>2159</vt:i4>
      </vt:variant>
      <vt:variant>
        <vt:i4>0</vt:i4>
      </vt:variant>
      <vt:variant>
        <vt:i4>5</vt:i4>
      </vt:variant>
      <vt:variant>
        <vt:lpwstr/>
      </vt:variant>
      <vt:variant>
        <vt:lpwstr>_Toc137039471</vt:lpwstr>
      </vt:variant>
      <vt:variant>
        <vt:i4>1703985</vt:i4>
      </vt:variant>
      <vt:variant>
        <vt:i4>2153</vt:i4>
      </vt:variant>
      <vt:variant>
        <vt:i4>0</vt:i4>
      </vt:variant>
      <vt:variant>
        <vt:i4>5</vt:i4>
      </vt:variant>
      <vt:variant>
        <vt:lpwstr/>
      </vt:variant>
      <vt:variant>
        <vt:lpwstr>_Toc137039470</vt:lpwstr>
      </vt:variant>
      <vt:variant>
        <vt:i4>1769521</vt:i4>
      </vt:variant>
      <vt:variant>
        <vt:i4>2147</vt:i4>
      </vt:variant>
      <vt:variant>
        <vt:i4>0</vt:i4>
      </vt:variant>
      <vt:variant>
        <vt:i4>5</vt:i4>
      </vt:variant>
      <vt:variant>
        <vt:lpwstr/>
      </vt:variant>
      <vt:variant>
        <vt:lpwstr>_Toc137039469</vt:lpwstr>
      </vt:variant>
      <vt:variant>
        <vt:i4>1769521</vt:i4>
      </vt:variant>
      <vt:variant>
        <vt:i4>2141</vt:i4>
      </vt:variant>
      <vt:variant>
        <vt:i4>0</vt:i4>
      </vt:variant>
      <vt:variant>
        <vt:i4>5</vt:i4>
      </vt:variant>
      <vt:variant>
        <vt:lpwstr/>
      </vt:variant>
      <vt:variant>
        <vt:lpwstr>_Toc137039468</vt:lpwstr>
      </vt:variant>
      <vt:variant>
        <vt:i4>1769521</vt:i4>
      </vt:variant>
      <vt:variant>
        <vt:i4>2135</vt:i4>
      </vt:variant>
      <vt:variant>
        <vt:i4>0</vt:i4>
      </vt:variant>
      <vt:variant>
        <vt:i4>5</vt:i4>
      </vt:variant>
      <vt:variant>
        <vt:lpwstr/>
      </vt:variant>
      <vt:variant>
        <vt:lpwstr>_Toc137039467</vt:lpwstr>
      </vt:variant>
      <vt:variant>
        <vt:i4>1769521</vt:i4>
      </vt:variant>
      <vt:variant>
        <vt:i4>2129</vt:i4>
      </vt:variant>
      <vt:variant>
        <vt:i4>0</vt:i4>
      </vt:variant>
      <vt:variant>
        <vt:i4>5</vt:i4>
      </vt:variant>
      <vt:variant>
        <vt:lpwstr/>
      </vt:variant>
      <vt:variant>
        <vt:lpwstr>_Toc137039466</vt:lpwstr>
      </vt:variant>
      <vt:variant>
        <vt:i4>1769521</vt:i4>
      </vt:variant>
      <vt:variant>
        <vt:i4>2123</vt:i4>
      </vt:variant>
      <vt:variant>
        <vt:i4>0</vt:i4>
      </vt:variant>
      <vt:variant>
        <vt:i4>5</vt:i4>
      </vt:variant>
      <vt:variant>
        <vt:lpwstr/>
      </vt:variant>
      <vt:variant>
        <vt:lpwstr>_Toc137039465</vt:lpwstr>
      </vt:variant>
      <vt:variant>
        <vt:i4>1769521</vt:i4>
      </vt:variant>
      <vt:variant>
        <vt:i4>2117</vt:i4>
      </vt:variant>
      <vt:variant>
        <vt:i4>0</vt:i4>
      </vt:variant>
      <vt:variant>
        <vt:i4>5</vt:i4>
      </vt:variant>
      <vt:variant>
        <vt:lpwstr/>
      </vt:variant>
      <vt:variant>
        <vt:lpwstr>_Toc137039464</vt:lpwstr>
      </vt:variant>
      <vt:variant>
        <vt:i4>1769521</vt:i4>
      </vt:variant>
      <vt:variant>
        <vt:i4>2111</vt:i4>
      </vt:variant>
      <vt:variant>
        <vt:i4>0</vt:i4>
      </vt:variant>
      <vt:variant>
        <vt:i4>5</vt:i4>
      </vt:variant>
      <vt:variant>
        <vt:lpwstr/>
      </vt:variant>
      <vt:variant>
        <vt:lpwstr>_Toc137039463</vt:lpwstr>
      </vt:variant>
      <vt:variant>
        <vt:i4>1769521</vt:i4>
      </vt:variant>
      <vt:variant>
        <vt:i4>2105</vt:i4>
      </vt:variant>
      <vt:variant>
        <vt:i4>0</vt:i4>
      </vt:variant>
      <vt:variant>
        <vt:i4>5</vt:i4>
      </vt:variant>
      <vt:variant>
        <vt:lpwstr/>
      </vt:variant>
      <vt:variant>
        <vt:lpwstr>_Toc137039462</vt:lpwstr>
      </vt:variant>
      <vt:variant>
        <vt:i4>1769521</vt:i4>
      </vt:variant>
      <vt:variant>
        <vt:i4>2099</vt:i4>
      </vt:variant>
      <vt:variant>
        <vt:i4>0</vt:i4>
      </vt:variant>
      <vt:variant>
        <vt:i4>5</vt:i4>
      </vt:variant>
      <vt:variant>
        <vt:lpwstr/>
      </vt:variant>
      <vt:variant>
        <vt:lpwstr>_Toc137039461</vt:lpwstr>
      </vt:variant>
      <vt:variant>
        <vt:i4>1769521</vt:i4>
      </vt:variant>
      <vt:variant>
        <vt:i4>2093</vt:i4>
      </vt:variant>
      <vt:variant>
        <vt:i4>0</vt:i4>
      </vt:variant>
      <vt:variant>
        <vt:i4>5</vt:i4>
      </vt:variant>
      <vt:variant>
        <vt:lpwstr/>
      </vt:variant>
      <vt:variant>
        <vt:lpwstr>_Toc137039460</vt:lpwstr>
      </vt:variant>
      <vt:variant>
        <vt:i4>1572913</vt:i4>
      </vt:variant>
      <vt:variant>
        <vt:i4>2087</vt:i4>
      </vt:variant>
      <vt:variant>
        <vt:i4>0</vt:i4>
      </vt:variant>
      <vt:variant>
        <vt:i4>5</vt:i4>
      </vt:variant>
      <vt:variant>
        <vt:lpwstr/>
      </vt:variant>
      <vt:variant>
        <vt:lpwstr>_Toc137039459</vt:lpwstr>
      </vt:variant>
      <vt:variant>
        <vt:i4>1572913</vt:i4>
      </vt:variant>
      <vt:variant>
        <vt:i4>2081</vt:i4>
      </vt:variant>
      <vt:variant>
        <vt:i4>0</vt:i4>
      </vt:variant>
      <vt:variant>
        <vt:i4>5</vt:i4>
      </vt:variant>
      <vt:variant>
        <vt:lpwstr/>
      </vt:variant>
      <vt:variant>
        <vt:lpwstr>_Toc137039458</vt:lpwstr>
      </vt:variant>
      <vt:variant>
        <vt:i4>1572913</vt:i4>
      </vt:variant>
      <vt:variant>
        <vt:i4>2075</vt:i4>
      </vt:variant>
      <vt:variant>
        <vt:i4>0</vt:i4>
      </vt:variant>
      <vt:variant>
        <vt:i4>5</vt:i4>
      </vt:variant>
      <vt:variant>
        <vt:lpwstr/>
      </vt:variant>
      <vt:variant>
        <vt:lpwstr>_Toc137039457</vt:lpwstr>
      </vt:variant>
      <vt:variant>
        <vt:i4>1572913</vt:i4>
      </vt:variant>
      <vt:variant>
        <vt:i4>2069</vt:i4>
      </vt:variant>
      <vt:variant>
        <vt:i4>0</vt:i4>
      </vt:variant>
      <vt:variant>
        <vt:i4>5</vt:i4>
      </vt:variant>
      <vt:variant>
        <vt:lpwstr/>
      </vt:variant>
      <vt:variant>
        <vt:lpwstr>_Toc137039456</vt:lpwstr>
      </vt:variant>
      <vt:variant>
        <vt:i4>1572913</vt:i4>
      </vt:variant>
      <vt:variant>
        <vt:i4>2063</vt:i4>
      </vt:variant>
      <vt:variant>
        <vt:i4>0</vt:i4>
      </vt:variant>
      <vt:variant>
        <vt:i4>5</vt:i4>
      </vt:variant>
      <vt:variant>
        <vt:lpwstr/>
      </vt:variant>
      <vt:variant>
        <vt:lpwstr>_Toc137039455</vt:lpwstr>
      </vt:variant>
      <vt:variant>
        <vt:i4>1572913</vt:i4>
      </vt:variant>
      <vt:variant>
        <vt:i4>2057</vt:i4>
      </vt:variant>
      <vt:variant>
        <vt:i4>0</vt:i4>
      </vt:variant>
      <vt:variant>
        <vt:i4>5</vt:i4>
      </vt:variant>
      <vt:variant>
        <vt:lpwstr/>
      </vt:variant>
      <vt:variant>
        <vt:lpwstr>_Toc137039454</vt:lpwstr>
      </vt:variant>
      <vt:variant>
        <vt:i4>1572913</vt:i4>
      </vt:variant>
      <vt:variant>
        <vt:i4>2051</vt:i4>
      </vt:variant>
      <vt:variant>
        <vt:i4>0</vt:i4>
      </vt:variant>
      <vt:variant>
        <vt:i4>5</vt:i4>
      </vt:variant>
      <vt:variant>
        <vt:lpwstr/>
      </vt:variant>
      <vt:variant>
        <vt:lpwstr>_Toc137039453</vt:lpwstr>
      </vt:variant>
      <vt:variant>
        <vt:i4>1572913</vt:i4>
      </vt:variant>
      <vt:variant>
        <vt:i4>2045</vt:i4>
      </vt:variant>
      <vt:variant>
        <vt:i4>0</vt:i4>
      </vt:variant>
      <vt:variant>
        <vt:i4>5</vt:i4>
      </vt:variant>
      <vt:variant>
        <vt:lpwstr/>
      </vt:variant>
      <vt:variant>
        <vt:lpwstr>_Toc137039452</vt:lpwstr>
      </vt:variant>
      <vt:variant>
        <vt:i4>1572913</vt:i4>
      </vt:variant>
      <vt:variant>
        <vt:i4>2039</vt:i4>
      </vt:variant>
      <vt:variant>
        <vt:i4>0</vt:i4>
      </vt:variant>
      <vt:variant>
        <vt:i4>5</vt:i4>
      </vt:variant>
      <vt:variant>
        <vt:lpwstr/>
      </vt:variant>
      <vt:variant>
        <vt:lpwstr>_Toc137039451</vt:lpwstr>
      </vt:variant>
      <vt:variant>
        <vt:i4>1572913</vt:i4>
      </vt:variant>
      <vt:variant>
        <vt:i4>2033</vt:i4>
      </vt:variant>
      <vt:variant>
        <vt:i4>0</vt:i4>
      </vt:variant>
      <vt:variant>
        <vt:i4>5</vt:i4>
      </vt:variant>
      <vt:variant>
        <vt:lpwstr/>
      </vt:variant>
      <vt:variant>
        <vt:lpwstr>_Toc137039450</vt:lpwstr>
      </vt:variant>
      <vt:variant>
        <vt:i4>1638449</vt:i4>
      </vt:variant>
      <vt:variant>
        <vt:i4>2027</vt:i4>
      </vt:variant>
      <vt:variant>
        <vt:i4>0</vt:i4>
      </vt:variant>
      <vt:variant>
        <vt:i4>5</vt:i4>
      </vt:variant>
      <vt:variant>
        <vt:lpwstr/>
      </vt:variant>
      <vt:variant>
        <vt:lpwstr>_Toc137039449</vt:lpwstr>
      </vt:variant>
      <vt:variant>
        <vt:i4>1638449</vt:i4>
      </vt:variant>
      <vt:variant>
        <vt:i4>2021</vt:i4>
      </vt:variant>
      <vt:variant>
        <vt:i4>0</vt:i4>
      </vt:variant>
      <vt:variant>
        <vt:i4>5</vt:i4>
      </vt:variant>
      <vt:variant>
        <vt:lpwstr/>
      </vt:variant>
      <vt:variant>
        <vt:lpwstr>_Toc137039448</vt:lpwstr>
      </vt:variant>
      <vt:variant>
        <vt:i4>1638449</vt:i4>
      </vt:variant>
      <vt:variant>
        <vt:i4>2015</vt:i4>
      </vt:variant>
      <vt:variant>
        <vt:i4>0</vt:i4>
      </vt:variant>
      <vt:variant>
        <vt:i4>5</vt:i4>
      </vt:variant>
      <vt:variant>
        <vt:lpwstr/>
      </vt:variant>
      <vt:variant>
        <vt:lpwstr>_Toc137039447</vt:lpwstr>
      </vt:variant>
      <vt:variant>
        <vt:i4>1638449</vt:i4>
      </vt:variant>
      <vt:variant>
        <vt:i4>2009</vt:i4>
      </vt:variant>
      <vt:variant>
        <vt:i4>0</vt:i4>
      </vt:variant>
      <vt:variant>
        <vt:i4>5</vt:i4>
      </vt:variant>
      <vt:variant>
        <vt:lpwstr/>
      </vt:variant>
      <vt:variant>
        <vt:lpwstr>_Toc137039446</vt:lpwstr>
      </vt:variant>
      <vt:variant>
        <vt:i4>1638449</vt:i4>
      </vt:variant>
      <vt:variant>
        <vt:i4>2003</vt:i4>
      </vt:variant>
      <vt:variant>
        <vt:i4>0</vt:i4>
      </vt:variant>
      <vt:variant>
        <vt:i4>5</vt:i4>
      </vt:variant>
      <vt:variant>
        <vt:lpwstr/>
      </vt:variant>
      <vt:variant>
        <vt:lpwstr>_Toc137039445</vt:lpwstr>
      </vt:variant>
      <vt:variant>
        <vt:i4>1638449</vt:i4>
      </vt:variant>
      <vt:variant>
        <vt:i4>1997</vt:i4>
      </vt:variant>
      <vt:variant>
        <vt:i4>0</vt:i4>
      </vt:variant>
      <vt:variant>
        <vt:i4>5</vt:i4>
      </vt:variant>
      <vt:variant>
        <vt:lpwstr/>
      </vt:variant>
      <vt:variant>
        <vt:lpwstr>_Toc137039444</vt:lpwstr>
      </vt:variant>
      <vt:variant>
        <vt:i4>1638449</vt:i4>
      </vt:variant>
      <vt:variant>
        <vt:i4>1991</vt:i4>
      </vt:variant>
      <vt:variant>
        <vt:i4>0</vt:i4>
      </vt:variant>
      <vt:variant>
        <vt:i4>5</vt:i4>
      </vt:variant>
      <vt:variant>
        <vt:lpwstr/>
      </vt:variant>
      <vt:variant>
        <vt:lpwstr>_Toc137039443</vt:lpwstr>
      </vt:variant>
      <vt:variant>
        <vt:i4>1638449</vt:i4>
      </vt:variant>
      <vt:variant>
        <vt:i4>1985</vt:i4>
      </vt:variant>
      <vt:variant>
        <vt:i4>0</vt:i4>
      </vt:variant>
      <vt:variant>
        <vt:i4>5</vt:i4>
      </vt:variant>
      <vt:variant>
        <vt:lpwstr/>
      </vt:variant>
      <vt:variant>
        <vt:lpwstr>_Toc137039442</vt:lpwstr>
      </vt:variant>
      <vt:variant>
        <vt:i4>1638449</vt:i4>
      </vt:variant>
      <vt:variant>
        <vt:i4>1979</vt:i4>
      </vt:variant>
      <vt:variant>
        <vt:i4>0</vt:i4>
      </vt:variant>
      <vt:variant>
        <vt:i4>5</vt:i4>
      </vt:variant>
      <vt:variant>
        <vt:lpwstr/>
      </vt:variant>
      <vt:variant>
        <vt:lpwstr>_Toc137039441</vt:lpwstr>
      </vt:variant>
      <vt:variant>
        <vt:i4>1638449</vt:i4>
      </vt:variant>
      <vt:variant>
        <vt:i4>1973</vt:i4>
      </vt:variant>
      <vt:variant>
        <vt:i4>0</vt:i4>
      </vt:variant>
      <vt:variant>
        <vt:i4>5</vt:i4>
      </vt:variant>
      <vt:variant>
        <vt:lpwstr/>
      </vt:variant>
      <vt:variant>
        <vt:lpwstr>_Toc137039440</vt:lpwstr>
      </vt:variant>
      <vt:variant>
        <vt:i4>1966129</vt:i4>
      </vt:variant>
      <vt:variant>
        <vt:i4>1967</vt:i4>
      </vt:variant>
      <vt:variant>
        <vt:i4>0</vt:i4>
      </vt:variant>
      <vt:variant>
        <vt:i4>5</vt:i4>
      </vt:variant>
      <vt:variant>
        <vt:lpwstr/>
      </vt:variant>
      <vt:variant>
        <vt:lpwstr>_Toc137039439</vt:lpwstr>
      </vt:variant>
      <vt:variant>
        <vt:i4>1966129</vt:i4>
      </vt:variant>
      <vt:variant>
        <vt:i4>1961</vt:i4>
      </vt:variant>
      <vt:variant>
        <vt:i4>0</vt:i4>
      </vt:variant>
      <vt:variant>
        <vt:i4>5</vt:i4>
      </vt:variant>
      <vt:variant>
        <vt:lpwstr/>
      </vt:variant>
      <vt:variant>
        <vt:lpwstr>_Toc137039438</vt:lpwstr>
      </vt:variant>
      <vt:variant>
        <vt:i4>1966129</vt:i4>
      </vt:variant>
      <vt:variant>
        <vt:i4>1955</vt:i4>
      </vt:variant>
      <vt:variant>
        <vt:i4>0</vt:i4>
      </vt:variant>
      <vt:variant>
        <vt:i4>5</vt:i4>
      </vt:variant>
      <vt:variant>
        <vt:lpwstr/>
      </vt:variant>
      <vt:variant>
        <vt:lpwstr>_Toc137039437</vt:lpwstr>
      </vt:variant>
      <vt:variant>
        <vt:i4>1966129</vt:i4>
      </vt:variant>
      <vt:variant>
        <vt:i4>1949</vt:i4>
      </vt:variant>
      <vt:variant>
        <vt:i4>0</vt:i4>
      </vt:variant>
      <vt:variant>
        <vt:i4>5</vt:i4>
      </vt:variant>
      <vt:variant>
        <vt:lpwstr/>
      </vt:variant>
      <vt:variant>
        <vt:lpwstr>_Toc137039436</vt:lpwstr>
      </vt:variant>
      <vt:variant>
        <vt:i4>1966129</vt:i4>
      </vt:variant>
      <vt:variant>
        <vt:i4>1943</vt:i4>
      </vt:variant>
      <vt:variant>
        <vt:i4>0</vt:i4>
      </vt:variant>
      <vt:variant>
        <vt:i4>5</vt:i4>
      </vt:variant>
      <vt:variant>
        <vt:lpwstr/>
      </vt:variant>
      <vt:variant>
        <vt:lpwstr>_Toc137039435</vt:lpwstr>
      </vt:variant>
      <vt:variant>
        <vt:i4>1966129</vt:i4>
      </vt:variant>
      <vt:variant>
        <vt:i4>1937</vt:i4>
      </vt:variant>
      <vt:variant>
        <vt:i4>0</vt:i4>
      </vt:variant>
      <vt:variant>
        <vt:i4>5</vt:i4>
      </vt:variant>
      <vt:variant>
        <vt:lpwstr/>
      </vt:variant>
      <vt:variant>
        <vt:lpwstr>_Toc137039434</vt:lpwstr>
      </vt:variant>
      <vt:variant>
        <vt:i4>1966129</vt:i4>
      </vt:variant>
      <vt:variant>
        <vt:i4>1931</vt:i4>
      </vt:variant>
      <vt:variant>
        <vt:i4>0</vt:i4>
      </vt:variant>
      <vt:variant>
        <vt:i4>5</vt:i4>
      </vt:variant>
      <vt:variant>
        <vt:lpwstr/>
      </vt:variant>
      <vt:variant>
        <vt:lpwstr>_Toc137039433</vt:lpwstr>
      </vt:variant>
      <vt:variant>
        <vt:i4>1966129</vt:i4>
      </vt:variant>
      <vt:variant>
        <vt:i4>1925</vt:i4>
      </vt:variant>
      <vt:variant>
        <vt:i4>0</vt:i4>
      </vt:variant>
      <vt:variant>
        <vt:i4>5</vt:i4>
      </vt:variant>
      <vt:variant>
        <vt:lpwstr/>
      </vt:variant>
      <vt:variant>
        <vt:lpwstr>_Toc137039432</vt:lpwstr>
      </vt:variant>
      <vt:variant>
        <vt:i4>1966129</vt:i4>
      </vt:variant>
      <vt:variant>
        <vt:i4>1919</vt:i4>
      </vt:variant>
      <vt:variant>
        <vt:i4>0</vt:i4>
      </vt:variant>
      <vt:variant>
        <vt:i4>5</vt:i4>
      </vt:variant>
      <vt:variant>
        <vt:lpwstr/>
      </vt:variant>
      <vt:variant>
        <vt:lpwstr>_Toc137039431</vt:lpwstr>
      </vt:variant>
      <vt:variant>
        <vt:i4>1966129</vt:i4>
      </vt:variant>
      <vt:variant>
        <vt:i4>1913</vt:i4>
      </vt:variant>
      <vt:variant>
        <vt:i4>0</vt:i4>
      </vt:variant>
      <vt:variant>
        <vt:i4>5</vt:i4>
      </vt:variant>
      <vt:variant>
        <vt:lpwstr/>
      </vt:variant>
      <vt:variant>
        <vt:lpwstr>_Toc137039430</vt:lpwstr>
      </vt:variant>
      <vt:variant>
        <vt:i4>2031665</vt:i4>
      </vt:variant>
      <vt:variant>
        <vt:i4>1907</vt:i4>
      </vt:variant>
      <vt:variant>
        <vt:i4>0</vt:i4>
      </vt:variant>
      <vt:variant>
        <vt:i4>5</vt:i4>
      </vt:variant>
      <vt:variant>
        <vt:lpwstr/>
      </vt:variant>
      <vt:variant>
        <vt:lpwstr>_Toc137039429</vt:lpwstr>
      </vt:variant>
      <vt:variant>
        <vt:i4>2031665</vt:i4>
      </vt:variant>
      <vt:variant>
        <vt:i4>1901</vt:i4>
      </vt:variant>
      <vt:variant>
        <vt:i4>0</vt:i4>
      </vt:variant>
      <vt:variant>
        <vt:i4>5</vt:i4>
      </vt:variant>
      <vt:variant>
        <vt:lpwstr/>
      </vt:variant>
      <vt:variant>
        <vt:lpwstr>_Toc137039428</vt:lpwstr>
      </vt:variant>
      <vt:variant>
        <vt:i4>2031665</vt:i4>
      </vt:variant>
      <vt:variant>
        <vt:i4>1895</vt:i4>
      </vt:variant>
      <vt:variant>
        <vt:i4>0</vt:i4>
      </vt:variant>
      <vt:variant>
        <vt:i4>5</vt:i4>
      </vt:variant>
      <vt:variant>
        <vt:lpwstr/>
      </vt:variant>
      <vt:variant>
        <vt:lpwstr>_Toc137039427</vt:lpwstr>
      </vt:variant>
      <vt:variant>
        <vt:i4>2031665</vt:i4>
      </vt:variant>
      <vt:variant>
        <vt:i4>1889</vt:i4>
      </vt:variant>
      <vt:variant>
        <vt:i4>0</vt:i4>
      </vt:variant>
      <vt:variant>
        <vt:i4>5</vt:i4>
      </vt:variant>
      <vt:variant>
        <vt:lpwstr/>
      </vt:variant>
      <vt:variant>
        <vt:lpwstr>_Toc137039426</vt:lpwstr>
      </vt:variant>
      <vt:variant>
        <vt:i4>2031665</vt:i4>
      </vt:variant>
      <vt:variant>
        <vt:i4>1883</vt:i4>
      </vt:variant>
      <vt:variant>
        <vt:i4>0</vt:i4>
      </vt:variant>
      <vt:variant>
        <vt:i4>5</vt:i4>
      </vt:variant>
      <vt:variant>
        <vt:lpwstr/>
      </vt:variant>
      <vt:variant>
        <vt:lpwstr>_Toc137039425</vt:lpwstr>
      </vt:variant>
      <vt:variant>
        <vt:i4>2031665</vt:i4>
      </vt:variant>
      <vt:variant>
        <vt:i4>1877</vt:i4>
      </vt:variant>
      <vt:variant>
        <vt:i4>0</vt:i4>
      </vt:variant>
      <vt:variant>
        <vt:i4>5</vt:i4>
      </vt:variant>
      <vt:variant>
        <vt:lpwstr/>
      </vt:variant>
      <vt:variant>
        <vt:lpwstr>_Toc137039424</vt:lpwstr>
      </vt:variant>
      <vt:variant>
        <vt:i4>2031665</vt:i4>
      </vt:variant>
      <vt:variant>
        <vt:i4>1871</vt:i4>
      </vt:variant>
      <vt:variant>
        <vt:i4>0</vt:i4>
      </vt:variant>
      <vt:variant>
        <vt:i4>5</vt:i4>
      </vt:variant>
      <vt:variant>
        <vt:lpwstr/>
      </vt:variant>
      <vt:variant>
        <vt:lpwstr>_Toc137039423</vt:lpwstr>
      </vt:variant>
      <vt:variant>
        <vt:i4>2031665</vt:i4>
      </vt:variant>
      <vt:variant>
        <vt:i4>1865</vt:i4>
      </vt:variant>
      <vt:variant>
        <vt:i4>0</vt:i4>
      </vt:variant>
      <vt:variant>
        <vt:i4>5</vt:i4>
      </vt:variant>
      <vt:variant>
        <vt:lpwstr/>
      </vt:variant>
      <vt:variant>
        <vt:lpwstr>_Toc137039422</vt:lpwstr>
      </vt:variant>
      <vt:variant>
        <vt:i4>2031665</vt:i4>
      </vt:variant>
      <vt:variant>
        <vt:i4>1859</vt:i4>
      </vt:variant>
      <vt:variant>
        <vt:i4>0</vt:i4>
      </vt:variant>
      <vt:variant>
        <vt:i4>5</vt:i4>
      </vt:variant>
      <vt:variant>
        <vt:lpwstr/>
      </vt:variant>
      <vt:variant>
        <vt:lpwstr>_Toc137039421</vt:lpwstr>
      </vt:variant>
      <vt:variant>
        <vt:i4>2031665</vt:i4>
      </vt:variant>
      <vt:variant>
        <vt:i4>1853</vt:i4>
      </vt:variant>
      <vt:variant>
        <vt:i4>0</vt:i4>
      </vt:variant>
      <vt:variant>
        <vt:i4>5</vt:i4>
      </vt:variant>
      <vt:variant>
        <vt:lpwstr/>
      </vt:variant>
      <vt:variant>
        <vt:lpwstr>_Toc137039420</vt:lpwstr>
      </vt:variant>
      <vt:variant>
        <vt:i4>1835057</vt:i4>
      </vt:variant>
      <vt:variant>
        <vt:i4>1847</vt:i4>
      </vt:variant>
      <vt:variant>
        <vt:i4>0</vt:i4>
      </vt:variant>
      <vt:variant>
        <vt:i4>5</vt:i4>
      </vt:variant>
      <vt:variant>
        <vt:lpwstr/>
      </vt:variant>
      <vt:variant>
        <vt:lpwstr>_Toc137039419</vt:lpwstr>
      </vt:variant>
      <vt:variant>
        <vt:i4>1835057</vt:i4>
      </vt:variant>
      <vt:variant>
        <vt:i4>1841</vt:i4>
      </vt:variant>
      <vt:variant>
        <vt:i4>0</vt:i4>
      </vt:variant>
      <vt:variant>
        <vt:i4>5</vt:i4>
      </vt:variant>
      <vt:variant>
        <vt:lpwstr/>
      </vt:variant>
      <vt:variant>
        <vt:lpwstr>_Toc137039418</vt:lpwstr>
      </vt:variant>
      <vt:variant>
        <vt:i4>1835057</vt:i4>
      </vt:variant>
      <vt:variant>
        <vt:i4>1835</vt:i4>
      </vt:variant>
      <vt:variant>
        <vt:i4>0</vt:i4>
      </vt:variant>
      <vt:variant>
        <vt:i4>5</vt:i4>
      </vt:variant>
      <vt:variant>
        <vt:lpwstr/>
      </vt:variant>
      <vt:variant>
        <vt:lpwstr>_Toc137039417</vt:lpwstr>
      </vt:variant>
      <vt:variant>
        <vt:i4>1835057</vt:i4>
      </vt:variant>
      <vt:variant>
        <vt:i4>1829</vt:i4>
      </vt:variant>
      <vt:variant>
        <vt:i4>0</vt:i4>
      </vt:variant>
      <vt:variant>
        <vt:i4>5</vt:i4>
      </vt:variant>
      <vt:variant>
        <vt:lpwstr/>
      </vt:variant>
      <vt:variant>
        <vt:lpwstr>_Toc137039416</vt:lpwstr>
      </vt:variant>
      <vt:variant>
        <vt:i4>1835057</vt:i4>
      </vt:variant>
      <vt:variant>
        <vt:i4>1823</vt:i4>
      </vt:variant>
      <vt:variant>
        <vt:i4>0</vt:i4>
      </vt:variant>
      <vt:variant>
        <vt:i4>5</vt:i4>
      </vt:variant>
      <vt:variant>
        <vt:lpwstr/>
      </vt:variant>
      <vt:variant>
        <vt:lpwstr>_Toc137039415</vt:lpwstr>
      </vt:variant>
      <vt:variant>
        <vt:i4>1835057</vt:i4>
      </vt:variant>
      <vt:variant>
        <vt:i4>1817</vt:i4>
      </vt:variant>
      <vt:variant>
        <vt:i4>0</vt:i4>
      </vt:variant>
      <vt:variant>
        <vt:i4>5</vt:i4>
      </vt:variant>
      <vt:variant>
        <vt:lpwstr/>
      </vt:variant>
      <vt:variant>
        <vt:lpwstr>_Toc137039414</vt:lpwstr>
      </vt:variant>
      <vt:variant>
        <vt:i4>1835057</vt:i4>
      </vt:variant>
      <vt:variant>
        <vt:i4>1811</vt:i4>
      </vt:variant>
      <vt:variant>
        <vt:i4>0</vt:i4>
      </vt:variant>
      <vt:variant>
        <vt:i4>5</vt:i4>
      </vt:variant>
      <vt:variant>
        <vt:lpwstr/>
      </vt:variant>
      <vt:variant>
        <vt:lpwstr>_Toc137039413</vt:lpwstr>
      </vt:variant>
      <vt:variant>
        <vt:i4>1835057</vt:i4>
      </vt:variant>
      <vt:variant>
        <vt:i4>1805</vt:i4>
      </vt:variant>
      <vt:variant>
        <vt:i4>0</vt:i4>
      </vt:variant>
      <vt:variant>
        <vt:i4>5</vt:i4>
      </vt:variant>
      <vt:variant>
        <vt:lpwstr/>
      </vt:variant>
      <vt:variant>
        <vt:lpwstr>_Toc137039412</vt:lpwstr>
      </vt:variant>
      <vt:variant>
        <vt:i4>1835057</vt:i4>
      </vt:variant>
      <vt:variant>
        <vt:i4>1799</vt:i4>
      </vt:variant>
      <vt:variant>
        <vt:i4>0</vt:i4>
      </vt:variant>
      <vt:variant>
        <vt:i4>5</vt:i4>
      </vt:variant>
      <vt:variant>
        <vt:lpwstr/>
      </vt:variant>
      <vt:variant>
        <vt:lpwstr>_Toc137039411</vt:lpwstr>
      </vt:variant>
      <vt:variant>
        <vt:i4>1835057</vt:i4>
      </vt:variant>
      <vt:variant>
        <vt:i4>1793</vt:i4>
      </vt:variant>
      <vt:variant>
        <vt:i4>0</vt:i4>
      </vt:variant>
      <vt:variant>
        <vt:i4>5</vt:i4>
      </vt:variant>
      <vt:variant>
        <vt:lpwstr/>
      </vt:variant>
      <vt:variant>
        <vt:lpwstr>_Toc137039410</vt:lpwstr>
      </vt:variant>
      <vt:variant>
        <vt:i4>1900593</vt:i4>
      </vt:variant>
      <vt:variant>
        <vt:i4>1787</vt:i4>
      </vt:variant>
      <vt:variant>
        <vt:i4>0</vt:i4>
      </vt:variant>
      <vt:variant>
        <vt:i4>5</vt:i4>
      </vt:variant>
      <vt:variant>
        <vt:lpwstr/>
      </vt:variant>
      <vt:variant>
        <vt:lpwstr>_Toc137039409</vt:lpwstr>
      </vt:variant>
      <vt:variant>
        <vt:i4>1900593</vt:i4>
      </vt:variant>
      <vt:variant>
        <vt:i4>1781</vt:i4>
      </vt:variant>
      <vt:variant>
        <vt:i4>0</vt:i4>
      </vt:variant>
      <vt:variant>
        <vt:i4>5</vt:i4>
      </vt:variant>
      <vt:variant>
        <vt:lpwstr/>
      </vt:variant>
      <vt:variant>
        <vt:lpwstr>_Toc137039408</vt:lpwstr>
      </vt:variant>
      <vt:variant>
        <vt:i4>1900593</vt:i4>
      </vt:variant>
      <vt:variant>
        <vt:i4>1775</vt:i4>
      </vt:variant>
      <vt:variant>
        <vt:i4>0</vt:i4>
      </vt:variant>
      <vt:variant>
        <vt:i4>5</vt:i4>
      </vt:variant>
      <vt:variant>
        <vt:lpwstr/>
      </vt:variant>
      <vt:variant>
        <vt:lpwstr>_Toc137039407</vt:lpwstr>
      </vt:variant>
      <vt:variant>
        <vt:i4>1900593</vt:i4>
      </vt:variant>
      <vt:variant>
        <vt:i4>1769</vt:i4>
      </vt:variant>
      <vt:variant>
        <vt:i4>0</vt:i4>
      </vt:variant>
      <vt:variant>
        <vt:i4>5</vt:i4>
      </vt:variant>
      <vt:variant>
        <vt:lpwstr/>
      </vt:variant>
      <vt:variant>
        <vt:lpwstr>_Toc137039406</vt:lpwstr>
      </vt:variant>
      <vt:variant>
        <vt:i4>1900593</vt:i4>
      </vt:variant>
      <vt:variant>
        <vt:i4>1763</vt:i4>
      </vt:variant>
      <vt:variant>
        <vt:i4>0</vt:i4>
      </vt:variant>
      <vt:variant>
        <vt:i4>5</vt:i4>
      </vt:variant>
      <vt:variant>
        <vt:lpwstr/>
      </vt:variant>
      <vt:variant>
        <vt:lpwstr>_Toc137039405</vt:lpwstr>
      </vt:variant>
      <vt:variant>
        <vt:i4>1900593</vt:i4>
      </vt:variant>
      <vt:variant>
        <vt:i4>1757</vt:i4>
      </vt:variant>
      <vt:variant>
        <vt:i4>0</vt:i4>
      </vt:variant>
      <vt:variant>
        <vt:i4>5</vt:i4>
      </vt:variant>
      <vt:variant>
        <vt:lpwstr/>
      </vt:variant>
      <vt:variant>
        <vt:lpwstr>_Toc137039404</vt:lpwstr>
      </vt:variant>
      <vt:variant>
        <vt:i4>1900593</vt:i4>
      </vt:variant>
      <vt:variant>
        <vt:i4>1751</vt:i4>
      </vt:variant>
      <vt:variant>
        <vt:i4>0</vt:i4>
      </vt:variant>
      <vt:variant>
        <vt:i4>5</vt:i4>
      </vt:variant>
      <vt:variant>
        <vt:lpwstr/>
      </vt:variant>
      <vt:variant>
        <vt:lpwstr>_Toc137039403</vt:lpwstr>
      </vt:variant>
      <vt:variant>
        <vt:i4>1900593</vt:i4>
      </vt:variant>
      <vt:variant>
        <vt:i4>1745</vt:i4>
      </vt:variant>
      <vt:variant>
        <vt:i4>0</vt:i4>
      </vt:variant>
      <vt:variant>
        <vt:i4>5</vt:i4>
      </vt:variant>
      <vt:variant>
        <vt:lpwstr/>
      </vt:variant>
      <vt:variant>
        <vt:lpwstr>_Toc137039402</vt:lpwstr>
      </vt:variant>
      <vt:variant>
        <vt:i4>1900593</vt:i4>
      </vt:variant>
      <vt:variant>
        <vt:i4>1739</vt:i4>
      </vt:variant>
      <vt:variant>
        <vt:i4>0</vt:i4>
      </vt:variant>
      <vt:variant>
        <vt:i4>5</vt:i4>
      </vt:variant>
      <vt:variant>
        <vt:lpwstr/>
      </vt:variant>
      <vt:variant>
        <vt:lpwstr>_Toc137039401</vt:lpwstr>
      </vt:variant>
      <vt:variant>
        <vt:i4>1900593</vt:i4>
      </vt:variant>
      <vt:variant>
        <vt:i4>1733</vt:i4>
      </vt:variant>
      <vt:variant>
        <vt:i4>0</vt:i4>
      </vt:variant>
      <vt:variant>
        <vt:i4>5</vt:i4>
      </vt:variant>
      <vt:variant>
        <vt:lpwstr/>
      </vt:variant>
      <vt:variant>
        <vt:lpwstr>_Toc137039400</vt:lpwstr>
      </vt:variant>
      <vt:variant>
        <vt:i4>1310774</vt:i4>
      </vt:variant>
      <vt:variant>
        <vt:i4>1727</vt:i4>
      </vt:variant>
      <vt:variant>
        <vt:i4>0</vt:i4>
      </vt:variant>
      <vt:variant>
        <vt:i4>5</vt:i4>
      </vt:variant>
      <vt:variant>
        <vt:lpwstr/>
      </vt:variant>
      <vt:variant>
        <vt:lpwstr>_Toc137039399</vt:lpwstr>
      </vt:variant>
      <vt:variant>
        <vt:i4>1310774</vt:i4>
      </vt:variant>
      <vt:variant>
        <vt:i4>1721</vt:i4>
      </vt:variant>
      <vt:variant>
        <vt:i4>0</vt:i4>
      </vt:variant>
      <vt:variant>
        <vt:i4>5</vt:i4>
      </vt:variant>
      <vt:variant>
        <vt:lpwstr/>
      </vt:variant>
      <vt:variant>
        <vt:lpwstr>_Toc137039398</vt:lpwstr>
      </vt:variant>
      <vt:variant>
        <vt:i4>1310774</vt:i4>
      </vt:variant>
      <vt:variant>
        <vt:i4>1715</vt:i4>
      </vt:variant>
      <vt:variant>
        <vt:i4>0</vt:i4>
      </vt:variant>
      <vt:variant>
        <vt:i4>5</vt:i4>
      </vt:variant>
      <vt:variant>
        <vt:lpwstr/>
      </vt:variant>
      <vt:variant>
        <vt:lpwstr>_Toc137039397</vt:lpwstr>
      </vt:variant>
      <vt:variant>
        <vt:i4>1310774</vt:i4>
      </vt:variant>
      <vt:variant>
        <vt:i4>1709</vt:i4>
      </vt:variant>
      <vt:variant>
        <vt:i4>0</vt:i4>
      </vt:variant>
      <vt:variant>
        <vt:i4>5</vt:i4>
      </vt:variant>
      <vt:variant>
        <vt:lpwstr/>
      </vt:variant>
      <vt:variant>
        <vt:lpwstr>_Toc137039396</vt:lpwstr>
      </vt:variant>
      <vt:variant>
        <vt:i4>1310774</vt:i4>
      </vt:variant>
      <vt:variant>
        <vt:i4>1703</vt:i4>
      </vt:variant>
      <vt:variant>
        <vt:i4>0</vt:i4>
      </vt:variant>
      <vt:variant>
        <vt:i4>5</vt:i4>
      </vt:variant>
      <vt:variant>
        <vt:lpwstr/>
      </vt:variant>
      <vt:variant>
        <vt:lpwstr>_Toc137039395</vt:lpwstr>
      </vt:variant>
      <vt:variant>
        <vt:i4>1310774</vt:i4>
      </vt:variant>
      <vt:variant>
        <vt:i4>1697</vt:i4>
      </vt:variant>
      <vt:variant>
        <vt:i4>0</vt:i4>
      </vt:variant>
      <vt:variant>
        <vt:i4>5</vt:i4>
      </vt:variant>
      <vt:variant>
        <vt:lpwstr/>
      </vt:variant>
      <vt:variant>
        <vt:lpwstr>_Toc137039394</vt:lpwstr>
      </vt:variant>
      <vt:variant>
        <vt:i4>1310774</vt:i4>
      </vt:variant>
      <vt:variant>
        <vt:i4>1691</vt:i4>
      </vt:variant>
      <vt:variant>
        <vt:i4>0</vt:i4>
      </vt:variant>
      <vt:variant>
        <vt:i4>5</vt:i4>
      </vt:variant>
      <vt:variant>
        <vt:lpwstr/>
      </vt:variant>
      <vt:variant>
        <vt:lpwstr>_Toc137039393</vt:lpwstr>
      </vt:variant>
      <vt:variant>
        <vt:i4>1310774</vt:i4>
      </vt:variant>
      <vt:variant>
        <vt:i4>1685</vt:i4>
      </vt:variant>
      <vt:variant>
        <vt:i4>0</vt:i4>
      </vt:variant>
      <vt:variant>
        <vt:i4>5</vt:i4>
      </vt:variant>
      <vt:variant>
        <vt:lpwstr/>
      </vt:variant>
      <vt:variant>
        <vt:lpwstr>_Toc137039392</vt:lpwstr>
      </vt:variant>
      <vt:variant>
        <vt:i4>1310774</vt:i4>
      </vt:variant>
      <vt:variant>
        <vt:i4>1679</vt:i4>
      </vt:variant>
      <vt:variant>
        <vt:i4>0</vt:i4>
      </vt:variant>
      <vt:variant>
        <vt:i4>5</vt:i4>
      </vt:variant>
      <vt:variant>
        <vt:lpwstr/>
      </vt:variant>
      <vt:variant>
        <vt:lpwstr>_Toc137039391</vt:lpwstr>
      </vt:variant>
      <vt:variant>
        <vt:i4>1310774</vt:i4>
      </vt:variant>
      <vt:variant>
        <vt:i4>1673</vt:i4>
      </vt:variant>
      <vt:variant>
        <vt:i4>0</vt:i4>
      </vt:variant>
      <vt:variant>
        <vt:i4>5</vt:i4>
      </vt:variant>
      <vt:variant>
        <vt:lpwstr/>
      </vt:variant>
      <vt:variant>
        <vt:lpwstr>_Toc137039390</vt:lpwstr>
      </vt:variant>
      <vt:variant>
        <vt:i4>4128826</vt:i4>
      </vt:variant>
      <vt:variant>
        <vt:i4>1665</vt:i4>
      </vt:variant>
      <vt:variant>
        <vt:i4>0</vt:i4>
      </vt:variant>
      <vt:variant>
        <vt:i4>5</vt:i4>
      </vt:variant>
      <vt:variant>
        <vt:lpwstr>https://www.un.org/africarenewal/magazine/december-2017-march-2018/protectionist-ban-imported-used-clothing</vt:lpwstr>
      </vt:variant>
      <vt:variant>
        <vt:lpwstr/>
      </vt:variant>
      <vt:variant>
        <vt:i4>5832708</vt:i4>
      </vt:variant>
      <vt:variant>
        <vt:i4>1662</vt:i4>
      </vt:variant>
      <vt:variant>
        <vt:i4>0</vt:i4>
      </vt:variant>
      <vt:variant>
        <vt:i4>5</vt:i4>
      </vt:variant>
      <vt:variant>
        <vt:lpwstr>https://theexchange.africa/industry-and-trade/africa-second-hand-clothes-imports-ban/</vt:lpwstr>
      </vt:variant>
      <vt:variant>
        <vt:lpwstr/>
      </vt:variant>
      <vt:variant>
        <vt:i4>3080233</vt:i4>
      </vt:variant>
      <vt:variant>
        <vt:i4>1659</vt:i4>
      </vt:variant>
      <vt:variant>
        <vt:i4>0</vt:i4>
      </vt:variant>
      <vt:variant>
        <vt:i4>5</vt:i4>
      </vt:variant>
      <vt:variant>
        <vt:lpwstr>https://theconversation.com/do-you-shop-for-second-hand-clothes-youre-likely-to-be-more-stylish-180028</vt:lpwstr>
      </vt:variant>
      <vt:variant>
        <vt:lpwstr/>
      </vt:variant>
      <vt:variant>
        <vt:i4>5767195</vt:i4>
      </vt:variant>
      <vt:variant>
        <vt:i4>1656</vt:i4>
      </vt:variant>
      <vt:variant>
        <vt:i4>0</vt:i4>
      </vt:variant>
      <vt:variant>
        <vt:i4>5</vt:i4>
      </vt:variant>
      <vt:variant>
        <vt:lpwstr>https://www.statista.com/statistics/417674/eu-european-union-textile-clothing-household-consumption/</vt:lpwstr>
      </vt:variant>
      <vt:variant>
        <vt:lpwstr/>
      </vt:variant>
      <vt:variant>
        <vt:i4>7864353</vt:i4>
      </vt:variant>
      <vt:variant>
        <vt:i4>1653</vt:i4>
      </vt:variant>
      <vt:variant>
        <vt:i4>0</vt:i4>
      </vt:variant>
      <vt:variant>
        <vt:i4>5</vt:i4>
      </vt:variant>
      <vt:variant>
        <vt:lpwstr>https://www.statista.com/forecasts/890785/e-commerce-revenue-in-europe-fashion-by-segments</vt:lpwstr>
      </vt:variant>
      <vt:variant>
        <vt:lpwstr/>
      </vt:variant>
      <vt:variant>
        <vt:i4>4915249</vt:i4>
      </vt:variant>
      <vt:variant>
        <vt:i4>1650</vt:i4>
      </vt:variant>
      <vt:variant>
        <vt:i4>0</vt:i4>
      </vt:variant>
      <vt:variant>
        <vt:i4>5</vt:i4>
      </vt:variant>
      <vt:variant>
        <vt:lpwstr>https://sswm.info/sites/default/files/reference_attachments/SHAKIH 2009 Water conservation in the textile industry.pdf</vt:lpwstr>
      </vt:variant>
      <vt:variant>
        <vt:lpwstr/>
      </vt:variant>
      <vt:variant>
        <vt:i4>7143531</vt:i4>
      </vt:variant>
      <vt:variant>
        <vt:i4>1647</vt:i4>
      </vt:variant>
      <vt:variant>
        <vt:i4>0</vt:i4>
      </vt:variant>
      <vt:variant>
        <vt:i4>5</vt:i4>
      </vt:variant>
      <vt:variant>
        <vt:lpwstr>https://www.sciencedirect.com/science/article/pii/B9781845699390500022</vt:lpwstr>
      </vt:variant>
      <vt:variant>
        <vt:lpwstr>section-cited-by</vt:lpwstr>
      </vt:variant>
      <vt:variant>
        <vt:i4>3604605</vt:i4>
      </vt:variant>
      <vt:variant>
        <vt:i4>1644</vt:i4>
      </vt:variant>
      <vt:variant>
        <vt:i4>0</vt:i4>
      </vt:variant>
      <vt:variant>
        <vt:i4>5</vt:i4>
      </vt:variant>
      <vt:variant>
        <vt:lpwstr>https://www.sciencedirect.com/science/article/pii/S0959652618305985</vt:lpwstr>
      </vt:variant>
      <vt:variant>
        <vt:lpwstr>bib21</vt:lpwstr>
      </vt:variant>
      <vt:variant>
        <vt:i4>2424930</vt:i4>
      </vt:variant>
      <vt:variant>
        <vt:i4>1641</vt:i4>
      </vt:variant>
      <vt:variant>
        <vt:i4>0</vt:i4>
      </vt:variant>
      <vt:variant>
        <vt:i4>5</vt:i4>
      </vt:variant>
      <vt:variant>
        <vt:lpwstr>https://www.textile.fr/actualite/recycle-plateforme-digitale-de-mise-en-relation-des-acteurs-du-recyclage-de-refashion</vt:lpwstr>
      </vt:variant>
      <vt:variant>
        <vt:lpwstr/>
      </vt:variant>
      <vt:variant>
        <vt:i4>3604518</vt:i4>
      </vt:variant>
      <vt:variant>
        <vt:i4>1638</vt:i4>
      </vt:variant>
      <vt:variant>
        <vt:i4>0</vt:i4>
      </vt:variant>
      <vt:variant>
        <vt:i4>5</vt:i4>
      </vt:variant>
      <vt:variant>
        <vt:lpwstr>https://refashion.fr/pro/en/press-releases</vt:lpwstr>
      </vt:variant>
      <vt:variant>
        <vt:lpwstr/>
      </vt:variant>
      <vt:variant>
        <vt:i4>8126513</vt:i4>
      </vt:variant>
      <vt:variant>
        <vt:i4>1635</vt:i4>
      </vt:variant>
      <vt:variant>
        <vt:i4>0</vt:i4>
      </vt:variant>
      <vt:variant>
        <vt:i4>5</vt:i4>
      </vt:variant>
      <vt:variant>
        <vt:lpwstr>https://www.recycling-magazine.com/2021/02/18/worlds-first-fully-automated-textile-sorting-plant-in-malmo/</vt:lpwstr>
      </vt:variant>
      <vt:variant>
        <vt:lpwstr/>
      </vt:variant>
      <vt:variant>
        <vt:i4>2424876</vt:i4>
      </vt:variant>
      <vt:variant>
        <vt:i4>1632</vt:i4>
      </vt:variant>
      <vt:variant>
        <vt:i4>0</vt:i4>
      </vt:variant>
      <vt:variant>
        <vt:i4>5</vt:i4>
      </vt:variant>
      <vt:variant>
        <vt:lpwstr>https://www.oecd.org/development-cooperation-learning/practices/dynamic/dcd-best-practices/89276a44/pdf/germany-supports-sustainable-textile-production.pdf</vt:lpwstr>
      </vt:variant>
      <vt:variant>
        <vt:lpwstr/>
      </vt:variant>
      <vt:variant>
        <vt:i4>6225950</vt:i4>
      </vt:variant>
      <vt:variant>
        <vt:i4>1629</vt:i4>
      </vt:variant>
      <vt:variant>
        <vt:i4>0</vt:i4>
      </vt:variant>
      <vt:variant>
        <vt:i4>5</vt:i4>
      </vt:variant>
      <vt:variant>
        <vt:lpwstr>https://www.nrdc.org/issues/encourage-textile-manufacturers-reduce-pollution</vt:lpwstr>
      </vt:variant>
      <vt:variant>
        <vt:lpwstr/>
      </vt:variant>
      <vt:variant>
        <vt:i4>6029315</vt:i4>
      </vt:variant>
      <vt:variant>
        <vt:i4>1626</vt:i4>
      </vt:variant>
      <vt:variant>
        <vt:i4>0</vt:i4>
      </vt:variant>
      <vt:variant>
        <vt:i4>5</vt:i4>
      </vt:variant>
      <vt:variant>
        <vt:lpwstr>https://www.worldatlas.com/articles/top-10-textile-importing-countries-in-the-world.html.</vt:lpwstr>
      </vt:variant>
      <vt:variant>
        <vt:lpwstr/>
      </vt:variant>
      <vt:variant>
        <vt:i4>7012476</vt:i4>
      </vt:variant>
      <vt:variant>
        <vt:i4>1623</vt:i4>
      </vt:variant>
      <vt:variant>
        <vt:i4>0</vt:i4>
      </vt:variant>
      <vt:variant>
        <vt:i4>5</vt:i4>
      </vt:variant>
      <vt:variant>
        <vt:lpwstr>https://www.mdpi.com/2071-1050/13/24/13732/pdf</vt:lpwstr>
      </vt:variant>
      <vt:variant>
        <vt:lpwstr/>
      </vt:variant>
      <vt:variant>
        <vt:i4>7143479</vt:i4>
      </vt:variant>
      <vt:variant>
        <vt:i4>1620</vt:i4>
      </vt:variant>
      <vt:variant>
        <vt:i4>0</vt:i4>
      </vt:variant>
      <vt:variant>
        <vt:i4>5</vt:i4>
      </vt:variant>
      <vt:variant>
        <vt:lpwstr>https://www.mckinsey.com/~/media/mckinsey/industries/retail/our insights/fashion on climate/fashion-on-climate-full-report.pdf</vt:lpwstr>
      </vt:variant>
      <vt:variant>
        <vt:lpwstr/>
      </vt:variant>
      <vt:variant>
        <vt:i4>5767171</vt:i4>
      </vt:variant>
      <vt:variant>
        <vt:i4>1617</vt:i4>
      </vt:variant>
      <vt:variant>
        <vt:i4>0</vt:i4>
      </vt:variant>
      <vt:variant>
        <vt:i4>5</vt:i4>
      </vt:variant>
      <vt:variant>
        <vt:lpwstr>https://greencitizen.com/blog/shoe-recycling/</vt:lpwstr>
      </vt:variant>
      <vt:variant>
        <vt:lpwstr/>
      </vt:variant>
      <vt:variant>
        <vt:i4>7864427</vt:i4>
      </vt:variant>
      <vt:variant>
        <vt:i4>1614</vt:i4>
      </vt:variant>
      <vt:variant>
        <vt:i4>0</vt:i4>
      </vt:variant>
      <vt:variant>
        <vt:i4>5</vt:i4>
      </vt:variant>
      <vt:variant>
        <vt:lpwstr>https://lesjoyeuxrecycleurs.com/news/tapis/</vt:lpwstr>
      </vt:variant>
      <vt:variant>
        <vt:lpwstr/>
      </vt:variant>
      <vt:variant>
        <vt:i4>458818</vt:i4>
      </vt:variant>
      <vt:variant>
        <vt:i4>1611</vt:i4>
      </vt:variant>
      <vt:variant>
        <vt:i4>0</vt:i4>
      </vt:variant>
      <vt:variant>
        <vt:i4>5</vt:i4>
      </vt:variant>
      <vt:variant>
        <vt:lpwstr>https://publications.jrc.ec.europa.eu/repository/handle/JRC125110</vt:lpwstr>
      </vt:variant>
      <vt:variant>
        <vt:lpwstr/>
      </vt:variant>
      <vt:variant>
        <vt:i4>8257595</vt:i4>
      </vt:variant>
      <vt:variant>
        <vt:i4>1608</vt:i4>
      </vt:variant>
      <vt:variant>
        <vt:i4>0</vt:i4>
      </vt:variant>
      <vt:variant>
        <vt:i4>5</vt:i4>
      </vt:variant>
      <vt:variant>
        <vt:lpwstr>https://doi.org/10.1016/j.jclepro.2020.122951.</vt:lpwstr>
      </vt:variant>
      <vt:variant>
        <vt:lpwstr/>
      </vt:variant>
      <vt:variant>
        <vt:i4>7667823</vt:i4>
      </vt:variant>
      <vt:variant>
        <vt:i4>1605</vt:i4>
      </vt:variant>
      <vt:variant>
        <vt:i4>0</vt:i4>
      </vt:variant>
      <vt:variant>
        <vt:i4>5</vt:i4>
      </vt:variant>
      <vt:variant>
        <vt:lpwstr>https://www.dailymail.co.uk/news/article-10450221/Dumped-Atacama-desert-mountain-discarded-cheap-clothes-West.html</vt:lpwstr>
      </vt:variant>
      <vt:variant>
        <vt:lpwstr/>
      </vt:variant>
      <vt:variant>
        <vt:i4>3211307</vt:i4>
      </vt:variant>
      <vt:variant>
        <vt:i4>1602</vt:i4>
      </vt:variant>
      <vt:variant>
        <vt:i4>0</vt:i4>
      </vt:variant>
      <vt:variant>
        <vt:i4>5</vt:i4>
      </vt:variant>
      <vt:variant>
        <vt:lpwstr>https://www.naturvardsverket.se/contentassets/be04327b5a874955a5402d4f663d1632/webinar-collaborative-study-chemicals-recycled-textiles-hm-ikea.pdf.</vt:lpwstr>
      </vt:variant>
      <vt:variant>
        <vt:lpwstr/>
      </vt:variant>
      <vt:variant>
        <vt:i4>4915219</vt:i4>
      </vt:variant>
      <vt:variant>
        <vt:i4>1599</vt:i4>
      </vt:variant>
      <vt:variant>
        <vt:i4>0</vt:i4>
      </vt:variant>
      <vt:variant>
        <vt:i4>5</vt:i4>
      </vt:variant>
      <vt:variant>
        <vt:lpwstr>https://www.nrdc.org/sites/default/files/cbd-to-scale-report.pdf</vt:lpwstr>
      </vt:variant>
      <vt:variant>
        <vt:lpwstr/>
      </vt:variant>
      <vt:variant>
        <vt:i4>4128808</vt:i4>
      </vt:variant>
      <vt:variant>
        <vt:i4>1596</vt:i4>
      </vt:variant>
      <vt:variant>
        <vt:i4>0</vt:i4>
      </vt:variant>
      <vt:variant>
        <vt:i4>5</vt:i4>
      </vt:variant>
      <vt:variant>
        <vt:lpwstr>https://www.greenpeace.org/static/planet4-international-stateless/2022/04/9f50d3de-greenpeace-germany-poisoned-fast-fashion-briefing-factsheet-april-2022.pdf.</vt:lpwstr>
      </vt:variant>
      <vt:variant>
        <vt:lpwstr/>
      </vt:variant>
      <vt:variant>
        <vt:i4>7995449</vt:i4>
      </vt:variant>
      <vt:variant>
        <vt:i4>1593</vt:i4>
      </vt:variant>
      <vt:variant>
        <vt:i4>0</vt:i4>
      </vt:variant>
      <vt:variant>
        <vt:i4>5</vt:i4>
      </vt:variant>
      <vt:variant>
        <vt:lpwstr>https://www.globalfashionagenda.com/publications-and-policy/pulse-of-the-industry/</vt:lpwstr>
      </vt:variant>
      <vt:variant>
        <vt:lpwstr/>
      </vt:variant>
      <vt:variant>
        <vt:i4>3604605</vt:i4>
      </vt:variant>
      <vt:variant>
        <vt:i4>1590</vt:i4>
      </vt:variant>
      <vt:variant>
        <vt:i4>0</vt:i4>
      </vt:variant>
      <vt:variant>
        <vt:i4>5</vt:i4>
      </vt:variant>
      <vt:variant>
        <vt:lpwstr>https://www.sciencedirect.com/science/article/pii/S0959652618305985</vt:lpwstr>
      </vt:variant>
      <vt:variant>
        <vt:lpwstr>bib21</vt:lpwstr>
      </vt:variant>
      <vt:variant>
        <vt:i4>2883687</vt:i4>
      </vt:variant>
      <vt:variant>
        <vt:i4>1587</vt:i4>
      </vt:variant>
      <vt:variant>
        <vt:i4>0</vt:i4>
      </vt:variant>
      <vt:variant>
        <vt:i4>5</vt:i4>
      </vt:variant>
      <vt:variant>
        <vt:lpwstr>https://doi.org/10.1007/s11367-010-0197-y.</vt:lpwstr>
      </vt:variant>
      <vt:variant>
        <vt:lpwstr/>
      </vt:variant>
      <vt:variant>
        <vt:i4>5701705</vt:i4>
      </vt:variant>
      <vt:variant>
        <vt:i4>1584</vt:i4>
      </vt:variant>
      <vt:variant>
        <vt:i4>0</vt:i4>
      </vt:variant>
      <vt:variant>
        <vt:i4>5</vt:i4>
      </vt:variant>
      <vt:variant>
        <vt:lpwstr>https://ec.europa.eu/eurostat/web/prodcom</vt:lpwstr>
      </vt:variant>
      <vt:variant>
        <vt:lpwstr/>
      </vt:variant>
      <vt:variant>
        <vt:i4>2162768</vt:i4>
      </vt:variant>
      <vt:variant>
        <vt:i4>1581</vt:i4>
      </vt:variant>
      <vt:variant>
        <vt:i4>0</vt:i4>
      </vt:variant>
      <vt:variant>
        <vt:i4>5</vt:i4>
      </vt:variant>
      <vt:variant>
        <vt:lpwstr>https://ec.europa.eu/eurostat/statistics-explained/index.php?title=E-commerce_statistics_for_individuals</vt:lpwstr>
      </vt:variant>
      <vt:variant>
        <vt:lpwstr/>
      </vt:variant>
      <vt:variant>
        <vt:i4>3801188</vt:i4>
      </vt:variant>
      <vt:variant>
        <vt:i4>1578</vt:i4>
      </vt:variant>
      <vt:variant>
        <vt:i4>0</vt:i4>
      </vt:variant>
      <vt:variant>
        <vt:i4>5</vt:i4>
      </vt:variant>
      <vt:variant>
        <vt:lpwstr>https://ec.europa.eu/eurostat/documents/342366/351806/Guidance-on-EWCStat-categories-2010.pdf/0e7cd3fc-c05c-47a7-818f-1c2421e55604.</vt:lpwstr>
      </vt:variant>
      <vt:variant>
        <vt:lpwstr/>
      </vt:variant>
      <vt:variant>
        <vt:i4>7078011</vt:i4>
      </vt:variant>
      <vt:variant>
        <vt:i4>1575</vt:i4>
      </vt:variant>
      <vt:variant>
        <vt:i4>0</vt:i4>
      </vt:variant>
      <vt:variant>
        <vt:i4>5</vt:i4>
      </vt:variant>
      <vt:variant>
        <vt:lpwstr>https://ec.europa.eu/eurostat/documents/342366/351811/Guidance+on+municipal+waste+data+collection/</vt:lpwstr>
      </vt:variant>
      <vt:variant>
        <vt:lpwstr/>
      </vt:variant>
      <vt:variant>
        <vt:i4>4194382</vt:i4>
      </vt:variant>
      <vt:variant>
        <vt:i4>1572</vt:i4>
      </vt:variant>
      <vt:variant>
        <vt:i4>0</vt:i4>
      </vt:variant>
      <vt:variant>
        <vt:i4>5</vt:i4>
      </vt:variant>
      <vt:variant>
        <vt:lpwstr>https://www.europarl.europa.eu/news/en/headlines/society/20201208STO93327/the-impact-of-textile-production-and-waste-on-the-environment-infographic.</vt:lpwstr>
      </vt:variant>
      <vt:variant>
        <vt:lpwstr/>
      </vt:variant>
      <vt:variant>
        <vt:i4>5898287</vt:i4>
      </vt:variant>
      <vt:variant>
        <vt:i4>1569</vt:i4>
      </vt:variant>
      <vt:variant>
        <vt:i4>0</vt:i4>
      </vt:variant>
      <vt:variant>
        <vt:i4>5</vt:i4>
      </vt:variant>
      <vt:variant>
        <vt:lpwstr>https://www.europarl.europa.eu/thinktank/en/document/EPRS_BRI(2019)633143.</vt:lpwstr>
      </vt:variant>
      <vt:variant>
        <vt:lpwstr/>
      </vt:variant>
      <vt:variant>
        <vt:i4>3080226</vt:i4>
      </vt:variant>
      <vt:variant>
        <vt:i4>1566</vt:i4>
      </vt:variant>
      <vt:variant>
        <vt:i4>0</vt:i4>
      </vt:variant>
      <vt:variant>
        <vt:i4>5</vt:i4>
      </vt:variant>
      <vt:variant>
        <vt:lpwstr>https://www.eea.europa.eu/themes/waste/waste-prevention</vt:lpwstr>
      </vt:variant>
      <vt:variant>
        <vt:lpwstr/>
      </vt:variant>
      <vt:variant>
        <vt:i4>3539070</vt:i4>
      </vt:variant>
      <vt:variant>
        <vt:i4>1563</vt:i4>
      </vt:variant>
      <vt:variant>
        <vt:i4>0</vt:i4>
      </vt:variant>
      <vt:variant>
        <vt:i4>5</vt:i4>
      </vt:variant>
      <vt:variant>
        <vt:lpwstr>https://www.eionet.europa.eu/etcs/etc-wmge/products/etc-wmge-reports/textiles-and-the-environment-in-a-circular-economy</vt:lpwstr>
      </vt:variant>
      <vt:variant>
        <vt:lpwstr/>
      </vt:variant>
      <vt:variant>
        <vt:i4>2752630</vt:i4>
      </vt:variant>
      <vt:variant>
        <vt:i4>1560</vt:i4>
      </vt:variant>
      <vt:variant>
        <vt:i4>0</vt:i4>
      </vt:variant>
      <vt:variant>
        <vt:i4>5</vt:i4>
      </vt:variant>
      <vt:variant>
        <vt:lpwstr>https://www.eea.europa.eu/data-and-maps/figures/the-use-of-primary-raw.</vt:lpwstr>
      </vt:variant>
      <vt:variant>
        <vt:lpwstr/>
      </vt:variant>
      <vt:variant>
        <vt:i4>4128803</vt:i4>
      </vt:variant>
      <vt:variant>
        <vt:i4>1557</vt:i4>
      </vt:variant>
      <vt:variant>
        <vt:i4>0</vt:i4>
      </vt:variant>
      <vt:variant>
        <vt:i4>5</vt:i4>
      </vt:variant>
      <vt:variant>
        <vt:lpwstr>https://www.eea.europa.eu/publications/textiles-in-europes-circular-economy</vt:lpwstr>
      </vt:variant>
      <vt:variant>
        <vt:lpwstr/>
      </vt:variant>
      <vt:variant>
        <vt:i4>2424890</vt:i4>
      </vt:variant>
      <vt:variant>
        <vt:i4>1554</vt:i4>
      </vt:variant>
      <vt:variant>
        <vt:i4>0</vt:i4>
      </vt:variant>
      <vt:variant>
        <vt:i4>5</vt:i4>
      </vt:variant>
      <vt:variant>
        <vt:lpwstr>https://www.eea.europa.eu/publications/textiles-and-the-environment-the</vt:lpwstr>
      </vt:variant>
      <vt:variant>
        <vt:lpwstr/>
      </vt:variant>
      <vt:variant>
        <vt:i4>7012375</vt:i4>
      </vt:variant>
      <vt:variant>
        <vt:i4>1551</vt:i4>
      </vt:variant>
      <vt:variant>
        <vt:i4>0</vt:i4>
      </vt:variant>
      <vt:variant>
        <vt:i4>5</vt:i4>
      </vt:variant>
      <vt:variant>
        <vt:lpwstr>https://www.eea.europa.eu/publications/progressing-towards-waste-prevention-in/at_download/file.</vt:lpwstr>
      </vt:variant>
      <vt:variant>
        <vt:lpwstr/>
      </vt:variant>
      <vt:variant>
        <vt:i4>458816</vt:i4>
      </vt:variant>
      <vt:variant>
        <vt:i4>1548</vt:i4>
      </vt:variant>
      <vt:variant>
        <vt:i4>0</vt:i4>
      </vt:variant>
      <vt:variant>
        <vt:i4>5</vt:i4>
      </vt:variant>
      <vt:variant>
        <vt:lpwstr>https://publications.jrc.ec.europa.eu/repository/handle/JRC111059</vt:lpwstr>
      </vt:variant>
      <vt:variant>
        <vt:lpwstr/>
      </vt:variant>
      <vt:variant>
        <vt:i4>2228260</vt:i4>
      </vt:variant>
      <vt:variant>
        <vt:i4>1545</vt:i4>
      </vt:variant>
      <vt:variant>
        <vt:i4>0</vt:i4>
      </vt:variant>
      <vt:variant>
        <vt:i4>5</vt:i4>
      </vt:variant>
      <vt:variant>
        <vt:lpwstr>https://data.europa.eu/doi/10.2760/858144.</vt:lpwstr>
      </vt:variant>
      <vt:variant>
        <vt:lpwstr/>
      </vt:variant>
      <vt:variant>
        <vt:i4>458770</vt:i4>
      </vt:variant>
      <vt:variant>
        <vt:i4>1542</vt:i4>
      </vt:variant>
      <vt:variant>
        <vt:i4>0</vt:i4>
      </vt:variant>
      <vt:variant>
        <vt:i4>5</vt:i4>
      </vt:variant>
      <vt:variant>
        <vt:lpwstr>https://data.europa.eu/doi/10.2873/23948.</vt:lpwstr>
      </vt:variant>
      <vt:variant>
        <vt:lpwstr/>
      </vt:variant>
      <vt:variant>
        <vt:i4>4194368</vt:i4>
      </vt:variant>
      <vt:variant>
        <vt:i4>1539</vt:i4>
      </vt:variant>
      <vt:variant>
        <vt:i4>0</vt:i4>
      </vt:variant>
      <vt:variant>
        <vt:i4>5</vt:i4>
      </vt:variant>
      <vt:variant>
        <vt:lpwstr>https://op.europa.eu/en/publication-detail/-/publication/edace3e3-e189-11e8-b690-01aa75ed71a1/language-en</vt:lpwstr>
      </vt:variant>
      <vt:variant>
        <vt:lpwstr/>
      </vt:variant>
      <vt:variant>
        <vt:i4>4128855</vt:i4>
      </vt:variant>
      <vt:variant>
        <vt:i4>1536</vt:i4>
      </vt:variant>
      <vt:variant>
        <vt:i4>0</vt:i4>
      </vt:variant>
      <vt:variant>
        <vt:i4>5</vt:i4>
      </vt:variant>
      <vt:variant>
        <vt:lpwstr>https://ec.europa.eu/environment/gpp/pdf/criteria/textiles_2017.pdf</vt:lpwstr>
      </vt:variant>
      <vt:variant>
        <vt:lpwstr/>
      </vt:variant>
      <vt:variant>
        <vt:i4>2687090</vt:i4>
      </vt:variant>
      <vt:variant>
        <vt:i4>1533</vt:i4>
      </vt:variant>
      <vt:variant>
        <vt:i4>0</vt:i4>
      </vt:variant>
      <vt:variant>
        <vt:i4>5</vt:i4>
      </vt:variant>
      <vt:variant>
        <vt:lpwstr>https://publications.jrc.ec.europa.eu/repository/handle/JRC125110.</vt:lpwstr>
      </vt:variant>
      <vt:variant>
        <vt:lpwstr/>
      </vt:variant>
      <vt:variant>
        <vt:i4>458816</vt:i4>
      </vt:variant>
      <vt:variant>
        <vt:i4>1530</vt:i4>
      </vt:variant>
      <vt:variant>
        <vt:i4>0</vt:i4>
      </vt:variant>
      <vt:variant>
        <vt:i4>5</vt:i4>
      </vt:variant>
      <vt:variant>
        <vt:lpwstr>https://publications.jrc.ec.europa.eu/repository/handle/JRC111059</vt:lpwstr>
      </vt:variant>
      <vt:variant>
        <vt:lpwstr/>
      </vt:variant>
      <vt:variant>
        <vt:i4>5898315</vt:i4>
      </vt:variant>
      <vt:variant>
        <vt:i4>1527</vt:i4>
      </vt:variant>
      <vt:variant>
        <vt:i4>0</vt:i4>
      </vt:variant>
      <vt:variant>
        <vt:i4>5</vt:i4>
      </vt:variant>
      <vt:variant>
        <vt:lpwstr>https://op.europa.eu/en/publication-detail/-/publication/739a1cca-6145-11ec-9c6c-01aa75ed71a1</vt:lpwstr>
      </vt:variant>
      <vt:variant>
        <vt:lpwstr/>
      </vt:variant>
      <vt:variant>
        <vt:i4>786450</vt:i4>
      </vt:variant>
      <vt:variant>
        <vt:i4>1524</vt:i4>
      </vt:variant>
      <vt:variant>
        <vt:i4>0</vt:i4>
      </vt:variant>
      <vt:variant>
        <vt:i4>5</vt:i4>
      </vt:variant>
      <vt:variant>
        <vt:lpwstr>https://data.europa.eu/doi/10.2779/14834</vt:lpwstr>
      </vt:variant>
      <vt:variant>
        <vt:lpwstr/>
      </vt:variant>
      <vt:variant>
        <vt:i4>7078002</vt:i4>
      </vt:variant>
      <vt:variant>
        <vt:i4>1521</vt:i4>
      </vt:variant>
      <vt:variant>
        <vt:i4>0</vt:i4>
      </vt:variant>
      <vt:variant>
        <vt:i4>5</vt:i4>
      </vt:variant>
      <vt:variant>
        <vt:lpwstr>https://euratex.eu/rehubs/</vt:lpwstr>
      </vt:variant>
      <vt:variant>
        <vt:lpwstr/>
      </vt:variant>
      <vt:variant>
        <vt:i4>2752628</vt:i4>
      </vt:variant>
      <vt:variant>
        <vt:i4>1518</vt:i4>
      </vt:variant>
      <vt:variant>
        <vt:i4>0</vt:i4>
      </vt:variant>
      <vt:variant>
        <vt:i4>5</vt:i4>
      </vt:variant>
      <vt:variant>
        <vt:lpwstr>https://ec.europa.eu/commission/presscorner/api/files/attachment/872168/Textiles Factsheet.pdf.pdf</vt:lpwstr>
      </vt:variant>
      <vt:variant>
        <vt:lpwstr/>
      </vt:variant>
      <vt:variant>
        <vt:i4>5832761</vt:i4>
      </vt:variant>
      <vt:variant>
        <vt:i4>1515</vt:i4>
      </vt:variant>
      <vt:variant>
        <vt:i4>0</vt:i4>
      </vt:variant>
      <vt:variant>
        <vt:i4>5</vt:i4>
      </vt:variant>
      <vt:variant>
        <vt:lpwstr>https://emf.thirdlight.com/link/circular-business-models-report/@/preview/1?o</vt:lpwstr>
      </vt:variant>
      <vt:variant>
        <vt:lpwstr/>
      </vt:variant>
      <vt:variant>
        <vt:i4>655438</vt:i4>
      </vt:variant>
      <vt:variant>
        <vt:i4>1512</vt:i4>
      </vt:variant>
      <vt:variant>
        <vt:i4>0</vt:i4>
      </vt:variant>
      <vt:variant>
        <vt:i4>5</vt:i4>
      </vt:variant>
      <vt:variant>
        <vt:lpwstr>https://ellenmacarthurfoundation.org/a-new-textiles-economy.</vt:lpwstr>
      </vt:variant>
      <vt:variant>
        <vt:lpwstr/>
      </vt:variant>
      <vt:variant>
        <vt:i4>3538987</vt:i4>
      </vt:variant>
      <vt:variant>
        <vt:i4>1509</vt:i4>
      </vt:variant>
      <vt:variant>
        <vt:i4>0</vt:i4>
      </vt:variant>
      <vt:variant>
        <vt:i4>5</vt:i4>
      </vt:variant>
      <vt:variant>
        <vt:lpwstr>http://www.ecap.eu.com/wp-content/uploads/2019/07/Guidance-for-Textiles-Collections.pdf</vt:lpwstr>
      </vt:variant>
      <vt:variant>
        <vt:lpwstr/>
      </vt:variant>
      <vt:variant>
        <vt:i4>1507347</vt:i4>
      </vt:variant>
      <vt:variant>
        <vt:i4>1506</vt:i4>
      </vt:variant>
      <vt:variant>
        <vt:i4>0</vt:i4>
      </vt:variant>
      <vt:variant>
        <vt:i4>5</vt:i4>
      </vt:variant>
      <vt:variant>
        <vt:lpwstr>http://www.ecap.eu.com/wp-content/uploads/2018/07/ECAP-Textile-collection-in-European-cities_full-report_with-summary.pdf</vt:lpwstr>
      </vt:variant>
      <vt:variant>
        <vt:lpwstr/>
      </vt:variant>
      <vt:variant>
        <vt:i4>4522053</vt:i4>
      </vt:variant>
      <vt:variant>
        <vt:i4>1503</vt:i4>
      </vt:variant>
      <vt:variant>
        <vt:i4>0</vt:i4>
      </vt:variant>
      <vt:variant>
        <vt:i4>5</vt:i4>
      </vt:variant>
      <vt:variant>
        <vt:lpwstr>https://www.cesme-book.eu/book/level-1-d/3.1-best-practices/3.1.2-humanita-textile-recycling</vt:lpwstr>
      </vt:variant>
      <vt:variant>
        <vt:lpwstr/>
      </vt:variant>
      <vt:variant>
        <vt:i4>1376298</vt:i4>
      </vt:variant>
      <vt:variant>
        <vt:i4>1500</vt:i4>
      </vt:variant>
      <vt:variant>
        <vt:i4>0</vt:i4>
      </vt:variant>
      <vt:variant>
        <vt:i4>5</vt:i4>
      </vt:variant>
      <vt:variant>
        <vt:lpwstr>https://www.collectors2020.eu/wp-content/uploads/2020/12/COLLECTORS-D4.6_Policy-recommendations-final.pdf</vt:lpwstr>
      </vt:variant>
      <vt:variant>
        <vt:lpwstr/>
      </vt:variant>
      <vt:variant>
        <vt:i4>2359299</vt:i4>
      </vt:variant>
      <vt:variant>
        <vt:i4>1497</vt:i4>
      </vt:variant>
      <vt:variant>
        <vt:i4>0</vt:i4>
      </vt:variant>
      <vt:variant>
        <vt:i4>5</vt:i4>
      </vt:variant>
      <vt:variant>
        <vt:lpwstr>https://www.collectors2020.eu/wp-content/uploads/2020/12/COLLECTORS_D4.5Guidelines-final.pdf</vt:lpwstr>
      </vt:variant>
      <vt:variant>
        <vt:lpwstr/>
      </vt:variant>
      <vt:variant>
        <vt:i4>7471140</vt:i4>
      </vt:variant>
      <vt:variant>
        <vt:i4>1455</vt:i4>
      </vt:variant>
      <vt:variant>
        <vt:i4>0</vt:i4>
      </vt:variant>
      <vt:variant>
        <vt:i4>5</vt:i4>
      </vt:variant>
      <vt:variant>
        <vt:lpwstr>https://www.sciencedirect.com/topics/earth-and-planetary-sciences/foodstuff</vt:lpwstr>
      </vt:variant>
      <vt:variant>
        <vt:lpwstr/>
      </vt:variant>
      <vt:variant>
        <vt:i4>852055</vt:i4>
      </vt:variant>
      <vt:variant>
        <vt:i4>1452</vt:i4>
      </vt:variant>
      <vt:variant>
        <vt:i4>0</vt:i4>
      </vt:variant>
      <vt:variant>
        <vt:i4>5</vt:i4>
      </vt:variant>
      <vt:variant>
        <vt:lpwstr>https://www.sciencedirect.com/topics/engineering/sankey-diagrams</vt:lpwstr>
      </vt:variant>
      <vt:variant>
        <vt:lpwstr/>
      </vt:variant>
      <vt:variant>
        <vt:i4>3866682</vt:i4>
      </vt:variant>
      <vt:variant>
        <vt:i4>1446</vt:i4>
      </vt:variant>
      <vt:variant>
        <vt:i4>0</vt:i4>
      </vt:variant>
      <vt:variant>
        <vt:i4>5</vt:i4>
      </vt:variant>
      <vt:variant>
        <vt:lpwstr>https://trexproject.eu/</vt:lpwstr>
      </vt:variant>
      <vt:variant>
        <vt:lpwstr/>
      </vt:variant>
      <vt:variant>
        <vt:i4>1572882</vt:i4>
      </vt:variant>
      <vt:variant>
        <vt:i4>1443</vt:i4>
      </vt:variant>
      <vt:variant>
        <vt:i4>0</vt:i4>
      </vt:variant>
      <vt:variant>
        <vt:i4>5</vt:i4>
      </vt:variant>
      <vt:variant>
        <vt:lpwstr>https://cordis.europa.eu/project/id/101000559</vt:lpwstr>
      </vt:variant>
      <vt:variant>
        <vt:lpwstr/>
      </vt:variant>
      <vt:variant>
        <vt:i4>2687018</vt:i4>
      </vt:variant>
      <vt:variant>
        <vt:i4>1440</vt:i4>
      </vt:variant>
      <vt:variant>
        <vt:i4>0</vt:i4>
      </vt:variant>
      <vt:variant>
        <vt:i4>5</vt:i4>
      </vt:variant>
      <vt:variant>
        <vt:lpwstr>https://cordis.europa.eu/project/id/642494</vt:lpwstr>
      </vt:variant>
      <vt:variant>
        <vt:lpwstr/>
      </vt:variant>
      <vt:variant>
        <vt:i4>4653129</vt:i4>
      </vt:variant>
      <vt:variant>
        <vt:i4>1437</vt:i4>
      </vt:variant>
      <vt:variant>
        <vt:i4>0</vt:i4>
      </vt:variant>
      <vt:variant>
        <vt:i4>5</vt:i4>
      </vt:variant>
      <vt:variant>
        <vt:lpwstr>https://www.renewcell.com/en/</vt:lpwstr>
      </vt:variant>
      <vt:variant>
        <vt:lpwstr/>
      </vt:variant>
      <vt:variant>
        <vt:i4>2359328</vt:i4>
      </vt:variant>
      <vt:variant>
        <vt:i4>1434</vt:i4>
      </vt:variant>
      <vt:variant>
        <vt:i4>0</vt:i4>
      </vt:variant>
      <vt:variant>
        <vt:i4>5</vt:i4>
      </vt:variant>
      <vt:variant>
        <vt:lpwstr>https://www.carbios.com/en/</vt:lpwstr>
      </vt:variant>
      <vt:variant>
        <vt:lpwstr/>
      </vt:variant>
      <vt:variant>
        <vt:i4>983133</vt:i4>
      </vt:variant>
      <vt:variant>
        <vt:i4>1431</vt:i4>
      </vt:variant>
      <vt:variant>
        <vt:i4>0</vt:i4>
      </vt:variant>
      <vt:variant>
        <vt:i4>5</vt:i4>
      </vt:variant>
      <vt:variant>
        <vt:lpwstr>http://www.life-ecotex.eu/index.php/en/home/</vt:lpwstr>
      </vt:variant>
      <vt:variant>
        <vt:lpwstr/>
      </vt:variant>
      <vt:variant>
        <vt:i4>3604605</vt:i4>
      </vt:variant>
      <vt:variant>
        <vt:i4>1416</vt:i4>
      </vt:variant>
      <vt:variant>
        <vt:i4>0</vt:i4>
      </vt:variant>
      <vt:variant>
        <vt:i4>5</vt:i4>
      </vt:variant>
      <vt:variant>
        <vt:lpwstr>https://www.sciencedirect.com/science/article/pii/S0959652618305985</vt:lpwstr>
      </vt:variant>
      <vt:variant>
        <vt:lpwstr>bib21</vt:lpwstr>
      </vt:variant>
      <vt:variant>
        <vt:i4>4587631</vt:i4>
      </vt:variant>
      <vt:variant>
        <vt:i4>1347</vt:i4>
      </vt:variant>
      <vt:variant>
        <vt:i4>0</vt:i4>
      </vt:variant>
      <vt:variant>
        <vt:i4>5</vt:i4>
      </vt:variant>
      <vt:variant>
        <vt:lpwstr>https://ec.europa.eu/info/publications/proposal-empowering-consumer-green-transition-and-annex_en</vt:lpwstr>
      </vt:variant>
      <vt:variant>
        <vt:lpwstr/>
      </vt:variant>
      <vt:variant>
        <vt:i4>1507377</vt:i4>
      </vt:variant>
      <vt:variant>
        <vt:i4>1335</vt:i4>
      </vt:variant>
      <vt:variant>
        <vt:i4>0</vt:i4>
      </vt:variant>
      <vt:variant>
        <vt:i4>5</vt:i4>
      </vt:variant>
      <vt:variant>
        <vt:lpwstr>\\net1.cec.eu.int\JRC_NEW\JRC.D\JRC.D.4\SCIENTIFIC\FOOD_SYSTEM\30-PROJECT\40 FoodWaste_IA\Model_preparation\pillovers and Transboundary Impacts of Public Policies</vt:lpwstr>
      </vt:variant>
      <vt:variant>
        <vt:lpwstr/>
      </vt:variant>
      <vt:variant>
        <vt:i4>3342417</vt:i4>
      </vt:variant>
      <vt:variant>
        <vt:i4>1323</vt:i4>
      </vt:variant>
      <vt:variant>
        <vt:i4>0</vt:i4>
      </vt:variant>
      <vt:variant>
        <vt:i4>5</vt:i4>
      </vt:variant>
      <vt:variant>
        <vt:lpwstr>https://ec.europa.eu/eurostat/statistics-explained/index.php?title=Food_waste_and_food_waste_prevention_-_estimates</vt:lpwstr>
      </vt:variant>
      <vt:variant>
        <vt:lpwstr>Methodology</vt:lpwstr>
      </vt:variant>
      <vt:variant>
        <vt:i4>1966146</vt:i4>
      </vt:variant>
      <vt:variant>
        <vt:i4>1320</vt:i4>
      </vt:variant>
      <vt:variant>
        <vt:i4>0</vt:i4>
      </vt:variant>
      <vt:variant>
        <vt:i4>5</vt:i4>
      </vt:variant>
      <vt:variant>
        <vt:lpwstr>https://ec.europa.eu/eurostat/web/products-eurostat-news/-/ddn-20220925-2</vt:lpwstr>
      </vt:variant>
      <vt:variant>
        <vt:lpwstr/>
      </vt:variant>
      <vt:variant>
        <vt:i4>4915260</vt:i4>
      </vt:variant>
      <vt:variant>
        <vt:i4>1287</vt:i4>
      </vt:variant>
      <vt:variant>
        <vt:i4>0</vt:i4>
      </vt:variant>
      <vt:variant>
        <vt:i4>5</vt:i4>
      </vt:variant>
      <vt:variant>
        <vt:lpwstr>https://agriculture.ec.europa.eu/data-and-analysis/markets/outlook/medium-term_en</vt:lpwstr>
      </vt:variant>
      <vt:variant>
        <vt:lpwstr/>
      </vt:variant>
      <vt:variant>
        <vt:i4>5374030</vt:i4>
      </vt:variant>
      <vt:variant>
        <vt:i4>1284</vt:i4>
      </vt:variant>
      <vt:variant>
        <vt:i4>0</vt:i4>
      </vt:variant>
      <vt:variant>
        <vt:i4>5</vt:i4>
      </vt:variant>
      <vt:variant>
        <vt:lpwstr>https://www.magnet-model.eu/publication/</vt:lpwstr>
      </vt:variant>
      <vt:variant>
        <vt:lpwstr/>
      </vt:variant>
      <vt:variant>
        <vt:i4>2555960</vt:i4>
      </vt:variant>
      <vt:variant>
        <vt:i4>1281</vt:i4>
      </vt:variant>
      <vt:variant>
        <vt:i4>0</vt:i4>
      </vt:variant>
      <vt:variant>
        <vt:i4>5</vt:i4>
      </vt:variant>
      <vt:variant>
        <vt:lpwstr>https://www.oecd.org/gov/pcsd/understanding-the-spillovers-and-transboundary-impacts-of-public-policies-862c0db7-en.htm</vt:lpwstr>
      </vt:variant>
      <vt:variant>
        <vt:lpwstr/>
      </vt:variant>
      <vt:variant>
        <vt:i4>1245209</vt:i4>
      </vt:variant>
      <vt:variant>
        <vt:i4>1278</vt:i4>
      </vt:variant>
      <vt:variant>
        <vt:i4>0</vt:i4>
      </vt:variant>
      <vt:variant>
        <vt:i4>5</vt:i4>
      </vt:variant>
      <vt:variant>
        <vt:lpwstr>https://sdgs.un.org/publications/sdg-good-practices-2020</vt:lpwstr>
      </vt:variant>
      <vt:variant>
        <vt:lpwstr/>
      </vt:variant>
      <vt:variant>
        <vt:i4>7274502</vt:i4>
      </vt:variant>
      <vt:variant>
        <vt:i4>1275</vt:i4>
      </vt:variant>
      <vt:variant>
        <vt:i4>0</vt:i4>
      </vt:variant>
      <vt:variant>
        <vt:i4>5</vt:i4>
      </vt:variant>
      <vt:variant>
        <vt:lpwstr>https://ec.europa.eu/environment/biodiversity/business/news/news-192_en.htm</vt:lpwstr>
      </vt:variant>
      <vt:variant>
        <vt:lpwstr/>
      </vt:variant>
      <vt:variant>
        <vt:i4>917590</vt:i4>
      </vt:variant>
      <vt:variant>
        <vt:i4>1272</vt:i4>
      </vt:variant>
      <vt:variant>
        <vt:i4>0</vt:i4>
      </vt:variant>
      <vt:variant>
        <vt:i4>5</vt:i4>
      </vt:variant>
      <vt:variant>
        <vt:lpwstr>https://www.ifad.org/en/rural-development-report/</vt:lpwstr>
      </vt:variant>
      <vt:variant>
        <vt:lpwstr/>
      </vt:variant>
      <vt:variant>
        <vt:i4>3342369</vt:i4>
      </vt:variant>
      <vt:variant>
        <vt:i4>1269</vt:i4>
      </vt:variant>
      <vt:variant>
        <vt:i4>0</vt:i4>
      </vt:variant>
      <vt:variant>
        <vt:i4>5</vt:i4>
      </vt:variant>
      <vt:variant>
        <vt:lpwstr>https://www.fao.org/3/ca6030en/ca6030en.pdf</vt:lpwstr>
      </vt:variant>
      <vt:variant>
        <vt:lpwstr/>
      </vt:variant>
      <vt:variant>
        <vt:i4>2687011</vt:i4>
      </vt:variant>
      <vt:variant>
        <vt:i4>1266</vt:i4>
      </vt:variant>
      <vt:variant>
        <vt:i4>0</vt:i4>
      </vt:variant>
      <vt:variant>
        <vt:i4>5</vt:i4>
      </vt:variant>
      <vt:variant>
        <vt:lpwstr>https://www.gtap.agecon.purdue.edu/about/consortium.asp</vt:lpwstr>
      </vt:variant>
      <vt:variant>
        <vt:lpwstr/>
      </vt:variant>
      <vt:variant>
        <vt:i4>8323109</vt:i4>
      </vt:variant>
      <vt:variant>
        <vt:i4>1263</vt:i4>
      </vt:variant>
      <vt:variant>
        <vt:i4>0</vt:i4>
      </vt:variant>
      <vt:variant>
        <vt:i4>5</vt:i4>
      </vt:variant>
      <vt:variant>
        <vt:lpwstr>https://www.gtap.agecon.purdue.edu/default.asp</vt:lpwstr>
      </vt:variant>
      <vt:variant>
        <vt:lpwstr/>
      </vt:variant>
      <vt:variant>
        <vt:i4>8126583</vt:i4>
      </vt:variant>
      <vt:variant>
        <vt:i4>1260</vt:i4>
      </vt:variant>
      <vt:variant>
        <vt:i4>0</vt:i4>
      </vt:variant>
      <vt:variant>
        <vt:i4>5</vt:i4>
      </vt:variant>
      <vt:variant>
        <vt:lpwstr>https://web.jrc.ec.europa.eu/policy-model-inventory/explore/models/model-magnet/policy-support</vt:lpwstr>
      </vt:variant>
      <vt:variant>
        <vt:lpwstr/>
      </vt:variant>
      <vt:variant>
        <vt:i4>852032</vt:i4>
      </vt:variant>
      <vt:variant>
        <vt:i4>1257</vt:i4>
      </vt:variant>
      <vt:variant>
        <vt:i4>0</vt:i4>
      </vt:variant>
      <vt:variant>
        <vt:i4>5</vt:i4>
      </vt:variant>
      <vt:variant>
        <vt:lpwstr>https://publications.jrc.ec.europa.eu/repository/handle/JRC118064</vt:lpwstr>
      </vt:variant>
      <vt:variant>
        <vt:lpwstr/>
      </vt:variant>
      <vt:variant>
        <vt:i4>196675</vt:i4>
      </vt:variant>
      <vt:variant>
        <vt:i4>1254</vt:i4>
      </vt:variant>
      <vt:variant>
        <vt:i4>0</vt:i4>
      </vt:variant>
      <vt:variant>
        <vt:i4>5</vt:i4>
      </vt:variant>
      <vt:variant>
        <vt:lpwstr>https://publications.jrc.ec.europa.eu/repository/handle/JRC123037</vt:lpwstr>
      </vt:variant>
      <vt:variant>
        <vt:lpwstr/>
      </vt:variant>
      <vt:variant>
        <vt:i4>3407910</vt:i4>
      </vt:variant>
      <vt:variant>
        <vt:i4>1251</vt:i4>
      </vt:variant>
      <vt:variant>
        <vt:i4>0</vt:i4>
      </vt:variant>
      <vt:variant>
        <vt:i4>5</vt:i4>
      </vt:variant>
      <vt:variant>
        <vt:lpwstr>https://web.jrc.ec.europa.eu/policy-model-inventory/explore/models/model-magnet</vt:lpwstr>
      </vt:variant>
      <vt:variant>
        <vt:lpwstr/>
      </vt:variant>
      <vt:variant>
        <vt:i4>4063340</vt:i4>
      </vt:variant>
      <vt:variant>
        <vt:i4>1248</vt:i4>
      </vt:variant>
      <vt:variant>
        <vt:i4>0</vt:i4>
      </vt:variant>
      <vt:variant>
        <vt:i4>5</vt:i4>
      </vt:variant>
      <vt:variant>
        <vt:lpwstr>https://www.europarl.europa.eu/RegData/etudes/IDAN/2022/734766/IPOL_IDA(2022)734766_EN.pdf</vt:lpwstr>
      </vt:variant>
      <vt:variant>
        <vt:lpwstr/>
      </vt:variant>
      <vt:variant>
        <vt:i4>3539029</vt:i4>
      </vt:variant>
      <vt:variant>
        <vt:i4>1182</vt:i4>
      </vt:variant>
      <vt:variant>
        <vt:i4>0</vt:i4>
      </vt:variant>
      <vt:variant>
        <vt:i4>5</vt:i4>
      </vt:variant>
      <vt:variant>
        <vt:lpwstr>https://food.ec.europa.eu/safety/food-waste/eu-actions-against-food-waste/eu-platform-food-losses-and-food-waste_en</vt:lpwstr>
      </vt:variant>
      <vt:variant>
        <vt:lpwstr/>
      </vt:variant>
      <vt:variant>
        <vt:i4>655373</vt:i4>
      </vt:variant>
      <vt:variant>
        <vt:i4>1179</vt:i4>
      </vt:variant>
      <vt:variant>
        <vt:i4>0</vt:i4>
      </vt:variant>
      <vt:variant>
        <vt:i4>5</vt:i4>
      </vt:variant>
      <vt:variant>
        <vt:lpwstr>https://ec.europa.eu/info/law/better-regulation/have-your-say/initiatives/13223-Food-waste-reduction-targets/feedback_en?p_id=26531524</vt:lpwstr>
      </vt:variant>
      <vt:variant>
        <vt:lpwstr/>
      </vt:variant>
      <vt:variant>
        <vt:i4>5308455</vt:i4>
      </vt:variant>
      <vt:variant>
        <vt:i4>1176</vt:i4>
      </vt:variant>
      <vt:variant>
        <vt:i4>0</vt:i4>
      </vt:variant>
      <vt:variant>
        <vt:i4>5</vt:i4>
      </vt:variant>
      <vt:variant>
        <vt:lpwstr>https://ec.europa.eu/eurostat/statistics-explained/index.php?title=Food_waste_and_food_waste_prevention_-_estimates</vt:lpwstr>
      </vt:variant>
      <vt:variant>
        <vt:lpwstr/>
      </vt:variant>
      <vt:variant>
        <vt:i4>8126483</vt:i4>
      </vt:variant>
      <vt:variant>
        <vt:i4>1170</vt:i4>
      </vt:variant>
      <vt:variant>
        <vt:i4>0</vt:i4>
      </vt:variant>
      <vt:variant>
        <vt:i4>5</vt:i4>
      </vt:variant>
      <vt:variant>
        <vt:lpwstr>https://ec.europa.eu/info/law/better-regulation/have-your-say/initiatives/13223-Food-waste-reduction-targets_en</vt:lpwstr>
      </vt:variant>
      <vt:variant>
        <vt:lpwstr/>
      </vt:variant>
      <vt:variant>
        <vt:i4>4718644</vt:i4>
      </vt:variant>
      <vt:variant>
        <vt:i4>1167</vt:i4>
      </vt:variant>
      <vt:variant>
        <vt:i4>0</vt:i4>
      </vt:variant>
      <vt:variant>
        <vt:i4>5</vt:i4>
      </vt:variant>
      <vt:variant>
        <vt:lpwstr>https://ec.europa.eu/info/law/better-regulation/have-your-say/initiatives/13225-Environmental-impact-of-waste-management-revision-of-EU-waste-framework_en</vt:lpwstr>
      </vt:variant>
      <vt:variant>
        <vt:lpwstr/>
      </vt:variant>
      <vt:variant>
        <vt:i4>1966141</vt:i4>
      </vt:variant>
      <vt:variant>
        <vt:i4>1160</vt:i4>
      </vt:variant>
      <vt:variant>
        <vt:i4>0</vt:i4>
      </vt:variant>
      <vt:variant>
        <vt:i4>5</vt:i4>
      </vt:variant>
      <vt:variant>
        <vt:lpwstr/>
      </vt:variant>
      <vt:variant>
        <vt:lpwstr>_Toc137039836</vt:lpwstr>
      </vt:variant>
      <vt:variant>
        <vt:i4>1966141</vt:i4>
      </vt:variant>
      <vt:variant>
        <vt:i4>1154</vt:i4>
      </vt:variant>
      <vt:variant>
        <vt:i4>0</vt:i4>
      </vt:variant>
      <vt:variant>
        <vt:i4>5</vt:i4>
      </vt:variant>
      <vt:variant>
        <vt:lpwstr/>
      </vt:variant>
      <vt:variant>
        <vt:lpwstr>_Toc137039835</vt:lpwstr>
      </vt:variant>
      <vt:variant>
        <vt:i4>1966141</vt:i4>
      </vt:variant>
      <vt:variant>
        <vt:i4>1148</vt:i4>
      </vt:variant>
      <vt:variant>
        <vt:i4>0</vt:i4>
      </vt:variant>
      <vt:variant>
        <vt:i4>5</vt:i4>
      </vt:variant>
      <vt:variant>
        <vt:lpwstr/>
      </vt:variant>
      <vt:variant>
        <vt:lpwstr>_Toc137039834</vt:lpwstr>
      </vt:variant>
      <vt:variant>
        <vt:i4>1966141</vt:i4>
      </vt:variant>
      <vt:variant>
        <vt:i4>1142</vt:i4>
      </vt:variant>
      <vt:variant>
        <vt:i4>0</vt:i4>
      </vt:variant>
      <vt:variant>
        <vt:i4>5</vt:i4>
      </vt:variant>
      <vt:variant>
        <vt:lpwstr/>
      </vt:variant>
      <vt:variant>
        <vt:lpwstr>_Toc137039833</vt:lpwstr>
      </vt:variant>
      <vt:variant>
        <vt:i4>1966141</vt:i4>
      </vt:variant>
      <vt:variant>
        <vt:i4>1136</vt:i4>
      </vt:variant>
      <vt:variant>
        <vt:i4>0</vt:i4>
      </vt:variant>
      <vt:variant>
        <vt:i4>5</vt:i4>
      </vt:variant>
      <vt:variant>
        <vt:lpwstr/>
      </vt:variant>
      <vt:variant>
        <vt:lpwstr>_Toc137039832</vt:lpwstr>
      </vt:variant>
      <vt:variant>
        <vt:i4>1966141</vt:i4>
      </vt:variant>
      <vt:variant>
        <vt:i4>1130</vt:i4>
      </vt:variant>
      <vt:variant>
        <vt:i4>0</vt:i4>
      </vt:variant>
      <vt:variant>
        <vt:i4>5</vt:i4>
      </vt:variant>
      <vt:variant>
        <vt:lpwstr/>
      </vt:variant>
      <vt:variant>
        <vt:lpwstr>_Toc137039831</vt:lpwstr>
      </vt:variant>
      <vt:variant>
        <vt:i4>1966141</vt:i4>
      </vt:variant>
      <vt:variant>
        <vt:i4>1124</vt:i4>
      </vt:variant>
      <vt:variant>
        <vt:i4>0</vt:i4>
      </vt:variant>
      <vt:variant>
        <vt:i4>5</vt:i4>
      </vt:variant>
      <vt:variant>
        <vt:lpwstr/>
      </vt:variant>
      <vt:variant>
        <vt:lpwstr>_Toc137039830</vt:lpwstr>
      </vt:variant>
      <vt:variant>
        <vt:i4>2031677</vt:i4>
      </vt:variant>
      <vt:variant>
        <vt:i4>1118</vt:i4>
      </vt:variant>
      <vt:variant>
        <vt:i4>0</vt:i4>
      </vt:variant>
      <vt:variant>
        <vt:i4>5</vt:i4>
      </vt:variant>
      <vt:variant>
        <vt:lpwstr/>
      </vt:variant>
      <vt:variant>
        <vt:lpwstr>_Toc137039828</vt:lpwstr>
      </vt:variant>
      <vt:variant>
        <vt:i4>2031677</vt:i4>
      </vt:variant>
      <vt:variant>
        <vt:i4>1112</vt:i4>
      </vt:variant>
      <vt:variant>
        <vt:i4>0</vt:i4>
      </vt:variant>
      <vt:variant>
        <vt:i4>5</vt:i4>
      </vt:variant>
      <vt:variant>
        <vt:lpwstr/>
      </vt:variant>
      <vt:variant>
        <vt:lpwstr>_Toc137039827</vt:lpwstr>
      </vt:variant>
      <vt:variant>
        <vt:i4>2031677</vt:i4>
      </vt:variant>
      <vt:variant>
        <vt:i4>1106</vt:i4>
      </vt:variant>
      <vt:variant>
        <vt:i4>0</vt:i4>
      </vt:variant>
      <vt:variant>
        <vt:i4>5</vt:i4>
      </vt:variant>
      <vt:variant>
        <vt:lpwstr/>
      </vt:variant>
      <vt:variant>
        <vt:lpwstr>_Toc137039826</vt:lpwstr>
      </vt:variant>
      <vt:variant>
        <vt:i4>2031677</vt:i4>
      </vt:variant>
      <vt:variant>
        <vt:i4>1100</vt:i4>
      </vt:variant>
      <vt:variant>
        <vt:i4>0</vt:i4>
      </vt:variant>
      <vt:variant>
        <vt:i4>5</vt:i4>
      </vt:variant>
      <vt:variant>
        <vt:lpwstr/>
      </vt:variant>
      <vt:variant>
        <vt:lpwstr>_Toc137039825</vt:lpwstr>
      </vt:variant>
      <vt:variant>
        <vt:i4>2031677</vt:i4>
      </vt:variant>
      <vt:variant>
        <vt:i4>1094</vt:i4>
      </vt:variant>
      <vt:variant>
        <vt:i4>0</vt:i4>
      </vt:variant>
      <vt:variant>
        <vt:i4>5</vt:i4>
      </vt:variant>
      <vt:variant>
        <vt:lpwstr/>
      </vt:variant>
      <vt:variant>
        <vt:lpwstr>_Toc137039824</vt:lpwstr>
      </vt:variant>
      <vt:variant>
        <vt:i4>2031677</vt:i4>
      </vt:variant>
      <vt:variant>
        <vt:i4>1088</vt:i4>
      </vt:variant>
      <vt:variant>
        <vt:i4>0</vt:i4>
      </vt:variant>
      <vt:variant>
        <vt:i4>5</vt:i4>
      </vt:variant>
      <vt:variant>
        <vt:lpwstr/>
      </vt:variant>
      <vt:variant>
        <vt:lpwstr>_Toc137039823</vt:lpwstr>
      </vt:variant>
      <vt:variant>
        <vt:i4>2031677</vt:i4>
      </vt:variant>
      <vt:variant>
        <vt:i4>1082</vt:i4>
      </vt:variant>
      <vt:variant>
        <vt:i4>0</vt:i4>
      </vt:variant>
      <vt:variant>
        <vt:i4>5</vt:i4>
      </vt:variant>
      <vt:variant>
        <vt:lpwstr/>
      </vt:variant>
      <vt:variant>
        <vt:lpwstr>_Toc137039822</vt:lpwstr>
      </vt:variant>
      <vt:variant>
        <vt:i4>2031677</vt:i4>
      </vt:variant>
      <vt:variant>
        <vt:i4>1076</vt:i4>
      </vt:variant>
      <vt:variant>
        <vt:i4>0</vt:i4>
      </vt:variant>
      <vt:variant>
        <vt:i4>5</vt:i4>
      </vt:variant>
      <vt:variant>
        <vt:lpwstr/>
      </vt:variant>
      <vt:variant>
        <vt:lpwstr>_Toc137039821</vt:lpwstr>
      </vt:variant>
      <vt:variant>
        <vt:i4>2031677</vt:i4>
      </vt:variant>
      <vt:variant>
        <vt:i4>1070</vt:i4>
      </vt:variant>
      <vt:variant>
        <vt:i4>0</vt:i4>
      </vt:variant>
      <vt:variant>
        <vt:i4>5</vt:i4>
      </vt:variant>
      <vt:variant>
        <vt:lpwstr/>
      </vt:variant>
      <vt:variant>
        <vt:lpwstr>_Toc137039820</vt:lpwstr>
      </vt:variant>
      <vt:variant>
        <vt:i4>1835069</vt:i4>
      </vt:variant>
      <vt:variant>
        <vt:i4>1064</vt:i4>
      </vt:variant>
      <vt:variant>
        <vt:i4>0</vt:i4>
      </vt:variant>
      <vt:variant>
        <vt:i4>5</vt:i4>
      </vt:variant>
      <vt:variant>
        <vt:lpwstr/>
      </vt:variant>
      <vt:variant>
        <vt:lpwstr>_Toc137039819</vt:lpwstr>
      </vt:variant>
      <vt:variant>
        <vt:i4>1835069</vt:i4>
      </vt:variant>
      <vt:variant>
        <vt:i4>1058</vt:i4>
      </vt:variant>
      <vt:variant>
        <vt:i4>0</vt:i4>
      </vt:variant>
      <vt:variant>
        <vt:i4>5</vt:i4>
      </vt:variant>
      <vt:variant>
        <vt:lpwstr/>
      </vt:variant>
      <vt:variant>
        <vt:lpwstr>_Toc137039818</vt:lpwstr>
      </vt:variant>
      <vt:variant>
        <vt:i4>1835069</vt:i4>
      </vt:variant>
      <vt:variant>
        <vt:i4>1052</vt:i4>
      </vt:variant>
      <vt:variant>
        <vt:i4>0</vt:i4>
      </vt:variant>
      <vt:variant>
        <vt:i4>5</vt:i4>
      </vt:variant>
      <vt:variant>
        <vt:lpwstr/>
      </vt:variant>
      <vt:variant>
        <vt:lpwstr>_Toc137039817</vt:lpwstr>
      </vt:variant>
      <vt:variant>
        <vt:i4>1835069</vt:i4>
      </vt:variant>
      <vt:variant>
        <vt:i4>1046</vt:i4>
      </vt:variant>
      <vt:variant>
        <vt:i4>0</vt:i4>
      </vt:variant>
      <vt:variant>
        <vt:i4>5</vt:i4>
      </vt:variant>
      <vt:variant>
        <vt:lpwstr/>
      </vt:variant>
      <vt:variant>
        <vt:lpwstr>_Toc137039816</vt:lpwstr>
      </vt:variant>
      <vt:variant>
        <vt:i4>1835069</vt:i4>
      </vt:variant>
      <vt:variant>
        <vt:i4>1040</vt:i4>
      </vt:variant>
      <vt:variant>
        <vt:i4>0</vt:i4>
      </vt:variant>
      <vt:variant>
        <vt:i4>5</vt:i4>
      </vt:variant>
      <vt:variant>
        <vt:lpwstr/>
      </vt:variant>
      <vt:variant>
        <vt:lpwstr>_Toc137039815</vt:lpwstr>
      </vt:variant>
      <vt:variant>
        <vt:i4>1835069</vt:i4>
      </vt:variant>
      <vt:variant>
        <vt:i4>1034</vt:i4>
      </vt:variant>
      <vt:variant>
        <vt:i4>0</vt:i4>
      </vt:variant>
      <vt:variant>
        <vt:i4>5</vt:i4>
      </vt:variant>
      <vt:variant>
        <vt:lpwstr/>
      </vt:variant>
      <vt:variant>
        <vt:lpwstr>_Toc137039814</vt:lpwstr>
      </vt:variant>
      <vt:variant>
        <vt:i4>1835069</vt:i4>
      </vt:variant>
      <vt:variant>
        <vt:i4>1028</vt:i4>
      </vt:variant>
      <vt:variant>
        <vt:i4>0</vt:i4>
      </vt:variant>
      <vt:variant>
        <vt:i4>5</vt:i4>
      </vt:variant>
      <vt:variant>
        <vt:lpwstr/>
      </vt:variant>
      <vt:variant>
        <vt:lpwstr>_Toc137039813</vt:lpwstr>
      </vt:variant>
      <vt:variant>
        <vt:i4>1835069</vt:i4>
      </vt:variant>
      <vt:variant>
        <vt:i4>1022</vt:i4>
      </vt:variant>
      <vt:variant>
        <vt:i4>0</vt:i4>
      </vt:variant>
      <vt:variant>
        <vt:i4>5</vt:i4>
      </vt:variant>
      <vt:variant>
        <vt:lpwstr/>
      </vt:variant>
      <vt:variant>
        <vt:lpwstr>_Toc137039812</vt:lpwstr>
      </vt:variant>
      <vt:variant>
        <vt:i4>1835069</vt:i4>
      </vt:variant>
      <vt:variant>
        <vt:i4>1016</vt:i4>
      </vt:variant>
      <vt:variant>
        <vt:i4>0</vt:i4>
      </vt:variant>
      <vt:variant>
        <vt:i4>5</vt:i4>
      </vt:variant>
      <vt:variant>
        <vt:lpwstr/>
      </vt:variant>
      <vt:variant>
        <vt:lpwstr>_Toc137039811</vt:lpwstr>
      </vt:variant>
      <vt:variant>
        <vt:i4>1835069</vt:i4>
      </vt:variant>
      <vt:variant>
        <vt:i4>1010</vt:i4>
      </vt:variant>
      <vt:variant>
        <vt:i4>0</vt:i4>
      </vt:variant>
      <vt:variant>
        <vt:i4>5</vt:i4>
      </vt:variant>
      <vt:variant>
        <vt:lpwstr/>
      </vt:variant>
      <vt:variant>
        <vt:lpwstr>_Toc137039810</vt:lpwstr>
      </vt:variant>
      <vt:variant>
        <vt:i4>1900605</vt:i4>
      </vt:variant>
      <vt:variant>
        <vt:i4>1004</vt:i4>
      </vt:variant>
      <vt:variant>
        <vt:i4>0</vt:i4>
      </vt:variant>
      <vt:variant>
        <vt:i4>5</vt:i4>
      </vt:variant>
      <vt:variant>
        <vt:lpwstr/>
      </vt:variant>
      <vt:variant>
        <vt:lpwstr>_Toc137039809</vt:lpwstr>
      </vt:variant>
      <vt:variant>
        <vt:i4>1900605</vt:i4>
      </vt:variant>
      <vt:variant>
        <vt:i4>998</vt:i4>
      </vt:variant>
      <vt:variant>
        <vt:i4>0</vt:i4>
      </vt:variant>
      <vt:variant>
        <vt:i4>5</vt:i4>
      </vt:variant>
      <vt:variant>
        <vt:lpwstr/>
      </vt:variant>
      <vt:variant>
        <vt:lpwstr>_Toc137039808</vt:lpwstr>
      </vt:variant>
      <vt:variant>
        <vt:i4>1900605</vt:i4>
      </vt:variant>
      <vt:variant>
        <vt:i4>992</vt:i4>
      </vt:variant>
      <vt:variant>
        <vt:i4>0</vt:i4>
      </vt:variant>
      <vt:variant>
        <vt:i4>5</vt:i4>
      </vt:variant>
      <vt:variant>
        <vt:lpwstr/>
      </vt:variant>
      <vt:variant>
        <vt:lpwstr>_Toc137039807</vt:lpwstr>
      </vt:variant>
      <vt:variant>
        <vt:i4>1900605</vt:i4>
      </vt:variant>
      <vt:variant>
        <vt:i4>986</vt:i4>
      </vt:variant>
      <vt:variant>
        <vt:i4>0</vt:i4>
      </vt:variant>
      <vt:variant>
        <vt:i4>5</vt:i4>
      </vt:variant>
      <vt:variant>
        <vt:lpwstr/>
      </vt:variant>
      <vt:variant>
        <vt:lpwstr>_Toc137039806</vt:lpwstr>
      </vt:variant>
      <vt:variant>
        <vt:i4>1900605</vt:i4>
      </vt:variant>
      <vt:variant>
        <vt:i4>980</vt:i4>
      </vt:variant>
      <vt:variant>
        <vt:i4>0</vt:i4>
      </vt:variant>
      <vt:variant>
        <vt:i4>5</vt:i4>
      </vt:variant>
      <vt:variant>
        <vt:lpwstr/>
      </vt:variant>
      <vt:variant>
        <vt:lpwstr>_Toc137039805</vt:lpwstr>
      </vt:variant>
      <vt:variant>
        <vt:i4>1900605</vt:i4>
      </vt:variant>
      <vt:variant>
        <vt:i4>974</vt:i4>
      </vt:variant>
      <vt:variant>
        <vt:i4>0</vt:i4>
      </vt:variant>
      <vt:variant>
        <vt:i4>5</vt:i4>
      </vt:variant>
      <vt:variant>
        <vt:lpwstr/>
      </vt:variant>
      <vt:variant>
        <vt:lpwstr>_Toc137039804</vt:lpwstr>
      </vt:variant>
      <vt:variant>
        <vt:i4>1900605</vt:i4>
      </vt:variant>
      <vt:variant>
        <vt:i4>968</vt:i4>
      </vt:variant>
      <vt:variant>
        <vt:i4>0</vt:i4>
      </vt:variant>
      <vt:variant>
        <vt:i4>5</vt:i4>
      </vt:variant>
      <vt:variant>
        <vt:lpwstr/>
      </vt:variant>
      <vt:variant>
        <vt:lpwstr>_Toc137039803</vt:lpwstr>
      </vt:variant>
      <vt:variant>
        <vt:i4>1900605</vt:i4>
      </vt:variant>
      <vt:variant>
        <vt:i4>962</vt:i4>
      </vt:variant>
      <vt:variant>
        <vt:i4>0</vt:i4>
      </vt:variant>
      <vt:variant>
        <vt:i4>5</vt:i4>
      </vt:variant>
      <vt:variant>
        <vt:lpwstr/>
      </vt:variant>
      <vt:variant>
        <vt:lpwstr>_Toc137039802</vt:lpwstr>
      </vt:variant>
      <vt:variant>
        <vt:i4>1900605</vt:i4>
      </vt:variant>
      <vt:variant>
        <vt:i4>956</vt:i4>
      </vt:variant>
      <vt:variant>
        <vt:i4>0</vt:i4>
      </vt:variant>
      <vt:variant>
        <vt:i4>5</vt:i4>
      </vt:variant>
      <vt:variant>
        <vt:lpwstr/>
      </vt:variant>
      <vt:variant>
        <vt:lpwstr>_Toc137039801</vt:lpwstr>
      </vt:variant>
      <vt:variant>
        <vt:i4>1900605</vt:i4>
      </vt:variant>
      <vt:variant>
        <vt:i4>950</vt:i4>
      </vt:variant>
      <vt:variant>
        <vt:i4>0</vt:i4>
      </vt:variant>
      <vt:variant>
        <vt:i4>5</vt:i4>
      </vt:variant>
      <vt:variant>
        <vt:lpwstr/>
      </vt:variant>
      <vt:variant>
        <vt:lpwstr>_Toc137039800</vt:lpwstr>
      </vt:variant>
      <vt:variant>
        <vt:i4>1310770</vt:i4>
      </vt:variant>
      <vt:variant>
        <vt:i4>944</vt:i4>
      </vt:variant>
      <vt:variant>
        <vt:i4>0</vt:i4>
      </vt:variant>
      <vt:variant>
        <vt:i4>5</vt:i4>
      </vt:variant>
      <vt:variant>
        <vt:lpwstr/>
      </vt:variant>
      <vt:variant>
        <vt:lpwstr>_Toc137039799</vt:lpwstr>
      </vt:variant>
      <vt:variant>
        <vt:i4>1310770</vt:i4>
      </vt:variant>
      <vt:variant>
        <vt:i4>938</vt:i4>
      </vt:variant>
      <vt:variant>
        <vt:i4>0</vt:i4>
      </vt:variant>
      <vt:variant>
        <vt:i4>5</vt:i4>
      </vt:variant>
      <vt:variant>
        <vt:lpwstr/>
      </vt:variant>
      <vt:variant>
        <vt:lpwstr>_Toc137039798</vt:lpwstr>
      </vt:variant>
      <vt:variant>
        <vt:i4>1310770</vt:i4>
      </vt:variant>
      <vt:variant>
        <vt:i4>932</vt:i4>
      </vt:variant>
      <vt:variant>
        <vt:i4>0</vt:i4>
      </vt:variant>
      <vt:variant>
        <vt:i4>5</vt:i4>
      </vt:variant>
      <vt:variant>
        <vt:lpwstr/>
      </vt:variant>
      <vt:variant>
        <vt:lpwstr>_Toc137039797</vt:lpwstr>
      </vt:variant>
      <vt:variant>
        <vt:i4>1310770</vt:i4>
      </vt:variant>
      <vt:variant>
        <vt:i4>926</vt:i4>
      </vt:variant>
      <vt:variant>
        <vt:i4>0</vt:i4>
      </vt:variant>
      <vt:variant>
        <vt:i4>5</vt:i4>
      </vt:variant>
      <vt:variant>
        <vt:lpwstr/>
      </vt:variant>
      <vt:variant>
        <vt:lpwstr>_Toc137039796</vt:lpwstr>
      </vt:variant>
      <vt:variant>
        <vt:i4>1310770</vt:i4>
      </vt:variant>
      <vt:variant>
        <vt:i4>920</vt:i4>
      </vt:variant>
      <vt:variant>
        <vt:i4>0</vt:i4>
      </vt:variant>
      <vt:variant>
        <vt:i4>5</vt:i4>
      </vt:variant>
      <vt:variant>
        <vt:lpwstr/>
      </vt:variant>
      <vt:variant>
        <vt:lpwstr>_Toc137039795</vt:lpwstr>
      </vt:variant>
      <vt:variant>
        <vt:i4>1310770</vt:i4>
      </vt:variant>
      <vt:variant>
        <vt:i4>914</vt:i4>
      </vt:variant>
      <vt:variant>
        <vt:i4>0</vt:i4>
      </vt:variant>
      <vt:variant>
        <vt:i4>5</vt:i4>
      </vt:variant>
      <vt:variant>
        <vt:lpwstr/>
      </vt:variant>
      <vt:variant>
        <vt:lpwstr>_Toc137039794</vt:lpwstr>
      </vt:variant>
      <vt:variant>
        <vt:i4>1310770</vt:i4>
      </vt:variant>
      <vt:variant>
        <vt:i4>908</vt:i4>
      </vt:variant>
      <vt:variant>
        <vt:i4>0</vt:i4>
      </vt:variant>
      <vt:variant>
        <vt:i4>5</vt:i4>
      </vt:variant>
      <vt:variant>
        <vt:lpwstr/>
      </vt:variant>
      <vt:variant>
        <vt:lpwstr>_Toc137039793</vt:lpwstr>
      </vt:variant>
      <vt:variant>
        <vt:i4>1310770</vt:i4>
      </vt:variant>
      <vt:variant>
        <vt:i4>902</vt:i4>
      </vt:variant>
      <vt:variant>
        <vt:i4>0</vt:i4>
      </vt:variant>
      <vt:variant>
        <vt:i4>5</vt:i4>
      </vt:variant>
      <vt:variant>
        <vt:lpwstr/>
      </vt:variant>
      <vt:variant>
        <vt:lpwstr>_Toc137039792</vt:lpwstr>
      </vt:variant>
      <vt:variant>
        <vt:i4>1310770</vt:i4>
      </vt:variant>
      <vt:variant>
        <vt:i4>896</vt:i4>
      </vt:variant>
      <vt:variant>
        <vt:i4>0</vt:i4>
      </vt:variant>
      <vt:variant>
        <vt:i4>5</vt:i4>
      </vt:variant>
      <vt:variant>
        <vt:lpwstr/>
      </vt:variant>
      <vt:variant>
        <vt:lpwstr>_Toc137039791</vt:lpwstr>
      </vt:variant>
      <vt:variant>
        <vt:i4>1310770</vt:i4>
      </vt:variant>
      <vt:variant>
        <vt:i4>890</vt:i4>
      </vt:variant>
      <vt:variant>
        <vt:i4>0</vt:i4>
      </vt:variant>
      <vt:variant>
        <vt:i4>5</vt:i4>
      </vt:variant>
      <vt:variant>
        <vt:lpwstr/>
      </vt:variant>
      <vt:variant>
        <vt:lpwstr>_Toc137039790</vt:lpwstr>
      </vt:variant>
      <vt:variant>
        <vt:i4>1376306</vt:i4>
      </vt:variant>
      <vt:variant>
        <vt:i4>884</vt:i4>
      </vt:variant>
      <vt:variant>
        <vt:i4>0</vt:i4>
      </vt:variant>
      <vt:variant>
        <vt:i4>5</vt:i4>
      </vt:variant>
      <vt:variant>
        <vt:lpwstr/>
      </vt:variant>
      <vt:variant>
        <vt:lpwstr>_Toc137039789</vt:lpwstr>
      </vt:variant>
      <vt:variant>
        <vt:i4>1376306</vt:i4>
      </vt:variant>
      <vt:variant>
        <vt:i4>878</vt:i4>
      </vt:variant>
      <vt:variant>
        <vt:i4>0</vt:i4>
      </vt:variant>
      <vt:variant>
        <vt:i4>5</vt:i4>
      </vt:variant>
      <vt:variant>
        <vt:lpwstr/>
      </vt:variant>
      <vt:variant>
        <vt:lpwstr>_Toc137039788</vt:lpwstr>
      </vt:variant>
      <vt:variant>
        <vt:i4>1376306</vt:i4>
      </vt:variant>
      <vt:variant>
        <vt:i4>872</vt:i4>
      </vt:variant>
      <vt:variant>
        <vt:i4>0</vt:i4>
      </vt:variant>
      <vt:variant>
        <vt:i4>5</vt:i4>
      </vt:variant>
      <vt:variant>
        <vt:lpwstr/>
      </vt:variant>
      <vt:variant>
        <vt:lpwstr>_Toc137039787</vt:lpwstr>
      </vt:variant>
      <vt:variant>
        <vt:i4>1376306</vt:i4>
      </vt:variant>
      <vt:variant>
        <vt:i4>866</vt:i4>
      </vt:variant>
      <vt:variant>
        <vt:i4>0</vt:i4>
      </vt:variant>
      <vt:variant>
        <vt:i4>5</vt:i4>
      </vt:variant>
      <vt:variant>
        <vt:lpwstr/>
      </vt:variant>
      <vt:variant>
        <vt:lpwstr>_Toc137039786</vt:lpwstr>
      </vt:variant>
      <vt:variant>
        <vt:i4>1376306</vt:i4>
      </vt:variant>
      <vt:variant>
        <vt:i4>860</vt:i4>
      </vt:variant>
      <vt:variant>
        <vt:i4>0</vt:i4>
      </vt:variant>
      <vt:variant>
        <vt:i4>5</vt:i4>
      </vt:variant>
      <vt:variant>
        <vt:lpwstr/>
      </vt:variant>
      <vt:variant>
        <vt:lpwstr>_Toc137039785</vt:lpwstr>
      </vt:variant>
      <vt:variant>
        <vt:i4>1376306</vt:i4>
      </vt:variant>
      <vt:variant>
        <vt:i4>854</vt:i4>
      </vt:variant>
      <vt:variant>
        <vt:i4>0</vt:i4>
      </vt:variant>
      <vt:variant>
        <vt:i4>5</vt:i4>
      </vt:variant>
      <vt:variant>
        <vt:lpwstr/>
      </vt:variant>
      <vt:variant>
        <vt:lpwstr>_Toc137039784</vt:lpwstr>
      </vt:variant>
      <vt:variant>
        <vt:i4>1376306</vt:i4>
      </vt:variant>
      <vt:variant>
        <vt:i4>848</vt:i4>
      </vt:variant>
      <vt:variant>
        <vt:i4>0</vt:i4>
      </vt:variant>
      <vt:variant>
        <vt:i4>5</vt:i4>
      </vt:variant>
      <vt:variant>
        <vt:lpwstr/>
      </vt:variant>
      <vt:variant>
        <vt:lpwstr>_Toc137039783</vt:lpwstr>
      </vt:variant>
      <vt:variant>
        <vt:i4>1376306</vt:i4>
      </vt:variant>
      <vt:variant>
        <vt:i4>842</vt:i4>
      </vt:variant>
      <vt:variant>
        <vt:i4>0</vt:i4>
      </vt:variant>
      <vt:variant>
        <vt:i4>5</vt:i4>
      </vt:variant>
      <vt:variant>
        <vt:lpwstr/>
      </vt:variant>
      <vt:variant>
        <vt:lpwstr>_Toc137039782</vt:lpwstr>
      </vt:variant>
      <vt:variant>
        <vt:i4>1376306</vt:i4>
      </vt:variant>
      <vt:variant>
        <vt:i4>836</vt:i4>
      </vt:variant>
      <vt:variant>
        <vt:i4>0</vt:i4>
      </vt:variant>
      <vt:variant>
        <vt:i4>5</vt:i4>
      </vt:variant>
      <vt:variant>
        <vt:lpwstr/>
      </vt:variant>
      <vt:variant>
        <vt:lpwstr>_Toc137039781</vt:lpwstr>
      </vt:variant>
      <vt:variant>
        <vt:i4>1376306</vt:i4>
      </vt:variant>
      <vt:variant>
        <vt:i4>830</vt:i4>
      </vt:variant>
      <vt:variant>
        <vt:i4>0</vt:i4>
      </vt:variant>
      <vt:variant>
        <vt:i4>5</vt:i4>
      </vt:variant>
      <vt:variant>
        <vt:lpwstr/>
      </vt:variant>
      <vt:variant>
        <vt:lpwstr>_Toc137039780</vt:lpwstr>
      </vt:variant>
      <vt:variant>
        <vt:i4>1703986</vt:i4>
      </vt:variant>
      <vt:variant>
        <vt:i4>824</vt:i4>
      </vt:variant>
      <vt:variant>
        <vt:i4>0</vt:i4>
      </vt:variant>
      <vt:variant>
        <vt:i4>5</vt:i4>
      </vt:variant>
      <vt:variant>
        <vt:lpwstr/>
      </vt:variant>
      <vt:variant>
        <vt:lpwstr>_Toc137039779</vt:lpwstr>
      </vt:variant>
      <vt:variant>
        <vt:i4>1703986</vt:i4>
      </vt:variant>
      <vt:variant>
        <vt:i4>818</vt:i4>
      </vt:variant>
      <vt:variant>
        <vt:i4>0</vt:i4>
      </vt:variant>
      <vt:variant>
        <vt:i4>5</vt:i4>
      </vt:variant>
      <vt:variant>
        <vt:lpwstr/>
      </vt:variant>
      <vt:variant>
        <vt:lpwstr>_Toc137039778</vt:lpwstr>
      </vt:variant>
      <vt:variant>
        <vt:i4>1703986</vt:i4>
      </vt:variant>
      <vt:variant>
        <vt:i4>812</vt:i4>
      </vt:variant>
      <vt:variant>
        <vt:i4>0</vt:i4>
      </vt:variant>
      <vt:variant>
        <vt:i4>5</vt:i4>
      </vt:variant>
      <vt:variant>
        <vt:lpwstr/>
      </vt:variant>
      <vt:variant>
        <vt:lpwstr>_Toc137039777</vt:lpwstr>
      </vt:variant>
      <vt:variant>
        <vt:i4>1703986</vt:i4>
      </vt:variant>
      <vt:variant>
        <vt:i4>806</vt:i4>
      </vt:variant>
      <vt:variant>
        <vt:i4>0</vt:i4>
      </vt:variant>
      <vt:variant>
        <vt:i4>5</vt:i4>
      </vt:variant>
      <vt:variant>
        <vt:lpwstr/>
      </vt:variant>
      <vt:variant>
        <vt:lpwstr>_Toc137039776</vt:lpwstr>
      </vt:variant>
      <vt:variant>
        <vt:i4>1703986</vt:i4>
      </vt:variant>
      <vt:variant>
        <vt:i4>800</vt:i4>
      </vt:variant>
      <vt:variant>
        <vt:i4>0</vt:i4>
      </vt:variant>
      <vt:variant>
        <vt:i4>5</vt:i4>
      </vt:variant>
      <vt:variant>
        <vt:lpwstr/>
      </vt:variant>
      <vt:variant>
        <vt:lpwstr>_Toc137039775</vt:lpwstr>
      </vt:variant>
      <vt:variant>
        <vt:i4>1703986</vt:i4>
      </vt:variant>
      <vt:variant>
        <vt:i4>794</vt:i4>
      </vt:variant>
      <vt:variant>
        <vt:i4>0</vt:i4>
      </vt:variant>
      <vt:variant>
        <vt:i4>5</vt:i4>
      </vt:variant>
      <vt:variant>
        <vt:lpwstr/>
      </vt:variant>
      <vt:variant>
        <vt:lpwstr>_Toc137039774</vt:lpwstr>
      </vt:variant>
      <vt:variant>
        <vt:i4>1703986</vt:i4>
      </vt:variant>
      <vt:variant>
        <vt:i4>788</vt:i4>
      </vt:variant>
      <vt:variant>
        <vt:i4>0</vt:i4>
      </vt:variant>
      <vt:variant>
        <vt:i4>5</vt:i4>
      </vt:variant>
      <vt:variant>
        <vt:lpwstr/>
      </vt:variant>
      <vt:variant>
        <vt:lpwstr>_Toc137039773</vt:lpwstr>
      </vt:variant>
      <vt:variant>
        <vt:i4>1703986</vt:i4>
      </vt:variant>
      <vt:variant>
        <vt:i4>782</vt:i4>
      </vt:variant>
      <vt:variant>
        <vt:i4>0</vt:i4>
      </vt:variant>
      <vt:variant>
        <vt:i4>5</vt:i4>
      </vt:variant>
      <vt:variant>
        <vt:lpwstr/>
      </vt:variant>
      <vt:variant>
        <vt:lpwstr>_Toc137039772</vt:lpwstr>
      </vt:variant>
      <vt:variant>
        <vt:i4>1703986</vt:i4>
      </vt:variant>
      <vt:variant>
        <vt:i4>776</vt:i4>
      </vt:variant>
      <vt:variant>
        <vt:i4>0</vt:i4>
      </vt:variant>
      <vt:variant>
        <vt:i4>5</vt:i4>
      </vt:variant>
      <vt:variant>
        <vt:lpwstr/>
      </vt:variant>
      <vt:variant>
        <vt:lpwstr>_Toc137039771</vt:lpwstr>
      </vt:variant>
      <vt:variant>
        <vt:i4>1703986</vt:i4>
      </vt:variant>
      <vt:variant>
        <vt:i4>770</vt:i4>
      </vt:variant>
      <vt:variant>
        <vt:i4>0</vt:i4>
      </vt:variant>
      <vt:variant>
        <vt:i4>5</vt:i4>
      </vt:variant>
      <vt:variant>
        <vt:lpwstr/>
      </vt:variant>
      <vt:variant>
        <vt:lpwstr>_Toc137039770</vt:lpwstr>
      </vt:variant>
      <vt:variant>
        <vt:i4>1769522</vt:i4>
      </vt:variant>
      <vt:variant>
        <vt:i4>764</vt:i4>
      </vt:variant>
      <vt:variant>
        <vt:i4>0</vt:i4>
      </vt:variant>
      <vt:variant>
        <vt:i4>5</vt:i4>
      </vt:variant>
      <vt:variant>
        <vt:lpwstr/>
      </vt:variant>
      <vt:variant>
        <vt:lpwstr>_Toc137039769</vt:lpwstr>
      </vt:variant>
      <vt:variant>
        <vt:i4>1769522</vt:i4>
      </vt:variant>
      <vt:variant>
        <vt:i4>758</vt:i4>
      </vt:variant>
      <vt:variant>
        <vt:i4>0</vt:i4>
      </vt:variant>
      <vt:variant>
        <vt:i4>5</vt:i4>
      </vt:variant>
      <vt:variant>
        <vt:lpwstr/>
      </vt:variant>
      <vt:variant>
        <vt:lpwstr>_Toc137039768</vt:lpwstr>
      </vt:variant>
      <vt:variant>
        <vt:i4>1769522</vt:i4>
      </vt:variant>
      <vt:variant>
        <vt:i4>752</vt:i4>
      </vt:variant>
      <vt:variant>
        <vt:i4>0</vt:i4>
      </vt:variant>
      <vt:variant>
        <vt:i4>5</vt:i4>
      </vt:variant>
      <vt:variant>
        <vt:lpwstr/>
      </vt:variant>
      <vt:variant>
        <vt:lpwstr>_Toc137039767</vt:lpwstr>
      </vt:variant>
      <vt:variant>
        <vt:i4>1769522</vt:i4>
      </vt:variant>
      <vt:variant>
        <vt:i4>746</vt:i4>
      </vt:variant>
      <vt:variant>
        <vt:i4>0</vt:i4>
      </vt:variant>
      <vt:variant>
        <vt:i4>5</vt:i4>
      </vt:variant>
      <vt:variant>
        <vt:lpwstr/>
      </vt:variant>
      <vt:variant>
        <vt:lpwstr>_Toc137039766</vt:lpwstr>
      </vt:variant>
      <vt:variant>
        <vt:i4>1769522</vt:i4>
      </vt:variant>
      <vt:variant>
        <vt:i4>740</vt:i4>
      </vt:variant>
      <vt:variant>
        <vt:i4>0</vt:i4>
      </vt:variant>
      <vt:variant>
        <vt:i4>5</vt:i4>
      </vt:variant>
      <vt:variant>
        <vt:lpwstr/>
      </vt:variant>
      <vt:variant>
        <vt:lpwstr>_Toc137039765</vt:lpwstr>
      </vt:variant>
      <vt:variant>
        <vt:i4>1769522</vt:i4>
      </vt:variant>
      <vt:variant>
        <vt:i4>734</vt:i4>
      </vt:variant>
      <vt:variant>
        <vt:i4>0</vt:i4>
      </vt:variant>
      <vt:variant>
        <vt:i4>5</vt:i4>
      </vt:variant>
      <vt:variant>
        <vt:lpwstr/>
      </vt:variant>
      <vt:variant>
        <vt:lpwstr>_Toc137039764</vt:lpwstr>
      </vt:variant>
      <vt:variant>
        <vt:i4>1769522</vt:i4>
      </vt:variant>
      <vt:variant>
        <vt:i4>728</vt:i4>
      </vt:variant>
      <vt:variant>
        <vt:i4>0</vt:i4>
      </vt:variant>
      <vt:variant>
        <vt:i4>5</vt:i4>
      </vt:variant>
      <vt:variant>
        <vt:lpwstr/>
      </vt:variant>
      <vt:variant>
        <vt:lpwstr>_Toc137039763</vt:lpwstr>
      </vt:variant>
      <vt:variant>
        <vt:i4>1769522</vt:i4>
      </vt:variant>
      <vt:variant>
        <vt:i4>722</vt:i4>
      </vt:variant>
      <vt:variant>
        <vt:i4>0</vt:i4>
      </vt:variant>
      <vt:variant>
        <vt:i4>5</vt:i4>
      </vt:variant>
      <vt:variant>
        <vt:lpwstr/>
      </vt:variant>
      <vt:variant>
        <vt:lpwstr>_Toc137039762</vt:lpwstr>
      </vt:variant>
      <vt:variant>
        <vt:i4>1769522</vt:i4>
      </vt:variant>
      <vt:variant>
        <vt:i4>716</vt:i4>
      </vt:variant>
      <vt:variant>
        <vt:i4>0</vt:i4>
      </vt:variant>
      <vt:variant>
        <vt:i4>5</vt:i4>
      </vt:variant>
      <vt:variant>
        <vt:lpwstr/>
      </vt:variant>
      <vt:variant>
        <vt:lpwstr>_Toc137039761</vt:lpwstr>
      </vt:variant>
      <vt:variant>
        <vt:i4>1769522</vt:i4>
      </vt:variant>
      <vt:variant>
        <vt:i4>710</vt:i4>
      </vt:variant>
      <vt:variant>
        <vt:i4>0</vt:i4>
      </vt:variant>
      <vt:variant>
        <vt:i4>5</vt:i4>
      </vt:variant>
      <vt:variant>
        <vt:lpwstr/>
      </vt:variant>
      <vt:variant>
        <vt:lpwstr>_Toc137039760</vt:lpwstr>
      </vt:variant>
      <vt:variant>
        <vt:i4>1572914</vt:i4>
      </vt:variant>
      <vt:variant>
        <vt:i4>704</vt:i4>
      </vt:variant>
      <vt:variant>
        <vt:i4>0</vt:i4>
      </vt:variant>
      <vt:variant>
        <vt:i4>5</vt:i4>
      </vt:variant>
      <vt:variant>
        <vt:lpwstr/>
      </vt:variant>
      <vt:variant>
        <vt:lpwstr>_Toc137039759</vt:lpwstr>
      </vt:variant>
      <vt:variant>
        <vt:i4>1572914</vt:i4>
      </vt:variant>
      <vt:variant>
        <vt:i4>698</vt:i4>
      </vt:variant>
      <vt:variant>
        <vt:i4>0</vt:i4>
      </vt:variant>
      <vt:variant>
        <vt:i4>5</vt:i4>
      </vt:variant>
      <vt:variant>
        <vt:lpwstr/>
      </vt:variant>
      <vt:variant>
        <vt:lpwstr>_Toc137039758</vt:lpwstr>
      </vt:variant>
      <vt:variant>
        <vt:i4>1572914</vt:i4>
      </vt:variant>
      <vt:variant>
        <vt:i4>692</vt:i4>
      </vt:variant>
      <vt:variant>
        <vt:i4>0</vt:i4>
      </vt:variant>
      <vt:variant>
        <vt:i4>5</vt:i4>
      </vt:variant>
      <vt:variant>
        <vt:lpwstr/>
      </vt:variant>
      <vt:variant>
        <vt:lpwstr>_Toc137039757</vt:lpwstr>
      </vt:variant>
      <vt:variant>
        <vt:i4>1572914</vt:i4>
      </vt:variant>
      <vt:variant>
        <vt:i4>686</vt:i4>
      </vt:variant>
      <vt:variant>
        <vt:i4>0</vt:i4>
      </vt:variant>
      <vt:variant>
        <vt:i4>5</vt:i4>
      </vt:variant>
      <vt:variant>
        <vt:lpwstr/>
      </vt:variant>
      <vt:variant>
        <vt:lpwstr>_Toc137039756</vt:lpwstr>
      </vt:variant>
      <vt:variant>
        <vt:i4>1572914</vt:i4>
      </vt:variant>
      <vt:variant>
        <vt:i4>680</vt:i4>
      </vt:variant>
      <vt:variant>
        <vt:i4>0</vt:i4>
      </vt:variant>
      <vt:variant>
        <vt:i4>5</vt:i4>
      </vt:variant>
      <vt:variant>
        <vt:lpwstr/>
      </vt:variant>
      <vt:variant>
        <vt:lpwstr>_Toc137039755</vt:lpwstr>
      </vt:variant>
      <vt:variant>
        <vt:i4>1572914</vt:i4>
      </vt:variant>
      <vt:variant>
        <vt:i4>674</vt:i4>
      </vt:variant>
      <vt:variant>
        <vt:i4>0</vt:i4>
      </vt:variant>
      <vt:variant>
        <vt:i4>5</vt:i4>
      </vt:variant>
      <vt:variant>
        <vt:lpwstr/>
      </vt:variant>
      <vt:variant>
        <vt:lpwstr>_Toc137039754</vt:lpwstr>
      </vt:variant>
      <vt:variant>
        <vt:i4>1572914</vt:i4>
      </vt:variant>
      <vt:variant>
        <vt:i4>668</vt:i4>
      </vt:variant>
      <vt:variant>
        <vt:i4>0</vt:i4>
      </vt:variant>
      <vt:variant>
        <vt:i4>5</vt:i4>
      </vt:variant>
      <vt:variant>
        <vt:lpwstr/>
      </vt:variant>
      <vt:variant>
        <vt:lpwstr>_Toc137039753</vt:lpwstr>
      </vt:variant>
      <vt:variant>
        <vt:i4>1572914</vt:i4>
      </vt:variant>
      <vt:variant>
        <vt:i4>662</vt:i4>
      </vt:variant>
      <vt:variant>
        <vt:i4>0</vt:i4>
      </vt:variant>
      <vt:variant>
        <vt:i4>5</vt:i4>
      </vt:variant>
      <vt:variant>
        <vt:lpwstr/>
      </vt:variant>
      <vt:variant>
        <vt:lpwstr>_Toc137039752</vt:lpwstr>
      </vt:variant>
      <vt:variant>
        <vt:i4>1572914</vt:i4>
      </vt:variant>
      <vt:variant>
        <vt:i4>656</vt:i4>
      </vt:variant>
      <vt:variant>
        <vt:i4>0</vt:i4>
      </vt:variant>
      <vt:variant>
        <vt:i4>5</vt:i4>
      </vt:variant>
      <vt:variant>
        <vt:lpwstr/>
      </vt:variant>
      <vt:variant>
        <vt:lpwstr>_Toc137039751</vt:lpwstr>
      </vt:variant>
      <vt:variant>
        <vt:i4>1572914</vt:i4>
      </vt:variant>
      <vt:variant>
        <vt:i4>650</vt:i4>
      </vt:variant>
      <vt:variant>
        <vt:i4>0</vt:i4>
      </vt:variant>
      <vt:variant>
        <vt:i4>5</vt:i4>
      </vt:variant>
      <vt:variant>
        <vt:lpwstr/>
      </vt:variant>
      <vt:variant>
        <vt:lpwstr>_Toc137039750</vt:lpwstr>
      </vt:variant>
      <vt:variant>
        <vt:i4>1638450</vt:i4>
      </vt:variant>
      <vt:variant>
        <vt:i4>644</vt:i4>
      </vt:variant>
      <vt:variant>
        <vt:i4>0</vt:i4>
      </vt:variant>
      <vt:variant>
        <vt:i4>5</vt:i4>
      </vt:variant>
      <vt:variant>
        <vt:lpwstr/>
      </vt:variant>
      <vt:variant>
        <vt:lpwstr>_Toc137039749</vt:lpwstr>
      </vt:variant>
      <vt:variant>
        <vt:i4>1638450</vt:i4>
      </vt:variant>
      <vt:variant>
        <vt:i4>638</vt:i4>
      </vt:variant>
      <vt:variant>
        <vt:i4>0</vt:i4>
      </vt:variant>
      <vt:variant>
        <vt:i4>5</vt:i4>
      </vt:variant>
      <vt:variant>
        <vt:lpwstr/>
      </vt:variant>
      <vt:variant>
        <vt:lpwstr>_Toc137039748</vt:lpwstr>
      </vt:variant>
      <vt:variant>
        <vt:i4>1638450</vt:i4>
      </vt:variant>
      <vt:variant>
        <vt:i4>632</vt:i4>
      </vt:variant>
      <vt:variant>
        <vt:i4>0</vt:i4>
      </vt:variant>
      <vt:variant>
        <vt:i4>5</vt:i4>
      </vt:variant>
      <vt:variant>
        <vt:lpwstr/>
      </vt:variant>
      <vt:variant>
        <vt:lpwstr>_Toc137039747</vt:lpwstr>
      </vt:variant>
      <vt:variant>
        <vt:i4>1638450</vt:i4>
      </vt:variant>
      <vt:variant>
        <vt:i4>626</vt:i4>
      </vt:variant>
      <vt:variant>
        <vt:i4>0</vt:i4>
      </vt:variant>
      <vt:variant>
        <vt:i4>5</vt:i4>
      </vt:variant>
      <vt:variant>
        <vt:lpwstr/>
      </vt:variant>
      <vt:variant>
        <vt:lpwstr>_Toc137039746</vt:lpwstr>
      </vt:variant>
      <vt:variant>
        <vt:i4>1638450</vt:i4>
      </vt:variant>
      <vt:variant>
        <vt:i4>620</vt:i4>
      </vt:variant>
      <vt:variant>
        <vt:i4>0</vt:i4>
      </vt:variant>
      <vt:variant>
        <vt:i4>5</vt:i4>
      </vt:variant>
      <vt:variant>
        <vt:lpwstr/>
      </vt:variant>
      <vt:variant>
        <vt:lpwstr>_Toc137039745</vt:lpwstr>
      </vt:variant>
      <vt:variant>
        <vt:i4>1638450</vt:i4>
      </vt:variant>
      <vt:variant>
        <vt:i4>614</vt:i4>
      </vt:variant>
      <vt:variant>
        <vt:i4>0</vt:i4>
      </vt:variant>
      <vt:variant>
        <vt:i4>5</vt:i4>
      </vt:variant>
      <vt:variant>
        <vt:lpwstr/>
      </vt:variant>
      <vt:variant>
        <vt:lpwstr>_Toc137039744</vt:lpwstr>
      </vt:variant>
      <vt:variant>
        <vt:i4>1638450</vt:i4>
      </vt:variant>
      <vt:variant>
        <vt:i4>608</vt:i4>
      </vt:variant>
      <vt:variant>
        <vt:i4>0</vt:i4>
      </vt:variant>
      <vt:variant>
        <vt:i4>5</vt:i4>
      </vt:variant>
      <vt:variant>
        <vt:lpwstr/>
      </vt:variant>
      <vt:variant>
        <vt:lpwstr>_Toc137039743</vt:lpwstr>
      </vt:variant>
      <vt:variant>
        <vt:i4>1638450</vt:i4>
      </vt:variant>
      <vt:variant>
        <vt:i4>602</vt:i4>
      </vt:variant>
      <vt:variant>
        <vt:i4>0</vt:i4>
      </vt:variant>
      <vt:variant>
        <vt:i4>5</vt:i4>
      </vt:variant>
      <vt:variant>
        <vt:lpwstr/>
      </vt:variant>
      <vt:variant>
        <vt:lpwstr>_Toc137039742</vt:lpwstr>
      </vt:variant>
      <vt:variant>
        <vt:i4>1638450</vt:i4>
      </vt:variant>
      <vt:variant>
        <vt:i4>596</vt:i4>
      </vt:variant>
      <vt:variant>
        <vt:i4>0</vt:i4>
      </vt:variant>
      <vt:variant>
        <vt:i4>5</vt:i4>
      </vt:variant>
      <vt:variant>
        <vt:lpwstr/>
      </vt:variant>
      <vt:variant>
        <vt:lpwstr>_Toc137039741</vt:lpwstr>
      </vt:variant>
      <vt:variant>
        <vt:i4>1638450</vt:i4>
      </vt:variant>
      <vt:variant>
        <vt:i4>590</vt:i4>
      </vt:variant>
      <vt:variant>
        <vt:i4>0</vt:i4>
      </vt:variant>
      <vt:variant>
        <vt:i4>5</vt:i4>
      </vt:variant>
      <vt:variant>
        <vt:lpwstr/>
      </vt:variant>
      <vt:variant>
        <vt:lpwstr>_Toc137039740</vt:lpwstr>
      </vt:variant>
      <vt:variant>
        <vt:i4>1966130</vt:i4>
      </vt:variant>
      <vt:variant>
        <vt:i4>584</vt:i4>
      </vt:variant>
      <vt:variant>
        <vt:i4>0</vt:i4>
      </vt:variant>
      <vt:variant>
        <vt:i4>5</vt:i4>
      </vt:variant>
      <vt:variant>
        <vt:lpwstr/>
      </vt:variant>
      <vt:variant>
        <vt:lpwstr>_Toc137039739</vt:lpwstr>
      </vt:variant>
      <vt:variant>
        <vt:i4>1966130</vt:i4>
      </vt:variant>
      <vt:variant>
        <vt:i4>578</vt:i4>
      </vt:variant>
      <vt:variant>
        <vt:i4>0</vt:i4>
      </vt:variant>
      <vt:variant>
        <vt:i4>5</vt:i4>
      </vt:variant>
      <vt:variant>
        <vt:lpwstr/>
      </vt:variant>
      <vt:variant>
        <vt:lpwstr>_Toc137039738</vt:lpwstr>
      </vt:variant>
      <vt:variant>
        <vt:i4>1966130</vt:i4>
      </vt:variant>
      <vt:variant>
        <vt:i4>572</vt:i4>
      </vt:variant>
      <vt:variant>
        <vt:i4>0</vt:i4>
      </vt:variant>
      <vt:variant>
        <vt:i4>5</vt:i4>
      </vt:variant>
      <vt:variant>
        <vt:lpwstr/>
      </vt:variant>
      <vt:variant>
        <vt:lpwstr>_Toc137039737</vt:lpwstr>
      </vt:variant>
      <vt:variant>
        <vt:i4>1966130</vt:i4>
      </vt:variant>
      <vt:variant>
        <vt:i4>566</vt:i4>
      </vt:variant>
      <vt:variant>
        <vt:i4>0</vt:i4>
      </vt:variant>
      <vt:variant>
        <vt:i4>5</vt:i4>
      </vt:variant>
      <vt:variant>
        <vt:lpwstr/>
      </vt:variant>
      <vt:variant>
        <vt:lpwstr>_Toc137039736</vt:lpwstr>
      </vt:variant>
      <vt:variant>
        <vt:i4>1966130</vt:i4>
      </vt:variant>
      <vt:variant>
        <vt:i4>560</vt:i4>
      </vt:variant>
      <vt:variant>
        <vt:i4>0</vt:i4>
      </vt:variant>
      <vt:variant>
        <vt:i4>5</vt:i4>
      </vt:variant>
      <vt:variant>
        <vt:lpwstr/>
      </vt:variant>
      <vt:variant>
        <vt:lpwstr>_Toc137039735</vt:lpwstr>
      </vt:variant>
      <vt:variant>
        <vt:i4>1966130</vt:i4>
      </vt:variant>
      <vt:variant>
        <vt:i4>554</vt:i4>
      </vt:variant>
      <vt:variant>
        <vt:i4>0</vt:i4>
      </vt:variant>
      <vt:variant>
        <vt:i4>5</vt:i4>
      </vt:variant>
      <vt:variant>
        <vt:lpwstr/>
      </vt:variant>
      <vt:variant>
        <vt:lpwstr>_Toc137039734</vt:lpwstr>
      </vt:variant>
      <vt:variant>
        <vt:i4>1966130</vt:i4>
      </vt:variant>
      <vt:variant>
        <vt:i4>548</vt:i4>
      </vt:variant>
      <vt:variant>
        <vt:i4>0</vt:i4>
      </vt:variant>
      <vt:variant>
        <vt:i4>5</vt:i4>
      </vt:variant>
      <vt:variant>
        <vt:lpwstr/>
      </vt:variant>
      <vt:variant>
        <vt:lpwstr>_Toc137039733</vt:lpwstr>
      </vt:variant>
      <vt:variant>
        <vt:i4>1966130</vt:i4>
      </vt:variant>
      <vt:variant>
        <vt:i4>542</vt:i4>
      </vt:variant>
      <vt:variant>
        <vt:i4>0</vt:i4>
      </vt:variant>
      <vt:variant>
        <vt:i4>5</vt:i4>
      </vt:variant>
      <vt:variant>
        <vt:lpwstr/>
      </vt:variant>
      <vt:variant>
        <vt:lpwstr>_Toc137039732</vt:lpwstr>
      </vt:variant>
      <vt:variant>
        <vt:i4>1966130</vt:i4>
      </vt:variant>
      <vt:variant>
        <vt:i4>536</vt:i4>
      </vt:variant>
      <vt:variant>
        <vt:i4>0</vt:i4>
      </vt:variant>
      <vt:variant>
        <vt:i4>5</vt:i4>
      </vt:variant>
      <vt:variant>
        <vt:lpwstr/>
      </vt:variant>
      <vt:variant>
        <vt:lpwstr>_Toc137039731</vt:lpwstr>
      </vt:variant>
      <vt:variant>
        <vt:i4>1966130</vt:i4>
      </vt:variant>
      <vt:variant>
        <vt:i4>530</vt:i4>
      </vt:variant>
      <vt:variant>
        <vt:i4>0</vt:i4>
      </vt:variant>
      <vt:variant>
        <vt:i4>5</vt:i4>
      </vt:variant>
      <vt:variant>
        <vt:lpwstr/>
      </vt:variant>
      <vt:variant>
        <vt:lpwstr>_Toc137039730</vt:lpwstr>
      </vt:variant>
      <vt:variant>
        <vt:i4>2031666</vt:i4>
      </vt:variant>
      <vt:variant>
        <vt:i4>524</vt:i4>
      </vt:variant>
      <vt:variant>
        <vt:i4>0</vt:i4>
      </vt:variant>
      <vt:variant>
        <vt:i4>5</vt:i4>
      </vt:variant>
      <vt:variant>
        <vt:lpwstr/>
      </vt:variant>
      <vt:variant>
        <vt:lpwstr>_Toc137039729</vt:lpwstr>
      </vt:variant>
      <vt:variant>
        <vt:i4>2031666</vt:i4>
      </vt:variant>
      <vt:variant>
        <vt:i4>518</vt:i4>
      </vt:variant>
      <vt:variant>
        <vt:i4>0</vt:i4>
      </vt:variant>
      <vt:variant>
        <vt:i4>5</vt:i4>
      </vt:variant>
      <vt:variant>
        <vt:lpwstr/>
      </vt:variant>
      <vt:variant>
        <vt:lpwstr>_Toc137039728</vt:lpwstr>
      </vt:variant>
      <vt:variant>
        <vt:i4>2031666</vt:i4>
      </vt:variant>
      <vt:variant>
        <vt:i4>512</vt:i4>
      </vt:variant>
      <vt:variant>
        <vt:i4>0</vt:i4>
      </vt:variant>
      <vt:variant>
        <vt:i4>5</vt:i4>
      </vt:variant>
      <vt:variant>
        <vt:lpwstr/>
      </vt:variant>
      <vt:variant>
        <vt:lpwstr>_Toc137039727</vt:lpwstr>
      </vt:variant>
      <vt:variant>
        <vt:i4>2031666</vt:i4>
      </vt:variant>
      <vt:variant>
        <vt:i4>506</vt:i4>
      </vt:variant>
      <vt:variant>
        <vt:i4>0</vt:i4>
      </vt:variant>
      <vt:variant>
        <vt:i4>5</vt:i4>
      </vt:variant>
      <vt:variant>
        <vt:lpwstr/>
      </vt:variant>
      <vt:variant>
        <vt:lpwstr>_Toc137039726</vt:lpwstr>
      </vt:variant>
      <vt:variant>
        <vt:i4>2031666</vt:i4>
      </vt:variant>
      <vt:variant>
        <vt:i4>500</vt:i4>
      </vt:variant>
      <vt:variant>
        <vt:i4>0</vt:i4>
      </vt:variant>
      <vt:variant>
        <vt:i4>5</vt:i4>
      </vt:variant>
      <vt:variant>
        <vt:lpwstr/>
      </vt:variant>
      <vt:variant>
        <vt:lpwstr>_Toc137039725</vt:lpwstr>
      </vt:variant>
      <vt:variant>
        <vt:i4>2031666</vt:i4>
      </vt:variant>
      <vt:variant>
        <vt:i4>494</vt:i4>
      </vt:variant>
      <vt:variant>
        <vt:i4>0</vt:i4>
      </vt:variant>
      <vt:variant>
        <vt:i4>5</vt:i4>
      </vt:variant>
      <vt:variant>
        <vt:lpwstr/>
      </vt:variant>
      <vt:variant>
        <vt:lpwstr>_Toc137039724</vt:lpwstr>
      </vt:variant>
      <vt:variant>
        <vt:i4>2031666</vt:i4>
      </vt:variant>
      <vt:variant>
        <vt:i4>488</vt:i4>
      </vt:variant>
      <vt:variant>
        <vt:i4>0</vt:i4>
      </vt:variant>
      <vt:variant>
        <vt:i4>5</vt:i4>
      </vt:variant>
      <vt:variant>
        <vt:lpwstr/>
      </vt:variant>
      <vt:variant>
        <vt:lpwstr>_Toc137039723</vt:lpwstr>
      </vt:variant>
      <vt:variant>
        <vt:i4>2031666</vt:i4>
      </vt:variant>
      <vt:variant>
        <vt:i4>482</vt:i4>
      </vt:variant>
      <vt:variant>
        <vt:i4>0</vt:i4>
      </vt:variant>
      <vt:variant>
        <vt:i4>5</vt:i4>
      </vt:variant>
      <vt:variant>
        <vt:lpwstr/>
      </vt:variant>
      <vt:variant>
        <vt:lpwstr>_Toc137039722</vt:lpwstr>
      </vt:variant>
      <vt:variant>
        <vt:i4>2031666</vt:i4>
      </vt:variant>
      <vt:variant>
        <vt:i4>476</vt:i4>
      </vt:variant>
      <vt:variant>
        <vt:i4>0</vt:i4>
      </vt:variant>
      <vt:variant>
        <vt:i4>5</vt:i4>
      </vt:variant>
      <vt:variant>
        <vt:lpwstr/>
      </vt:variant>
      <vt:variant>
        <vt:lpwstr>_Toc137039721</vt:lpwstr>
      </vt:variant>
      <vt:variant>
        <vt:i4>2031666</vt:i4>
      </vt:variant>
      <vt:variant>
        <vt:i4>470</vt:i4>
      </vt:variant>
      <vt:variant>
        <vt:i4>0</vt:i4>
      </vt:variant>
      <vt:variant>
        <vt:i4>5</vt:i4>
      </vt:variant>
      <vt:variant>
        <vt:lpwstr/>
      </vt:variant>
      <vt:variant>
        <vt:lpwstr>_Toc137039720</vt:lpwstr>
      </vt:variant>
      <vt:variant>
        <vt:i4>1835058</vt:i4>
      </vt:variant>
      <vt:variant>
        <vt:i4>464</vt:i4>
      </vt:variant>
      <vt:variant>
        <vt:i4>0</vt:i4>
      </vt:variant>
      <vt:variant>
        <vt:i4>5</vt:i4>
      </vt:variant>
      <vt:variant>
        <vt:lpwstr/>
      </vt:variant>
      <vt:variant>
        <vt:lpwstr>_Toc137039719</vt:lpwstr>
      </vt:variant>
      <vt:variant>
        <vt:i4>1835058</vt:i4>
      </vt:variant>
      <vt:variant>
        <vt:i4>458</vt:i4>
      </vt:variant>
      <vt:variant>
        <vt:i4>0</vt:i4>
      </vt:variant>
      <vt:variant>
        <vt:i4>5</vt:i4>
      </vt:variant>
      <vt:variant>
        <vt:lpwstr/>
      </vt:variant>
      <vt:variant>
        <vt:lpwstr>_Toc137039718</vt:lpwstr>
      </vt:variant>
      <vt:variant>
        <vt:i4>1835058</vt:i4>
      </vt:variant>
      <vt:variant>
        <vt:i4>452</vt:i4>
      </vt:variant>
      <vt:variant>
        <vt:i4>0</vt:i4>
      </vt:variant>
      <vt:variant>
        <vt:i4>5</vt:i4>
      </vt:variant>
      <vt:variant>
        <vt:lpwstr/>
      </vt:variant>
      <vt:variant>
        <vt:lpwstr>_Toc137039717</vt:lpwstr>
      </vt:variant>
      <vt:variant>
        <vt:i4>1835058</vt:i4>
      </vt:variant>
      <vt:variant>
        <vt:i4>446</vt:i4>
      </vt:variant>
      <vt:variant>
        <vt:i4>0</vt:i4>
      </vt:variant>
      <vt:variant>
        <vt:i4>5</vt:i4>
      </vt:variant>
      <vt:variant>
        <vt:lpwstr/>
      </vt:variant>
      <vt:variant>
        <vt:lpwstr>_Toc137039716</vt:lpwstr>
      </vt:variant>
      <vt:variant>
        <vt:i4>1835058</vt:i4>
      </vt:variant>
      <vt:variant>
        <vt:i4>440</vt:i4>
      </vt:variant>
      <vt:variant>
        <vt:i4>0</vt:i4>
      </vt:variant>
      <vt:variant>
        <vt:i4>5</vt:i4>
      </vt:variant>
      <vt:variant>
        <vt:lpwstr/>
      </vt:variant>
      <vt:variant>
        <vt:lpwstr>_Toc137039715</vt:lpwstr>
      </vt:variant>
      <vt:variant>
        <vt:i4>1835058</vt:i4>
      </vt:variant>
      <vt:variant>
        <vt:i4>434</vt:i4>
      </vt:variant>
      <vt:variant>
        <vt:i4>0</vt:i4>
      </vt:variant>
      <vt:variant>
        <vt:i4>5</vt:i4>
      </vt:variant>
      <vt:variant>
        <vt:lpwstr/>
      </vt:variant>
      <vt:variant>
        <vt:lpwstr>_Toc137039714</vt:lpwstr>
      </vt:variant>
      <vt:variant>
        <vt:i4>1835058</vt:i4>
      </vt:variant>
      <vt:variant>
        <vt:i4>428</vt:i4>
      </vt:variant>
      <vt:variant>
        <vt:i4>0</vt:i4>
      </vt:variant>
      <vt:variant>
        <vt:i4>5</vt:i4>
      </vt:variant>
      <vt:variant>
        <vt:lpwstr/>
      </vt:variant>
      <vt:variant>
        <vt:lpwstr>_Toc137039713</vt:lpwstr>
      </vt:variant>
      <vt:variant>
        <vt:i4>1835058</vt:i4>
      </vt:variant>
      <vt:variant>
        <vt:i4>422</vt:i4>
      </vt:variant>
      <vt:variant>
        <vt:i4>0</vt:i4>
      </vt:variant>
      <vt:variant>
        <vt:i4>5</vt:i4>
      </vt:variant>
      <vt:variant>
        <vt:lpwstr/>
      </vt:variant>
      <vt:variant>
        <vt:lpwstr>_Toc137039712</vt:lpwstr>
      </vt:variant>
      <vt:variant>
        <vt:i4>1835058</vt:i4>
      </vt:variant>
      <vt:variant>
        <vt:i4>416</vt:i4>
      </vt:variant>
      <vt:variant>
        <vt:i4>0</vt:i4>
      </vt:variant>
      <vt:variant>
        <vt:i4>5</vt:i4>
      </vt:variant>
      <vt:variant>
        <vt:lpwstr/>
      </vt:variant>
      <vt:variant>
        <vt:lpwstr>_Toc137039711</vt:lpwstr>
      </vt:variant>
      <vt:variant>
        <vt:i4>1835058</vt:i4>
      </vt:variant>
      <vt:variant>
        <vt:i4>410</vt:i4>
      </vt:variant>
      <vt:variant>
        <vt:i4>0</vt:i4>
      </vt:variant>
      <vt:variant>
        <vt:i4>5</vt:i4>
      </vt:variant>
      <vt:variant>
        <vt:lpwstr/>
      </vt:variant>
      <vt:variant>
        <vt:lpwstr>_Toc137039710</vt:lpwstr>
      </vt:variant>
      <vt:variant>
        <vt:i4>1900594</vt:i4>
      </vt:variant>
      <vt:variant>
        <vt:i4>404</vt:i4>
      </vt:variant>
      <vt:variant>
        <vt:i4>0</vt:i4>
      </vt:variant>
      <vt:variant>
        <vt:i4>5</vt:i4>
      </vt:variant>
      <vt:variant>
        <vt:lpwstr/>
      </vt:variant>
      <vt:variant>
        <vt:lpwstr>_Toc137039709</vt:lpwstr>
      </vt:variant>
      <vt:variant>
        <vt:i4>1900594</vt:i4>
      </vt:variant>
      <vt:variant>
        <vt:i4>398</vt:i4>
      </vt:variant>
      <vt:variant>
        <vt:i4>0</vt:i4>
      </vt:variant>
      <vt:variant>
        <vt:i4>5</vt:i4>
      </vt:variant>
      <vt:variant>
        <vt:lpwstr/>
      </vt:variant>
      <vt:variant>
        <vt:lpwstr>_Toc137039708</vt:lpwstr>
      </vt:variant>
      <vt:variant>
        <vt:i4>1900594</vt:i4>
      </vt:variant>
      <vt:variant>
        <vt:i4>392</vt:i4>
      </vt:variant>
      <vt:variant>
        <vt:i4>0</vt:i4>
      </vt:variant>
      <vt:variant>
        <vt:i4>5</vt:i4>
      </vt:variant>
      <vt:variant>
        <vt:lpwstr/>
      </vt:variant>
      <vt:variant>
        <vt:lpwstr>_Toc137039707</vt:lpwstr>
      </vt:variant>
      <vt:variant>
        <vt:i4>1900594</vt:i4>
      </vt:variant>
      <vt:variant>
        <vt:i4>386</vt:i4>
      </vt:variant>
      <vt:variant>
        <vt:i4>0</vt:i4>
      </vt:variant>
      <vt:variant>
        <vt:i4>5</vt:i4>
      </vt:variant>
      <vt:variant>
        <vt:lpwstr/>
      </vt:variant>
      <vt:variant>
        <vt:lpwstr>_Toc137039706</vt:lpwstr>
      </vt:variant>
      <vt:variant>
        <vt:i4>1900594</vt:i4>
      </vt:variant>
      <vt:variant>
        <vt:i4>380</vt:i4>
      </vt:variant>
      <vt:variant>
        <vt:i4>0</vt:i4>
      </vt:variant>
      <vt:variant>
        <vt:i4>5</vt:i4>
      </vt:variant>
      <vt:variant>
        <vt:lpwstr/>
      </vt:variant>
      <vt:variant>
        <vt:lpwstr>_Toc137039705</vt:lpwstr>
      </vt:variant>
      <vt:variant>
        <vt:i4>1900594</vt:i4>
      </vt:variant>
      <vt:variant>
        <vt:i4>374</vt:i4>
      </vt:variant>
      <vt:variant>
        <vt:i4>0</vt:i4>
      </vt:variant>
      <vt:variant>
        <vt:i4>5</vt:i4>
      </vt:variant>
      <vt:variant>
        <vt:lpwstr/>
      </vt:variant>
      <vt:variant>
        <vt:lpwstr>_Toc137039704</vt:lpwstr>
      </vt:variant>
      <vt:variant>
        <vt:i4>1900594</vt:i4>
      </vt:variant>
      <vt:variant>
        <vt:i4>368</vt:i4>
      </vt:variant>
      <vt:variant>
        <vt:i4>0</vt:i4>
      </vt:variant>
      <vt:variant>
        <vt:i4>5</vt:i4>
      </vt:variant>
      <vt:variant>
        <vt:lpwstr/>
      </vt:variant>
      <vt:variant>
        <vt:lpwstr>_Toc137039703</vt:lpwstr>
      </vt:variant>
      <vt:variant>
        <vt:i4>1900594</vt:i4>
      </vt:variant>
      <vt:variant>
        <vt:i4>362</vt:i4>
      </vt:variant>
      <vt:variant>
        <vt:i4>0</vt:i4>
      </vt:variant>
      <vt:variant>
        <vt:i4>5</vt:i4>
      </vt:variant>
      <vt:variant>
        <vt:lpwstr/>
      </vt:variant>
      <vt:variant>
        <vt:lpwstr>_Toc137039702</vt:lpwstr>
      </vt:variant>
      <vt:variant>
        <vt:i4>1900594</vt:i4>
      </vt:variant>
      <vt:variant>
        <vt:i4>356</vt:i4>
      </vt:variant>
      <vt:variant>
        <vt:i4>0</vt:i4>
      </vt:variant>
      <vt:variant>
        <vt:i4>5</vt:i4>
      </vt:variant>
      <vt:variant>
        <vt:lpwstr/>
      </vt:variant>
      <vt:variant>
        <vt:lpwstr>_Toc137039701</vt:lpwstr>
      </vt:variant>
      <vt:variant>
        <vt:i4>1900594</vt:i4>
      </vt:variant>
      <vt:variant>
        <vt:i4>350</vt:i4>
      </vt:variant>
      <vt:variant>
        <vt:i4>0</vt:i4>
      </vt:variant>
      <vt:variant>
        <vt:i4>5</vt:i4>
      </vt:variant>
      <vt:variant>
        <vt:lpwstr/>
      </vt:variant>
      <vt:variant>
        <vt:lpwstr>_Toc137039700</vt:lpwstr>
      </vt:variant>
      <vt:variant>
        <vt:i4>1310771</vt:i4>
      </vt:variant>
      <vt:variant>
        <vt:i4>344</vt:i4>
      </vt:variant>
      <vt:variant>
        <vt:i4>0</vt:i4>
      </vt:variant>
      <vt:variant>
        <vt:i4>5</vt:i4>
      </vt:variant>
      <vt:variant>
        <vt:lpwstr/>
      </vt:variant>
      <vt:variant>
        <vt:lpwstr>_Toc137039699</vt:lpwstr>
      </vt:variant>
      <vt:variant>
        <vt:i4>1310771</vt:i4>
      </vt:variant>
      <vt:variant>
        <vt:i4>338</vt:i4>
      </vt:variant>
      <vt:variant>
        <vt:i4>0</vt:i4>
      </vt:variant>
      <vt:variant>
        <vt:i4>5</vt:i4>
      </vt:variant>
      <vt:variant>
        <vt:lpwstr/>
      </vt:variant>
      <vt:variant>
        <vt:lpwstr>_Toc137039698</vt:lpwstr>
      </vt:variant>
      <vt:variant>
        <vt:i4>1310771</vt:i4>
      </vt:variant>
      <vt:variant>
        <vt:i4>332</vt:i4>
      </vt:variant>
      <vt:variant>
        <vt:i4>0</vt:i4>
      </vt:variant>
      <vt:variant>
        <vt:i4>5</vt:i4>
      </vt:variant>
      <vt:variant>
        <vt:lpwstr/>
      </vt:variant>
      <vt:variant>
        <vt:lpwstr>_Toc137039697</vt:lpwstr>
      </vt:variant>
      <vt:variant>
        <vt:i4>1310771</vt:i4>
      </vt:variant>
      <vt:variant>
        <vt:i4>326</vt:i4>
      </vt:variant>
      <vt:variant>
        <vt:i4>0</vt:i4>
      </vt:variant>
      <vt:variant>
        <vt:i4>5</vt:i4>
      </vt:variant>
      <vt:variant>
        <vt:lpwstr/>
      </vt:variant>
      <vt:variant>
        <vt:lpwstr>_Toc137039696</vt:lpwstr>
      </vt:variant>
      <vt:variant>
        <vt:i4>1310771</vt:i4>
      </vt:variant>
      <vt:variant>
        <vt:i4>320</vt:i4>
      </vt:variant>
      <vt:variant>
        <vt:i4>0</vt:i4>
      </vt:variant>
      <vt:variant>
        <vt:i4>5</vt:i4>
      </vt:variant>
      <vt:variant>
        <vt:lpwstr/>
      </vt:variant>
      <vt:variant>
        <vt:lpwstr>_Toc137039695</vt:lpwstr>
      </vt:variant>
      <vt:variant>
        <vt:i4>1310771</vt:i4>
      </vt:variant>
      <vt:variant>
        <vt:i4>314</vt:i4>
      </vt:variant>
      <vt:variant>
        <vt:i4>0</vt:i4>
      </vt:variant>
      <vt:variant>
        <vt:i4>5</vt:i4>
      </vt:variant>
      <vt:variant>
        <vt:lpwstr/>
      </vt:variant>
      <vt:variant>
        <vt:lpwstr>_Toc137039694</vt:lpwstr>
      </vt:variant>
      <vt:variant>
        <vt:i4>1310771</vt:i4>
      </vt:variant>
      <vt:variant>
        <vt:i4>308</vt:i4>
      </vt:variant>
      <vt:variant>
        <vt:i4>0</vt:i4>
      </vt:variant>
      <vt:variant>
        <vt:i4>5</vt:i4>
      </vt:variant>
      <vt:variant>
        <vt:lpwstr/>
      </vt:variant>
      <vt:variant>
        <vt:lpwstr>_Toc137039693</vt:lpwstr>
      </vt:variant>
      <vt:variant>
        <vt:i4>1310771</vt:i4>
      </vt:variant>
      <vt:variant>
        <vt:i4>302</vt:i4>
      </vt:variant>
      <vt:variant>
        <vt:i4>0</vt:i4>
      </vt:variant>
      <vt:variant>
        <vt:i4>5</vt:i4>
      </vt:variant>
      <vt:variant>
        <vt:lpwstr/>
      </vt:variant>
      <vt:variant>
        <vt:lpwstr>_Toc137039692</vt:lpwstr>
      </vt:variant>
      <vt:variant>
        <vt:i4>1310771</vt:i4>
      </vt:variant>
      <vt:variant>
        <vt:i4>296</vt:i4>
      </vt:variant>
      <vt:variant>
        <vt:i4>0</vt:i4>
      </vt:variant>
      <vt:variant>
        <vt:i4>5</vt:i4>
      </vt:variant>
      <vt:variant>
        <vt:lpwstr/>
      </vt:variant>
      <vt:variant>
        <vt:lpwstr>_Toc137039691</vt:lpwstr>
      </vt:variant>
      <vt:variant>
        <vt:i4>1310771</vt:i4>
      </vt:variant>
      <vt:variant>
        <vt:i4>290</vt:i4>
      </vt:variant>
      <vt:variant>
        <vt:i4>0</vt:i4>
      </vt:variant>
      <vt:variant>
        <vt:i4>5</vt:i4>
      </vt:variant>
      <vt:variant>
        <vt:lpwstr/>
      </vt:variant>
      <vt:variant>
        <vt:lpwstr>_Toc137039690</vt:lpwstr>
      </vt:variant>
      <vt:variant>
        <vt:i4>1376307</vt:i4>
      </vt:variant>
      <vt:variant>
        <vt:i4>284</vt:i4>
      </vt:variant>
      <vt:variant>
        <vt:i4>0</vt:i4>
      </vt:variant>
      <vt:variant>
        <vt:i4>5</vt:i4>
      </vt:variant>
      <vt:variant>
        <vt:lpwstr/>
      </vt:variant>
      <vt:variant>
        <vt:lpwstr>_Toc137039689</vt:lpwstr>
      </vt:variant>
      <vt:variant>
        <vt:i4>1376307</vt:i4>
      </vt:variant>
      <vt:variant>
        <vt:i4>278</vt:i4>
      </vt:variant>
      <vt:variant>
        <vt:i4>0</vt:i4>
      </vt:variant>
      <vt:variant>
        <vt:i4>5</vt:i4>
      </vt:variant>
      <vt:variant>
        <vt:lpwstr/>
      </vt:variant>
      <vt:variant>
        <vt:lpwstr>_Toc137039688</vt:lpwstr>
      </vt:variant>
      <vt:variant>
        <vt:i4>1376307</vt:i4>
      </vt:variant>
      <vt:variant>
        <vt:i4>272</vt:i4>
      </vt:variant>
      <vt:variant>
        <vt:i4>0</vt:i4>
      </vt:variant>
      <vt:variant>
        <vt:i4>5</vt:i4>
      </vt:variant>
      <vt:variant>
        <vt:lpwstr/>
      </vt:variant>
      <vt:variant>
        <vt:lpwstr>_Toc137039687</vt:lpwstr>
      </vt:variant>
      <vt:variant>
        <vt:i4>1376307</vt:i4>
      </vt:variant>
      <vt:variant>
        <vt:i4>266</vt:i4>
      </vt:variant>
      <vt:variant>
        <vt:i4>0</vt:i4>
      </vt:variant>
      <vt:variant>
        <vt:i4>5</vt:i4>
      </vt:variant>
      <vt:variant>
        <vt:lpwstr/>
      </vt:variant>
      <vt:variant>
        <vt:lpwstr>_Toc137039686</vt:lpwstr>
      </vt:variant>
      <vt:variant>
        <vt:i4>1376307</vt:i4>
      </vt:variant>
      <vt:variant>
        <vt:i4>260</vt:i4>
      </vt:variant>
      <vt:variant>
        <vt:i4>0</vt:i4>
      </vt:variant>
      <vt:variant>
        <vt:i4>5</vt:i4>
      </vt:variant>
      <vt:variant>
        <vt:lpwstr/>
      </vt:variant>
      <vt:variant>
        <vt:lpwstr>_Toc137039685</vt:lpwstr>
      </vt:variant>
      <vt:variant>
        <vt:i4>1376307</vt:i4>
      </vt:variant>
      <vt:variant>
        <vt:i4>254</vt:i4>
      </vt:variant>
      <vt:variant>
        <vt:i4>0</vt:i4>
      </vt:variant>
      <vt:variant>
        <vt:i4>5</vt:i4>
      </vt:variant>
      <vt:variant>
        <vt:lpwstr/>
      </vt:variant>
      <vt:variant>
        <vt:lpwstr>_Toc137039684</vt:lpwstr>
      </vt:variant>
      <vt:variant>
        <vt:i4>1376307</vt:i4>
      </vt:variant>
      <vt:variant>
        <vt:i4>248</vt:i4>
      </vt:variant>
      <vt:variant>
        <vt:i4>0</vt:i4>
      </vt:variant>
      <vt:variant>
        <vt:i4>5</vt:i4>
      </vt:variant>
      <vt:variant>
        <vt:lpwstr/>
      </vt:variant>
      <vt:variant>
        <vt:lpwstr>_Toc137039683</vt:lpwstr>
      </vt:variant>
      <vt:variant>
        <vt:i4>1376307</vt:i4>
      </vt:variant>
      <vt:variant>
        <vt:i4>242</vt:i4>
      </vt:variant>
      <vt:variant>
        <vt:i4>0</vt:i4>
      </vt:variant>
      <vt:variant>
        <vt:i4>5</vt:i4>
      </vt:variant>
      <vt:variant>
        <vt:lpwstr/>
      </vt:variant>
      <vt:variant>
        <vt:lpwstr>_Toc137039682</vt:lpwstr>
      </vt:variant>
      <vt:variant>
        <vt:i4>1376307</vt:i4>
      </vt:variant>
      <vt:variant>
        <vt:i4>236</vt:i4>
      </vt:variant>
      <vt:variant>
        <vt:i4>0</vt:i4>
      </vt:variant>
      <vt:variant>
        <vt:i4>5</vt:i4>
      </vt:variant>
      <vt:variant>
        <vt:lpwstr/>
      </vt:variant>
      <vt:variant>
        <vt:lpwstr>_Toc137039681</vt:lpwstr>
      </vt:variant>
      <vt:variant>
        <vt:i4>1376307</vt:i4>
      </vt:variant>
      <vt:variant>
        <vt:i4>230</vt:i4>
      </vt:variant>
      <vt:variant>
        <vt:i4>0</vt:i4>
      </vt:variant>
      <vt:variant>
        <vt:i4>5</vt:i4>
      </vt:variant>
      <vt:variant>
        <vt:lpwstr/>
      </vt:variant>
      <vt:variant>
        <vt:lpwstr>_Toc137039680</vt:lpwstr>
      </vt:variant>
      <vt:variant>
        <vt:i4>1703987</vt:i4>
      </vt:variant>
      <vt:variant>
        <vt:i4>224</vt:i4>
      </vt:variant>
      <vt:variant>
        <vt:i4>0</vt:i4>
      </vt:variant>
      <vt:variant>
        <vt:i4>5</vt:i4>
      </vt:variant>
      <vt:variant>
        <vt:lpwstr/>
      </vt:variant>
      <vt:variant>
        <vt:lpwstr>_Toc137039679</vt:lpwstr>
      </vt:variant>
      <vt:variant>
        <vt:i4>1703987</vt:i4>
      </vt:variant>
      <vt:variant>
        <vt:i4>218</vt:i4>
      </vt:variant>
      <vt:variant>
        <vt:i4>0</vt:i4>
      </vt:variant>
      <vt:variant>
        <vt:i4>5</vt:i4>
      </vt:variant>
      <vt:variant>
        <vt:lpwstr/>
      </vt:variant>
      <vt:variant>
        <vt:lpwstr>_Toc137039678</vt:lpwstr>
      </vt:variant>
      <vt:variant>
        <vt:i4>1703987</vt:i4>
      </vt:variant>
      <vt:variant>
        <vt:i4>212</vt:i4>
      </vt:variant>
      <vt:variant>
        <vt:i4>0</vt:i4>
      </vt:variant>
      <vt:variant>
        <vt:i4>5</vt:i4>
      </vt:variant>
      <vt:variant>
        <vt:lpwstr/>
      </vt:variant>
      <vt:variant>
        <vt:lpwstr>_Toc137039677</vt:lpwstr>
      </vt:variant>
      <vt:variant>
        <vt:i4>1703987</vt:i4>
      </vt:variant>
      <vt:variant>
        <vt:i4>206</vt:i4>
      </vt:variant>
      <vt:variant>
        <vt:i4>0</vt:i4>
      </vt:variant>
      <vt:variant>
        <vt:i4>5</vt:i4>
      </vt:variant>
      <vt:variant>
        <vt:lpwstr/>
      </vt:variant>
      <vt:variant>
        <vt:lpwstr>_Toc137039676</vt:lpwstr>
      </vt:variant>
      <vt:variant>
        <vt:i4>1703987</vt:i4>
      </vt:variant>
      <vt:variant>
        <vt:i4>200</vt:i4>
      </vt:variant>
      <vt:variant>
        <vt:i4>0</vt:i4>
      </vt:variant>
      <vt:variant>
        <vt:i4>5</vt:i4>
      </vt:variant>
      <vt:variant>
        <vt:lpwstr/>
      </vt:variant>
      <vt:variant>
        <vt:lpwstr>_Toc137039675</vt:lpwstr>
      </vt:variant>
      <vt:variant>
        <vt:i4>1703987</vt:i4>
      </vt:variant>
      <vt:variant>
        <vt:i4>194</vt:i4>
      </vt:variant>
      <vt:variant>
        <vt:i4>0</vt:i4>
      </vt:variant>
      <vt:variant>
        <vt:i4>5</vt:i4>
      </vt:variant>
      <vt:variant>
        <vt:lpwstr/>
      </vt:variant>
      <vt:variant>
        <vt:lpwstr>_Toc137039674</vt:lpwstr>
      </vt:variant>
      <vt:variant>
        <vt:i4>1703987</vt:i4>
      </vt:variant>
      <vt:variant>
        <vt:i4>188</vt:i4>
      </vt:variant>
      <vt:variant>
        <vt:i4>0</vt:i4>
      </vt:variant>
      <vt:variant>
        <vt:i4>5</vt:i4>
      </vt:variant>
      <vt:variant>
        <vt:lpwstr/>
      </vt:variant>
      <vt:variant>
        <vt:lpwstr>_Toc137039673</vt:lpwstr>
      </vt:variant>
      <vt:variant>
        <vt:i4>1703987</vt:i4>
      </vt:variant>
      <vt:variant>
        <vt:i4>182</vt:i4>
      </vt:variant>
      <vt:variant>
        <vt:i4>0</vt:i4>
      </vt:variant>
      <vt:variant>
        <vt:i4>5</vt:i4>
      </vt:variant>
      <vt:variant>
        <vt:lpwstr/>
      </vt:variant>
      <vt:variant>
        <vt:lpwstr>_Toc137039672</vt:lpwstr>
      </vt:variant>
      <vt:variant>
        <vt:i4>1703987</vt:i4>
      </vt:variant>
      <vt:variant>
        <vt:i4>176</vt:i4>
      </vt:variant>
      <vt:variant>
        <vt:i4>0</vt:i4>
      </vt:variant>
      <vt:variant>
        <vt:i4>5</vt:i4>
      </vt:variant>
      <vt:variant>
        <vt:lpwstr/>
      </vt:variant>
      <vt:variant>
        <vt:lpwstr>_Toc137039671</vt:lpwstr>
      </vt:variant>
      <vt:variant>
        <vt:i4>1703987</vt:i4>
      </vt:variant>
      <vt:variant>
        <vt:i4>170</vt:i4>
      </vt:variant>
      <vt:variant>
        <vt:i4>0</vt:i4>
      </vt:variant>
      <vt:variant>
        <vt:i4>5</vt:i4>
      </vt:variant>
      <vt:variant>
        <vt:lpwstr/>
      </vt:variant>
      <vt:variant>
        <vt:lpwstr>_Toc137039670</vt:lpwstr>
      </vt:variant>
      <vt:variant>
        <vt:i4>1769523</vt:i4>
      </vt:variant>
      <vt:variant>
        <vt:i4>164</vt:i4>
      </vt:variant>
      <vt:variant>
        <vt:i4>0</vt:i4>
      </vt:variant>
      <vt:variant>
        <vt:i4>5</vt:i4>
      </vt:variant>
      <vt:variant>
        <vt:lpwstr/>
      </vt:variant>
      <vt:variant>
        <vt:lpwstr>_Toc137039669</vt:lpwstr>
      </vt:variant>
      <vt:variant>
        <vt:i4>1769523</vt:i4>
      </vt:variant>
      <vt:variant>
        <vt:i4>158</vt:i4>
      </vt:variant>
      <vt:variant>
        <vt:i4>0</vt:i4>
      </vt:variant>
      <vt:variant>
        <vt:i4>5</vt:i4>
      </vt:variant>
      <vt:variant>
        <vt:lpwstr/>
      </vt:variant>
      <vt:variant>
        <vt:lpwstr>_Toc137039668</vt:lpwstr>
      </vt:variant>
      <vt:variant>
        <vt:i4>1769523</vt:i4>
      </vt:variant>
      <vt:variant>
        <vt:i4>152</vt:i4>
      </vt:variant>
      <vt:variant>
        <vt:i4>0</vt:i4>
      </vt:variant>
      <vt:variant>
        <vt:i4>5</vt:i4>
      </vt:variant>
      <vt:variant>
        <vt:lpwstr/>
      </vt:variant>
      <vt:variant>
        <vt:lpwstr>_Toc137039667</vt:lpwstr>
      </vt:variant>
      <vt:variant>
        <vt:i4>1769523</vt:i4>
      </vt:variant>
      <vt:variant>
        <vt:i4>146</vt:i4>
      </vt:variant>
      <vt:variant>
        <vt:i4>0</vt:i4>
      </vt:variant>
      <vt:variant>
        <vt:i4>5</vt:i4>
      </vt:variant>
      <vt:variant>
        <vt:lpwstr/>
      </vt:variant>
      <vt:variant>
        <vt:lpwstr>_Toc137039666</vt:lpwstr>
      </vt:variant>
      <vt:variant>
        <vt:i4>1769523</vt:i4>
      </vt:variant>
      <vt:variant>
        <vt:i4>140</vt:i4>
      </vt:variant>
      <vt:variant>
        <vt:i4>0</vt:i4>
      </vt:variant>
      <vt:variant>
        <vt:i4>5</vt:i4>
      </vt:variant>
      <vt:variant>
        <vt:lpwstr/>
      </vt:variant>
      <vt:variant>
        <vt:lpwstr>_Toc137039665</vt:lpwstr>
      </vt:variant>
      <vt:variant>
        <vt:i4>1769523</vt:i4>
      </vt:variant>
      <vt:variant>
        <vt:i4>134</vt:i4>
      </vt:variant>
      <vt:variant>
        <vt:i4>0</vt:i4>
      </vt:variant>
      <vt:variant>
        <vt:i4>5</vt:i4>
      </vt:variant>
      <vt:variant>
        <vt:lpwstr/>
      </vt:variant>
      <vt:variant>
        <vt:lpwstr>_Toc137039664</vt:lpwstr>
      </vt:variant>
      <vt:variant>
        <vt:i4>1769523</vt:i4>
      </vt:variant>
      <vt:variant>
        <vt:i4>128</vt:i4>
      </vt:variant>
      <vt:variant>
        <vt:i4>0</vt:i4>
      </vt:variant>
      <vt:variant>
        <vt:i4>5</vt:i4>
      </vt:variant>
      <vt:variant>
        <vt:lpwstr/>
      </vt:variant>
      <vt:variant>
        <vt:lpwstr>_Toc137039663</vt:lpwstr>
      </vt:variant>
      <vt:variant>
        <vt:i4>1769523</vt:i4>
      </vt:variant>
      <vt:variant>
        <vt:i4>122</vt:i4>
      </vt:variant>
      <vt:variant>
        <vt:i4>0</vt:i4>
      </vt:variant>
      <vt:variant>
        <vt:i4>5</vt:i4>
      </vt:variant>
      <vt:variant>
        <vt:lpwstr/>
      </vt:variant>
      <vt:variant>
        <vt:lpwstr>_Toc137039662</vt:lpwstr>
      </vt:variant>
      <vt:variant>
        <vt:i4>1769523</vt:i4>
      </vt:variant>
      <vt:variant>
        <vt:i4>116</vt:i4>
      </vt:variant>
      <vt:variant>
        <vt:i4>0</vt:i4>
      </vt:variant>
      <vt:variant>
        <vt:i4>5</vt:i4>
      </vt:variant>
      <vt:variant>
        <vt:lpwstr/>
      </vt:variant>
      <vt:variant>
        <vt:lpwstr>_Toc137039661</vt:lpwstr>
      </vt:variant>
      <vt:variant>
        <vt:i4>1769523</vt:i4>
      </vt:variant>
      <vt:variant>
        <vt:i4>110</vt:i4>
      </vt:variant>
      <vt:variant>
        <vt:i4>0</vt:i4>
      </vt:variant>
      <vt:variant>
        <vt:i4>5</vt:i4>
      </vt:variant>
      <vt:variant>
        <vt:lpwstr/>
      </vt:variant>
      <vt:variant>
        <vt:lpwstr>_Toc137039660</vt:lpwstr>
      </vt:variant>
      <vt:variant>
        <vt:i4>1572915</vt:i4>
      </vt:variant>
      <vt:variant>
        <vt:i4>104</vt:i4>
      </vt:variant>
      <vt:variant>
        <vt:i4>0</vt:i4>
      </vt:variant>
      <vt:variant>
        <vt:i4>5</vt:i4>
      </vt:variant>
      <vt:variant>
        <vt:lpwstr/>
      </vt:variant>
      <vt:variant>
        <vt:lpwstr>_Toc137039659</vt:lpwstr>
      </vt:variant>
      <vt:variant>
        <vt:i4>1572915</vt:i4>
      </vt:variant>
      <vt:variant>
        <vt:i4>98</vt:i4>
      </vt:variant>
      <vt:variant>
        <vt:i4>0</vt:i4>
      </vt:variant>
      <vt:variant>
        <vt:i4>5</vt:i4>
      </vt:variant>
      <vt:variant>
        <vt:lpwstr/>
      </vt:variant>
      <vt:variant>
        <vt:lpwstr>_Toc137039658</vt:lpwstr>
      </vt:variant>
      <vt:variant>
        <vt:i4>1572915</vt:i4>
      </vt:variant>
      <vt:variant>
        <vt:i4>92</vt:i4>
      </vt:variant>
      <vt:variant>
        <vt:i4>0</vt:i4>
      </vt:variant>
      <vt:variant>
        <vt:i4>5</vt:i4>
      </vt:variant>
      <vt:variant>
        <vt:lpwstr/>
      </vt:variant>
      <vt:variant>
        <vt:lpwstr>_Toc137039657</vt:lpwstr>
      </vt:variant>
      <vt:variant>
        <vt:i4>1572915</vt:i4>
      </vt:variant>
      <vt:variant>
        <vt:i4>86</vt:i4>
      </vt:variant>
      <vt:variant>
        <vt:i4>0</vt:i4>
      </vt:variant>
      <vt:variant>
        <vt:i4>5</vt:i4>
      </vt:variant>
      <vt:variant>
        <vt:lpwstr/>
      </vt:variant>
      <vt:variant>
        <vt:lpwstr>_Toc137039656</vt:lpwstr>
      </vt:variant>
      <vt:variant>
        <vt:i4>1572915</vt:i4>
      </vt:variant>
      <vt:variant>
        <vt:i4>80</vt:i4>
      </vt:variant>
      <vt:variant>
        <vt:i4>0</vt:i4>
      </vt:variant>
      <vt:variant>
        <vt:i4>5</vt:i4>
      </vt:variant>
      <vt:variant>
        <vt:lpwstr/>
      </vt:variant>
      <vt:variant>
        <vt:lpwstr>_Toc137039655</vt:lpwstr>
      </vt:variant>
      <vt:variant>
        <vt:i4>1572915</vt:i4>
      </vt:variant>
      <vt:variant>
        <vt:i4>74</vt:i4>
      </vt:variant>
      <vt:variant>
        <vt:i4>0</vt:i4>
      </vt:variant>
      <vt:variant>
        <vt:i4>5</vt:i4>
      </vt:variant>
      <vt:variant>
        <vt:lpwstr/>
      </vt:variant>
      <vt:variant>
        <vt:lpwstr>_Toc137039654</vt:lpwstr>
      </vt:variant>
      <vt:variant>
        <vt:i4>1572915</vt:i4>
      </vt:variant>
      <vt:variant>
        <vt:i4>68</vt:i4>
      </vt:variant>
      <vt:variant>
        <vt:i4>0</vt:i4>
      </vt:variant>
      <vt:variant>
        <vt:i4>5</vt:i4>
      </vt:variant>
      <vt:variant>
        <vt:lpwstr/>
      </vt:variant>
      <vt:variant>
        <vt:lpwstr>_Toc137039653</vt:lpwstr>
      </vt:variant>
      <vt:variant>
        <vt:i4>1572915</vt:i4>
      </vt:variant>
      <vt:variant>
        <vt:i4>62</vt:i4>
      </vt:variant>
      <vt:variant>
        <vt:i4>0</vt:i4>
      </vt:variant>
      <vt:variant>
        <vt:i4>5</vt:i4>
      </vt:variant>
      <vt:variant>
        <vt:lpwstr/>
      </vt:variant>
      <vt:variant>
        <vt:lpwstr>_Toc137039652</vt:lpwstr>
      </vt:variant>
      <vt:variant>
        <vt:i4>1572915</vt:i4>
      </vt:variant>
      <vt:variant>
        <vt:i4>56</vt:i4>
      </vt:variant>
      <vt:variant>
        <vt:i4>0</vt:i4>
      </vt:variant>
      <vt:variant>
        <vt:i4>5</vt:i4>
      </vt:variant>
      <vt:variant>
        <vt:lpwstr/>
      </vt:variant>
      <vt:variant>
        <vt:lpwstr>_Toc137039651</vt:lpwstr>
      </vt:variant>
      <vt:variant>
        <vt:i4>1572915</vt:i4>
      </vt:variant>
      <vt:variant>
        <vt:i4>50</vt:i4>
      </vt:variant>
      <vt:variant>
        <vt:i4>0</vt:i4>
      </vt:variant>
      <vt:variant>
        <vt:i4>5</vt:i4>
      </vt:variant>
      <vt:variant>
        <vt:lpwstr/>
      </vt:variant>
      <vt:variant>
        <vt:lpwstr>_Toc137039650</vt:lpwstr>
      </vt:variant>
      <vt:variant>
        <vt:i4>1638451</vt:i4>
      </vt:variant>
      <vt:variant>
        <vt:i4>44</vt:i4>
      </vt:variant>
      <vt:variant>
        <vt:i4>0</vt:i4>
      </vt:variant>
      <vt:variant>
        <vt:i4>5</vt:i4>
      </vt:variant>
      <vt:variant>
        <vt:lpwstr/>
      </vt:variant>
      <vt:variant>
        <vt:lpwstr>_Toc137039649</vt:lpwstr>
      </vt:variant>
      <vt:variant>
        <vt:i4>1638451</vt:i4>
      </vt:variant>
      <vt:variant>
        <vt:i4>38</vt:i4>
      </vt:variant>
      <vt:variant>
        <vt:i4>0</vt:i4>
      </vt:variant>
      <vt:variant>
        <vt:i4>5</vt:i4>
      </vt:variant>
      <vt:variant>
        <vt:lpwstr/>
      </vt:variant>
      <vt:variant>
        <vt:lpwstr>_Toc137039648</vt:lpwstr>
      </vt:variant>
      <vt:variant>
        <vt:i4>1638451</vt:i4>
      </vt:variant>
      <vt:variant>
        <vt:i4>32</vt:i4>
      </vt:variant>
      <vt:variant>
        <vt:i4>0</vt:i4>
      </vt:variant>
      <vt:variant>
        <vt:i4>5</vt:i4>
      </vt:variant>
      <vt:variant>
        <vt:lpwstr/>
      </vt:variant>
      <vt:variant>
        <vt:lpwstr>_Toc137039647</vt:lpwstr>
      </vt:variant>
      <vt:variant>
        <vt:i4>1638451</vt:i4>
      </vt:variant>
      <vt:variant>
        <vt:i4>26</vt:i4>
      </vt:variant>
      <vt:variant>
        <vt:i4>0</vt:i4>
      </vt:variant>
      <vt:variant>
        <vt:i4>5</vt:i4>
      </vt:variant>
      <vt:variant>
        <vt:lpwstr/>
      </vt:variant>
      <vt:variant>
        <vt:lpwstr>_Toc137039646</vt:lpwstr>
      </vt:variant>
      <vt:variant>
        <vt:i4>1638451</vt:i4>
      </vt:variant>
      <vt:variant>
        <vt:i4>20</vt:i4>
      </vt:variant>
      <vt:variant>
        <vt:i4>0</vt:i4>
      </vt:variant>
      <vt:variant>
        <vt:i4>5</vt:i4>
      </vt:variant>
      <vt:variant>
        <vt:lpwstr/>
      </vt:variant>
      <vt:variant>
        <vt:lpwstr>_Toc137039645</vt:lpwstr>
      </vt:variant>
      <vt:variant>
        <vt:i4>1638451</vt:i4>
      </vt:variant>
      <vt:variant>
        <vt:i4>14</vt:i4>
      </vt:variant>
      <vt:variant>
        <vt:i4>0</vt:i4>
      </vt:variant>
      <vt:variant>
        <vt:i4>5</vt:i4>
      </vt:variant>
      <vt:variant>
        <vt:lpwstr/>
      </vt:variant>
      <vt:variant>
        <vt:lpwstr>_Toc137039644</vt:lpwstr>
      </vt:variant>
      <vt:variant>
        <vt:i4>1638451</vt:i4>
      </vt:variant>
      <vt:variant>
        <vt:i4>8</vt:i4>
      </vt:variant>
      <vt:variant>
        <vt:i4>0</vt:i4>
      </vt:variant>
      <vt:variant>
        <vt:i4>5</vt:i4>
      </vt:variant>
      <vt:variant>
        <vt:lpwstr/>
      </vt:variant>
      <vt:variant>
        <vt:lpwstr>_Toc137039643</vt:lpwstr>
      </vt:variant>
      <vt:variant>
        <vt:i4>1638451</vt:i4>
      </vt:variant>
      <vt:variant>
        <vt:i4>2</vt:i4>
      </vt:variant>
      <vt:variant>
        <vt:i4>0</vt:i4>
      </vt:variant>
      <vt:variant>
        <vt:i4>5</vt:i4>
      </vt:variant>
      <vt:variant>
        <vt:lpwstr/>
      </vt:variant>
      <vt:variant>
        <vt:lpwstr>_Toc137039642</vt:lpwstr>
      </vt:variant>
      <vt:variant>
        <vt:i4>6291572</vt:i4>
      </vt:variant>
      <vt:variant>
        <vt:i4>363</vt:i4>
      </vt:variant>
      <vt:variant>
        <vt:i4>0</vt:i4>
      </vt:variant>
      <vt:variant>
        <vt:i4>5</vt:i4>
      </vt:variant>
      <vt:variant>
        <vt:lpwstr>https://ec.europa.eu/eurostat/web/circular-economy/indicators/monitoring-framework</vt:lpwstr>
      </vt:variant>
      <vt:variant>
        <vt:lpwstr/>
      </vt:variant>
      <vt:variant>
        <vt:i4>7012453</vt:i4>
      </vt:variant>
      <vt:variant>
        <vt:i4>360</vt:i4>
      </vt:variant>
      <vt:variant>
        <vt:i4>0</vt:i4>
      </vt:variant>
      <vt:variant>
        <vt:i4>5</vt:i4>
      </vt:variant>
      <vt:variant>
        <vt:lpwstr>https://ec.europa.eu/environment/eussd/pdf/bio_foodwaste_report.pdf</vt:lpwstr>
      </vt:variant>
      <vt:variant>
        <vt:lpwstr/>
      </vt:variant>
      <vt:variant>
        <vt:i4>6029324</vt:i4>
      </vt:variant>
      <vt:variant>
        <vt:i4>357</vt:i4>
      </vt:variant>
      <vt:variant>
        <vt:i4>0</vt:i4>
      </vt:variant>
      <vt:variant>
        <vt:i4>5</vt:i4>
      </vt:variant>
      <vt:variant>
        <vt:lpwstr>https://www.resourcepanel.org/sites/default/files/documents/document/media/assessing_scp_summary_report_english.pdf</vt:lpwstr>
      </vt:variant>
      <vt:variant>
        <vt:lpwstr/>
      </vt:variant>
      <vt:variant>
        <vt:i4>4128800</vt:i4>
      </vt:variant>
      <vt:variant>
        <vt:i4>354</vt:i4>
      </vt:variant>
      <vt:variant>
        <vt:i4>0</vt:i4>
      </vt:variant>
      <vt:variant>
        <vt:i4>5</vt:i4>
      </vt:variant>
      <vt:variant>
        <vt:lpwstr>https://www.unep.org/resources/report/unep-food-waste-index-report-2021</vt:lpwstr>
      </vt:variant>
      <vt:variant>
        <vt:lpwstr/>
      </vt:variant>
      <vt:variant>
        <vt:i4>3407913</vt:i4>
      </vt:variant>
      <vt:variant>
        <vt:i4>351</vt:i4>
      </vt:variant>
      <vt:variant>
        <vt:i4>0</vt:i4>
      </vt:variant>
      <vt:variant>
        <vt:i4>5</vt:i4>
      </vt:variant>
      <vt:variant>
        <vt:lpwstr>https://food.ec.europa.eu/document/download/b35701da-c178-4a37-b420-899195e5ba16_en?filename=fw_lib_fao-2019_en.pdf</vt:lpwstr>
      </vt:variant>
      <vt:variant>
        <vt:lpwstr/>
      </vt:variant>
      <vt:variant>
        <vt:i4>3866682</vt:i4>
      </vt:variant>
      <vt:variant>
        <vt:i4>348</vt:i4>
      </vt:variant>
      <vt:variant>
        <vt:i4>0</vt:i4>
      </vt:variant>
      <vt:variant>
        <vt:i4>5</vt:i4>
      </vt:variant>
      <vt:variant>
        <vt:lpwstr>https://trexproject.eu/</vt:lpwstr>
      </vt:variant>
      <vt:variant>
        <vt:lpwstr/>
      </vt:variant>
      <vt:variant>
        <vt:i4>1572882</vt:i4>
      </vt:variant>
      <vt:variant>
        <vt:i4>345</vt:i4>
      </vt:variant>
      <vt:variant>
        <vt:i4>0</vt:i4>
      </vt:variant>
      <vt:variant>
        <vt:i4>5</vt:i4>
      </vt:variant>
      <vt:variant>
        <vt:lpwstr>https://cordis.europa.eu/project/id/101000559</vt:lpwstr>
      </vt:variant>
      <vt:variant>
        <vt:lpwstr/>
      </vt:variant>
      <vt:variant>
        <vt:i4>5701643</vt:i4>
      </vt:variant>
      <vt:variant>
        <vt:i4>342</vt:i4>
      </vt:variant>
      <vt:variant>
        <vt:i4>0</vt:i4>
      </vt:variant>
      <vt:variant>
        <vt:i4>5</vt:i4>
      </vt:variant>
      <vt:variant>
        <vt:lpwstr>https://ec.europa.eu/newsroom/horizon2020/items/23300/en</vt:lpwstr>
      </vt:variant>
      <vt:variant>
        <vt:lpwstr/>
      </vt:variant>
      <vt:variant>
        <vt:i4>3014697</vt:i4>
      </vt:variant>
      <vt:variant>
        <vt:i4>339</vt:i4>
      </vt:variant>
      <vt:variant>
        <vt:i4>0</vt:i4>
      </vt:variant>
      <vt:variant>
        <vt:i4>5</vt:i4>
      </vt:variant>
      <vt:variant>
        <vt:lpwstr>https://cordis.europa.eu/project/id/820869</vt:lpwstr>
      </vt:variant>
      <vt:variant>
        <vt:lpwstr/>
      </vt:variant>
      <vt:variant>
        <vt:i4>5374022</vt:i4>
      </vt:variant>
      <vt:variant>
        <vt:i4>336</vt:i4>
      </vt:variant>
      <vt:variant>
        <vt:i4>0</vt:i4>
      </vt:variant>
      <vt:variant>
        <vt:i4>5</vt:i4>
      </vt:variant>
      <vt:variant>
        <vt:lpwstr>https://www.trash2cashproject.eu/</vt:lpwstr>
      </vt:variant>
      <vt:variant>
        <vt:lpwstr/>
      </vt:variant>
      <vt:variant>
        <vt:i4>3276901</vt:i4>
      </vt:variant>
      <vt:variant>
        <vt:i4>333</vt:i4>
      </vt:variant>
      <vt:variant>
        <vt:i4>0</vt:i4>
      </vt:variant>
      <vt:variant>
        <vt:i4>5</vt:i4>
      </vt:variant>
      <vt:variant>
        <vt:lpwstr>https://quantis.com/research/resyntex/</vt:lpwstr>
      </vt:variant>
      <vt:variant>
        <vt:lpwstr/>
      </vt:variant>
      <vt:variant>
        <vt:i4>1048585</vt:i4>
      </vt:variant>
      <vt:variant>
        <vt:i4>330</vt:i4>
      </vt:variant>
      <vt:variant>
        <vt:i4>0</vt:i4>
      </vt:variant>
      <vt:variant>
        <vt:i4>5</vt:i4>
      </vt:variant>
      <vt:variant>
        <vt:lpwstr>https://webgate.ec.europa.eu/life/publicWebsite/search/get?basicSearchText=NEWTEXTILE</vt:lpwstr>
      </vt:variant>
      <vt:variant>
        <vt:lpwstr/>
      </vt:variant>
      <vt:variant>
        <vt:i4>1114183</vt:i4>
      </vt:variant>
      <vt:variant>
        <vt:i4>327</vt:i4>
      </vt:variant>
      <vt:variant>
        <vt:i4>0</vt:i4>
      </vt:variant>
      <vt:variant>
        <vt:i4>5</vt:i4>
      </vt:variant>
      <vt:variant>
        <vt:lpwstr>https://webgate.ec.europa.eu/life/publicWebsite/project/details/5731</vt:lpwstr>
      </vt:variant>
      <vt:variant>
        <vt:lpwstr/>
      </vt:variant>
      <vt:variant>
        <vt:i4>1114180</vt:i4>
      </vt:variant>
      <vt:variant>
        <vt:i4>324</vt:i4>
      </vt:variant>
      <vt:variant>
        <vt:i4>0</vt:i4>
      </vt:variant>
      <vt:variant>
        <vt:i4>5</vt:i4>
      </vt:variant>
      <vt:variant>
        <vt:lpwstr>https://webgate.ec.europa.eu/life/publicWebsite/project/details/4513</vt:lpwstr>
      </vt:variant>
      <vt:variant>
        <vt:lpwstr/>
      </vt:variant>
      <vt:variant>
        <vt:i4>6160399</vt:i4>
      </vt:variant>
      <vt:variant>
        <vt:i4>321</vt:i4>
      </vt:variant>
      <vt:variant>
        <vt:i4>0</vt:i4>
      </vt:variant>
      <vt:variant>
        <vt:i4>5</vt:i4>
      </vt:variant>
      <vt:variant>
        <vt:lpwstr>https://www.norden.org/en/news/more-recycling-and-reuse-textiles-nordics-benefits-environment-and-economy</vt:lpwstr>
      </vt:variant>
      <vt:variant>
        <vt:lpwstr/>
      </vt:variant>
      <vt:variant>
        <vt:i4>5898256</vt:i4>
      </vt:variant>
      <vt:variant>
        <vt:i4>318</vt:i4>
      </vt:variant>
      <vt:variant>
        <vt:i4>0</vt:i4>
      </vt:variant>
      <vt:variant>
        <vt:i4>5</vt:i4>
      </vt:variant>
      <vt:variant>
        <vt:lpwstr>https://recycle.refashion.fr/en/</vt:lpwstr>
      </vt:variant>
      <vt:variant>
        <vt:lpwstr/>
      </vt:variant>
      <vt:variant>
        <vt:i4>2424930</vt:i4>
      </vt:variant>
      <vt:variant>
        <vt:i4>315</vt:i4>
      </vt:variant>
      <vt:variant>
        <vt:i4>0</vt:i4>
      </vt:variant>
      <vt:variant>
        <vt:i4>5</vt:i4>
      </vt:variant>
      <vt:variant>
        <vt:lpwstr>https://www.textile.fr/actualite/recycle-plateforme-digitale-de-mise-en-relation-des-acteurs-du-recyclage-de-refashion</vt:lpwstr>
      </vt:variant>
      <vt:variant>
        <vt:lpwstr/>
      </vt:variant>
      <vt:variant>
        <vt:i4>3604518</vt:i4>
      </vt:variant>
      <vt:variant>
        <vt:i4>312</vt:i4>
      </vt:variant>
      <vt:variant>
        <vt:i4>0</vt:i4>
      </vt:variant>
      <vt:variant>
        <vt:i4>5</vt:i4>
      </vt:variant>
      <vt:variant>
        <vt:lpwstr>https://refashion.fr/pro/en/press-releases</vt:lpwstr>
      </vt:variant>
      <vt:variant>
        <vt:lpwstr/>
      </vt:variant>
      <vt:variant>
        <vt:i4>2031630</vt:i4>
      </vt:variant>
      <vt:variant>
        <vt:i4>309</vt:i4>
      </vt:variant>
      <vt:variant>
        <vt:i4>0</vt:i4>
      </vt:variant>
      <vt:variant>
        <vt:i4>5</vt:i4>
      </vt:variant>
      <vt:variant>
        <vt:lpwstr>https://www.euric-aisbl.eu/branches/eurictextiles</vt:lpwstr>
      </vt:variant>
      <vt:variant>
        <vt:lpwstr/>
      </vt:variant>
      <vt:variant>
        <vt:i4>65559</vt:i4>
      </vt:variant>
      <vt:variant>
        <vt:i4>306</vt:i4>
      </vt:variant>
      <vt:variant>
        <vt:i4>0</vt:i4>
      </vt:variant>
      <vt:variant>
        <vt:i4>5</vt:i4>
      </vt:variant>
      <vt:variant>
        <vt:lpwstr>https://www.bir.org/the-industry/textiles</vt:lpwstr>
      </vt:variant>
      <vt:variant>
        <vt:lpwstr/>
      </vt:variant>
      <vt:variant>
        <vt:i4>3604605</vt:i4>
      </vt:variant>
      <vt:variant>
        <vt:i4>303</vt:i4>
      </vt:variant>
      <vt:variant>
        <vt:i4>0</vt:i4>
      </vt:variant>
      <vt:variant>
        <vt:i4>5</vt:i4>
      </vt:variant>
      <vt:variant>
        <vt:lpwstr>https://www.sciencedirect.com/science/article/pii/S0959652618305985</vt:lpwstr>
      </vt:variant>
      <vt:variant>
        <vt:lpwstr>bib21</vt:lpwstr>
      </vt:variant>
      <vt:variant>
        <vt:i4>3604605</vt:i4>
      </vt:variant>
      <vt:variant>
        <vt:i4>297</vt:i4>
      </vt:variant>
      <vt:variant>
        <vt:i4>0</vt:i4>
      </vt:variant>
      <vt:variant>
        <vt:i4>5</vt:i4>
      </vt:variant>
      <vt:variant>
        <vt:lpwstr>https://www.sciencedirect.com/science/article/pii/S0959652618305985</vt:lpwstr>
      </vt:variant>
      <vt:variant>
        <vt:lpwstr>bib21</vt:lpwstr>
      </vt:variant>
      <vt:variant>
        <vt:i4>3145853</vt:i4>
      </vt:variant>
      <vt:variant>
        <vt:i4>288</vt:i4>
      </vt:variant>
      <vt:variant>
        <vt:i4>0</vt:i4>
      </vt:variant>
      <vt:variant>
        <vt:i4>5</vt:i4>
      </vt:variant>
      <vt:variant>
        <vt:lpwstr>https://www.sciencedirect.com/science/article/pii/S0959652618305985</vt:lpwstr>
      </vt:variant>
      <vt:variant>
        <vt:lpwstr>bib5</vt:lpwstr>
      </vt:variant>
      <vt:variant>
        <vt:i4>3145853</vt:i4>
      </vt:variant>
      <vt:variant>
        <vt:i4>285</vt:i4>
      </vt:variant>
      <vt:variant>
        <vt:i4>0</vt:i4>
      </vt:variant>
      <vt:variant>
        <vt:i4>5</vt:i4>
      </vt:variant>
      <vt:variant>
        <vt:lpwstr>https://www.sciencedirect.com/science/article/pii/S0959652618305985</vt:lpwstr>
      </vt:variant>
      <vt:variant>
        <vt:lpwstr>bib5</vt:lpwstr>
      </vt:variant>
      <vt:variant>
        <vt:i4>3145853</vt:i4>
      </vt:variant>
      <vt:variant>
        <vt:i4>279</vt:i4>
      </vt:variant>
      <vt:variant>
        <vt:i4>0</vt:i4>
      </vt:variant>
      <vt:variant>
        <vt:i4>5</vt:i4>
      </vt:variant>
      <vt:variant>
        <vt:lpwstr>https://www.sciencedirect.com/science/article/pii/S0959652618305985</vt:lpwstr>
      </vt:variant>
      <vt:variant>
        <vt:lpwstr>bib5</vt:lpwstr>
      </vt:variant>
      <vt:variant>
        <vt:i4>3604605</vt:i4>
      </vt:variant>
      <vt:variant>
        <vt:i4>276</vt:i4>
      </vt:variant>
      <vt:variant>
        <vt:i4>0</vt:i4>
      </vt:variant>
      <vt:variant>
        <vt:i4>5</vt:i4>
      </vt:variant>
      <vt:variant>
        <vt:lpwstr>https://www.sciencedirect.com/science/article/pii/S0959652618305985</vt:lpwstr>
      </vt:variant>
      <vt:variant>
        <vt:lpwstr>bib21</vt:lpwstr>
      </vt:variant>
      <vt:variant>
        <vt:i4>8257595</vt:i4>
      </vt:variant>
      <vt:variant>
        <vt:i4>270</vt:i4>
      </vt:variant>
      <vt:variant>
        <vt:i4>0</vt:i4>
      </vt:variant>
      <vt:variant>
        <vt:i4>5</vt:i4>
      </vt:variant>
      <vt:variant>
        <vt:lpwstr>https://doi.org/10.1016/j.jclepro.2020.122951.</vt:lpwstr>
      </vt:variant>
      <vt:variant>
        <vt:lpwstr/>
      </vt:variant>
      <vt:variant>
        <vt:i4>3080233</vt:i4>
      </vt:variant>
      <vt:variant>
        <vt:i4>267</vt:i4>
      </vt:variant>
      <vt:variant>
        <vt:i4>0</vt:i4>
      </vt:variant>
      <vt:variant>
        <vt:i4>5</vt:i4>
      </vt:variant>
      <vt:variant>
        <vt:lpwstr>https://theconversation.com/do-you-shop-for-second-hand-clothes-youre-likely-to-be-more-stylish-180028</vt:lpwstr>
      </vt:variant>
      <vt:variant>
        <vt:lpwstr/>
      </vt:variant>
      <vt:variant>
        <vt:i4>7012476</vt:i4>
      </vt:variant>
      <vt:variant>
        <vt:i4>264</vt:i4>
      </vt:variant>
      <vt:variant>
        <vt:i4>0</vt:i4>
      </vt:variant>
      <vt:variant>
        <vt:i4>5</vt:i4>
      </vt:variant>
      <vt:variant>
        <vt:lpwstr>https://www.mdpi.com/2071-1050/13/24/13732/pdf</vt:lpwstr>
      </vt:variant>
      <vt:variant>
        <vt:lpwstr/>
      </vt:variant>
      <vt:variant>
        <vt:i4>8061048</vt:i4>
      </vt:variant>
      <vt:variant>
        <vt:i4>261</vt:i4>
      </vt:variant>
      <vt:variant>
        <vt:i4>0</vt:i4>
      </vt:variant>
      <vt:variant>
        <vt:i4>5</vt:i4>
      </vt:variant>
      <vt:variant>
        <vt:lpwstr>https://rreuse.org/</vt:lpwstr>
      </vt:variant>
      <vt:variant>
        <vt:lpwstr/>
      </vt:variant>
      <vt:variant>
        <vt:i4>8061048</vt:i4>
      </vt:variant>
      <vt:variant>
        <vt:i4>258</vt:i4>
      </vt:variant>
      <vt:variant>
        <vt:i4>0</vt:i4>
      </vt:variant>
      <vt:variant>
        <vt:i4>5</vt:i4>
      </vt:variant>
      <vt:variant>
        <vt:lpwstr>https://rreuse.org/</vt:lpwstr>
      </vt:variant>
      <vt:variant>
        <vt:lpwstr/>
      </vt:variant>
      <vt:variant>
        <vt:i4>655362</vt:i4>
      </vt:variant>
      <vt:variant>
        <vt:i4>255</vt:i4>
      </vt:variant>
      <vt:variant>
        <vt:i4>0</vt:i4>
      </vt:variant>
      <vt:variant>
        <vt:i4>5</vt:i4>
      </vt:variant>
      <vt:variant>
        <vt:lpwstr>http://dx.doi.org/10.6027/TN2012-545</vt:lpwstr>
      </vt:variant>
      <vt:variant>
        <vt:lpwstr/>
      </vt:variant>
      <vt:variant>
        <vt:i4>7078002</vt:i4>
      </vt:variant>
      <vt:variant>
        <vt:i4>252</vt:i4>
      </vt:variant>
      <vt:variant>
        <vt:i4>0</vt:i4>
      </vt:variant>
      <vt:variant>
        <vt:i4>5</vt:i4>
      </vt:variant>
      <vt:variant>
        <vt:lpwstr>https://euratex.eu/rehubs/</vt:lpwstr>
      </vt:variant>
      <vt:variant>
        <vt:lpwstr/>
      </vt:variant>
      <vt:variant>
        <vt:i4>5177454</vt:i4>
      </vt:variant>
      <vt:variant>
        <vt:i4>249</vt:i4>
      </vt:variant>
      <vt:variant>
        <vt:i4>0</vt:i4>
      </vt:variant>
      <vt:variant>
        <vt:i4>5</vt:i4>
      </vt:variant>
      <vt:variant>
        <vt:lpwstr>https://doi.org/10.1007/978-3-319-97922-9_2</vt:lpwstr>
      </vt:variant>
      <vt:variant>
        <vt:lpwstr/>
      </vt:variant>
      <vt:variant>
        <vt:i4>3604605</vt:i4>
      </vt:variant>
      <vt:variant>
        <vt:i4>246</vt:i4>
      </vt:variant>
      <vt:variant>
        <vt:i4>0</vt:i4>
      </vt:variant>
      <vt:variant>
        <vt:i4>5</vt:i4>
      </vt:variant>
      <vt:variant>
        <vt:lpwstr>https://www.sciencedirect.com/science/article/pii/S0959652618305985</vt:lpwstr>
      </vt:variant>
      <vt:variant>
        <vt:lpwstr>bib21</vt:lpwstr>
      </vt:variant>
      <vt:variant>
        <vt:i4>3604605</vt:i4>
      </vt:variant>
      <vt:variant>
        <vt:i4>243</vt:i4>
      </vt:variant>
      <vt:variant>
        <vt:i4>0</vt:i4>
      </vt:variant>
      <vt:variant>
        <vt:i4>5</vt:i4>
      </vt:variant>
      <vt:variant>
        <vt:lpwstr>https://www.sciencedirect.com/science/article/pii/S0959652618305985</vt:lpwstr>
      </vt:variant>
      <vt:variant>
        <vt:lpwstr>bib21</vt:lpwstr>
      </vt:variant>
      <vt:variant>
        <vt:i4>8126513</vt:i4>
      </vt:variant>
      <vt:variant>
        <vt:i4>240</vt:i4>
      </vt:variant>
      <vt:variant>
        <vt:i4>0</vt:i4>
      </vt:variant>
      <vt:variant>
        <vt:i4>5</vt:i4>
      </vt:variant>
      <vt:variant>
        <vt:lpwstr>https://www.recycling-magazine.com/2021/02/18/worlds-first-fully-automated-textile-sorting-plant-in-malmo/</vt:lpwstr>
      </vt:variant>
      <vt:variant>
        <vt:lpwstr/>
      </vt:variant>
      <vt:variant>
        <vt:i4>2818153</vt:i4>
      </vt:variant>
      <vt:variant>
        <vt:i4>228</vt:i4>
      </vt:variant>
      <vt:variant>
        <vt:i4>0</vt:i4>
      </vt:variant>
      <vt:variant>
        <vt:i4>5</vt:i4>
      </vt:variant>
      <vt:variant>
        <vt:lpwstr>https://refashion.fr/en</vt:lpwstr>
      </vt:variant>
      <vt:variant>
        <vt:lpwstr/>
      </vt:variant>
      <vt:variant>
        <vt:i4>917568</vt:i4>
      </vt:variant>
      <vt:variant>
        <vt:i4>225</vt:i4>
      </vt:variant>
      <vt:variant>
        <vt:i4>0</vt:i4>
      </vt:variant>
      <vt:variant>
        <vt:i4>5</vt:i4>
      </vt:variant>
      <vt:variant>
        <vt:lpwstr>https://www.salvationarmytrading.org.uk/about/our-history</vt:lpwstr>
      </vt:variant>
      <vt:variant>
        <vt:lpwstr/>
      </vt:variant>
      <vt:variant>
        <vt:i4>5767195</vt:i4>
      </vt:variant>
      <vt:variant>
        <vt:i4>216</vt:i4>
      </vt:variant>
      <vt:variant>
        <vt:i4>0</vt:i4>
      </vt:variant>
      <vt:variant>
        <vt:i4>5</vt:i4>
      </vt:variant>
      <vt:variant>
        <vt:lpwstr>https://www.statista.com/statistics/417674/eu-european-union-textile-clothing-household-consumption/</vt:lpwstr>
      </vt:variant>
      <vt:variant>
        <vt:lpwstr/>
      </vt:variant>
      <vt:variant>
        <vt:i4>5767178</vt:i4>
      </vt:variant>
      <vt:variant>
        <vt:i4>213</vt:i4>
      </vt:variant>
      <vt:variant>
        <vt:i4>0</vt:i4>
      </vt:variant>
      <vt:variant>
        <vt:i4>5</vt:i4>
      </vt:variant>
      <vt:variant>
        <vt:lpwstr>https://www.abc.net.au/news/2021-08-12/fast-fashion-turning-parts-ghana-into-toxic-landfill/100358702</vt:lpwstr>
      </vt:variant>
      <vt:variant>
        <vt:lpwstr/>
      </vt:variant>
      <vt:variant>
        <vt:i4>2621473</vt:i4>
      </vt:variant>
      <vt:variant>
        <vt:i4>210</vt:i4>
      </vt:variant>
      <vt:variant>
        <vt:i4>0</vt:i4>
      </vt:variant>
      <vt:variant>
        <vt:i4>5</vt:i4>
      </vt:variant>
      <vt:variant>
        <vt:lpwstr>https://earth.org/what-is-fast-fashion</vt:lpwstr>
      </vt:variant>
      <vt:variant>
        <vt:lpwstr/>
      </vt:variant>
      <vt:variant>
        <vt:i4>6684771</vt:i4>
      </vt:variant>
      <vt:variant>
        <vt:i4>207</vt:i4>
      </vt:variant>
      <vt:variant>
        <vt:i4>0</vt:i4>
      </vt:variant>
      <vt:variant>
        <vt:i4>5</vt:i4>
      </vt:variant>
      <vt:variant>
        <vt:lpwstr>https://eur-lex.europa.eu/legal-content/en/ALL/?uri=CELEX%3A32002R2150</vt:lpwstr>
      </vt:variant>
      <vt:variant>
        <vt:lpwstr/>
      </vt:variant>
      <vt:variant>
        <vt:i4>6619143</vt:i4>
      </vt:variant>
      <vt:variant>
        <vt:i4>204</vt:i4>
      </vt:variant>
      <vt:variant>
        <vt:i4>0</vt:i4>
      </vt:variant>
      <vt:variant>
        <vt:i4>5</vt:i4>
      </vt:variant>
      <vt:variant>
        <vt:lpwstr>https://euratex.eu/wp-content/uploads/EURATEX_FactsKey_Figures_2022rev-1.pdf</vt:lpwstr>
      </vt:variant>
      <vt:variant>
        <vt:lpwstr/>
      </vt:variant>
      <vt:variant>
        <vt:i4>3473441</vt:i4>
      </vt:variant>
      <vt:variant>
        <vt:i4>201</vt:i4>
      </vt:variant>
      <vt:variant>
        <vt:i4>0</vt:i4>
      </vt:variant>
      <vt:variant>
        <vt:i4>5</vt:i4>
      </vt:variant>
      <vt:variant>
        <vt:lpwstr>https://reporting.clustercollaboration.eu/industry/eco-E14</vt:lpwstr>
      </vt:variant>
      <vt:variant>
        <vt:lpwstr/>
      </vt:variant>
      <vt:variant>
        <vt:i4>2097178</vt:i4>
      </vt:variant>
      <vt:variant>
        <vt:i4>198</vt:i4>
      </vt:variant>
      <vt:variant>
        <vt:i4>0</vt:i4>
      </vt:variant>
      <vt:variant>
        <vt:i4>5</vt:i4>
      </vt:variant>
      <vt:variant>
        <vt:lpwstr>https://single-market-economy.ec.europa.eu/sectors/fashion/textiles-and-clothing-industries/textiles-and-clothing-eu_en</vt:lpwstr>
      </vt:variant>
      <vt:variant>
        <vt:lpwstr/>
      </vt:variant>
      <vt:variant>
        <vt:i4>7143531</vt:i4>
      </vt:variant>
      <vt:variant>
        <vt:i4>195</vt:i4>
      </vt:variant>
      <vt:variant>
        <vt:i4>0</vt:i4>
      </vt:variant>
      <vt:variant>
        <vt:i4>5</vt:i4>
      </vt:variant>
      <vt:variant>
        <vt:lpwstr>https://www.sciencedirect.com/science/article/pii/B9781845699390500022</vt:lpwstr>
      </vt:variant>
      <vt:variant>
        <vt:lpwstr>section-cited-by</vt:lpwstr>
      </vt:variant>
      <vt:variant>
        <vt:i4>458770</vt:i4>
      </vt:variant>
      <vt:variant>
        <vt:i4>192</vt:i4>
      </vt:variant>
      <vt:variant>
        <vt:i4>0</vt:i4>
      </vt:variant>
      <vt:variant>
        <vt:i4>5</vt:i4>
      </vt:variant>
      <vt:variant>
        <vt:lpwstr>https://data.europa.eu/doi/10.2873/23948</vt:lpwstr>
      </vt:variant>
      <vt:variant>
        <vt:lpwstr/>
      </vt:variant>
      <vt:variant>
        <vt:i4>2359351</vt:i4>
      </vt:variant>
      <vt:variant>
        <vt:i4>189</vt:i4>
      </vt:variant>
      <vt:variant>
        <vt:i4>0</vt:i4>
      </vt:variant>
      <vt:variant>
        <vt:i4>5</vt:i4>
      </vt:variant>
      <vt:variant>
        <vt:lpwstr>https://ellenmacarthurfoundation.org/a-new-textiles-economy</vt:lpwstr>
      </vt:variant>
      <vt:variant>
        <vt:lpwstr/>
      </vt:variant>
      <vt:variant>
        <vt:i4>4980806</vt:i4>
      </vt:variant>
      <vt:variant>
        <vt:i4>186</vt:i4>
      </vt:variant>
      <vt:variant>
        <vt:i4>0</vt:i4>
      </vt:variant>
      <vt:variant>
        <vt:i4>5</vt:i4>
      </vt:variant>
      <vt:variant>
        <vt:lpwstr>https://www.consilium.europa.eu/en/policies/food-losses-waste/timeline-food-loss-and-food-waste/</vt:lpwstr>
      </vt:variant>
      <vt:variant>
        <vt:lpwstr/>
      </vt:variant>
      <vt:variant>
        <vt:i4>393333</vt:i4>
      </vt:variant>
      <vt:variant>
        <vt:i4>183</vt:i4>
      </vt:variant>
      <vt:variant>
        <vt:i4>0</vt:i4>
      </vt:variant>
      <vt:variant>
        <vt:i4>5</vt:i4>
      </vt:variant>
      <vt:variant>
        <vt:lpwstr>https://www.europarl.europa.eu/doceo/document/TA-8-2017-0207_EN.html?redirect</vt:lpwstr>
      </vt:variant>
      <vt:variant>
        <vt:lpwstr/>
      </vt:variant>
      <vt:variant>
        <vt:i4>8323153</vt:i4>
      </vt:variant>
      <vt:variant>
        <vt:i4>180</vt:i4>
      </vt:variant>
      <vt:variant>
        <vt:i4>0</vt:i4>
      </vt:variant>
      <vt:variant>
        <vt:i4>5</vt:i4>
      </vt:variant>
      <vt:variant>
        <vt:lpwstr>https://www.europarl.europa.eu/doceo/document/TA-9-2020-0005_EN.pdf</vt:lpwstr>
      </vt:variant>
      <vt:variant>
        <vt:lpwstr/>
      </vt:variant>
      <vt:variant>
        <vt:i4>458865</vt:i4>
      </vt:variant>
      <vt:variant>
        <vt:i4>177</vt:i4>
      </vt:variant>
      <vt:variant>
        <vt:i4>0</vt:i4>
      </vt:variant>
      <vt:variant>
        <vt:i4>5</vt:i4>
      </vt:variant>
      <vt:variant>
        <vt:lpwstr>https://www.europarl.europa.eu/doceo/document/TA-8-2015-0266_EN.html?redirect</vt:lpwstr>
      </vt:variant>
      <vt:variant>
        <vt:lpwstr/>
      </vt:variant>
      <vt:variant>
        <vt:i4>524401</vt:i4>
      </vt:variant>
      <vt:variant>
        <vt:i4>174</vt:i4>
      </vt:variant>
      <vt:variant>
        <vt:i4>0</vt:i4>
      </vt:variant>
      <vt:variant>
        <vt:i4>5</vt:i4>
      </vt:variant>
      <vt:variant>
        <vt:lpwstr>https://www.europarl.europa.eu/doceo/document/TA-7-2012-0014_EN.html?redirect</vt:lpwstr>
      </vt:variant>
      <vt:variant>
        <vt:lpwstr/>
      </vt:variant>
      <vt:variant>
        <vt:i4>393249</vt:i4>
      </vt:variant>
      <vt:variant>
        <vt:i4>171</vt:i4>
      </vt:variant>
      <vt:variant>
        <vt:i4>0</vt:i4>
      </vt:variant>
      <vt:variant>
        <vt:i4>5</vt:i4>
      </vt:variant>
      <vt:variant>
        <vt:lpwstr>https://www.europarl.europa.eu/doceo/document/TA-9-2021-0040_EN.html</vt:lpwstr>
      </vt:variant>
      <vt:variant>
        <vt:lpwstr/>
      </vt:variant>
      <vt:variant>
        <vt:i4>262268</vt:i4>
      </vt:variant>
      <vt:variant>
        <vt:i4>168</vt:i4>
      </vt:variant>
      <vt:variant>
        <vt:i4>0</vt:i4>
      </vt:variant>
      <vt:variant>
        <vt:i4>5</vt:i4>
      </vt:variant>
      <vt:variant>
        <vt:lpwstr>https://www.europarl.europa.eu/doceo/document/TA-8-2017-0196_EN.html?redirect</vt:lpwstr>
      </vt:variant>
      <vt:variant>
        <vt:lpwstr/>
      </vt:variant>
      <vt:variant>
        <vt:i4>3604587</vt:i4>
      </vt:variant>
      <vt:variant>
        <vt:i4>165</vt:i4>
      </vt:variant>
      <vt:variant>
        <vt:i4>0</vt:i4>
      </vt:variant>
      <vt:variant>
        <vt:i4>5</vt:i4>
      </vt:variant>
      <vt:variant>
        <vt:lpwstr>https://data.consilium.europa.eu/doc/document/ST-13852-2020-INIT/en/pdf</vt:lpwstr>
      </vt:variant>
      <vt:variant>
        <vt:lpwstr/>
      </vt:variant>
      <vt:variant>
        <vt:i4>5177371</vt:i4>
      </vt:variant>
      <vt:variant>
        <vt:i4>162</vt:i4>
      </vt:variant>
      <vt:variant>
        <vt:i4>0</vt:i4>
      </vt:variant>
      <vt:variant>
        <vt:i4>5</vt:i4>
      </vt:variant>
      <vt:variant>
        <vt:lpwstr>https://www.consilium.europa.eu/media/40928/st12791-en19.pdf</vt:lpwstr>
      </vt:variant>
      <vt:variant>
        <vt:lpwstr/>
      </vt:variant>
      <vt:variant>
        <vt:i4>4915249</vt:i4>
      </vt:variant>
      <vt:variant>
        <vt:i4>159</vt:i4>
      </vt:variant>
      <vt:variant>
        <vt:i4>0</vt:i4>
      </vt:variant>
      <vt:variant>
        <vt:i4>5</vt:i4>
      </vt:variant>
      <vt:variant>
        <vt:lpwstr>https://sswm.info/sites/default/files/reference_attachments/SHAKIH 2009 Water conservation in the textile industry.pdf</vt:lpwstr>
      </vt:variant>
      <vt:variant>
        <vt:lpwstr/>
      </vt:variant>
      <vt:variant>
        <vt:i4>655480</vt:i4>
      </vt:variant>
      <vt:variant>
        <vt:i4>156</vt:i4>
      </vt:variant>
      <vt:variant>
        <vt:i4>0</vt:i4>
      </vt:variant>
      <vt:variant>
        <vt:i4>5</vt:i4>
      </vt:variant>
      <vt:variant>
        <vt:lpwstr>https://environment.ec.europa.eu/topics/circular-economy/eu-ecolabel-home/product-groups-and-criteria/clothing-and-textiles_en</vt:lpwstr>
      </vt:variant>
      <vt:variant>
        <vt:lpwstr/>
      </vt:variant>
      <vt:variant>
        <vt:i4>4128803</vt:i4>
      </vt:variant>
      <vt:variant>
        <vt:i4>153</vt:i4>
      </vt:variant>
      <vt:variant>
        <vt:i4>0</vt:i4>
      </vt:variant>
      <vt:variant>
        <vt:i4>5</vt:i4>
      </vt:variant>
      <vt:variant>
        <vt:lpwstr>https://www.eea.europa.eu/publications/textiles-in-europes-circular-economy</vt:lpwstr>
      </vt:variant>
      <vt:variant>
        <vt:lpwstr/>
      </vt:variant>
      <vt:variant>
        <vt:i4>2752580</vt:i4>
      </vt:variant>
      <vt:variant>
        <vt:i4>150</vt:i4>
      </vt:variant>
      <vt:variant>
        <vt:i4>0</vt:i4>
      </vt:variant>
      <vt:variant>
        <vt:i4>5</vt:i4>
      </vt:variant>
      <vt:variant>
        <vt:lpwstr>https://ec.europa.eu/info/law/better-regulation/have-your-say/initiatives/13682-New-product-priorities-for-Ecodesign-for-Sustainable-Products_en</vt:lpwstr>
      </vt:variant>
      <vt:variant>
        <vt:lpwstr/>
      </vt:variant>
      <vt:variant>
        <vt:i4>5111873</vt:i4>
      </vt:variant>
      <vt:variant>
        <vt:i4>147</vt:i4>
      </vt:variant>
      <vt:variant>
        <vt:i4>0</vt:i4>
      </vt:variant>
      <vt:variant>
        <vt:i4>5</vt:i4>
      </vt:variant>
      <vt:variant>
        <vt:lpwstr>https://susproc.jrc.ec.europa.eu/product-bureau/product-groups/635/documents</vt:lpwstr>
      </vt:variant>
      <vt:variant>
        <vt:lpwstr/>
      </vt:variant>
      <vt:variant>
        <vt:i4>1703954</vt:i4>
      </vt:variant>
      <vt:variant>
        <vt:i4>144</vt:i4>
      </vt:variant>
      <vt:variant>
        <vt:i4>0</vt:i4>
      </vt:variant>
      <vt:variant>
        <vt:i4>5</vt:i4>
      </vt:variant>
      <vt:variant>
        <vt:lpwstr>https://eur-lex.europa.eu/legal-content/ES/TXT/?uri=CELEX:52021DC0778</vt:lpwstr>
      </vt:variant>
      <vt:variant>
        <vt:lpwstr/>
      </vt:variant>
      <vt:variant>
        <vt:i4>7209062</vt:i4>
      </vt:variant>
      <vt:variant>
        <vt:i4>141</vt:i4>
      </vt:variant>
      <vt:variant>
        <vt:i4>0</vt:i4>
      </vt:variant>
      <vt:variant>
        <vt:i4>5</vt:i4>
      </vt:variant>
      <vt:variant>
        <vt:lpwstr>https://eur-lex.europa.eu/legal-content/EN/TXT/?uri=CELEX%3A02011R1007-20180215</vt:lpwstr>
      </vt:variant>
      <vt:variant>
        <vt:lpwstr/>
      </vt:variant>
      <vt:variant>
        <vt:i4>8192029</vt:i4>
      </vt:variant>
      <vt:variant>
        <vt:i4>135</vt:i4>
      </vt:variant>
      <vt:variant>
        <vt:i4>0</vt:i4>
      </vt:variant>
      <vt:variant>
        <vt:i4>5</vt:i4>
      </vt:variant>
      <vt:variant>
        <vt:lpwstr>https://environment.ec.europa.eu/strategy/chemicals-strategy_en</vt:lpwstr>
      </vt:variant>
      <vt:variant>
        <vt:lpwstr/>
      </vt:variant>
      <vt:variant>
        <vt:i4>6291570</vt:i4>
      </vt:variant>
      <vt:variant>
        <vt:i4>132</vt:i4>
      </vt:variant>
      <vt:variant>
        <vt:i4>0</vt:i4>
      </vt:variant>
      <vt:variant>
        <vt:i4>5</vt:i4>
      </vt:variant>
      <vt:variant>
        <vt:lpwstr>https://eur-lex.europa.eu/legal-content/EN/ALL/?uri=COM:2022:71:FIN</vt:lpwstr>
      </vt:variant>
      <vt:variant>
        <vt:lpwstr/>
      </vt:variant>
      <vt:variant>
        <vt:i4>7667824</vt:i4>
      </vt:variant>
      <vt:variant>
        <vt:i4>129</vt:i4>
      </vt:variant>
      <vt:variant>
        <vt:i4>0</vt:i4>
      </vt:variant>
      <vt:variant>
        <vt:i4>5</vt:i4>
      </vt:variant>
      <vt:variant>
        <vt:lpwstr>https://eur-lex.europa.eu/legal-content/EN/ALL/?uri=COM%3A2022%3A156%3AFIN</vt:lpwstr>
      </vt:variant>
      <vt:variant>
        <vt:lpwstr/>
      </vt:variant>
      <vt:variant>
        <vt:i4>8126567</vt:i4>
      </vt:variant>
      <vt:variant>
        <vt:i4>126</vt:i4>
      </vt:variant>
      <vt:variant>
        <vt:i4>0</vt:i4>
      </vt:variant>
      <vt:variant>
        <vt:i4>5</vt:i4>
      </vt:variant>
      <vt:variant>
        <vt:lpwstr>https://eur-lex.europa.eu/legal-content/EN/TXT/?uri=COM%3A2020%3A667%3AFIN</vt:lpwstr>
      </vt:variant>
      <vt:variant>
        <vt:lpwstr/>
      </vt:variant>
      <vt:variant>
        <vt:i4>7929889</vt:i4>
      </vt:variant>
      <vt:variant>
        <vt:i4>123</vt:i4>
      </vt:variant>
      <vt:variant>
        <vt:i4>0</vt:i4>
      </vt:variant>
      <vt:variant>
        <vt:i4>5</vt:i4>
      </vt:variant>
      <vt:variant>
        <vt:lpwstr>https://eur-lex.europa.eu/legal-content/EN/TXT/?uri=CELEX%3A52021DC0778</vt:lpwstr>
      </vt:variant>
      <vt:variant>
        <vt:lpwstr/>
      </vt:variant>
      <vt:variant>
        <vt:i4>7733345</vt:i4>
      </vt:variant>
      <vt:variant>
        <vt:i4>120</vt:i4>
      </vt:variant>
      <vt:variant>
        <vt:i4>0</vt:i4>
      </vt:variant>
      <vt:variant>
        <vt:i4>5</vt:i4>
      </vt:variant>
      <vt:variant>
        <vt:lpwstr>https://eur-lex.europa.eu/legal-content/EN/TXT/?uri=COM%3A2022%3A108%3AFIN</vt:lpwstr>
      </vt:variant>
      <vt:variant>
        <vt:lpwstr/>
      </vt:variant>
      <vt:variant>
        <vt:i4>3473502</vt:i4>
      </vt:variant>
      <vt:variant>
        <vt:i4>117</vt:i4>
      </vt:variant>
      <vt:variant>
        <vt:i4>0</vt:i4>
      </vt:variant>
      <vt:variant>
        <vt:i4>5</vt:i4>
      </vt:variant>
      <vt:variant>
        <vt:lpwstr>https://commission.europa.eu/publications/analysis-main-drivers-food-security_en</vt:lpwstr>
      </vt:variant>
      <vt:variant>
        <vt:lpwstr/>
      </vt:variant>
      <vt:variant>
        <vt:i4>1048599</vt:i4>
      </vt:variant>
      <vt:variant>
        <vt:i4>114</vt:i4>
      </vt:variant>
      <vt:variant>
        <vt:i4>0</vt:i4>
      </vt:variant>
      <vt:variant>
        <vt:i4>5</vt:i4>
      </vt:variant>
      <vt:variant>
        <vt:lpwstr>https://eur-lex.europa.eu/legal-content/EN/TXT/?uri=CELEX:52022PC0142</vt:lpwstr>
      </vt:variant>
      <vt:variant>
        <vt:lpwstr/>
      </vt:variant>
      <vt:variant>
        <vt:i4>4194368</vt:i4>
      </vt:variant>
      <vt:variant>
        <vt:i4>111</vt:i4>
      </vt:variant>
      <vt:variant>
        <vt:i4>0</vt:i4>
      </vt:variant>
      <vt:variant>
        <vt:i4>5</vt:i4>
      </vt:variant>
      <vt:variant>
        <vt:lpwstr>https://op.europa.eu/en/publication-detail/-/publication/edace3e3-e189-11e8-b690-01aa75ed71a1/language-en</vt:lpwstr>
      </vt:variant>
      <vt:variant>
        <vt:lpwstr/>
      </vt:variant>
      <vt:variant>
        <vt:i4>262218</vt:i4>
      </vt:variant>
      <vt:variant>
        <vt:i4>108</vt:i4>
      </vt:variant>
      <vt:variant>
        <vt:i4>0</vt:i4>
      </vt:variant>
      <vt:variant>
        <vt:i4>5</vt:i4>
      </vt:variant>
      <vt:variant>
        <vt:lpwstr>https://eur-lex.europa.eu/legal-content/EN/TXT/?uri=CELEX:32022D0591</vt:lpwstr>
      </vt:variant>
      <vt:variant>
        <vt:lpwstr/>
      </vt:variant>
      <vt:variant>
        <vt:i4>8061041</vt:i4>
      </vt:variant>
      <vt:variant>
        <vt:i4>105</vt:i4>
      </vt:variant>
      <vt:variant>
        <vt:i4>0</vt:i4>
      </vt:variant>
      <vt:variant>
        <vt:i4>5</vt:i4>
      </vt:variant>
      <vt:variant>
        <vt:lpwstr>https://eur-lex.europa.eu/legal-content/EN/TXT/?uri=celex%3A32000D0532</vt:lpwstr>
      </vt:variant>
      <vt:variant>
        <vt:lpwstr/>
      </vt:variant>
      <vt:variant>
        <vt:i4>6684771</vt:i4>
      </vt:variant>
      <vt:variant>
        <vt:i4>102</vt:i4>
      </vt:variant>
      <vt:variant>
        <vt:i4>0</vt:i4>
      </vt:variant>
      <vt:variant>
        <vt:i4>5</vt:i4>
      </vt:variant>
      <vt:variant>
        <vt:lpwstr>https://eur-lex.europa.eu/legal-content/en/ALL/?uri=CELEX%3A32002R2150</vt:lpwstr>
      </vt:variant>
      <vt:variant>
        <vt:lpwstr/>
      </vt:variant>
      <vt:variant>
        <vt:i4>720900</vt:i4>
      </vt:variant>
      <vt:variant>
        <vt:i4>99</vt:i4>
      </vt:variant>
      <vt:variant>
        <vt:i4>0</vt:i4>
      </vt:variant>
      <vt:variant>
        <vt:i4>5</vt:i4>
      </vt:variant>
      <vt:variant>
        <vt:lpwstr>https://www.oecd.org/env/tools-evaluation/extendedproducerresponsibility.htm</vt:lpwstr>
      </vt:variant>
      <vt:variant>
        <vt:lpwstr/>
      </vt:variant>
      <vt:variant>
        <vt:i4>7078002</vt:i4>
      </vt:variant>
      <vt:variant>
        <vt:i4>96</vt:i4>
      </vt:variant>
      <vt:variant>
        <vt:i4>0</vt:i4>
      </vt:variant>
      <vt:variant>
        <vt:i4>5</vt:i4>
      </vt:variant>
      <vt:variant>
        <vt:lpwstr>https://eur-lex.europa.eu/legal-content/EN/TXT/?uri=CELEX%3A32022R2400</vt:lpwstr>
      </vt:variant>
      <vt:variant>
        <vt:lpwstr/>
      </vt:variant>
      <vt:variant>
        <vt:i4>852032</vt:i4>
      </vt:variant>
      <vt:variant>
        <vt:i4>93</vt:i4>
      </vt:variant>
      <vt:variant>
        <vt:i4>0</vt:i4>
      </vt:variant>
      <vt:variant>
        <vt:i4>5</vt:i4>
      </vt:variant>
      <vt:variant>
        <vt:lpwstr>https://eur-lex.europa.eu/legal-content/en/LSU/?uri=CELEX:32019R1021</vt:lpwstr>
      </vt:variant>
      <vt:variant>
        <vt:lpwstr/>
      </vt:variant>
      <vt:variant>
        <vt:i4>5963854</vt:i4>
      </vt:variant>
      <vt:variant>
        <vt:i4>90</vt:i4>
      </vt:variant>
      <vt:variant>
        <vt:i4>0</vt:i4>
      </vt:variant>
      <vt:variant>
        <vt:i4>5</vt:i4>
      </vt:variant>
      <vt:variant>
        <vt:lpwstr>https://echa.europa.eu/registry-of-restriction-intentions/-/dislist/details/0b0236e182446136</vt:lpwstr>
      </vt:variant>
      <vt:variant>
        <vt:lpwstr/>
      </vt:variant>
      <vt:variant>
        <vt:i4>6946940</vt:i4>
      </vt:variant>
      <vt:variant>
        <vt:i4>87</vt:i4>
      </vt:variant>
      <vt:variant>
        <vt:i4>0</vt:i4>
      </vt:variant>
      <vt:variant>
        <vt:i4>5</vt:i4>
      </vt:variant>
      <vt:variant>
        <vt:lpwstr>https://eur-lex.europa.eu/legal-content/en/TXT/?uri=CELEX%3A32008R1272</vt:lpwstr>
      </vt:variant>
      <vt:variant>
        <vt:lpwstr/>
      </vt:variant>
      <vt:variant>
        <vt:i4>1704006</vt:i4>
      </vt:variant>
      <vt:variant>
        <vt:i4>84</vt:i4>
      </vt:variant>
      <vt:variant>
        <vt:i4>0</vt:i4>
      </vt:variant>
      <vt:variant>
        <vt:i4>5</vt:i4>
      </vt:variant>
      <vt:variant>
        <vt:lpwstr>https://eur-lex.europa.eu/legal-content/EN/TXT/?uri=CELEX:32006R1907</vt:lpwstr>
      </vt:variant>
      <vt:variant>
        <vt:lpwstr/>
      </vt:variant>
      <vt:variant>
        <vt:i4>393333</vt:i4>
      </vt:variant>
      <vt:variant>
        <vt:i4>81</vt:i4>
      </vt:variant>
      <vt:variant>
        <vt:i4>0</vt:i4>
      </vt:variant>
      <vt:variant>
        <vt:i4>5</vt:i4>
      </vt:variant>
      <vt:variant>
        <vt:lpwstr>https://ec.europa.eu/info/strategy/priorities-2019-2024/europe-fit-digital-age/european-industrial-strategy_en</vt:lpwstr>
      </vt:variant>
      <vt:variant>
        <vt:lpwstr/>
      </vt:variant>
      <vt:variant>
        <vt:i4>131095</vt:i4>
      </vt:variant>
      <vt:variant>
        <vt:i4>78</vt:i4>
      </vt:variant>
      <vt:variant>
        <vt:i4>0</vt:i4>
      </vt:variant>
      <vt:variant>
        <vt:i4>5</vt:i4>
      </vt:variant>
      <vt:variant>
        <vt:lpwstr>https://eur-lex.europa.eu/legal-content/EN/TXT/?uri=CELEX:52015DC0614</vt:lpwstr>
      </vt:variant>
      <vt:variant>
        <vt:lpwstr/>
      </vt:variant>
      <vt:variant>
        <vt:i4>262218</vt:i4>
      </vt:variant>
      <vt:variant>
        <vt:i4>75</vt:i4>
      </vt:variant>
      <vt:variant>
        <vt:i4>0</vt:i4>
      </vt:variant>
      <vt:variant>
        <vt:i4>5</vt:i4>
      </vt:variant>
      <vt:variant>
        <vt:lpwstr>https://eur-lex.europa.eu/legal-content/EN/TXT/?uri=CELEX:32022D0591</vt:lpwstr>
      </vt:variant>
      <vt:variant>
        <vt:lpwstr/>
      </vt:variant>
      <vt:variant>
        <vt:i4>4194368</vt:i4>
      </vt:variant>
      <vt:variant>
        <vt:i4>72</vt:i4>
      </vt:variant>
      <vt:variant>
        <vt:i4>0</vt:i4>
      </vt:variant>
      <vt:variant>
        <vt:i4>5</vt:i4>
      </vt:variant>
      <vt:variant>
        <vt:lpwstr>https://op.europa.eu/en/publication-detail/-/publication/edace3e3-e189-11e8-b690-01aa75ed71a1/language-en</vt:lpwstr>
      </vt:variant>
      <vt:variant>
        <vt:lpwstr/>
      </vt:variant>
      <vt:variant>
        <vt:i4>5963821</vt:i4>
      </vt:variant>
      <vt:variant>
        <vt:i4>69</vt:i4>
      </vt:variant>
      <vt:variant>
        <vt:i4>0</vt:i4>
      </vt:variant>
      <vt:variant>
        <vt:i4>5</vt:i4>
      </vt:variant>
      <vt:variant>
        <vt:lpwstr>https://www.foeeurope.org/sites/default/files/publications/foee_more_jobs_less_waste_0910.pdf</vt:lpwstr>
      </vt:variant>
      <vt:variant>
        <vt:lpwstr/>
      </vt:variant>
      <vt:variant>
        <vt:i4>8323129</vt:i4>
      </vt:variant>
      <vt:variant>
        <vt:i4>66</vt:i4>
      </vt:variant>
      <vt:variant>
        <vt:i4>0</vt:i4>
      </vt:variant>
      <vt:variant>
        <vt:i4>5</vt:i4>
      </vt:variant>
      <vt:variant>
        <vt:lpwstr>https://kingcounty.gov/~/media/depts/dnrp/solid-waste/linkup/documents/recycling-economic-development-review.ashx?la=en</vt:lpwstr>
      </vt:variant>
      <vt:variant>
        <vt:lpwstr/>
      </vt:variant>
      <vt:variant>
        <vt:i4>8323129</vt:i4>
      </vt:variant>
      <vt:variant>
        <vt:i4>63</vt:i4>
      </vt:variant>
      <vt:variant>
        <vt:i4>0</vt:i4>
      </vt:variant>
      <vt:variant>
        <vt:i4>5</vt:i4>
      </vt:variant>
      <vt:variant>
        <vt:lpwstr>https://kingcounty.gov/~/media/depts/dnrp/solid-waste/linkup/documents/recycling-economic-development-review.ashx?la=en</vt:lpwstr>
      </vt:variant>
      <vt:variant>
        <vt:lpwstr/>
      </vt:variant>
      <vt:variant>
        <vt:i4>1310738</vt:i4>
      </vt:variant>
      <vt:variant>
        <vt:i4>60</vt:i4>
      </vt:variant>
      <vt:variant>
        <vt:i4>0</vt:i4>
      </vt:variant>
      <vt:variant>
        <vt:i4>5</vt:i4>
      </vt:variant>
      <vt:variant>
        <vt:lpwstr>https://eur-lex.europa.eu/legal-content/EN/TXT/?uri=CELEX:52021PC0709</vt:lpwstr>
      </vt:variant>
      <vt:variant>
        <vt:lpwstr/>
      </vt:variant>
      <vt:variant>
        <vt:i4>4522053</vt:i4>
      </vt:variant>
      <vt:variant>
        <vt:i4>57</vt:i4>
      </vt:variant>
      <vt:variant>
        <vt:i4>0</vt:i4>
      </vt:variant>
      <vt:variant>
        <vt:i4>5</vt:i4>
      </vt:variant>
      <vt:variant>
        <vt:lpwstr>https://www.cesme-book.eu/book/level-1-d/3.1-best-practices/3.1.2-humanita-textile-recycling</vt:lpwstr>
      </vt:variant>
      <vt:variant>
        <vt:lpwstr/>
      </vt:variant>
      <vt:variant>
        <vt:i4>2228350</vt:i4>
      </vt:variant>
      <vt:variant>
        <vt:i4>54</vt:i4>
      </vt:variant>
      <vt:variant>
        <vt:i4>0</vt:i4>
      </vt:variant>
      <vt:variant>
        <vt:i4>5</vt:i4>
      </vt:variant>
      <vt:variant>
        <vt:lpwstr>https://ec.europa.eu/eurostat/web/international-trade-in-goods/data/focus-on-comext</vt:lpwstr>
      </vt:variant>
      <vt:variant>
        <vt:lpwstr/>
      </vt:variant>
      <vt:variant>
        <vt:i4>5701705</vt:i4>
      </vt:variant>
      <vt:variant>
        <vt:i4>51</vt:i4>
      </vt:variant>
      <vt:variant>
        <vt:i4>0</vt:i4>
      </vt:variant>
      <vt:variant>
        <vt:i4>5</vt:i4>
      </vt:variant>
      <vt:variant>
        <vt:lpwstr>https://ec.europa.eu/eurostat/web/prodcom</vt:lpwstr>
      </vt:variant>
      <vt:variant>
        <vt:lpwstr/>
      </vt:variant>
      <vt:variant>
        <vt:i4>1048599</vt:i4>
      </vt:variant>
      <vt:variant>
        <vt:i4>48</vt:i4>
      </vt:variant>
      <vt:variant>
        <vt:i4>0</vt:i4>
      </vt:variant>
      <vt:variant>
        <vt:i4>5</vt:i4>
      </vt:variant>
      <vt:variant>
        <vt:lpwstr>https://eur-lex.europa.eu/legal-content/EN/TXT/?uri=CELEX:52022PC0142</vt:lpwstr>
      </vt:variant>
      <vt:variant>
        <vt:lpwstr/>
      </vt:variant>
      <vt:variant>
        <vt:i4>6094934</vt:i4>
      </vt:variant>
      <vt:variant>
        <vt:i4>45</vt:i4>
      </vt:variant>
      <vt:variant>
        <vt:i4>0</vt:i4>
      </vt:variant>
      <vt:variant>
        <vt:i4>5</vt:i4>
      </vt:variant>
      <vt:variant>
        <vt:lpwstr>https://eur-lex.europa.eu/eli/dir/2019/904/oj</vt:lpwstr>
      </vt:variant>
      <vt:variant>
        <vt:lpwstr/>
      </vt:variant>
      <vt:variant>
        <vt:i4>131146</vt:i4>
      </vt:variant>
      <vt:variant>
        <vt:i4>39</vt:i4>
      </vt:variant>
      <vt:variant>
        <vt:i4>0</vt:i4>
      </vt:variant>
      <vt:variant>
        <vt:i4>5</vt:i4>
      </vt:variant>
      <vt:variant>
        <vt:lpwstr>https://eur-lex.europa.eu/legal-content/EN/TXT/?uri=CELEX:31994L0062</vt:lpwstr>
      </vt:variant>
      <vt:variant>
        <vt:lpwstr/>
      </vt:variant>
      <vt:variant>
        <vt:i4>5177389</vt:i4>
      </vt:variant>
      <vt:variant>
        <vt:i4>36</vt:i4>
      </vt:variant>
      <vt:variant>
        <vt:i4>0</vt:i4>
      </vt:variant>
      <vt:variant>
        <vt:i4>5</vt:i4>
      </vt:variant>
      <vt:variant>
        <vt:lpwstr>https://ec.europa.eu/environment/publications/textiles-strategy_en.</vt:lpwstr>
      </vt:variant>
      <vt:variant>
        <vt:lpwstr/>
      </vt:variant>
      <vt:variant>
        <vt:i4>4456515</vt:i4>
      </vt:variant>
      <vt:variant>
        <vt:i4>33</vt:i4>
      </vt:variant>
      <vt:variant>
        <vt:i4>0</vt:i4>
      </vt:variant>
      <vt:variant>
        <vt:i4>5</vt:i4>
      </vt:variant>
      <vt:variant>
        <vt:lpwstr>https://eur-lex.europa.eu/legal-content/ES/TXT/?uri=COM:2020:381:FIN</vt:lpwstr>
      </vt:variant>
      <vt:variant>
        <vt:lpwstr>:~:text=Bruselas%2C%2020.5.2020%20COM%20%282020%29%20381%20final%20COMUNICACI%C3%93N%20DE,justo%2C%20saludable%20y%20respetuoso%20con%20el%20medio%20ambiente</vt:lpwstr>
      </vt:variant>
      <vt:variant>
        <vt:i4>4718644</vt:i4>
      </vt:variant>
      <vt:variant>
        <vt:i4>30</vt:i4>
      </vt:variant>
      <vt:variant>
        <vt:i4>0</vt:i4>
      </vt:variant>
      <vt:variant>
        <vt:i4>5</vt:i4>
      </vt:variant>
      <vt:variant>
        <vt:lpwstr>https://ec.europa.eu/info/law/better-regulation/have-your-say/initiatives/13225-Environmental-impact-of-waste-management-revision-of-EU-waste-framework_en</vt:lpwstr>
      </vt:variant>
      <vt:variant>
        <vt:lpwstr/>
      </vt:variant>
      <vt:variant>
        <vt:i4>8126483</vt:i4>
      </vt:variant>
      <vt:variant>
        <vt:i4>27</vt:i4>
      </vt:variant>
      <vt:variant>
        <vt:i4>0</vt:i4>
      </vt:variant>
      <vt:variant>
        <vt:i4>5</vt:i4>
      </vt:variant>
      <vt:variant>
        <vt:lpwstr>https://ec.europa.eu/info/law/better-regulation/have-your-say/initiatives/13223-Food-waste-reduction-targets_en</vt:lpwstr>
      </vt:variant>
      <vt:variant>
        <vt:lpwstr/>
      </vt:variant>
      <vt:variant>
        <vt:i4>4718644</vt:i4>
      </vt:variant>
      <vt:variant>
        <vt:i4>24</vt:i4>
      </vt:variant>
      <vt:variant>
        <vt:i4>0</vt:i4>
      </vt:variant>
      <vt:variant>
        <vt:i4>5</vt:i4>
      </vt:variant>
      <vt:variant>
        <vt:lpwstr>https://ec.europa.eu/info/law/better-regulation/have-your-say/initiatives/13225-Environmental-impact-of-waste-management-revision-of-EU-waste-framework_en</vt:lpwstr>
      </vt:variant>
      <vt:variant>
        <vt:lpwstr/>
      </vt:variant>
      <vt:variant>
        <vt:i4>786450</vt:i4>
      </vt:variant>
      <vt:variant>
        <vt:i4>21</vt:i4>
      </vt:variant>
      <vt:variant>
        <vt:i4>0</vt:i4>
      </vt:variant>
      <vt:variant>
        <vt:i4>5</vt:i4>
      </vt:variant>
      <vt:variant>
        <vt:lpwstr>https://data.europa.eu/doi/10.2779/14834</vt:lpwstr>
      </vt:variant>
      <vt:variant>
        <vt:lpwstr/>
      </vt:variant>
      <vt:variant>
        <vt:i4>5898315</vt:i4>
      </vt:variant>
      <vt:variant>
        <vt:i4>18</vt:i4>
      </vt:variant>
      <vt:variant>
        <vt:i4>0</vt:i4>
      </vt:variant>
      <vt:variant>
        <vt:i4>5</vt:i4>
      </vt:variant>
      <vt:variant>
        <vt:lpwstr>https://op.europa.eu/en/publication-detail/-/publication/739a1cca-6145-11ec-9c6c-01aa75ed71a1</vt:lpwstr>
      </vt:variant>
      <vt:variant>
        <vt:lpwstr/>
      </vt:variant>
      <vt:variant>
        <vt:i4>2228260</vt:i4>
      </vt:variant>
      <vt:variant>
        <vt:i4>15</vt:i4>
      </vt:variant>
      <vt:variant>
        <vt:i4>0</vt:i4>
      </vt:variant>
      <vt:variant>
        <vt:i4>5</vt:i4>
      </vt:variant>
      <vt:variant>
        <vt:lpwstr>https://data.europa.eu/doi/10.2760/858144.</vt:lpwstr>
      </vt:variant>
      <vt:variant>
        <vt:lpwstr/>
      </vt:variant>
      <vt:variant>
        <vt:i4>8126483</vt:i4>
      </vt:variant>
      <vt:variant>
        <vt:i4>12</vt:i4>
      </vt:variant>
      <vt:variant>
        <vt:i4>0</vt:i4>
      </vt:variant>
      <vt:variant>
        <vt:i4>5</vt:i4>
      </vt:variant>
      <vt:variant>
        <vt:lpwstr>https://ec.europa.eu/info/law/better-regulation/have-your-say/initiatives/13223-Food-waste-reduction-targets_en</vt:lpwstr>
      </vt:variant>
      <vt:variant>
        <vt:lpwstr/>
      </vt:variant>
      <vt:variant>
        <vt:i4>4718644</vt:i4>
      </vt:variant>
      <vt:variant>
        <vt:i4>9</vt:i4>
      </vt:variant>
      <vt:variant>
        <vt:i4>0</vt:i4>
      </vt:variant>
      <vt:variant>
        <vt:i4>5</vt:i4>
      </vt:variant>
      <vt:variant>
        <vt:lpwstr>https://ec.europa.eu/info/law/better-regulation/have-your-say/initiatives/13225-Environmental-impact-of-waste-management-revision-of-EU-waste-framework_en</vt:lpwstr>
      </vt:variant>
      <vt:variant>
        <vt:lpwstr/>
      </vt:variant>
      <vt:variant>
        <vt:i4>1179725</vt:i4>
      </vt:variant>
      <vt:variant>
        <vt:i4>6</vt:i4>
      </vt:variant>
      <vt:variant>
        <vt:i4>0</vt:i4>
      </vt:variant>
      <vt:variant>
        <vt:i4>5</vt:i4>
      </vt:variant>
      <vt:variant>
        <vt:lpwstr>https://eur-lex.europa.eu/legal-content/EN/TXT/?qid=1583933814386&amp;uri=COM:2020:98:FIN</vt:lpwstr>
      </vt:variant>
      <vt:variant>
        <vt:lpwstr/>
      </vt:variant>
      <vt:variant>
        <vt:i4>3997729</vt:i4>
      </vt:variant>
      <vt:variant>
        <vt:i4>3</vt:i4>
      </vt:variant>
      <vt:variant>
        <vt:i4>0</vt:i4>
      </vt:variant>
      <vt:variant>
        <vt:i4>5</vt:i4>
      </vt:variant>
      <vt:variant>
        <vt:lpwstr>https://eur-lex.europa.eu/EN/legal-content/summary/european-green-deal.html</vt:lpwstr>
      </vt:variant>
      <vt:variant>
        <vt:lpwstr/>
      </vt:variant>
      <vt:variant>
        <vt:i4>131148</vt:i4>
      </vt:variant>
      <vt:variant>
        <vt:i4>0</vt:i4>
      </vt:variant>
      <vt:variant>
        <vt:i4>0</vt:i4>
      </vt:variant>
      <vt:variant>
        <vt:i4>5</vt:i4>
      </vt:variant>
      <vt:variant>
        <vt:lpwstr>https://eur-lex.europa.eu/legal-content/EN/TXT/?uri=CELEX:32018L0851</vt:lpwstr>
      </vt:variant>
      <vt:variant>
        <vt:lpwstr/>
      </vt:variant>
      <vt:variant>
        <vt:i4>7602264</vt:i4>
      </vt:variant>
      <vt:variant>
        <vt:i4>0</vt:i4>
      </vt:variant>
      <vt:variant>
        <vt:i4>0</vt:i4>
      </vt:variant>
      <vt:variant>
        <vt:i4>5</vt:i4>
      </vt:variant>
      <vt:variant>
        <vt:lpwstr>mailto:Florian.FLACHENECKER@ec.europa.eu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LIPOVEC Brina Sara</dc:creator>
  <cp:keywords/>
  <dc:description/>
  <cp:lastModifiedBy>LIPOVEC Brina Sara</cp:lastModifiedBy>
  <cp:revision>3</cp:revision>
  <cp:lastPrinted>2023-07-02T22:30:00Z</cp:lastPrinted>
  <dcterms:created xsi:type="dcterms:W3CDTF">2023-07-07T09:27:00Z</dcterms:created>
  <dcterms:modified xsi:type="dcterms:W3CDTF">2023-07-07T09:27:00Z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4</vt:lpwstr>
  </property>
  <property fmtid="{D5CDD505-2E9C-101B-9397-08002B2CF9AE}" pid="4" name="DocStatus">
    <vt:lpwstr>Green</vt:lpwstr>
  </property>
  <property fmtid="{D5CDD505-2E9C-101B-9397-08002B2CF9AE}" pid="5" name="CPTemplateID">
    <vt:lpwstr>CP-026</vt:lpwstr>
  </property>
  <property fmtid="{D5CDD505-2E9C-101B-9397-08002B2CF9AE}" pid="6" name="Created using">
    <vt:lpwstr>DocuWrite 4.8.2, Build 20230330</vt:lpwstr>
  </property>
  <property fmtid="{D5CDD505-2E9C-101B-9397-08002B2CF9AE}" pid="7" name="MSIP_Label_6bd9ddd1-4d20-43f6-abfa-fc3c07406f94_Enabled">
    <vt:lpwstr>true</vt:lpwstr>
  </property>
  <property fmtid="{D5CDD505-2E9C-101B-9397-08002B2CF9AE}" pid="8" name="MSIP_Label_6bd9ddd1-4d20-43f6-abfa-fc3c07406f94_SetDate">
    <vt:lpwstr>2022-05-17T18:43:31Z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e72a401c-2fae-4693-a1eb-ffd767e9c862</vt:lpwstr>
  </property>
  <property fmtid="{D5CDD505-2E9C-101B-9397-08002B2CF9AE}" pid="13" name="MSIP_Label_6bd9ddd1-4d20-43f6-abfa-fc3c07406f94_ContentBits">
    <vt:lpwstr>0</vt:lpwstr>
  </property>
  <property fmtid="{D5CDD505-2E9C-101B-9397-08002B2CF9AE}" pid="14" name="ContentTypeId">
    <vt:lpwstr>0x010100221397B36352C447984A37DFD72D0E64</vt:lpwstr>
  </property>
  <property fmtid="{D5CDD505-2E9C-101B-9397-08002B2CF9AE}" pid="15" name="Last edited using">
    <vt:lpwstr>DocuWrite 4.8.2, Build 20230330</vt:lpwstr>
  </property>
  <property fmtid="{D5CDD505-2E9C-101B-9397-08002B2CF9AE}" pid="16" name="Level of sensitivity">
    <vt:lpwstr>Standard treatment</vt:lpwstr>
  </property>
  <property fmtid="{D5CDD505-2E9C-101B-9397-08002B2CF9AE}" pid="17" name="MSIP_Label_af60b174-6478-47f9-866e-33f097bb6603_Enabled">
    <vt:lpwstr>true</vt:lpwstr>
  </property>
  <property fmtid="{D5CDD505-2E9C-101B-9397-08002B2CF9AE}" pid="18" name="MSIP_Label_af60b174-6478-47f9-866e-33f097bb6603_SetDate">
    <vt:lpwstr>2023-07-07T09:25:23Z</vt:lpwstr>
  </property>
  <property fmtid="{D5CDD505-2E9C-101B-9397-08002B2CF9AE}" pid="19" name="MSIP_Label_af60b174-6478-47f9-866e-33f097bb6603_Method">
    <vt:lpwstr>Privileged</vt:lpwstr>
  </property>
  <property fmtid="{D5CDD505-2E9C-101B-9397-08002B2CF9AE}" pid="20" name="MSIP_Label_af60b174-6478-47f9-866e-33f097bb6603_Name">
    <vt:lpwstr>GSCEU - PUBLIC Label</vt:lpwstr>
  </property>
  <property fmtid="{D5CDD505-2E9C-101B-9397-08002B2CF9AE}" pid="21" name="MSIP_Label_af60b174-6478-47f9-866e-33f097bb6603_SiteId">
    <vt:lpwstr>03ad1c97-0a4d-4e82-8f93-27291a6a0767</vt:lpwstr>
  </property>
  <property fmtid="{D5CDD505-2E9C-101B-9397-08002B2CF9AE}" pid="22" name="MSIP_Label_af60b174-6478-47f9-866e-33f097bb6603_ActionId">
    <vt:lpwstr>5318de07-702c-4bed-9f1d-910d0cda2ecc</vt:lpwstr>
  </property>
  <property fmtid="{D5CDD505-2E9C-101B-9397-08002B2CF9AE}" pid="23" name="MSIP_Label_af60b174-6478-47f9-866e-33f097bb6603_ContentBits">
    <vt:lpwstr>0</vt:lpwstr>
  </property>
</Properties>
</file>